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E8" w:rsidRPr="004B0389" w:rsidRDefault="003129E8" w:rsidP="002E0043">
      <w:pPr>
        <w:jc w:val="right"/>
        <w:rPr>
          <w:rFonts w:ascii="Arial" w:hAnsi="Arial" w:cs="Arial"/>
          <w:b/>
          <w:sz w:val="48"/>
          <w:szCs w:val="48"/>
        </w:rPr>
      </w:pPr>
      <w:bookmarkStart w:id="0" w:name="_Toc153189646"/>
      <w:r w:rsidRPr="004B0389">
        <w:rPr>
          <w:rFonts w:ascii="Arial" w:hAnsi="Arial" w:cs="Arial"/>
          <w:b/>
          <w:sz w:val="48"/>
          <w:szCs w:val="48"/>
        </w:rPr>
        <w:t xml:space="preserve">Work Paper </w:t>
      </w:r>
      <w:bookmarkEnd w:id="0"/>
      <w:r w:rsidR="00833AC1" w:rsidRPr="004B0389">
        <w:rPr>
          <w:rFonts w:ascii="Arial" w:hAnsi="Arial" w:cs="Arial"/>
          <w:b/>
          <w:sz w:val="48"/>
          <w:szCs w:val="48"/>
        </w:rPr>
        <w:t>WPSCNRLG00</w:t>
      </w:r>
      <w:r w:rsidR="00CF4557">
        <w:rPr>
          <w:rFonts w:ascii="Arial" w:hAnsi="Arial" w:cs="Arial"/>
          <w:b/>
          <w:sz w:val="48"/>
          <w:szCs w:val="48"/>
        </w:rPr>
        <w:t>16</w:t>
      </w:r>
    </w:p>
    <w:p w:rsidR="003129E8" w:rsidRPr="004B0389" w:rsidRDefault="003129E8" w:rsidP="002E0043">
      <w:pPr>
        <w:jc w:val="right"/>
        <w:rPr>
          <w:rFonts w:ascii="Arial" w:hAnsi="Arial" w:cs="Arial"/>
          <w:b/>
          <w:sz w:val="48"/>
          <w:szCs w:val="48"/>
        </w:rPr>
      </w:pPr>
      <w:bookmarkStart w:id="1" w:name="_Toc153189647"/>
      <w:r w:rsidRPr="004B0389">
        <w:rPr>
          <w:rFonts w:ascii="Arial" w:hAnsi="Arial" w:cs="Arial"/>
          <w:b/>
          <w:sz w:val="48"/>
          <w:szCs w:val="48"/>
        </w:rPr>
        <w:t xml:space="preserve">Revision </w:t>
      </w:r>
      <w:bookmarkEnd w:id="1"/>
      <w:r w:rsidR="000F6E3A">
        <w:rPr>
          <w:rFonts w:ascii="Arial" w:hAnsi="Arial" w:cs="Arial"/>
          <w:b/>
          <w:sz w:val="48"/>
          <w:szCs w:val="48"/>
        </w:rPr>
        <w:t>2</w:t>
      </w:r>
    </w:p>
    <w:p w:rsidR="003129E8" w:rsidRPr="004B0389" w:rsidRDefault="003129E8" w:rsidP="003129E8"/>
    <w:p w:rsidR="003129E8" w:rsidRPr="004B0389" w:rsidRDefault="003129E8" w:rsidP="003129E8"/>
    <w:p w:rsidR="00D7047A" w:rsidRPr="00CF4557" w:rsidRDefault="00CF4557" w:rsidP="00D7047A">
      <w:pPr>
        <w:pBdr>
          <w:bottom w:val="single" w:sz="4" w:space="1" w:color="auto"/>
        </w:pBdr>
        <w:rPr>
          <w:rFonts w:ascii="Arial" w:hAnsi="Arial" w:cs="Arial"/>
          <w:b/>
          <w:sz w:val="32"/>
          <w:szCs w:val="32"/>
        </w:rPr>
      </w:pPr>
      <w:r w:rsidRPr="00CF4557">
        <w:rPr>
          <w:rFonts w:ascii="Arial" w:hAnsi="Arial" w:cs="Arial"/>
          <w:b/>
          <w:sz w:val="32"/>
          <w:szCs w:val="32"/>
        </w:rPr>
        <w:t>San Diego Gas &amp; Electric</w:t>
      </w:r>
    </w:p>
    <w:p w:rsidR="00CF4557" w:rsidRDefault="000F6E3A" w:rsidP="00CF4557">
      <w:pPr>
        <w:rPr>
          <w:rFonts w:ascii="Arial" w:hAnsi="Arial" w:cs="Arial"/>
          <w:b/>
          <w:sz w:val="32"/>
          <w:szCs w:val="32"/>
        </w:rPr>
      </w:pPr>
      <w:r>
        <w:rPr>
          <w:rFonts w:ascii="Arial" w:hAnsi="Arial" w:cs="Arial"/>
          <w:b/>
          <w:sz w:val="32"/>
          <w:szCs w:val="32"/>
        </w:rPr>
        <w:t>Energy Efficiency Engineering</w:t>
      </w:r>
    </w:p>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324D0F" w:rsidRPr="004B0389" w:rsidRDefault="00324D0F" w:rsidP="00324D0F"/>
    <w:p w:rsidR="00D6366A" w:rsidRPr="004B0389" w:rsidRDefault="00833AC1" w:rsidP="00D6366A">
      <w:pPr>
        <w:rPr>
          <w:rFonts w:ascii="Arial" w:hAnsi="Arial" w:cs="Arial"/>
          <w:b/>
          <w:sz w:val="72"/>
          <w:szCs w:val="72"/>
        </w:rPr>
      </w:pPr>
      <w:r w:rsidRPr="004B0389">
        <w:rPr>
          <w:rFonts w:ascii="Arial" w:hAnsi="Arial" w:cs="Arial"/>
          <w:b/>
          <w:sz w:val="72"/>
          <w:szCs w:val="72"/>
        </w:rPr>
        <w:t>Occupancy Sensors: Wall or Ceiling Mounted</w:t>
      </w:r>
    </w:p>
    <w:p w:rsidR="00A61165" w:rsidRPr="004B0389" w:rsidRDefault="00A61165" w:rsidP="00A61165"/>
    <w:p w:rsidR="00A61165" w:rsidRPr="004B0389" w:rsidRDefault="00A61165" w:rsidP="00A61165">
      <w:pPr>
        <w:sectPr w:rsidR="00A61165" w:rsidRPr="004B0389" w:rsidSect="00B27065">
          <w:footerReference w:type="even" r:id="rId11"/>
          <w:footerReference w:type="default" r:id="rId12"/>
          <w:footerReference w:type="first" r:id="rId13"/>
          <w:pgSz w:w="12240" w:h="15840" w:code="1"/>
          <w:pgMar w:top="1440" w:right="1800" w:bottom="1440" w:left="1800" w:header="720" w:footer="720" w:gutter="0"/>
          <w:pgNumType w:fmt="lowerRoman"/>
          <w:cols w:space="720"/>
          <w:titlePg/>
          <w:docGrid w:linePitch="360"/>
        </w:sectPr>
      </w:pPr>
    </w:p>
    <w:p w:rsidR="00E71EF1" w:rsidRPr="004B0389" w:rsidRDefault="00E71EF1" w:rsidP="00E71EF1">
      <w:pPr>
        <w:pStyle w:val="Heading1"/>
      </w:pPr>
      <w:bookmarkStart w:id="2" w:name="_Toc328485805"/>
      <w:r w:rsidRPr="004B0389">
        <w:lastRenderedPageBreak/>
        <w:t>At a Glance Summary</w:t>
      </w:r>
      <w:bookmarkEnd w:id="2"/>
    </w:p>
    <w:tbl>
      <w:tblPr>
        <w:tblW w:w="9648" w:type="dxa"/>
        <w:tblBorders>
          <w:insideH w:val="single" w:sz="18" w:space="0" w:color="FFFFFF"/>
          <w:insideV w:val="single" w:sz="18" w:space="0" w:color="FFFFFF"/>
        </w:tblBorders>
        <w:tblLook w:val="01E0"/>
      </w:tblPr>
      <w:tblGrid>
        <w:gridCol w:w="4161"/>
        <w:gridCol w:w="5487"/>
      </w:tblGrid>
      <w:tr w:rsidR="000571F6" w:rsidRPr="007E455C" w:rsidTr="007E455C">
        <w:trPr>
          <w:trHeight w:val="464"/>
        </w:trPr>
        <w:tc>
          <w:tcPr>
            <w:tcW w:w="4161" w:type="dxa"/>
            <w:shd w:val="pct20" w:color="000000" w:fill="FFFFFF"/>
          </w:tcPr>
          <w:p w:rsidR="000571F6" w:rsidRPr="007E455C" w:rsidRDefault="000571F6" w:rsidP="0028709C">
            <w:pPr>
              <w:rPr>
                <w:b/>
                <w:bCs/>
              </w:rPr>
            </w:pPr>
            <w:r w:rsidRPr="007E455C">
              <w:rPr>
                <w:b/>
                <w:bCs/>
              </w:rPr>
              <w:t>Measure Name</w:t>
            </w:r>
          </w:p>
        </w:tc>
        <w:tc>
          <w:tcPr>
            <w:tcW w:w="5487" w:type="dxa"/>
            <w:shd w:val="pct20" w:color="000000" w:fill="FFFFFF"/>
          </w:tcPr>
          <w:p w:rsidR="00066437" w:rsidRPr="007E455C" w:rsidRDefault="0023088A" w:rsidP="0028709C">
            <w:pPr>
              <w:rPr>
                <w:b/>
                <w:bCs/>
                <w:sz w:val="20"/>
                <w:szCs w:val="20"/>
              </w:rPr>
            </w:pPr>
            <w:r w:rsidRPr="007E455C">
              <w:rPr>
                <w:b/>
                <w:bCs/>
                <w:sz w:val="20"/>
                <w:szCs w:val="20"/>
              </w:rPr>
              <w:t xml:space="preserve">Occupancy Sensors: </w:t>
            </w:r>
          </w:p>
          <w:p w:rsidR="000571F6" w:rsidRPr="007E455C" w:rsidRDefault="00066437" w:rsidP="0028709C">
            <w:pPr>
              <w:rPr>
                <w:b/>
                <w:bCs/>
                <w:sz w:val="20"/>
                <w:szCs w:val="20"/>
              </w:rPr>
            </w:pPr>
            <w:r w:rsidRPr="007E455C">
              <w:rPr>
                <w:b/>
                <w:bCs/>
                <w:sz w:val="20"/>
                <w:szCs w:val="20"/>
              </w:rPr>
              <w:t>1-</w:t>
            </w:r>
            <w:r w:rsidR="0023088A" w:rsidRPr="007E455C">
              <w:rPr>
                <w:b/>
                <w:bCs/>
                <w:sz w:val="20"/>
                <w:szCs w:val="20"/>
              </w:rPr>
              <w:t>Wall or Ceiling Mounted</w:t>
            </w:r>
          </w:p>
          <w:p w:rsidR="00066437" w:rsidRPr="007E455C" w:rsidRDefault="00066437" w:rsidP="0028709C">
            <w:pPr>
              <w:rPr>
                <w:b/>
                <w:bCs/>
                <w:sz w:val="20"/>
                <w:szCs w:val="20"/>
                <w:highlight w:val="yellow"/>
              </w:rPr>
            </w:pPr>
            <w:r w:rsidRPr="007E455C">
              <w:rPr>
                <w:b/>
                <w:bCs/>
                <w:sz w:val="20"/>
                <w:szCs w:val="20"/>
              </w:rPr>
              <w:t xml:space="preserve">2-Fixture Integrated </w:t>
            </w:r>
          </w:p>
        </w:tc>
      </w:tr>
      <w:tr w:rsidR="000571F6" w:rsidRPr="007E455C" w:rsidTr="007E455C">
        <w:trPr>
          <w:trHeight w:val="285"/>
        </w:trPr>
        <w:tc>
          <w:tcPr>
            <w:tcW w:w="4161" w:type="dxa"/>
            <w:shd w:val="pct5" w:color="000000" w:fill="FFFFFF"/>
          </w:tcPr>
          <w:p w:rsidR="000571F6" w:rsidRPr="007E455C" w:rsidRDefault="000571F6" w:rsidP="0028709C">
            <w:pPr>
              <w:rPr>
                <w:b/>
              </w:rPr>
            </w:pPr>
            <w:r w:rsidRPr="007E455C">
              <w:rPr>
                <w:b/>
              </w:rPr>
              <w:t>Savings Impacts Common Units</w:t>
            </w:r>
          </w:p>
        </w:tc>
        <w:tc>
          <w:tcPr>
            <w:tcW w:w="5487" w:type="dxa"/>
            <w:shd w:val="pct5" w:color="000000" w:fill="FFFFFF"/>
          </w:tcPr>
          <w:p w:rsidR="000571F6" w:rsidRPr="007E455C" w:rsidRDefault="00B34836" w:rsidP="0028709C">
            <w:pPr>
              <w:rPr>
                <w:sz w:val="20"/>
                <w:szCs w:val="20"/>
                <w:highlight w:val="yellow"/>
              </w:rPr>
            </w:pPr>
            <w:r w:rsidRPr="007E455C">
              <w:rPr>
                <w:sz w:val="20"/>
                <w:szCs w:val="20"/>
              </w:rPr>
              <w:t>Sensor</w:t>
            </w:r>
          </w:p>
        </w:tc>
      </w:tr>
      <w:tr w:rsidR="000571F6" w:rsidRPr="007E455C" w:rsidTr="007E455C">
        <w:trPr>
          <w:trHeight w:val="285"/>
        </w:trPr>
        <w:tc>
          <w:tcPr>
            <w:tcW w:w="4161" w:type="dxa"/>
            <w:shd w:val="pct20" w:color="000000" w:fill="FFFFFF"/>
          </w:tcPr>
          <w:p w:rsidR="000571F6" w:rsidRPr="007E455C" w:rsidRDefault="000571F6" w:rsidP="0028709C">
            <w:pPr>
              <w:rPr>
                <w:b/>
              </w:rPr>
            </w:pPr>
            <w:r w:rsidRPr="007E455C">
              <w:rPr>
                <w:b/>
              </w:rPr>
              <w:t>Customer Base Case Description</w:t>
            </w:r>
          </w:p>
        </w:tc>
        <w:tc>
          <w:tcPr>
            <w:tcW w:w="5487" w:type="dxa"/>
            <w:shd w:val="pct20" w:color="000000" w:fill="FFFFFF"/>
          </w:tcPr>
          <w:p w:rsidR="000571F6" w:rsidRPr="007E455C" w:rsidRDefault="0000272B" w:rsidP="0028709C">
            <w:pPr>
              <w:rPr>
                <w:sz w:val="20"/>
                <w:szCs w:val="20"/>
              </w:rPr>
            </w:pPr>
            <w:r w:rsidRPr="007E455C">
              <w:rPr>
                <w:sz w:val="20"/>
                <w:szCs w:val="20"/>
              </w:rPr>
              <w:t>No Occupancy Sensor</w:t>
            </w:r>
          </w:p>
        </w:tc>
      </w:tr>
      <w:tr w:rsidR="000571F6" w:rsidRPr="007E455C" w:rsidTr="007E455C">
        <w:trPr>
          <w:trHeight w:val="464"/>
        </w:trPr>
        <w:tc>
          <w:tcPr>
            <w:tcW w:w="4161" w:type="dxa"/>
            <w:shd w:val="pct5" w:color="000000" w:fill="FFFFFF"/>
          </w:tcPr>
          <w:p w:rsidR="000571F6" w:rsidRPr="007E455C" w:rsidRDefault="000571F6" w:rsidP="0028709C">
            <w:pPr>
              <w:rPr>
                <w:b/>
              </w:rPr>
            </w:pPr>
            <w:r w:rsidRPr="007E455C">
              <w:rPr>
                <w:b/>
              </w:rPr>
              <w:t>Code Base Case Description</w:t>
            </w:r>
          </w:p>
        </w:tc>
        <w:tc>
          <w:tcPr>
            <w:tcW w:w="5487" w:type="dxa"/>
            <w:shd w:val="pct5" w:color="000000" w:fill="FFFFFF"/>
          </w:tcPr>
          <w:p w:rsidR="0000272B" w:rsidRPr="007E455C" w:rsidRDefault="00B34836" w:rsidP="0000272B">
            <w:pPr>
              <w:rPr>
                <w:sz w:val="20"/>
                <w:szCs w:val="20"/>
                <w:highlight w:val="yellow"/>
              </w:rPr>
            </w:pPr>
            <w:r w:rsidRPr="007E455C">
              <w:rPr>
                <w:sz w:val="20"/>
                <w:szCs w:val="20"/>
              </w:rPr>
              <w:t>If the measure is affected by code, then the energy and demand savings can not be claimed</w:t>
            </w:r>
          </w:p>
        </w:tc>
      </w:tr>
      <w:tr w:rsidR="000571F6" w:rsidRPr="007E455C" w:rsidTr="007E455C">
        <w:trPr>
          <w:trHeight w:val="475"/>
        </w:trPr>
        <w:tc>
          <w:tcPr>
            <w:tcW w:w="4161" w:type="dxa"/>
            <w:shd w:val="pct20" w:color="000000" w:fill="FFFFFF"/>
          </w:tcPr>
          <w:p w:rsidR="000571F6" w:rsidRPr="007E455C" w:rsidRDefault="000571F6" w:rsidP="0028709C">
            <w:pPr>
              <w:rPr>
                <w:b/>
              </w:rPr>
            </w:pPr>
            <w:r w:rsidRPr="007E455C">
              <w:rPr>
                <w:b/>
              </w:rPr>
              <w:t>Costs Common Units</w:t>
            </w:r>
          </w:p>
        </w:tc>
        <w:tc>
          <w:tcPr>
            <w:tcW w:w="5487" w:type="dxa"/>
            <w:shd w:val="pct20" w:color="000000" w:fill="FFFFFF"/>
          </w:tcPr>
          <w:p w:rsidR="000571F6" w:rsidRPr="007E455C" w:rsidRDefault="000A48F2" w:rsidP="0028709C">
            <w:pPr>
              <w:rPr>
                <w:sz w:val="20"/>
                <w:szCs w:val="20"/>
                <w:highlight w:val="yellow"/>
              </w:rPr>
            </w:pPr>
            <w:r w:rsidRPr="007E455C">
              <w:rPr>
                <w:sz w:val="20"/>
                <w:szCs w:val="20"/>
              </w:rPr>
              <w:t xml:space="preserve">Same as </w:t>
            </w:r>
            <w:r w:rsidR="003C48C5" w:rsidRPr="007E455C">
              <w:rPr>
                <w:sz w:val="20"/>
                <w:szCs w:val="20"/>
              </w:rPr>
              <w:t>S</w:t>
            </w:r>
            <w:r w:rsidRPr="007E455C">
              <w:rPr>
                <w:sz w:val="20"/>
                <w:szCs w:val="20"/>
              </w:rPr>
              <w:t xml:space="preserve">avings </w:t>
            </w:r>
            <w:r w:rsidR="003C48C5" w:rsidRPr="007E455C">
              <w:rPr>
                <w:sz w:val="20"/>
                <w:szCs w:val="20"/>
              </w:rPr>
              <w:t>I</w:t>
            </w:r>
            <w:r w:rsidRPr="007E455C">
              <w:rPr>
                <w:sz w:val="20"/>
                <w:szCs w:val="20"/>
              </w:rPr>
              <w:t>mpacts</w:t>
            </w:r>
          </w:p>
        </w:tc>
      </w:tr>
      <w:tr w:rsidR="00B01D68" w:rsidRPr="007E455C" w:rsidTr="007E455C">
        <w:trPr>
          <w:trHeight w:val="464"/>
        </w:trPr>
        <w:tc>
          <w:tcPr>
            <w:tcW w:w="4161" w:type="dxa"/>
            <w:shd w:val="pct5" w:color="000000" w:fill="FFFFFF"/>
          </w:tcPr>
          <w:p w:rsidR="00B01D68" w:rsidRPr="007E455C" w:rsidRDefault="00B01D68" w:rsidP="0028709C">
            <w:pPr>
              <w:rPr>
                <w:b/>
              </w:rPr>
            </w:pPr>
            <w:r w:rsidRPr="007E455C">
              <w:rPr>
                <w:b/>
              </w:rPr>
              <w:t>Building Vint</w:t>
            </w:r>
            <w:r w:rsidR="000F503A" w:rsidRPr="007E455C">
              <w:rPr>
                <w:b/>
              </w:rPr>
              <w:t>a</w:t>
            </w:r>
            <w:r w:rsidRPr="007E455C">
              <w:rPr>
                <w:b/>
              </w:rPr>
              <w:t>ge</w:t>
            </w:r>
          </w:p>
        </w:tc>
        <w:tc>
          <w:tcPr>
            <w:tcW w:w="5487" w:type="dxa"/>
            <w:shd w:val="pct5" w:color="000000" w:fill="FFFFFF"/>
          </w:tcPr>
          <w:p w:rsidR="00B01D68" w:rsidRPr="007E455C" w:rsidRDefault="00B01D68" w:rsidP="0028709C">
            <w:pPr>
              <w:rPr>
                <w:sz w:val="20"/>
                <w:szCs w:val="20"/>
              </w:rPr>
            </w:pPr>
            <w:r w:rsidRPr="007E455C">
              <w:rPr>
                <w:sz w:val="20"/>
                <w:szCs w:val="20"/>
              </w:rPr>
              <w:t>All</w:t>
            </w:r>
          </w:p>
        </w:tc>
      </w:tr>
      <w:tr w:rsidR="00B01D68" w:rsidRPr="007E455C" w:rsidTr="007E455C">
        <w:trPr>
          <w:trHeight w:val="464"/>
        </w:trPr>
        <w:tc>
          <w:tcPr>
            <w:tcW w:w="4161" w:type="dxa"/>
            <w:shd w:val="pct20" w:color="000000" w:fill="FFFFFF"/>
          </w:tcPr>
          <w:p w:rsidR="00B01D68" w:rsidRPr="007E455C" w:rsidRDefault="00B01D68" w:rsidP="0028709C">
            <w:pPr>
              <w:rPr>
                <w:b/>
              </w:rPr>
            </w:pPr>
            <w:r w:rsidRPr="007E455C">
              <w:rPr>
                <w:b/>
              </w:rPr>
              <w:t>Climate Zon</w:t>
            </w:r>
            <w:r w:rsidR="00A61165" w:rsidRPr="007E455C">
              <w:rPr>
                <w:b/>
              </w:rPr>
              <w:t>e</w:t>
            </w:r>
          </w:p>
        </w:tc>
        <w:tc>
          <w:tcPr>
            <w:tcW w:w="5487" w:type="dxa"/>
            <w:shd w:val="pct20" w:color="000000" w:fill="FFFFFF"/>
          </w:tcPr>
          <w:p w:rsidR="00B01D68" w:rsidRPr="007E455C" w:rsidRDefault="0077652E" w:rsidP="0028709C">
            <w:pPr>
              <w:rPr>
                <w:sz w:val="20"/>
                <w:szCs w:val="20"/>
              </w:rPr>
            </w:pPr>
            <w:r w:rsidRPr="007E455C">
              <w:rPr>
                <w:sz w:val="20"/>
                <w:szCs w:val="20"/>
              </w:rPr>
              <w:t>V</w:t>
            </w:r>
            <w:r w:rsidR="00CF4557" w:rsidRPr="007E455C">
              <w:rPr>
                <w:sz w:val="20"/>
                <w:szCs w:val="20"/>
              </w:rPr>
              <w:t>aries</w:t>
            </w:r>
          </w:p>
        </w:tc>
      </w:tr>
      <w:tr w:rsidR="00B01D68" w:rsidRPr="007E455C" w:rsidTr="007E455C">
        <w:trPr>
          <w:trHeight w:val="464"/>
        </w:trPr>
        <w:tc>
          <w:tcPr>
            <w:tcW w:w="4161" w:type="dxa"/>
            <w:shd w:val="pct5" w:color="000000" w:fill="FFFFFF"/>
          </w:tcPr>
          <w:p w:rsidR="00B01D68" w:rsidRPr="007E455C" w:rsidRDefault="00B01D68" w:rsidP="0028709C">
            <w:pPr>
              <w:rPr>
                <w:b/>
              </w:rPr>
            </w:pPr>
            <w:r w:rsidRPr="007E455C">
              <w:rPr>
                <w:b/>
              </w:rPr>
              <w:t>Measure Equipment Cost ($/unit)</w:t>
            </w:r>
          </w:p>
        </w:tc>
        <w:tc>
          <w:tcPr>
            <w:tcW w:w="5487" w:type="dxa"/>
            <w:shd w:val="pct5" w:color="000000" w:fill="FFFFFF"/>
          </w:tcPr>
          <w:p w:rsidR="00B01D68" w:rsidRPr="007E455C" w:rsidRDefault="009C304D" w:rsidP="0028709C">
            <w:pPr>
              <w:rPr>
                <w:sz w:val="20"/>
                <w:szCs w:val="20"/>
                <w:highlight w:val="yellow"/>
              </w:rPr>
            </w:pPr>
            <w:r>
              <w:rPr>
                <w:sz w:val="20"/>
                <w:szCs w:val="20"/>
              </w:rPr>
              <w:t>Varies</w:t>
            </w:r>
          </w:p>
        </w:tc>
      </w:tr>
      <w:tr w:rsidR="00B01D68" w:rsidRPr="007E455C" w:rsidTr="007E455C">
        <w:trPr>
          <w:trHeight w:val="707"/>
        </w:trPr>
        <w:tc>
          <w:tcPr>
            <w:tcW w:w="4161" w:type="dxa"/>
            <w:shd w:val="pct20" w:color="000000" w:fill="FFFFFF"/>
          </w:tcPr>
          <w:p w:rsidR="00B01D68" w:rsidRPr="007E455C" w:rsidRDefault="00B01D68" w:rsidP="0028709C">
            <w:pPr>
              <w:rPr>
                <w:b/>
              </w:rPr>
            </w:pPr>
            <w:r w:rsidRPr="007E455C">
              <w:rPr>
                <w:b/>
              </w:rPr>
              <w:t>Measure Incremental Cost ($/unit)</w:t>
            </w:r>
          </w:p>
        </w:tc>
        <w:tc>
          <w:tcPr>
            <w:tcW w:w="5487" w:type="dxa"/>
            <w:shd w:val="pct20" w:color="000000" w:fill="FFFFFF"/>
          </w:tcPr>
          <w:p w:rsidR="00B01D68" w:rsidRPr="007E455C" w:rsidRDefault="009C304D" w:rsidP="0028709C">
            <w:pPr>
              <w:rPr>
                <w:sz w:val="20"/>
                <w:szCs w:val="20"/>
                <w:highlight w:val="yellow"/>
              </w:rPr>
            </w:pPr>
            <w:r>
              <w:rPr>
                <w:sz w:val="20"/>
                <w:szCs w:val="20"/>
              </w:rPr>
              <w:t>Varies</w:t>
            </w:r>
          </w:p>
        </w:tc>
      </w:tr>
      <w:tr w:rsidR="00B01D68" w:rsidRPr="007E455C" w:rsidTr="007E455C">
        <w:trPr>
          <w:trHeight w:val="464"/>
        </w:trPr>
        <w:tc>
          <w:tcPr>
            <w:tcW w:w="4161" w:type="dxa"/>
            <w:shd w:val="pct5" w:color="000000" w:fill="FFFFFF"/>
          </w:tcPr>
          <w:p w:rsidR="00B01D68" w:rsidRPr="007E455C" w:rsidRDefault="00B01D68" w:rsidP="0028709C">
            <w:pPr>
              <w:rPr>
                <w:b/>
              </w:rPr>
            </w:pPr>
            <w:r w:rsidRPr="007E455C">
              <w:rPr>
                <w:b/>
              </w:rPr>
              <w:t>Measure Installed Cost ($/unit)</w:t>
            </w:r>
          </w:p>
        </w:tc>
        <w:tc>
          <w:tcPr>
            <w:tcW w:w="5487" w:type="dxa"/>
            <w:shd w:val="pct5" w:color="000000" w:fill="FFFFFF"/>
          </w:tcPr>
          <w:p w:rsidR="00B01D68" w:rsidRPr="007E455C" w:rsidRDefault="009C304D" w:rsidP="0028709C">
            <w:pPr>
              <w:rPr>
                <w:sz w:val="20"/>
                <w:szCs w:val="20"/>
                <w:highlight w:val="yellow"/>
              </w:rPr>
            </w:pPr>
            <w:r>
              <w:rPr>
                <w:sz w:val="20"/>
                <w:szCs w:val="20"/>
              </w:rPr>
              <w:t>Varies</w:t>
            </w:r>
          </w:p>
        </w:tc>
      </w:tr>
      <w:tr w:rsidR="00B01D68" w:rsidRPr="007E455C" w:rsidTr="007E455C">
        <w:trPr>
          <w:trHeight w:val="928"/>
        </w:trPr>
        <w:tc>
          <w:tcPr>
            <w:tcW w:w="4161" w:type="dxa"/>
            <w:shd w:val="pct20" w:color="000000" w:fill="FFFFFF"/>
          </w:tcPr>
          <w:p w:rsidR="00B01D68" w:rsidRPr="007E455C" w:rsidRDefault="00B01D68" w:rsidP="0028709C">
            <w:pPr>
              <w:rPr>
                <w:b/>
              </w:rPr>
            </w:pPr>
            <w:r w:rsidRPr="007E455C">
              <w:rPr>
                <w:b/>
              </w:rPr>
              <w:t>Measure Load Shape</w:t>
            </w:r>
          </w:p>
        </w:tc>
        <w:tc>
          <w:tcPr>
            <w:tcW w:w="5487" w:type="dxa"/>
            <w:shd w:val="pct20" w:color="000000" w:fill="FFFFFF"/>
          </w:tcPr>
          <w:p w:rsidR="00B01D68" w:rsidRPr="007E455C" w:rsidRDefault="00B01D68" w:rsidP="0028709C">
            <w:pPr>
              <w:rPr>
                <w:sz w:val="20"/>
                <w:szCs w:val="20"/>
                <w:highlight w:val="yellow"/>
              </w:rPr>
            </w:pPr>
            <w:r w:rsidRPr="007E455C">
              <w:rPr>
                <w:sz w:val="20"/>
                <w:szCs w:val="20"/>
              </w:rPr>
              <w:t>Indoor Lighting</w:t>
            </w:r>
          </w:p>
        </w:tc>
      </w:tr>
      <w:tr w:rsidR="00B01D68" w:rsidRPr="007E455C" w:rsidTr="007E455C">
        <w:trPr>
          <w:trHeight w:val="475"/>
        </w:trPr>
        <w:tc>
          <w:tcPr>
            <w:tcW w:w="4161" w:type="dxa"/>
            <w:shd w:val="pct5" w:color="000000" w:fill="FFFFFF"/>
          </w:tcPr>
          <w:p w:rsidR="00B01D68" w:rsidRPr="007E455C" w:rsidRDefault="00B01D68" w:rsidP="0028709C">
            <w:pPr>
              <w:rPr>
                <w:b/>
              </w:rPr>
            </w:pPr>
            <w:r w:rsidRPr="007E455C">
              <w:rPr>
                <w:b/>
              </w:rPr>
              <w:t>Effective Useful Life (</w:t>
            </w:r>
            <w:r w:rsidR="004F436D" w:rsidRPr="007E455C">
              <w:rPr>
                <w:b/>
              </w:rPr>
              <w:t xml:space="preserve">EUL) in </w:t>
            </w:r>
            <w:r w:rsidRPr="007E455C">
              <w:rPr>
                <w:b/>
              </w:rPr>
              <w:t>years</w:t>
            </w:r>
          </w:p>
        </w:tc>
        <w:tc>
          <w:tcPr>
            <w:tcW w:w="5487" w:type="dxa"/>
            <w:shd w:val="pct5" w:color="000000" w:fill="FFFFFF"/>
          </w:tcPr>
          <w:p w:rsidR="00B01D68" w:rsidRPr="007E455C" w:rsidRDefault="00B01D68" w:rsidP="0028709C">
            <w:pPr>
              <w:rPr>
                <w:sz w:val="20"/>
                <w:szCs w:val="20"/>
                <w:highlight w:val="yellow"/>
              </w:rPr>
            </w:pPr>
            <w:r w:rsidRPr="007E455C">
              <w:rPr>
                <w:sz w:val="20"/>
                <w:szCs w:val="20"/>
              </w:rPr>
              <w:t>8 Years</w:t>
            </w:r>
          </w:p>
        </w:tc>
      </w:tr>
      <w:tr w:rsidR="00B01D68" w:rsidRPr="007E455C" w:rsidTr="007E455C">
        <w:trPr>
          <w:trHeight w:val="464"/>
        </w:trPr>
        <w:tc>
          <w:tcPr>
            <w:tcW w:w="4161" w:type="dxa"/>
            <w:shd w:val="pct20" w:color="000000" w:fill="FFFFFF"/>
          </w:tcPr>
          <w:p w:rsidR="00B01D68" w:rsidRPr="007E455C" w:rsidRDefault="00B01D68" w:rsidP="0028709C">
            <w:pPr>
              <w:rPr>
                <w:b/>
              </w:rPr>
            </w:pPr>
            <w:r w:rsidRPr="007E455C">
              <w:rPr>
                <w:b/>
              </w:rPr>
              <w:t>Program Type</w:t>
            </w:r>
          </w:p>
        </w:tc>
        <w:tc>
          <w:tcPr>
            <w:tcW w:w="5487" w:type="dxa"/>
            <w:shd w:val="pct20" w:color="000000" w:fill="FFFFFF"/>
          </w:tcPr>
          <w:p w:rsidR="00B01D68" w:rsidRPr="007E455C" w:rsidRDefault="00B01D68" w:rsidP="0028709C">
            <w:pPr>
              <w:rPr>
                <w:sz w:val="20"/>
                <w:szCs w:val="20"/>
                <w:highlight w:val="yellow"/>
              </w:rPr>
            </w:pPr>
            <w:r w:rsidRPr="007E455C">
              <w:rPr>
                <w:sz w:val="20"/>
                <w:szCs w:val="20"/>
              </w:rPr>
              <w:t>Retrofit (RET)</w:t>
            </w:r>
          </w:p>
        </w:tc>
      </w:tr>
      <w:tr w:rsidR="00B01D68" w:rsidRPr="007E455C" w:rsidTr="007E455C">
        <w:trPr>
          <w:trHeight w:val="464"/>
        </w:trPr>
        <w:tc>
          <w:tcPr>
            <w:tcW w:w="4161" w:type="dxa"/>
            <w:shd w:val="pct5" w:color="000000" w:fill="FFFFFF"/>
          </w:tcPr>
          <w:p w:rsidR="00B01D68" w:rsidRPr="007E455C" w:rsidRDefault="004F436D" w:rsidP="0028709C">
            <w:pPr>
              <w:rPr>
                <w:b/>
              </w:rPr>
            </w:pPr>
            <w:r w:rsidRPr="007E455C">
              <w:rPr>
                <w:b/>
              </w:rPr>
              <w:t xml:space="preserve">Time of </w:t>
            </w:r>
            <w:r w:rsidR="00A61165" w:rsidRPr="007E455C">
              <w:rPr>
                <w:b/>
              </w:rPr>
              <w:t>u</w:t>
            </w:r>
            <w:r w:rsidRPr="007E455C">
              <w:rPr>
                <w:b/>
              </w:rPr>
              <w:t>se (</w:t>
            </w:r>
            <w:r w:rsidR="00B01D68" w:rsidRPr="007E455C">
              <w:rPr>
                <w:b/>
              </w:rPr>
              <w:t>TOU</w:t>
            </w:r>
            <w:r w:rsidRPr="007E455C">
              <w:rPr>
                <w:b/>
              </w:rPr>
              <w:t>)</w:t>
            </w:r>
            <w:r w:rsidR="00B01D68" w:rsidRPr="007E455C">
              <w:rPr>
                <w:b/>
              </w:rPr>
              <w:t xml:space="preserve"> AC Adjustment</w:t>
            </w:r>
          </w:p>
        </w:tc>
        <w:tc>
          <w:tcPr>
            <w:tcW w:w="5487" w:type="dxa"/>
            <w:shd w:val="pct5" w:color="000000" w:fill="FFFFFF"/>
          </w:tcPr>
          <w:p w:rsidR="00B01D68" w:rsidRPr="007E455C" w:rsidRDefault="00B01D68" w:rsidP="0028709C">
            <w:pPr>
              <w:rPr>
                <w:sz w:val="20"/>
                <w:szCs w:val="20"/>
                <w:highlight w:val="yellow"/>
              </w:rPr>
            </w:pPr>
            <w:r w:rsidRPr="007E455C">
              <w:rPr>
                <w:sz w:val="20"/>
                <w:szCs w:val="20"/>
              </w:rPr>
              <w:t>0%</w:t>
            </w:r>
          </w:p>
        </w:tc>
      </w:tr>
      <w:tr w:rsidR="00B01D68" w:rsidRPr="007E455C" w:rsidTr="00C816F0">
        <w:trPr>
          <w:trHeight w:val="464"/>
        </w:trPr>
        <w:tc>
          <w:tcPr>
            <w:tcW w:w="4161" w:type="dxa"/>
            <w:tcBorders>
              <w:bottom w:val="single" w:sz="18" w:space="0" w:color="FFFFFF"/>
            </w:tcBorders>
            <w:shd w:val="pct20" w:color="000000" w:fill="FFFFFF"/>
          </w:tcPr>
          <w:p w:rsidR="00B01D68" w:rsidRPr="007E455C" w:rsidRDefault="00B01D68" w:rsidP="0028709C">
            <w:pPr>
              <w:rPr>
                <w:b/>
              </w:rPr>
            </w:pPr>
            <w:r w:rsidRPr="007E455C">
              <w:rPr>
                <w:b/>
              </w:rPr>
              <w:t>Net-to-Gross Ratio</w:t>
            </w:r>
          </w:p>
        </w:tc>
        <w:tc>
          <w:tcPr>
            <w:tcW w:w="5487" w:type="dxa"/>
            <w:tcBorders>
              <w:bottom w:val="single" w:sz="18" w:space="0" w:color="FFFFFF"/>
            </w:tcBorders>
            <w:shd w:val="pct20" w:color="000000" w:fill="FFFFFF"/>
          </w:tcPr>
          <w:p w:rsidR="00B01D68" w:rsidRPr="007E455C" w:rsidRDefault="002E2AE6" w:rsidP="00391C76">
            <w:pPr>
              <w:rPr>
                <w:sz w:val="20"/>
                <w:szCs w:val="20"/>
                <w:highlight w:val="yellow"/>
              </w:rPr>
            </w:pPr>
            <w:r>
              <w:rPr>
                <w:sz w:val="20"/>
                <w:szCs w:val="20"/>
              </w:rPr>
              <w:t>.6</w:t>
            </w:r>
          </w:p>
        </w:tc>
      </w:tr>
      <w:tr w:rsidR="00C816F0" w:rsidRPr="007E455C" w:rsidTr="00C816F0">
        <w:trPr>
          <w:trHeight w:val="464"/>
        </w:trPr>
        <w:tc>
          <w:tcPr>
            <w:tcW w:w="4161" w:type="dxa"/>
            <w:tcBorders>
              <w:top w:val="single" w:sz="18" w:space="0" w:color="FFFFFF"/>
              <w:bottom w:val="nil"/>
            </w:tcBorders>
            <w:shd w:val="pct5" w:color="000000" w:fill="FFFFFF"/>
          </w:tcPr>
          <w:p w:rsidR="00C816F0" w:rsidRPr="007E455C" w:rsidRDefault="00C816F0" w:rsidP="0028709C">
            <w:pPr>
              <w:rPr>
                <w:b/>
              </w:rPr>
            </w:pPr>
            <w:r>
              <w:rPr>
                <w:b/>
              </w:rPr>
              <w:t>Important Comments</w:t>
            </w:r>
          </w:p>
        </w:tc>
        <w:tc>
          <w:tcPr>
            <w:tcW w:w="5487" w:type="dxa"/>
            <w:tcBorders>
              <w:top w:val="single" w:sz="18" w:space="0" w:color="FFFFFF"/>
              <w:bottom w:val="nil"/>
            </w:tcBorders>
            <w:shd w:val="pct5" w:color="000000" w:fill="FFFFFF"/>
          </w:tcPr>
          <w:p w:rsidR="00C816F0" w:rsidRDefault="00C816F0" w:rsidP="00391C76">
            <w:pPr>
              <w:rPr>
                <w:sz w:val="20"/>
                <w:szCs w:val="20"/>
              </w:rPr>
            </w:pPr>
            <w:r>
              <w:rPr>
                <w:sz w:val="20"/>
                <w:szCs w:val="20"/>
              </w:rPr>
              <w:t>See</w:t>
            </w:r>
            <w:r w:rsidRPr="0006214A">
              <w:t xml:space="preserve"> WPSDGENRLG0999</w:t>
            </w:r>
          </w:p>
        </w:tc>
      </w:tr>
    </w:tbl>
    <w:p w:rsidR="000571F6" w:rsidRPr="004B0389" w:rsidRDefault="000571F6" w:rsidP="000571F6"/>
    <w:p w:rsidR="002D4BED" w:rsidRPr="004B0389" w:rsidRDefault="002D4BED">
      <w:r w:rsidRPr="004B0389">
        <w:rPr>
          <w:b/>
          <w:bCs/>
        </w:rPr>
        <w:br w:type="page"/>
      </w:r>
    </w:p>
    <w:p w:rsidR="00E71EF1" w:rsidRPr="004B0389" w:rsidRDefault="00DD4B20" w:rsidP="00F325DF">
      <w:pPr>
        <w:pStyle w:val="Heading1"/>
      </w:pPr>
      <w:bookmarkStart w:id="3" w:name="_Toc328485806"/>
      <w:r>
        <w:lastRenderedPageBreak/>
        <w:t>D</w:t>
      </w:r>
      <w:r w:rsidR="00E71EF1" w:rsidRPr="004B0389">
        <w:t>ocument Revision History</w:t>
      </w:r>
      <w:bookmarkEnd w:id="3"/>
    </w:p>
    <w:tbl>
      <w:tblPr>
        <w:tblW w:w="4944" w:type="pct"/>
        <w:tblInd w:w="108" w:type="dxa"/>
        <w:tblBorders>
          <w:insideH w:val="single" w:sz="18" w:space="0" w:color="FFFFFF"/>
          <w:insideV w:val="single" w:sz="18" w:space="0" w:color="FFFFFF"/>
        </w:tblBorders>
        <w:tblLook w:val="01E0"/>
      </w:tblPr>
      <w:tblGrid>
        <w:gridCol w:w="1029"/>
        <w:gridCol w:w="1153"/>
        <w:gridCol w:w="4119"/>
        <w:gridCol w:w="3168"/>
      </w:tblGrid>
      <w:tr w:rsidR="0006214A" w:rsidRPr="007E455C" w:rsidTr="0006214A">
        <w:trPr>
          <w:trHeight w:val="464"/>
        </w:trPr>
        <w:tc>
          <w:tcPr>
            <w:tcW w:w="543" w:type="pct"/>
            <w:tcBorders>
              <w:bottom w:val="single" w:sz="18" w:space="0" w:color="FFFFFF"/>
            </w:tcBorders>
            <w:shd w:val="pct20" w:color="000000" w:fill="FFFFFF"/>
          </w:tcPr>
          <w:p w:rsidR="0006214A" w:rsidRPr="007E455C" w:rsidRDefault="0006214A" w:rsidP="0006214A">
            <w:pPr>
              <w:rPr>
                <w:b/>
                <w:bCs/>
                <w:sz w:val="20"/>
                <w:szCs w:val="20"/>
              </w:rPr>
            </w:pPr>
          </w:p>
        </w:tc>
        <w:tc>
          <w:tcPr>
            <w:tcW w:w="609" w:type="pct"/>
            <w:tcBorders>
              <w:bottom w:val="single" w:sz="18" w:space="0" w:color="FFFFFF"/>
            </w:tcBorders>
            <w:shd w:val="pct20" w:color="000000" w:fill="FFFFFF"/>
          </w:tcPr>
          <w:p w:rsidR="0006214A" w:rsidRPr="007E455C" w:rsidRDefault="0006214A" w:rsidP="0006214A">
            <w:pPr>
              <w:rPr>
                <w:b/>
                <w:bCs/>
                <w:sz w:val="20"/>
                <w:szCs w:val="20"/>
              </w:rPr>
            </w:pPr>
          </w:p>
        </w:tc>
        <w:tc>
          <w:tcPr>
            <w:tcW w:w="2175" w:type="pct"/>
            <w:tcBorders>
              <w:bottom w:val="single" w:sz="18" w:space="0" w:color="FFFFFF"/>
            </w:tcBorders>
            <w:shd w:val="pct20" w:color="000000" w:fill="FFFFFF"/>
          </w:tcPr>
          <w:p w:rsidR="0006214A" w:rsidRPr="007E455C" w:rsidRDefault="0006214A" w:rsidP="0006214A">
            <w:pPr>
              <w:rPr>
                <w:b/>
                <w:bCs/>
                <w:sz w:val="20"/>
                <w:szCs w:val="20"/>
              </w:rPr>
            </w:pPr>
            <w:r w:rsidRPr="007E455C">
              <w:rPr>
                <w:b/>
                <w:bCs/>
                <w:sz w:val="20"/>
                <w:szCs w:val="20"/>
              </w:rPr>
              <w:t>.</w:t>
            </w:r>
          </w:p>
        </w:tc>
        <w:tc>
          <w:tcPr>
            <w:tcW w:w="1673" w:type="pct"/>
            <w:tcBorders>
              <w:bottom w:val="single" w:sz="18" w:space="0" w:color="FFFFFF"/>
            </w:tcBorders>
            <w:shd w:val="pct20" w:color="000000" w:fill="FFFFFF"/>
          </w:tcPr>
          <w:p w:rsidR="0006214A" w:rsidRPr="007E455C" w:rsidRDefault="0006214A" w:rsidP="0006214A">
            <w:pPr>
              <w:rPr>
                <w:b/>
                <w:bCs/>
                <w:sz w:val="20"/>
                <w:szCs w:val="20"/>
              </w:rPr>
            </w:pPr>
          </w:p>
        </w:tc>
      </w:tr>
      <w:tr w:rsidR="0006214A" w:rsidRPr="0006214A" w:rsidTr="0006214A">
        <w:trPr>
          <w:trHeight w:val="464"/>
        </w:trPr>
        <w:tc>
          <w:tcPr>
            <w:tcW w:w="543" w:type="pct"/>
            <w:tcBorders>
              <w:top w:val="single" w:sz="18" w:space="0" w:color="FFFFFF"/>
              <w:bottom w:val="single" w:sz="18" w:space="0" w:color="FFFFFF"/>
            </w:tcBorders>
            <w:shd w:val="pct5" w:color="000000" w:fill="FFFFFF"/>
          </w:tcPr>
          <w:p w:rsidR="0006214A" w:rsidRPr="0006214A" w:rsidRDefault="0006214A" w:rsidP="00746DDC">
            <w:pPr>
              <w:rPr>
                <w:sz w:val="20"/>
                <w:szCs w:val="20"/>
              </w:rPr>
            </w:pPr>
            <w:r w:rsidRPr="0006214A">
              <w:rPr>
                <w:bCs/>
                <w:sz w:val="20"/>
                <w:szCs w:val="20"/>
              </w:rPr>
              <w:t>Revision 0</w:t>
            </w:r>
          </w:p>
        </w:tc>
        <w:tc>
          <w:tcPr>
            <w:tcW w:w="609" w:type="pct"/>
            <w:tcBorders>
              <w:top w:val="single" w:sz="18" w:space="0" w:color="FFFFFF"/>
              <w:bottom w:val="single" w:sz="18" w:space="0" w:color="FFFFFF"/>
            </w:tcBorders>
            <w:shd w:val="pct5" w:color="000000" w:fill="FFFFFF"/>
          </w:tcPr>
          <w:p w:rsidR="0006214A" w:rsidRPr="0006214A" w:rsidRDefault="0006214A" w:rsidP="00746DDC">
            <w:pPr>
              <w:rPr>
                <w:sz w:val="20"/>
                <w:szCs w:val="20"/>
              </w:rPr>
            </w:pPr>
            <w:r w:rsidRPr="0006214A">
              <w:rPr>
                <w:bCs/>
                <w:sz w:val="20"/>
                <w:szCs w:val="20"/>
              </w:rPr>
              <w:t>N/A</w:t>
            </w:r>
          </w:p>
        </w:tc>
        <w:tc>
          <w:tcPr>
            <w:tcW w:w="2175" w:type="pct"/>
            <w:tcBorders>
              <w:top w:val="single" w:sz="18" w:space="0" w:color="FFFFFF"/>
              <w:bottom w:val="single" w:sz="18" w:space="0" w:color="FFFFFF"/>
            </w:tcBorders>
            <w:shd w:val="pct5" w:color="000000" w:fill="FFFFFF"/>
          </w:tcPr>
          <w:p w:rsidR="0006214A" w:rsidRPr="0006214A" w:rsidRDefault="0006214A" w:rsidP="00746DDC">
            <w:pPr>
              <w:rPr>
                <w:sz w:val="20"/>
                <w:szCs w:val="20"/>
              </w:rPr>
            </w:pPr>
            <w:r w:rsidRPr="0006214A">
              <w:rPr>
                <w:bCs/>
                <w:sz w:val="20"/>
                <w:szCs w:val="20"/>
              </w:rPr>
              <w:t>Original work paper from June 2005 or March 2007 short form</w:t>
            </w:r>
          </w:p>
        </w:tc>
        <w:tc>
          <w:tcPr>
            <w:tcW w:w="1673" w:type="pct"/>
            <w:tcBorders>
              <w:top w:val="single" w:sz="18" w:space="0" w:color="FFFFFF"/>
              <w:bottom w:val="single" w:sz="18" w:space="0" w:color="FFFFFF"/>
            </w:tcBorders>
            <w:shd w:val="pct5" w:color="000000" w:fill="FFFFFF"/>
          </w:tcPr>
          <w:p w:rsidR="0006214A" w:rsidRPr="0006214A" w:rsidRDefault="0006214A" w:rsidP="00746DDC">
            <w:pPr>
              <w:rPr>
                <w:sz w:val="20"/>
                <w:szCs w:val="20"/>
              </w:rPr>
            </w:pPr>
            <w:r w:rsidRPr="0006214A">
              <w:rPr>
                <w:bCs/>
                <w:sz w:val="20"/>
                <w:szCs w:val="20"/>
              </w:rPr>
              <w:t>Unknown</w:t>
            </w:r>
          </w:p>
        </w:tc>
      </w:tr>
      <w:tr w:rsidR="00DF0821" w:rsidRPr="007E455C" w:rsidTr="0006214A">
        <w:trPr>
          <w:trHeight w:val="464"/>
        </w:trPr>
        <w:tc>
          <w:tcPr>
            <w:tcW w:w="543" w:type="pct"/>
            <w:tcBorders>
              <w:top w:val="single" w:sz="18" w:space="0" w:color="FFFFFF"/>
            </w:tcBorders>
            <w:shd w:val="pct5" w:color="000000" w:fill="FFFFFF"/>
          </w:tcPr>
          <w:p w:rsidR="00DF0821" w:rsidRPr="007E455C" w:rsidRDefault="00DF0821" w:rsidP="00725D5C">
            <w:pPr>
              <w:rPr>
                <w:sz w:val="20"/>
                <w:szCs w:val="20"/>
              </w:rPr>
            </w:pPr>
            <w:r>
              <w:rPr>
                <w:sz w:val="20"/>
                <w:szCs w:val="20"/>
              </w:rPr>
              <w:t>Revision1</w:t>
            </w:r>
          </w:p>
        </w:tc>
        <w:tc>
          <w:tcPr>
            <w:tcW w:w="609" w:type="pct"/>
            <w:tcBorders>
              <w:top w:val="single" w:sz="18" w:space="0" w:color="FFFFFF"/>
            </w:tcBorders>
            <w:shd w:val="pct5" w:color="000000" w:fill="FFFFFF"/>
          </w:tcPr>
          <w:p w:rsidR="00DF0821" w:rsidRPr="007E455C" w:rsidRDefault="00DF0821" w:rsidP="00DF0821">
            <w:pPr>
              <w:rPr>
                <w:sz w:val="20"/>
                <w:szCs w:val="20"/>
              </w:rPr>
            </w:pPr>
            <w:r>
              <w:rPr>
                <w:sz w:val="20"/>
                <w:szCs w:val="20"/>
              </w:rPr>
              <w:t>April 2010</w:t>
            </w:r>
          </w:p>
        </w:tc>
        <w:tc>
          <w:tcPr>
            <w:tcW w:w="2175" w:type="pct"/>
            <w:tcBorders>
              <w:top w:val="single" w:sz="18" w:space="0" w:color="FFFFFF"/>
            </w:tcBorders>
            <w:shd w:val="pct5" w:color="000000" w:fill="FFFFFF"/>
          </w:tcPr>
          <w:p w:rsidR="00DF0821" w:rsidRDefault="00DF0821" w:rsidP="0006214A">
            <w:pPr>
              <w:pStyle w:val="ListParagraph"/>
              <w:numPr>
                <w:ilvl w:val="0"/>
                <w:numId w:val="25"/>
              </w:numPr>
              <w:ind w:left="141" w:hanging="180"/>
              <w:rPr>
                <w:sz w:val="20"/>
                <w:szCs w:val="20"/>
              </w:rPr>
            </w:pPr>
            <w:r>
              <w:rPr>
                <w:sz w:val="20"/>
                <w:szCs w:val="20"/>
              </w:rPr>
              <w:t>Format was updated to reflect new statewide template</w:t>
            </w:r>
          </w:p>
          <w:p w:rsidR="00DF0821" w:rsidRDefault="00DF0821" w:rsidP="0006214A">
            <w:pPr>
              <w:pStyle w:val="ListParagraph"/>
              <w:numPr>
                <w:ilvl w:val="0"/>
                <w:numId w:val="25"/>
              </w:numPr>
              <w:ind w:left="141" w:hanging="180"/>
              <w:rPr>
                <w:sz w:val="20"/>
                <w:szCs w:val="20"/>
              </w:rPr>
            </w:pPr>
            <w:r>
              <w:rPr>
                <w:sz w:val="20"/>
                <w:szCs w:val="20"/>
              </w:rPr>
              <w:t>NTG was updated to reflect Deer 08 updated</w:t>
            </w:r>
          </w:p>
          <w:p w:rsidR="00DF0821" w:rsidRDefault="00DF0821" w:rsidP="0006214A">
            <w:pPr>
              <w:pStyle w:val="ListParagraph"/>
              <w:numPr>
                <w:ilvl w:val="0"/>
                <w:numId w:val="25"/>
              </w:numPr>
              <w:ind w:left="141" w:hanging="180"/>
              <w:rPr>
                <w:sz w:val="20"/>
                <w:szCs w:val="20"/>
              </w:rPr>
            </w:pPr>
            <w:r>
              <w:rPr>
                <w:sz w:val="20"/>
                <w:szCs w:val="20"/>
              </w:rPr>
              <w:t>Saving calculation was redone to account for negative therm</w:t>
            </w:r>
          </w:p>
          <w:p w:rsidR="00DF0821" w:rsidRDefault="00DF0821" w:rsidP="0006214A">
            <w:pPr>
              <w:pStyle w:val="ListParagraph"/>
              <w:numPr>
                <w:ilvl w:val="0"/>
                <w:numId w:val="25"/>
              </w:numPr>
              <w:ind w:left="141" w:hanging="180"/>
              <w:rPr>
                <w:sz w:val="20"/>
                <w:szCs w:val="20"/>
              </w:rPr>
            </w:pPr>
            <w:r>
              <w:rPr>
                <w:sz w:val="20"/>
                <w:szCs w:val="20"/>
              </w:rPr>
              <w:t>Cost was updated to reflect deer 08 proposed cost</w:t>
            </w:r>
          </w:p>
          <w:p w:rsidR="00DF0821" w:rsidRDefault="00DF0821" w:rsidP="0006214A">
            <w:pPr>
              <w:pStyle w:val="ListParagraph"/>
              <w:numPr>
                <w:ilvl w:val="0"/>
                <w:numId w:val="25"/>
              </w:numPr>
              <w:ind w:left="141" w:hanging="180"/>
              <w:rPr>
                <w:sz w:val="20"/>
                <w:szCs w:val="20"/>
              </w:rPr>
            </w:pPr>
            <w:proofErr w:type="spellStart"/>
            <w:r>
              <w:rPr>
                <w:sz w:val="20"/>
                <w:szCs w:val="20"/>
              </w:rPr>
              <w:t>Basecase</w:t>
            </w:r>
            <w:proofErr w:type="spellEnd"/>
            <w:r>
              <w:rPr>
                <w:sz w:val="20"/>
                <w:szCs w:val="20"/>
              </w:rPr>
              <w:t xml:space="preserve"> was changed to reflect SDGE service territory data. </w:t>
            </w:r>
          </w:p>
          <w:p w:rsidR="00DF0821" w:rsidRPr="00DF0821" w:rsidRDefault="00DF0821" w:rsidP="0006214A">
            <w:pPr>
              <w:pStyle w:val="ListParagraph"/>
              <w:ind w:left="141" w:hanging="180"/>
              <w:rPr>
                <w:sz w:val="20"/>
                <w:szCs w:val="20"/>
              </w:rPr>
            </w:pPr>
          </w:p>
        </w:tc>
        <w:tc>
          <w:tcPr>
            <w:tcW w:w="1673" w:type="pct"/>
            <w:tcBorders>
              <w:top w:val="single" w:sz="18" w:space="0" w:color="FFFFFF"/>
            </w:tcBorders>
            <w:shd w:val="pct5" w:color="000000" w:fill="FFFFFF"/>
          </w:tcPr>
          <w:p w:rsidR="00DF0821" w:rsidRDefault="00DF0821" w:rsidP="00DF0821">
            <w:pPr>
              <w:pStyle w:val="ListParagraph"/>
              <w:numPr>
                <w:ilvl w:val="0"/>
                <w:numId w:val="25"/>
              </w:numPr>
              <w:rPr>
                <w:sz w:val="20"/>
                <w:szCs w:val="20"/>
              </w:rPr>
            </w:pPr>
            <w:r>
              <w:rPr>
                <w:sz w:val="20"/>
                <w:szCs w:val="20"/>
              </w:rPr>
              <w:t>Lucie Sidibe/SDGE</w:t>
            </w:r>
          </w:p>
        </w:tc>
      </w:tr>
      <w:tr w:rsidR="000F6E3A" w:rsidRPr="007E455C" w:rsidTr="0006214A">
        <w:trPr>
          <w:trHeight w:val="464"/>
        </w:trPr>
        <w:tc>
          <w:tcPr>
            <w:tcW w:w="543" w:type="pct"/>
            <w:shd w:val="pct5" w:color="000000" w:fill="FFFFFF"/>
          </w:tcPr>
          <w:p w:rsidR="000F6E3A" w:rsidRDefault="000F6E3A" w:rsidP="00725D5C">
            <w:pPr>
              <w:rPr>
                <w:sz w:val="20"/>
                <w:szCs w:val="20"/>
              </w:rPr>
            </w:pPr>
            <w:r>
              <w:rPr>
                <w:sz w:val="20"/>
                <w:szCs w:val="20"/>
              </w:rPr>
              <w:t>Revision 2</w:t>
            </w:r>
          </w:p>
        </w:tc>
        <w:tc>
          <w:tcPr>
            <w:tcW w:w="609" w:type="pct"/>
            <w:shd w:val="pct5" w:color="000000" w:fill="FFFFFF"/>
          </w:tcPr>
          <w:p w:rsidR="000F6E3A" w:rsidRDefault="000F6E3A" w:rsidP="00DF0821">
            <w:pPr>
              <w:rPr>
                <w:sz w:val="20"/>
                <w:szCs w:val="20"/>
              </w:rPr>
            </w:pPr>
            <w:r>
              <w:rPr>
                <w:sz w:val="20"/>
                <w:szCs w:val="20"/>
              </w:rPr>
              <w:t>June 5, 2012</w:t>
            </w:r>
          </w:p>
        </w:tc>
        <w:tc>
          <w:tcPr>
            <w:tcW w:w="2175" w:type="pct"/>
            <w:shd w:val="pct5" w:color="000000" w:fill="FFFFFF"/>
          </w:tcPr>
          <w:p w:rsidR="000F6E3A" w:rsidRDefault="000F6E3A" w:rsidP="0006214A">
            <w:pPr>
              <w:pStyle w:val="ListParagraph"/>
              <w:numPr>
                <w:ilvl w:val="0"/>
                <w:numId w:val="25"/>
              </w:numPr>
              <w:ind w:left="141" w:hanging="180"/>
              <w:rPr>
                <w:sz w:val="20"/>
                <w:szCs w:val="20"/>
              </w:rPr>
            </w:pPr>
            <w:r>
              <w:rPr>
                <w:sz w:val="20"/>
                <w:szCs w:val="20"/>
              </w:rPr>
              <w:t>Revised NTGR to .</w:t>
            </w:r>
            <w:r w:rsidR="00391C76">
              <w:rPr>
                <w:sz w:val="20"/>
                <w:szCs w:val="20"/>
              </w:rPr>
              <w:t>6</w:t>
            </w:r>
            <w:r>
              <w:rPr>
                <w:sz w:val="20"/>
                <w:szCs w:val="20"/>
              </w:rPr>
              <w:t xml:space="preserve"> for 2011 DEER</w:t>
            </w:r>
          </w:p>
          <w:p w:rsidR="00A3742A" w:rsidRDefault="00A3742A" w:rsidP="0006214A">
            <w:pPr>
              <w:pStyle w:val="ListParagraph"/>
              <w:numPr>
                <w:ilvl w:val="0"/>
                <w:numId w:val="25"/>
              </w:numPr>
              <w:ind w:left="141" w:hanging="180"/>
              <w:rPr>
                <w:sz w:val="20"/>
                <w:szCs w:val="20"/>
              </w:rPr>
            </w:pPr>
            <w:r>
              <w:rPr>
                <w:sz w:val="20"/>
                <w:szCs w:val="20"/>
              </w:rPr>
              <w:t xml:space="preserve">Removed Product Code J11 and J21 from 2005 DEER savings. Added controlled fixtures from 2003 work paper info </w:t>
            </w:r>
          </w:p>
          <w:p w:rsidR="000F6E3A" w:rsidRDefault="000F6E3A" w:rsidP="0006214A">
            <w:pPr>
              <w:pStyle w:val="ListParagraph"/>
              <w:numPr>
                <w:ilvl w:val="0"/>
                <w:numId w:val="25"/>
              </w:numPr>
              <w:ind w:left="141" w:hanging="180"/>
              <w:rPr>
                <w:sz w:val="20"/>
                <w:szCs w:val="20"/>
              </w:rPr>
            </w:pPr>
            <w:r>
              <w:rPr>
                <w:sz w:val="20"/>
                <w:szCs w:val="20"/>
              </w:rPr>
              <w:t xml:space="preserve">Revised </w:t>
            </w:r>
            <w:r w:rsidR="00391C76">
              <w:rPr>
                <w:sz w:val="20"/>
                <w:szCs w:val="20"/>
              </w:rPr>
              <w:t>Product Code</w:t>
            </w:r>
            <w:r>
              <w:rPr>
                <w:sz w:val="20"/>
                <w:szCs w:val="20"/>
              </w:rPr>
              <w:t xml:space="preserve"> L-J31 for dual  baseline  fixtures</w:t>
            </w:r>
          </w:p>
          <w:p w:rsidR="00391C76" w:rsidRDefault="00391C76" w:rsidP="0006214A">
            <w:pPr>
              <w:pStyle w:val="ListParagraph"/>
              <w:numPr>
                <w:ilvl w:val="0"/>
                <w:numId w:val="25"/>
              </w:numPr>
              <w:ind w:left="141" w:hanging="180"/>
              <w:rPr>
                <w:sz w:val="20"/>
                <w:szCs w:val="20"/>
              </w:rPr>
            </w:pPr>
            <w:r>
              <w:rPr>
                <w:sz w:val="20"/>
                <w:szCs w:val="20"/>
              </w:rPr>
              <w:t>Revised Product Code L-J41 and L-J51 Baseline fixture wattages</w:t>
            </w:r>
          </w:p>
          <w:p w:rsidR="0006214A" w:rsidRDefault="0006214A" w:rsidP="0006214A">
            <w:pPr>
              <w:pStyle w:val="ListParagraph"/>
              <w:numPr>
                <w:ilvl w:val="0"/>
                <w:numId w:val="25"/>
              </w:numPr>
              <w:ind w:left="141" w:hanging="180"/>
              <w:rPr>
                <w:sz w:val="20"/>
                <w:szCs w:val="20"/>
              </w:rPr>
            </w:pPr>
            <w:r>
              <w:rPr>
                <w:sz w:val="20"/>
                <w:szCs w:val="20"/>
              </w:rPr>
              <w:t>Added references to WPSDGENRLG0999</w:t>
            </w:r>
          </w:p>
        </w:tc>
        <w:tc>
          <w:tcPr>
            <w:tcW w:w="1673" w:type="pct"/>
            <w:shd w:val="pct5" w:color="000000" w:fill="FFFFFF"/>
          </w:tcPr>
          <w:p w:rsidR="000F6E3A" w:rsidRDefault="000F6E3A" w:rsidP="00DF0821">
            <w:pPr>
              <w:pStyle w:val="ListParagraph"/>
              <w:numPr>
                <w:ilvl w:val="0"/>
                <w:numId w:val="25"/>
              </w:numPr>
              <w:rPr>
                <w:sz w:val="20"/>
                <w:szCs w:val="20"/>
              </w:rPr>
            </w:pPr>
            <w:r>
              <w:rPr>
                <w:sz w:val="20"/>
                <w:szCs w:val="20"/>
              </w:rPr>
              <w:t>Charles Harmstead/SDGE</w:t>
            </w:r>
          </w:p>
        </w:tc>
      </w:tr>
    </w:tbl>
    <w:p w:rsidR="0044474C" w:rsidRPr="004B0389" w:rsidRDefault="0044474C" w:rsidP="00F2416A"/>
    <w:p w:rsidR="00F2416A" w:rsidRPr="004B0389" w:rsidRDefault="00F2416A" w:rsidP="00F2416A">
      <w:r w:rsidRPr="004B0389">
        <w:rPr>
          <w:b/>
        </w:rPr>
        <w:t xml:space="preserve">Note: </w:t>
      </w:r>
      <w:r w:rsidRPr="004B0389">
        <w:t>The information provided in this Work Paper was developed using the best available technical resources at the time this document was prepared.</w:t>
      </w:r>
    </w:p>
    <w:p w:rsidR="00F2416A" w:rsidRPr="004B0389" w:rsidRDefault="00F2416A" w:rsidP="00F55847">
      <w:pPr>
        <w:pStyle w:val="Heading1"/>
      </w:pPr>
    </w:p>
    <w:p w:rsidR="00F2416A" w:rsidRPr="004B0389" w:rsidRDefault="00F2416A" w:rsidP="00F55847">
      <w:pPr>
        <w:pStyle w:val="Heading1"/>
      </w:pPr>
    </w:p>
    <w:p w:rsidR="00E71EF1" w:rsidRPr="004B0389" w:rsidRDefault="00E71EF1" w:rsidP="00F55847">
      <w:pPr>
        <w:pStyle w:val="Heading1"/>
      </w:pPr>
      <w:r w:rsidRPr="004B0389">
        <w:br w:type="page"/>
      </w:r>
      <w:bookmarkStart w:id="4" w:name="_Toc328485807"/>
      <w:r w:rsidR="001248A3" w:rsidRPr="004B0389">
        <w:lastRenderedPageBreak/>
        <w:t>Table</w:t>
      </w:r>
      <w:r w:rsidR="006559C8" w:rsidRPr="004B0389">
        <w:t xml:space="preserve"> of Contents</w:t>
      </w:r>
      <w:bookmarkEnd w:id="4"/>
    </w:p>
    <w:p w:rsidR="0006214A" w:rsidRPr="0006214A" w:rsidRDefault="007C6EAB">
      <w:pPr>
        <w:pStyle w:val="TOC1"/>
        <w:tabs>
          <w:tab w:val="right" w:leader="dot" w:pos="9350"/>
        </w:tabs>
        <w:rPr>
          <w:rFonts w:asciiTheme="minorHAnsi" w:eastAsiaTheme="minorEastAsia" w:hAnsiTheme="minorHAnsi" w:cstheme="minorBidi"/>
          <w:noProof/>
          <w:sz w:val="22"/>
          <w:szCs w:val="22"/>
        </w:rPr>
      </w:pPr>
      <w:r w:rsidRPr="007C6EAB">
        <w:fldChar w:fldCharType="begin"/>
      </w:r>
      <w:r w:rsidR="000966CC" w:rsidRPr="004B0389">
        <w:instrText xml:space="preserve"> TOC \o "1-3" \h \z \u </w:instrText>
      </w:r>
      <w:r w:rsidRPr="007C6EAB">
        <w:fldChar w:fldCharType="separate"/>
      </w:r>
      <w:hyperlink w:anchor="_Toc328485805" w:history="1">
        <w:r w:rsidR="0006214A" w:rsidRPr="0006214A">
          <w:rPr>
            <w:rStyle w:val="Hyperlink"/>
            <w:noProof/>
          </w:rPr>
          <w:t>At a Glance Summary</w:t>
        </w:r>
        <w:r w:rsidR="0006214A" w:rsidRPr="0006214A">
          <w:rPr>
            <w:noProof/>
            <w:webHidden/>
          </w:rPr>
          <w:tab/>
        </w:r>
        <w:r w:rsidR="0006214A" w:rsidRPr="0006214A">
          <w:rPr>
            <w:noProof/>
            <w:webHidden/>
          </w:rPr>
          <w:fldChar w:fldCharType="begin"/>
        </w:r>
        <w:r w:rsidR="0006214A" w:rsidRPr="0006214A">
          <w:rPr>
            <w:noProof/>
            <w:webHidden/>
          </w:rPr>
          <w:instrText xml:space="preserve"> PAGEREF _Toc328485805 \h </w:instrText>
        </w:r>
        <w:r w:rsidR="0006214A" w:rsidRPr="0006214A">
          <w:rPr>
            <w:noProof/>
            <w:webHidden/>
          </w:rPr>
        </w:r>
        <w:r w:rsidR="0006214A" w:rsidRPr="0006214A">
          <w:rPr>
            <w:noProof/>
            <w:webHidden/>
          </w:rPr>
          <w:fldChar w:fldCharType="separate"/>
        </w:r>
        <w:r w:rsidR="0006214A">
          <w:rPr>
            <w:noProof/>
            <w:webHidden/>
          </w:rPr>
          <w:t>i</w:t>
        </w:r>
        <w:r w:rsidR="0006214A"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06" w:history="1">
        <w:r w:rsidRPr="0006214A">
          <w:rPr>
            <w:rStyle w:val="Hyperlink"/>
            <w:noProof/>
          </w:rPr>
          <w:t>Document Revision History</w:t>
        </w:r>
        <w:r w:rsidRPr="0006214A">
          <w:rPr>
            <w:noProof/>
            <w:webHidden/>
          </w:rPr>
          <w:tab/>
        </w:r>
        <w:r w:rsidRPr="0006214A">
          <w:rPr>
            <w:noProof/>
            <w:webHidden/>
          </w:rPr>
          <w:fldChar w:fldCharType="begin"/>
        </w:r>
        <w:r w:rsidRPr="0006214A">
          <w:rPr>
            <w:noProof/>
            <w:webHidden/>
          </w:rPr>
          <w:instrText xml:space="preserve"> PAGEREF _Toc328485806 \h </w:instrText>
        </w:r>
        <w:r w:rsidRPr="0006214A">
          <w:rPr>
            <w:noProof/>
            <w:webHidden/>
          </w:rPr>
        </w:r>
        <w:r w:rsidRPr="0006214A">
          <w:rPr>
            <w:noProof/>
            <w:webHidden/>
          </w:rPr>
          <w:fldChar w:fldCharType="separate"/>
        </w:r>
        <w:r>
          <w:rPr>
            <w:noProof/>
            <w:webHidden/>
          </w:rPr>
          <w:t>ii</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07" w:history="1">
        <w:r w:rsidRPr="0006214A">
          <w:rPr>
            <w:rStyle w:val="Hyperlink"/>
            <w:noProof/>
          </w:rPr>
          <w:t>Table of Contents</w:t>
        </w:r>
        <w:r w:rsidRPr="0006214A">
          <w:rPr>
            <w:noProof/>
            <w:webHidden/>
          </w:rPr>
          <w:tab/>
        </w:r>
        <w:r w:rsidRPr="0006214A">
          <w:rPr>
            <w:noProof/>
            <w:webHidden/>
          </w:rPr>
          <w:fldChar w:fldCharType="begin"/>
        </w:r>
        <w:r w:rsidRPr="0006214A">
          <w:rPr>
            <w:noProof/>
            <w:webHidden/>
          </w:rPr>
          <w:instrText xml:space="preserve"> PAGEREF _Toc328485807 \h </w:instrText>
        </w:r>
        <w:r w:rsidRPr="0006214A">
          <w:rPr>
            <w:noProof/>
            <w:webHidden/>
          </w:rPr>
        </w:r>
        <w:r w:rsidRPr="0006214A">
          <w:rPr>
            <w:noProof/>
            <w:webHidden/>
          </w:rPr>
          <w:fldChar w:fldCharType="separate"/>
        </w:r>
        <w:r>
          <w:rPr>
            <w:noProof/>
            <w:webHidden/>
          </w:rPr>
          <w:t>iii</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08" w:history="1">
        <w:r w:rsidRPr="0006214A">
          <w:rPr>
            <w:rStyle w:val="Hyperlink"/>
            <w:noProof/>
          </w:rPr>
          <w:t>Section 1. General Measure and Baseline Data</w:t>
        </w:r>
        <w:r w:rsidRPr="0006214A">
          <w:rPr>
            <w:noProof/>
            <w:webHidden/>
          </w:rPr>
          <w:tab/>
        </w:r>
        <w:r w:rsidRPr="0006214A">
          <w:rPr>
            <w:noProof/>
            <w:webHidden/>
          </w:rPr>
          <w:fldChar w:fldCharType="begin"/>
        </w:r>
        <w:r w:rsidRPr="0006214A">
          <w:rPr>
            <w:noProof/>
            <w:webHidden/>
          </w:rPr>
          <w:instrText xml:space="preserve"> PAGEREF _Toc328485808 \h </w:instrText>
        </w:r>
        <w:r w:rsidRPr="0006214A">
          <w:rPr>
            <w:noProof/>
            <w:webHidden/>
          </w:rPr>
        </w:r>
        <w:r w:rsidRPr="0006214A">
          <w:rPr>
            <w:noProof/>
            <w:webHidden/>
          </w:rPr>
          <w:fldChar w:fldCharType="separate"/>
        </w:r>
        <w:r>
          <w:rPr>
            <w:noProof/>
            <w:webHidden/>
          </w:rPr>
          <w:t>1</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09" w:history="1">
        <w:r w:rsidRPr="0006214A">
          <w:rPr>
            <w:rStyle w:val="Hyperlink"/>
            <w:noProof/>
          </w:rPr>
          <w:t>1.1 Measure Description and Background</w:t>
        </w:r>
        <w:r w:rsidRPr="0006214A">
          <w:rPr>
            <w:noProof/>
            <w:webHidden/>
          </w:rPr>
          <w:tab/>
        </w:r>
        <w:r w:rsidRPr="0006214A">
          <w:rPr>
            <w:noProof/>
            <w:webHidden/>
          </w:rPr>
          <w:fldChar w:fldCharType="begin"/>
        </w:r>
        <w:r w:rsidRPr="0006214A">
          <w:rPr>
            <w:noProof/>
            <w:webHidden/>
          </w:rPr>
          <w:instrText xml:space="preserve"> PAGEREF _Toc328485809 \h </w:instrText>
        </w:r>
        <w:r w:rsidRPr="0006214A">
          <w:rPr>
            <w:noProof/>
            <w:webHidden/>
          </w:rPr>
        </w:r>
        <w:r w:rsidRPr="0006214A">
          <w:rPr>
            <w:noProof/>
            <w:webHidden/>
          </w:rPr>
          <w:fldChar w:fldCharType="separate"/>
        </w:r>
        <w:r>
          <w:rPr>
            <w:noProof/>
            <w:webHidden/>
          </w:rPr>
          <w:t>1</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12" w:history="1">
        <w:r w:rsidRPr="0006214A">
          <w:rPr>
            <w:rStyle w:val="Hyperlink"/>
            <w:noProof/>
          </w:rPr>
          <w:t>1.2 DEER Differences Analysis</w:t>
        </w:r>
        <w:r w:rsidRPr="0006214A">
          <w:rPr>
            <w:noProof/>
            <w:webHidden/>
          </w:rPr>
          <w:tab/>
        </w:r>
        <w:r w:rsidRPr="0006214A">
          <w:rPr>
            <w:noProof/>
            <w:webHidden/>
          </w:rPr>
          <w:fldChar w:fldCharType="begin"/>
        </w:r>
        <w:r w:rsidRPr="0006214A">
          <w:rPr>
            <w:noProof/>
            <w:webHidden/>
          </w:rPr>
          <w:instrText xml:space="preserve"> PAGEREF _Toc328485812 \h </w:instrText>
        </w:r>
        <w:r w:rsidRPr="0006214A">
          <w:rPr>
            <w:noProof/>
            <w:webHidden/>
          </w:rPr>
        </w:r>
        <w:r w:rsidRPr="0006214A">
          <w:rPr>
            <w:noProof/>
            <w:webHidden/>
          </w:rPr>
          <w:fldChar w:fldCharType="separate"/>
        </w:r>
        <w:r>
          <w:rPr>
            <w:noProof/>
            <w:webHidden/>
          </w:rPr>
          <w:t>2</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13" w:history="1">
        <w:r w:rsidRPr="0006214A">
          <w:rPr>
            <w:rStyle w:val="Hyperlink"/>
            <w:noProof/>
          </w:rPr>
          <w:t>1.3 Codes and Standards Requirements Analysis</w:t>
        </w:r>
        <w:r w:rsidRPr="0006214A">
          <w:rPr>
            <w:noProof/>
            <w:webHidden/>
          </w:rPr>
          <w:tab/>
        </w:r>
        <w:r w:rsidRPr="0006214A">
          <w:rPr>
            <w:noProof/>
            <w:webHidden/>
          </w:rPr>
          <w:fldChar w:fldCharType="begin"/>
        </w:r>
        <w:r w:rsidRPr="0006214A">
          <w:rPr>
            <w:noProof/>
            <w:webHidden/>
          </w:rPr>
          <w:instrText xml:space="preserve"> PAGEREF _Toc328485813 \h </w:instrText>
        </w:r>
        <w:r w:rsidRPr="0006214A">
          <w:rPr>
            <w:noProof/>
            <w:webHidden/>
          </w:rPr>
        </w:r>
        <w:r w:rsidRPr="0006214A">
          <w:rPr>
            <w:noProof/>
            <w:webHidden/>
          </w:rPr>
          <w:fldChar w:fldCharType="separate"/>
        </w:r>
        <w:r>
          <w:rPr>
            <w:noProof/>
            <w:webHidden/>
          </w:rPr>
          <w:t>2</w:t>
        </w:r>
        <w:r w:rsidRPr="0006214A">
          <w:rPr>
            <w:noProof/>
            <w:webHidden/>
          </w:rPr>
          <w:fldChar w:fldCharType="end"/>
        </w:r>
      </w:hyperlink>
    </w:p>
    <w:p w:rsidR="0006214A" w:rsidRPr="0006214A" w:rsidRDefault="0006214A">
      <w:pPr>
        <w:pStyle w:val="TOC2"/>
        <w:tabs>
          <w:tab w:val="right" w:leader="dot" w:pos="9350"/>
        </w:tabs>
        <w:rPr>
          <w:rStyle w:val="Hyperlink"/>
          <w:noProof/>
        </w:rPr>
      </w:pPr>
      <w:hyperlink w:anchor="_Toc328485814" w:history="1">
        <w:r w:rsidRPr="0006214A">
          <w:rPr>
            <w:rStyle w:val="Hyperlink"/>
            <w:noProof/>
          </w:rPr>
          <w:t>1.4Measure Effective Useful Life</w:t>
        </w:r>
        <w:r w:rsidRPr="0006214A">
          <w:rPr>
            <w:rStyle w:val="Hyperlink"/>
            <w:noProof/>
            <w:webHidden/>
          </w:rPr>
          <w:tab/>
        </w:r>
        <w:r w:rsidRPr="0006214A">
          <w:rPr>
            <w:rStyle w:val="Hyperlink"/>
            <w:noProof/>
            <w:webHidden/>
          </w:rPr>
          <w:fldChar w:fldCharType="begin"/>
        </w:r>
        <w:r w:rsidRPr="0006214A">
          <w:rPr>
            <w:rStyle w:val="Hyperlink"/>
            <w:noProof/>
            <w:webHidden/>
          </w:rPr>
          <w:instrText xml:space="preserve"> PAGEREF _Toc328485814 \h </w:instrText>
        </w:r>
        <w:r w:rsidRPr="0006214A">
          <w:rPr>
            <w:rStyle w:val="Hyperlink"/>
            <w:noProof/>
            <w:webHidden/>
          </w:rPr>
        </w:r>
        <w:r w:rsidRPr="0006214A">
          <w:rPr>
            <w:rStyle w:val="Hyperlink"/>
            <w:noProof/>
            <w:webHidden/>
          </w:rPr>
          <w:fldChar w:fldCharType="separate"/>
        </w:r>
        <w:r>
          <w:rPr>
            <w:rStyle w:val="Hyperlink"/>
            <w:noProof/>
            <w:webHidden/>
          </w:rPr>
          <w:t>4</w:t>
        </w:r>
        <w:r w:rsidRPr="0006214A">
          <w:rPr>
            <w:rStyle w:val="Hyperlink"/>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15" w:history="1">
        <w:r w:rsidRPr="0006214A">
          <w:rPr>
            <w:rStyle w:val="Hyperlink"/>
            <w:noProof/>
          </w:rPr>
          <w:t>1.5 Base Case for Savings Estimates: Existing and Above Code</w:t>
        </w:r>
        <w:r w:rsidRPr="0006214A">
          <w:rPr>
            <w:noProof/>
            <w:webHidden/>
          </w:rPr>
          <w:tab/>
        </w:r>
        <w:r w:rsidRPr="0006214A">
          <w:rPr>
            <w:noProof/>
            <w:webHidden/>
          </w:rPr>
          <w:fldChar w:fldCharType="begin"/>
        </w:r>
        <w:r w:rsidRPr="0006214A">
          <w:rPr>
            <w:noProof/>
            <w:webHidden/>
          </w:rPr>
          <w:instrText xml:space="preserve"> PAGEREF _Toc328485815 \h </w:instrText>
        </w:r>
        <w:r w:rsidRPr="0006214A">
          <w:rPr>
            <w:noProof/>
            <w:webHidden/>
          </w:rPr>
        </w:r>
        <w:r w:rsidRPr="0006214A">
          <w:rPr>
            <w:noProof/>
            <w:webHidden/>
          </w:rPr>
          <w:fldChar w:fldCharType="separate"/>
        </w:r>
        <w:r>
          <w:rPr>
            <w:noProof/>
            <w:webHidden/>
          </w:rPr>
          <w:t>4</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17" w:history="1">
        <w:r w:rsidRPr="0006214A">
          <w:rPr>
            <w:rStyle w:val="Hyperlink"/>
            <w:noProof/>
          </w:rPr>
          <w:t>1.6 Net-to-Gross Ratio for Different Program Strategies</w:t>
        </w:r>
        <w:r w:rsidRPr="0006214A">
          <w:rPr>
            <w:noProof/>
            <w:webHidden/>
          </w:rPr>
          <w:tab/>
        </w:r>
        <w:r w:rsidRPr="0006214A">
          <w:rPr>
            <w:noProof/>
            <w:webHidden/>
          </w:rPr>
          <w:fldChar w:fldCharType="begin"/>
        </w:r>
        <w:r w:rsidRPr="0006214A">
          <w:rPr>
            <w:noProof/>
            <w:webHidden/>
          </w:rPr>
          <w:instrText xml:space="preserve"> PAGEREF _Toc328485817 \h </w:instrText>
        </w:r>
        <w:r w:rsidRPr="0006214A">
          <w:rPr>
            <w:noProof/>
            <w:webHidden/>
          </w:rPr>
        </w:r>
        <w:r w:rsidRPr="0006214A">
          <w:rPr>
            <w:noProof/>
            <w:webHidden/>
          </w:rPr>
          <w:fldChar w:fldCharType="separate"/>
        </w:r>
        <w:r>
          <w:rPr>
            <w:noProof/>
            <w:webHidden/>
          </w:rPr>
          <w:t>6</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18" w:history="1">
        <w:r w:rsidRPr="0006214A">
          <w:rPr>
            <w:rStyle w:val="Hyperlink"/>
            <w:noProof/>
          </w:rPr>
          <w:t>Section 2. Calculation Methods</w:t>
        </w:r>
        <w:r w:rsidRPr="0006214A">
          <w:rPr>
            <w:noProof/>
            <w:webHidden/>
          </w:rPr>
          <w:tab/>
        </w:r>
        <w:r w:rsidRPr="0006214A">
          <w:rPr>
            <w:noProof/>
            <w:webHidden/>
          </w:rPr>
          <w:fldChar w:fldCharType="begin"/>
        </w:r>
        <w:r w:rsidRPr="0006214A">
          <w:rPr>
            <w:noProof/>
            <w:webHidden/>
          </w:rPr>
          <w:instrText xml:space="preserve"> PAGEREF _Toc328485818 \h </w:instrText>
        </w:r>
        <w:r w:rsidRPr="0006214A">
          <w:rPr>
            <w:noProof/>
            <w:webHidden/>
          </w:rPr>
        </w:r>
        <w:r w:rsidRPr="0006214A">
          <w:rPr>
            <w:noProof/>
            <w:webHidden/>
          </w:rPr>
          <w:fldChar w:fldCharType="separate"/>
        </w:r>
        <w:r>
          <w:rPr>
            <w:noProof/>
            <w:webHidden/>
          </w:rPr>
          <w:t>6</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19" w:history="1">
        <w:r w:rsidRPr="0006214A">
          <w:rPr>
            <w:rStyle w:val="Hyperlink"/>
            <w:noProof/>
          </w:rPr>
          <w:t>2.1 Energy Savings Estimation Methodologies</w:t>
        </w:r>
        <w:r w:rsidRPr="0006214A">
          <w:rPr>
            <w:noProof/>
            <w:webHidden/>
          </w:rPr>
          <w:tab/>
        </w:r>
        <w:r w:rsidRPr="0006214A">
          <w:rPr>
            <w:noProof/>
            <w:webHidden/>
          </w:rPr>
          <w:fldChar w:fldCharType="begin"/>
        </w:r>
        <w:r w:rsidRPr="0006214A">
          <w:rPr>
            <w:noProof/>
            <w:webHidden/>
          </w:rPr>
          <w:instrText xml:space="preserve"> PAGEREF _Toc328485819 \h </w:instrText>
        </w:r>
        <w:r w:rsidRPr="0006214A">
          <w:rPr>
            <w:noProof/>
            <w:webHidden/>
          </w:rPr>
        </w:r>
        <w:r w:rsidRPr="0006214A">
          <w:rPr>
            <w:noProof/>
            <w:webHidden/>
          </w:rPr>
          <w:fldChar w:fldCharType="separate"/>
        </w:r>
        <w:r>
          <w:rPr>
            <w:noProof/>
            <w:webHidden/>
          </w:rPr>
          <w:t>6</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0" w:history="1">
        <w:r w:rsidRPr="0006214A">
          <w:rPr>
            <w:rStyle w:val="Hyperlink"/>
            <w:noProof/>
          </w:rPr>
          <w:t>The Controlled wattage is the same as described above in the base case description section. Interactive Effects and Peak Coincidence Factor are derived from the DEER 2008 Miser tool. For a summary of savings values, refer to embedded excel calculation sheet.</w:t>
        </w:r>
        <w:r w:rsidRPr="0006214A">
          <w:rPr>
            <w:noProof/>
            <w:webHidden/>
          </w:rPr>
          <w:tab/>
        </w:r>
        <w:r w:rsidRPr="0006214A">
          <w:rPr>
            <w:noProof/>
            <w:webHidden/>
          </w:rPr>
          <w:fldChar w:fldCharType="begin"/>
        </w:r>
        <w:r w:rsidRPr="0006214A">
          <w:rPr>
            <w:noProof/>
            <w:webHidden/>
          </w:rPr>
          <w:instrText xml:space="preserve"> PAGEREF _Toc328485820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1" w:history="1">
        <w:r w:rsidRPr="0006214A">
          <w:rPr>
            <w:rStyle w:val="Hyperlink"/>
            <w:noProof/>
          </w:rPr>
          <w:t>2.2 Demand Reduction Estimation Methodologies</w:t>
        </w:r>
        <w:r w:rsidRPr="0006214A">
          <w:rPr>
            <w:noProof/>
            <w:webHidden/>
          </w:rPr>
          <w:tab/>
        </w:r>
        <w:r w:rsidRPr="0006214A">
          <w:rPr>
            <w:noProof/>
            <w:webHidden/>
          </w:rPr>
          <w:fldChar w:fldCharType="begin"/>
        </w:r>
        <w:r w:rsidRPr="0006214A">
          <w:rPr>
            <w:noProof/>
            <w:webHidden/>
          </w:rPr>
          <w:instrText xml:space="preserve"> PAGEREF _Toc328485821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2" w:history="1">
        <w:r w:rsidRPr="0006214A">
          <w:rPr>
            <w:rStyle w:val="Hyperlink"/>
            <w:noProof/>
          </w:rPr>
          <w:t>For a summary of savings values, refer to embedded excel calculation sheet.</w:t>
        </w:r>
        <w:r w:rsidRPr="0006214A">
          <w:rPr>
            <w:noProof/>
            <w:webHidden/>
          </w:rPr>
          <w:tab/>
        </w:r>
        <w:r w:rsidRPr="0006214A">
          <w:rPr>
            <w:noProof/>
            <w:webHidden/>
          </w:rPr>
          <w:fldChar w:fldCharType="begin"/>
        </w:r>
        <w:r w:rsidRPr="0006214A">
          <w:rPr>
            <w:noProof/>
            <w:webHidden/>
          </w:rPr>
          <w:instrText xml:space="preserve"> PAGEREF _Toc328485822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23" w:history="1">
        <w:r w:rsidRPr="0006214A">
          <w:rPr>
            <w:rStyle w:val="Hyperlink"/>
            <w:noProof/>
          </w:rPr>
          <w:t>2.3 Gas Energy Saving Estimation</w:t>
        </w:r>
        <w:r w:rsidRPr="0006214A">
          <w:rPr>
            <w:noProof/>
            <w:webHidden/>
          </w:rPr>
          <w:tab/>
        </w:r>
        <w:r w:rsidRPr="0006214A">
          <w:rPr>
            <w:noProof/>
            <w:webHidden/>
          </w:rPr>
          <w:fldChar w:fldCharType="begin"/>
        </w:r>
        <w:r w:rsidRPr="0006214A">
          <w:rPr>
            <w:noProof/>
            <w:webHidden/>
          </w:rPr>
          <w:instrText xml:space="preserve"> PAGEREF _Toc328485823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4" w:history="1">
        <w:r w:rsidRPr="0006214A">
          <w:rPr>
            <w:rStyle w:val="Hyperlink"/>
            <w:noProof/>
          </w:rPr>
          <w:t>For a summary of savings values, refer to embedded excel calculation sheet.</w:t>
        </w:r>
        <w:r w:rsidRPr="0006214A">
          <w:rPr>
            <w:noProof/>
            <w:webHidden/>
          </w:rPr>
          <w:tab/>
        </w:r>
        <w:r w:rsidRPr="0006214A">
          <w:rPr>
            <w:noProof/>
            <w:webHidden/>
          </w:rPr>
          <w:fldChar w:fldCharType="begin"/>
        </w:r>
        <w:r w:rsidRPr="0006214A">
          <w:rPr>
            <w:noProof/>
            <w:webHidden/>
          </w:rPr>
          <w:instrText xml:space="preserve"> PAGEREF _Toc328485824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25" w:history="1">
        <w:r w:rsidRPr="0006214A">
          <w:rPr>
            <w:rStyle w:val="Hyperlink"/>
            <w:noProof/>
          </w:rPr>
          <w:t>Section 3. Load Shapes</w:t>
        </w:r>
        <w:r w:rsidRPr="0006214A">
          <w:rPr>
            <w:noProof/>
            <w:webHidden/>
          </w:rPr>
          <w:tab/>
        </w:r>
        <w:r w:rsidRPr="0006214A">
          <w:rPr>
            <w:noProof/>
            <w:webHidden/>
          </w:rPr>
          <w:fldChar w:fldCharType="begin"/>
        </w:r>
        <w:r w:rsidRPr="0006214A">
          <w:rPr>
            <w:noProof/>
            <w:webHidden/>
          </w:rPr>
          <w:instrText xml:space="preserve"> PAGEREF _Toc328485825 \h </w:instrText>
        </w:r>
        <w:r w:rsidRPr="0006214A">
          <w:rPr>
            <w:noProof/>
            <w:webHidden/>
          </w:rPr>
        </w:r>
        <w:r w:rsidRPr="0006214A">
          <w:rPr>
            <w:noProof/>
            <w:webHidden/>
          </w:rPr>
          <w:fldChar w:fldCharType="separate"/>
        </w:r>
        <w:r>
          <w:rPr>
            <w:noProof/>
            <w:webHidden/>
          </w:rPr>
          <w:t>7</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6" w:history="1">
        <w:r w:rsidRPr="0006214A">
          <w:rPr>
            <w:rStyle w:val="Hyperlink"/>
            <w:noProof/>
          </w:rPr>
          <w:t>3.1 Base Case Load Shapes</w:t>
        </w:r>
        <w:r w:rsidRPr="0006214A">
          <w:rPr>
            <w:noProof/>
            <w:webHidden/>
          </w:rPr>
          <w:tab/>
        </w:r>
        <w:r w:rsidRPr="0006214A">
          <w:rPr>
            <w:noProof/>
            <w:webHidden/>
          </w:rPr>
          <w:fldChar w:fldCharType="begin"/>
        </w:r>
        <w:r w:rsidRPr="0006214A">
          <w:rPr>
            <w:noProof/>
            <w:webHidden/>
          </w:rPr>
          <w:instrText xml:space="preserve"> PAGEREF _Toc328485826 \h </w:instrText>
        </w:r>
        <w:r w:rsidRPr="0006214A">
          <w:rPr>
            <w:noProof/>
            <w:webHidden/>
          </w:rPr>
        </w:r>
        <w:r w:rsidRPr="0006214A">
          <w:rPr>
            <w:noProof/>
            <w:webHidden/>
          </w:rPr>
          <w:fldChar w:fldCharType="separate"/>
        </w:r>
        <w:r>
          <w:rPr>
            <w:noProof/>
            <w:webHidden/>
          </w:rPr>
          <w:t>8</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7" w:history="1">
        <w:r w:rsidRPr="0006214A">
          <w:rPr>
            <w:rStyle w:val="Hyperlink"/>
            <w:noProof/>
          </w:rPr>
          <w:t>3.2 Measure Load Shapes</w:t>
        </w:r>
        <w:r w:rsidRPr="0006214A">
          <w:rPr>
            <w:noProof/>
            <w:webHidden/>
          </w:rPr>
          <w:tab/>
        </w:r>
        <w:r w:rsidRPr="0006214A">
          <w:rPr>
            <w:noProof/>
            <w:webHidden/>
          </w:rPr>
          <w:fldChar w:fldCharType="begin"/>
        </w:r>
        <w:r w:rsidRPr="0006214A">
          <w:rPr>
            <w:noProof/>
            <w:webHidden/>
          </w:rPr>
          <w:instrText xml:space="preserve"> PAGEREF _Toc328485827 \h </w:instrText>
        </w:r>
        <w:r w:rsidRPr="0006214A">
          <w:rPr>
            <w:noProof/>
            <w:webHidden/>
          </w:rPr>
        </w:r>
        <w:r w:rsidRPr="0006214A">
          <w:rPr>
            <w:noProof/>
            <w:webHidden/>
          </w:rPr>
          <w:fldChar w:fldCharType="separate"/>
        </w:r>
        <w:r>
          <w:rPr>
            <w:noProof/>
            <w:webHidden/>
          </w:rPr>
          <w:t>8</w:t>
        </w:r>
        <w:r w:rsidRPr="0006214A">
          <w:rPr>
            <w:noProof/>
            <w:webHidden/>
          </w:rPr>
          <w:fldChar w:fldCharType="end"/>
        </w:r>
      </w:hyperlink>
    </w:p>
    <w:p w:rsidR="0006214A" w:rsidRPr="0006214A" w:rsidRDefault="0006214A">
      <w:pPr>
        <w:pStyle w:val="TOC1"/>
        <w:tabs>
          <w:tab w:val="right" w:leader="dot" w:pos="9350"/>
        </w:tabs>
        <w:rPr>
          <w:rFonts w:asciiTheme="minorHAnsi" w:eastAsiaTheme="minorEastAsia" w:hAnsiTheme="minorHAnsi" w:cstheme="minorBidi"/>
          <w:noProof/>
          <w:sz w:val="22"/>
          <w:szCs w:val="22"/>
        </w:rPr>
      </w:pPr>
      <w:hyperlink w:anchor="_Toc328485828" w:history="1">
        <w:r w:rsidRPr="0006214A">
          <w:rPr>
            <w:rStyle w:val="Hyperlink"/>
            <w:noProof/>
          </w:rPr>
          <w:t>Section 4. Base Case and Measure Costs</w:t>
        </w:r>
        <w:r w:rsidRPr="0006214A">
          <w:rPr>
            <w:noProof/>
            <w:webHidden/>
          </w:rPr>
          <w:tab/>
        </w:r>
        <w:r w:rsidRPr="0006214A">
          <w:rPr>
            <w:noProof/>
            <w:webHidden/>
          </w:rPr>
          <w:fldChar w:fldCharType="begin"/>
        </w:r>
        <w:r w:rsidRPr="0006214A">
          <w:rPr>
            <w:noProof/>
            <w:webHidden/>
          </w:rPr>
          <w:instrText xml:space="preserve"> PAGEREF _Toc328485828 \h </w:instrText>
        </w:r>
        <w:r w:rsidRPr="0006214A">
          <w:rPr>
            <w:noProof/>
            <w:webHidden/>
          </w:rPr>
        </w:r>
        <w:r w:rsidRPr="0006214A">
          <w:rPr>
            <w:noProof/>
            <w:webHidden/>
          </w:rPr>
          <w:fldChar w:fldCharType="separate"/>
        </w:r>
        <w:r>
          <w:rPr>
            <w:noProof/>
            <w:webHidden/>
          </w:rPr>
          <w:t>10</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29" w:history="1">
        <w:r w:rsidRPr="0006214A">
          <w:rPr>
            <w:rStyle w:val="Hyperlink"/>
            <w:noProof/>
          </w:rPr>
          <w:t>4.1 Base Case Costs</w:t>
        </w:r>
        <w:r w:rsidRPr="0006214A">
          <w:rPr>
            <w:noProof/>
            <w:webHidden/>
          </w:rPr>
          <w:tab/>
        </w:r>
        <w:r w:rsidRPr="0006214A">
          <w:rPr>
            <w:noProof/>
            <w:webHidden/>
          </w:rPr>
          <w:fldChar w:fldCharType="begin"/>
        </w:r>
        <w:r w:rsidRPr="0006214A">
          <w:rPr>
            <w:noProof/>
            <w:webHidden/>
          </w:rPr>
          <w:instrText xml:space="preserve"> PAGEREF _Toc328485829 \h </w:instrText>
        </w:r>
        <w:r w:rsidRPr="0006214A">
          <w:rPr>
            <w:noProof/>
            <w:webHidden/>
          </w:rPr>
        </w:r>
        <w:r w:rsidRPr="0006214A">
          <w:rPr>
            <w:noProof/>
            <w:webHidden/>
          </w:rPr>
          <w:fldChar w:fldCharType="separate"/>
        </w:r>
        <w:r>
          <w:rPr>
            <w:noProof/>
            <w:webHidden/>
          </w:rPr>
          <w:t>10</w:t>
        </w:r>
        <w:r w:rsidRPr="0006214A">
          <w:rPr>
            <w:noProof/>
            <w:webHidden/>
          </w:rPr>
          <w:fldChar w:fldCharType="end"/>
        </w:r>
      </w:hyperlink>
    </w:p>
    <w:p w:rsidR="0006214A" w:rsidRPr="0006214A" w:rsidRDefault="0006214A">
      <w:pPr>
        <w:pStyle w:val="TOC2"/>
        <w:tabs>
          <w:tab w:val="right" w:leader="dot" w:pos="9350"/>
        </w:tabs>
        <w:rPr>
          <w:rFonts w:asciiTheme="minorHAnsi" w:eastAsiaTheme="minorEastAsia" w:hAnsiTheme="minorHAnsi" w:cstheme="minorBidi"/>
          <w:noProof/>
          <w:sz w:val="22"/>
          <w:szCs w:val="22"/>
        </w:rPr>
      </w:pPr>
      <w:hyperlink w:anchor="_Toc328485830" w:history="1">
        <w:r w:rsidRPr="0006214A">
          <w:rPr>
            <w:rStyle w:val="Hyperlink"/>
            <w:noProof/>
          </w:rPr>
          <w:t>4.2 Measure Costs</w:t>
        </w:r>
        <w:r w:rsidRPr="0006214A">
          <w:rPr>
            <w:noProof/>
            <w:webHidden/>
          </w:rPr>
          <w:tab/>
        </w:r>
        <w:r w:rsidRPr="0006214A">
          <w:rPr>
            <w:noProof/>
            <w:webHidden/>
          </w:rPr>
          <w:fldChar w:fldCharType="begin"/>
        </w:r>
        <w:r w:rsidRPr="0006214A">
          <w:rPr>
            <w:noProof/>
            <w:webHidden/>
          </w:rPr>
          <w:instrText xml:space="preserve"> PAGEREF _Toc328485830 \h </w:instrText>
        </w:r>
        <w:r w:rsidRPr="0006214A">
          <w:rPr>
            <w:noProof/>
            <w:webHidden/>
          </w:rPr>
        </w:r>
        <w:r w:rsidRPr="0006214A">
          <w:rPr>
            <w:noProof/>
            <w:webHidden/>
          </w:rPr>
          <w:fldChar w:fldCharType="separate"/>
        </w:r>
        <w:r>
          <w:rPr>
            <w:noProof/>
            <w:webHidden/>
          </w:rPr>
          <w:t>10</w:t>
        </w:r>
        <w:r w:rsidRPr="0006214A">
          <w:rPr>
            <w:noProof/>
            <w:webHidden/>
          </w:rPr>
          <w:fldChar w:fldCharType="end"/>
        </w:r>
      </w:hyperlink>
    </w:p>
    <w:p w:rsidR="0006214A" w:rsidRDefault="0006214A">
      <w:pPr>
        <w:pStyle w:val="TOC2"/>
        <w:tabs>
          <w:tab w:val="right" w:leader="dot" w:pos="9350"/>
        </w:tabs>
        <w:rPr>
          <w:rFonts w:asciiTheme="minorHAnsi" w:eastAsiaTheme="minorEastAsia" w:hAnsiTheme="minorHAnsi" w:cstheme="minorBidi"/>
          <w:noProof/>
          <w:sz w:val="22"/>
          <w:szCs w:val="22"/>
        </w:rPr>
      </w:pPr>
      <w:hyperlink w:anchor="_Toc328485831" w:history="1">
        <w:r w:rsidRPr="0006214A">
          <w:rPr>
            <w:rStyle w:val="Hyperlink"/>
            <w:noProof/>
          </w:rPr>
          <w:t>4.3 Incremental and Full Measure Costs</w:t>
        </w:r>
        <w:r w:rsidRPr="0006214A">
          <w:rPr>
            <w:noProof/>
            <w:webHidden/>
          </w:rPr>
          <w:tab/>
        </w:r>
        <w:r w:rsidRPr="0006214A">
          <w:rPr>
            <w:noProof/>
            <w:webHidden/>
          </w:rPr>
          <w:fldChar w:fldCharType="begin"/>
        </w:r>
        <w:r w:rsidRPr="0006214A">
          <w:rPr>
            <w:noProof/>
            <w:webHidden/>
          </w:rPr>
          <w:instrText xml:space="preserve"> PAGEREF _Toc328485831 \h </w:instrText>
        </w:r>
        <w:r w:rsidRPr="0006214A">
          <w:rPr>
            <w:noProof/>
            <w:webHidden/>
          </w:rPr>
        </w:r>
        <w:r w:rsidRPr="0006214A">
          <w:rPr>
            <w:noProof/>
            <w:webHidden/>
          </w:rPr>
          <w:fldChar w:fldCharType="separate"/>
        </w:r>
        <w:r>
          <w:rPr>
            <w:noProof/>
            <w:webHidden/>
          </w:rPr>
          <w:t>10</w:t>
        </w:r>
        <w:r w:rsidRPr="0006214A">
          <w:rPr>
            <w:noProof/>
            <w:webHidden/>
          </w:rPr>
          <w:fldChar w:fldCharType="end"/>
        </w:r>
      </w:hyperlink>
    </w:p>
    <w:p w:rsidR="006559C8" w:rsidRPr="004B0389" w:rsidRDefault="007C6EAB" w:rsidP="00A61165">
      <w:pPr>
        <w:pStyle w:val="BasicText"/>
        <w:ind w:left="0"/>
        <w:rPr>
          <w:color w:val="auto"/>
        </w:rPr>
      </w:pPr>
      <w:r w:rsidRPr="004B0389">
        <w:rPr>
          <w:color w:val="auto"/>
        </w:rPr>
        <w:fldChar w:fldCharType="end"/>
      </w:r>
    </w:p>
    <w:p w:rsidR="000E01BA" w:rsidRPr="004B0389" w:rsidRDefault="000E01BA" w:rsidP="002E0043">
      <w:pPr>
        <w:sectPr w:rsidR="000E01BA" w:rsidRPr="004B0389" w:rsidSect="00046BF3">
          <w:footerReference w:type="default" r:id="rId14"/>
          <w:pgSz w:w="12240" w:h="15840"/>
          <w:pgMar w:top="1440" w:right="1440" w:bottom="1440" w:left="1440" w:header="720" w:footer="720" w:gutter="0"/>
          <w:pgNumType w:fmt="lowerRoman" w:start="1"/>
          <w:cols w:space="720"/>
          <w:docGrid w:linePitch="360"/>
        </w:sectPr>
      </w:pPr>
    </w:p>
    <w:p w:rsidR="00612A4E" w:rsidRPr="004B0389" w:rsidRDefault="00612A4E" w:rsidP="00A61165"/>
    <w:p w:rsidR="00A61165" w:rsidRPr="004B0389" w:rsidRDefault="00A61165" w:rsidP="00A61165">
      <w:pPr>
        <w:sectPr w:rsidR="00A61165" w:rsidRPr="004B0389" w:rsidSect="00B27065">
          <w:type w:val="continuous"/>
          <w:pgSz w:w="12240" w:h="15840"/>
          <w:pgMar w:top="1440" w:right="1440" w:bottom="1440" w:left="1440" w:header="720" w:footer="720" w:gutter="0"/>
          <w:pgNumType w:start="0" w:chapStyle="1"/>
          <w:cols w:space="720"/>
          <w:docGrid w:linePitch="360"/>
        </w:sectPr>
      </w:pPr>
    </w:p>
    <w:p w:rsidR="00E71EF1" w:rsidRPr="004B0389" w:rsidRDefault="00E71EF1" w:rsidP="00E71EF1">
      <w:pPr>
        <w:pStyle w:val="Heading1"/>
      </w:pPr>
      <w:bookmarkStart w:id="5" w:name="_Toc328485808"/>
      <w:proofErr w:type="gramStart"/>
      <w:r w:rsidRPr="004B0389">
        <w:lastRenderedPageBreak/>
        <w:t>Section 1</w:t>
      </w:r>
      <w:r w:rsidR="003129E8" w:rsidRPr="004B0389">
        <w:t>.</w:t>
      </w:r>
      <w:proofErr w:type="gramEnd"/>
      <w:r w:rsidRPr="004B0389">
        <w:t xml:space="preserve"> General Measure </w:t>
      </w:r>
      <w:r w:rsidR="005F4E07" w:rsidRPr="004B0389">
        <w:t>and</w:t>
      </w:r>
      <w:r w:rsidRPr="004B0389">
        <w:t xml:space="preserve"> Baseline Data</w:t>
      </w:r>
      <w:bookmarkEnd w:id="5"/>
    </w:p>
    <w:p w:rsidR="00E71EF1" w:rsidRPr="004B0389" w:rsidRDefault="001248A3" w:rsidP="001248A3">
      <w:pPr>
        <w:pStyle w:val="Heading2"/>
      </w:pPr>
      <w:bookmarkStart w:id="6" w:name="_Toc328485809"/>
      <w:r w:rsidRPr="004B0389">
        <w:t xml:space="preserve">1.1 </w:t>
      </w:r>
      <w:r w:rsidR="00E71EF1" w:rsidRPr="004B0389">
        <w:t xml:space="preserve">Measure Description </w:t>
      </w:r>
      <w:r w:rsidR="002164C7" w:rsidRPr="004B0389">
        <w:t>and</w:t>
      </w:r>
      <w:r w:rsidR="00E71EF1" w:rsidRPr="004B0389">
        <w:t xml:space="preserve"> Background</w:t>
      </w:r>
      <w:bookmarkEnd w:id="6"/>
    </w:p>
    <w:p w:rsidR="007F5802" w:rsidRDefault="00833AC1" w:rsidP="008E6186">
      <w:r w:rsidRPr="004B0389">
        <w:t>This work</w:t>
      </w:r>
      <w:r w:rsidR="00A61165" w:rsidRPr="004B0389">
        <w:t xml:space="preserve"> </w:t>
      </w:r>
      <w:r w:rsidRPr="004B0389">
        <w:t xml:space="preserve">paper documents the E3 calculator input values used to forecast the impacts of either wall </w:t>
      </w:r>
      <w:r w:rsidR="007F5802">
        <w:t>/</w:t>
      </w:r>
      <w:r w:rsidRPr="004B0389">
        <w:t xml:space="preserve"> ceiling mounted occupancy sensors</w:t>
      </w:r>
      <w:r w:rsidR="007F5802">
        <w:t xml:space="preserve"> or fixture integrated occupancy sensor higher or lower than 12 foot</w:t>
      </w:r>
      <w:r w:rsidR="008E6186" w:rsidRPr="004B0389">
        <w:t>.</w:t>
      </w:r>
      <w:r w:rsidRPr="004B0389">
        <w:t xml:space="preserve"> </w:t>
      </w:r>
      <w:r w:rsidR="008E6186" w:rsidRPr="004B0389">
        <w:t>The measure</w:t>
      </w:r>
      <w:r w:rsidR="007F5802">
        <w:t>s assume the following:</w:t>
      </w:r>
    </w:p>
    <w:p w:rsidR="0062243F" w:rsidRDefault="00A3742A" w:rsidP="00A3742A">
      <w:pPr>
        <w:numPr>
          <w:ilvl w:val="0"/>
          <w:numId w:val="16"/>
        </w:numPr>
      </w:pPr>
      <w:bookmarkStart w:id="7" w:name="OLE_LINK1"/>
      <w:r>
        <w:t xml:space="preserve">Wall-box lighting sensor (Product Code L-J11) </w:t>
      </w:r>
      <w:r w:rsidR="00971809">
        <w:t>and Ceiling Mounted Occupancy sensor &lt;500 Watts (Product Code L-J21) were</w:t>
      </w:r>
      <w:r>
        <w:t xml:space="preserve"> </w:t>
      </w:r>
      <w:proofErr w:type="gramStart"/>
      <w:r>
        <w:t xml:space="preserve">initially </w:t>
      </w:r>
      <w:r w:rsidR="00971809">
        <w:t xml:space="preserve"> </w:t>
      </w:r>
      <w:r w:rsidR="0062243F">
        <w:t>deemed</w:t>
      </w:r>
      <w:proofErr w:type="gramEnd"/>
      <w:r w:rsidR="0062243F">
        <w:t xml:space="preserve"> in 2003 lighting work papers.  Three 4’ 2-lamp fixtures with 34Watt T12 lamps were controlled.  The measure has been revised for the more current T-8 electronic ballast fixture consuming 60 watts per fixture or 180 </w:t>
      </w:r>
      <w:r w:rsidR="00971809">
        <w:t xml:space="preserve">watts </w:t>
      </w:r>
      <w:r w:rsidR="0062243F">
        <w:t xml:space="preserve">for the total measure.  </w:t>
      </w:r>
    </w:p>
    <w:p w:rsidR="008E6186" w:rsidRDefault="007F5802" w:rsidP="007F5802">
      <w:pPr>
        <w:numPr>
          <w:ilvl w:val="0"/>
          <w:numId w:val="16"/>
        </w:numPr>
      </w:pPr>
      <w:r>
        <w:t xml:space="preserve">For </w:t>
      </w:r>
      <w:r w:rsidRPr="004B0389">
        <w:t>the</w:t>
      </w:r>
      <w:r w:rsidR="008E6186" w:rsidRPr="004B0389">
        <w:t xml:space="preserve"> wall or ceiling </w:t>
      </w:r>
      <w:r w:rsidR="00971809">
        <w:t xml:space="preserve">mounted occupancy sensor </w:t>
      </w:r>
      <w:r w:rsidR="00971809" w:rsidRPr="00971809">
        <w:rPr>
          <w:u w:val="single"/>
        </w:rPr>
        <w:t>&gt;</w:t>
      </w:r>
      <w:r w:rsidR="00971809">
        <w:t xml:space="preserve"> 500 watts</w:t>
      </w:r>
      <w:r>
        <w:t xml:space="preserve"> </w:t>
      </w:r>
      <w:r w:rsidR="00DD4B20">
        <w:t xml:space="preserve">(Product Code </w:t>
      </w:r>
      <w:r w:rsidR="00B35A41">
        <w:t>L-J31</w:t>
      </w:r>
      <w:r w:rsidR="00DD4B20">
        <w:t xml:space="preserve">) </w:t>
      </w:r>
      <w:r>
        <w:t xml:space="preserve">the </w:t>
      </w:r>
      <w:r w:rsidR="008E6186" w:rsidRPr="004B0389">
        <w:t xml:space="preserve">occupancy sensors </w:t>
      </w:r>
      <w:r w:rsidR="00B35A41">
        <w:t>control eight fixtures. To satisfy dual baseline considerations for the lamps</w:t>
      </w:r>
      <w:r w:rsidR="00F568BF">
        <w:t>, one third of the fixtures are considered</w:t>
      </w:r>
      <w:r w:rsidR="00833AC1" w:rsidRPr="004B0389">
        <w:t xml:space="preserve"> two lamp 48” T-12 linear fluorescent energy saver lamps with energy saving magnetic ballasts</w:t>
      </w:r>
      <w:r w:rsidR="00F568BF">
        <w:t xml:space="preserve"> and 2/3 of the fixtures are considered 48” T8 linear fluorescent lamps with electronic ballasts</w:t>
      </w:r>
      <w:r w:rsidR="00833AC1" w:rsidRPr="004B0389">
        <w:t>.</w:t>
      </w:r>
      <w:bookmarkEnd w:id="7"/>
      <w:r w:rsidR="008E6186" w:rsidRPr="004B0389">
        <w:t xml:space="preserve"> </w:t>
      </w:r>
      <w:r w:rsidR="009874D2">
        <w:t xml:space="preserve">This estimation is due to the fact that T-12s will be in existence for the 2013-2014 transition period utilizing the DEER default of 1/3RUL and 2/3 EUL lacking any additional specific information.  </w:t>
      </w:r>
      <w:r w:rsidR="008E6186" w:rsidRPr="004B0389">
        <w:t>The wattages for the baseline and proposed fixtures were obtained from the SPC Table of Standard Fixture Wattages.</w:t>
      </w:r>
    </w:p>
    <w:p w:rsidR="007F5802" w:rsidRDefault="007F5802" w:rsidP="007F5802">
      <w:pPr>
        <w:numPr>
          <w:ilvl w:val="0"/>
          <w:numId w:val="16"/>
        </w:numPr>
      </w:pPr>
      <w:r>
        <w:t xml:space="preserve">For the fixture integrated occupancy sensors, </w:t>
      </w:r>
      <w:r w:rsidR="00B35A41">
        <w:t xml:space="preserve">(Product Code J41) </w:t>
      </w:r>
      <w:r>
        <w:t xml:space="preserve">each occupancy sensor is assumed to be integral to one high bay linear fluorescent fixture containing programmed rapid start ballast equipped with four T5HO lamps with total wattage equal to 234 W. </w:t>
      </w:r>
      <w:r w:rsidR="0031013A">
        <w:t>For the fixture integrated occupancy sensors, (Product code J51) each occupancy sensor is assumed to be integral to one three lamp linear fluorescent fixture containing programmed rapid start ballast equipped with three F32T8-STD lamps with total wattage equal to 93 W</w:t>
      </w:r>
    </w:p>
    <w:p w:rsidR="00742F64" w:rsidRPr="004B0389" w:rsidRDefault="00742F64" w:rsidP="00742F64">
      <w:pPr>
        <w:ind w:left="1080"/>
      </w:pPr>
    </w:p>
    <w:p w:rsidR="00833AC1" w:rsidRDefault="00742F64" w:rsidP="00D6366A">
      <w:pPr>
        <w:rPr>
          <w:rFonts w:ascii="Arial" w:hAnsi="Arial" w:cs="Arial"/>
          <w:b/>
          <w:i/>
        </w:rPr>
      </w:pPr>
      <w:r>
        <w:rPr>
          <w:rFonts w:ascii="Arial" w:hAnsi="Arial" w:cs="Arial"/>
          <w:b/>
          <w:i/>
        </w:rPr>
        <w:t xml:space="preserve">Program </w:t>
      </w:r>
      <w:r w:rsidRPr="00521920">
        <w:rPr>
          <w:rFonts w:ascii="Arial" w:hAnsi="Arial" w:cs="Arial"/>
          <w:b/>
          <w:i/>
        </w:rPr>
        <w:t>Catalog Description</w:t>
      </w:r>
    </w:p>
    <w:p w:rsidR="00742F64" w:rsidRPr="004B0389" w:rsidRDefault="00742F64" w:rsidP="00D6366A"/>
    <w:p w:rsidR="00742F64" w:rsidRPr="00A373BE" w:rsidRDefault="00742F64" w:rsidP="00742F64">
      <w:pPr>
        <w:outlineLvl w:val="2"/>
        <w:rPr>
          <w:rFonts w:ascii="Arial" w:hAnsi="Arial" w:cs="Arial"/>
          <w:b/>
          <w:color w:val="008000"/>
          <w:sz w:val="20"/>
          <w:szCs w:val="20"/>
        </w:rPr>
      </w:pPr>
      <w:bookmarkStart w:id="8" w:name="_Toc328485810"/>
      <w:r w:rsidRPr="00A373BE">
        <w:rPr>
          <w:rFonts w:ascii="Arial" w:hAnsi="Arial" w:cs="Arial"/>
          <w:b/>
          <w:color w:val="008000"/>
          <w:sz w:val="20"/>
          <w:szCs w:val="20"/>
        </w:rPr>
        <w:t>L-J</w:t>
      </w:r>
      <w:r>
        <w:rPr>
          <w:rFonts w:ascii="Arial" w:hAnsi="Arial" w:cs="Arial"/>
          <w:b/>
          <w:color w:val="008000"/>
          <w:sz w:val="20"/>
          <w:szCs w:val="20"/>
        </w:rPr>
        <w:t>1</w:t>
      </w:r>
      <w:r w:rsidRPr="00A373BE">
        <w:rPr>
          <w:rFonts w:ascii="Arial" w:hAnsi="Arial" w:cs="Arial"/>
          <w:b/>
          <w:color w:val="008000"/>
          <w:sz w:val="20"/>
          <w:szCs w:val="20"/>
        </w:rPr>
        <w:t>1-</w:t>
      </w:r>
      <w:r>
        <w:rPr>
          <w:rFonts w:ascii="Arial" w:hAnsi="Arial" w:cs="Arial"/>
          <w:b/>
          <w:color w:val="008000"/>
          <w:sz w:val="20"/>
          <w:szCs w:val="20"/>
        </w:rPr>
        <w:t>31</w:t>
      </w:r>
      <w:r w:rsidRPr="00A373BE">
        <w:rPr>
          <w:rFonts w:ascii="Arial" w:hAnsi="Arial" w:cs="Arial"/>
          <w:b/>
          <w:color w:val="008000"/>
          <w:sz w:val="20"/>
          <w:szCs w:val="20"/>
        </w:rPr>
        <w:t xml:space="preserve">.  </w:t>
      </w:r>
      <w:r>
        <w:rPr>
          <w:rFonts w:ascii="Arial" w:hAnsi="Arial" w:cs="Arial"/>
          <w:b/>
          <w:color w:val="008000"/>
          <w:sz w:val="20"/>
          <w:szCs w:val="20"/>
        </w:rPr>
        <w:t xml:space="preserve">Wall or Ceiling </w:t>
      </w:r>
      <w:r w:rsidRPr="00A373BE">
        <w:rPr>
          <w:rFonts w:ascii="Arial" w:hAnsi="Arial" w:cs="Arial"/>
          <w:b/>
          <w:color w:val="008000"/>
          <w:sz w:val="20"/>
          <w:szCs w:val="20"/>
        </w:rPr>
        <w:t>Occupancy Sensors</w:t>
      </w:r>
      <w:bookmarkEnd w:id="8"/>
    </w:p>
    <w:p w:rsidR="00742F64" w:rsidRPr="00BC4050" w:rsidRDefault="00742F64" w:rsidP="00742F64">
      <w:pPr>
        <w:widowControl w:val="0"/>
        <w:autoSpaceDE w:val="0"/>
        <w:autoSpaceDN w:val="0"/>
        <w:adjustRightInd w:val="0"/>
        <w:ind w:left="360" w:hanging="360"/>
        <w:rPr>
          <w:rFonts w:ascii="Arial" w:hAnsi="Arial" w:cs="Arial"/>
          <w:i/>
          <w:color w:val="000000"/>
          <w:sz w:val="16"/>
          <w:szCs w:val="16"/>
        </w:rPr>
      </w:pPr>
      <w:r w:rsidRPr="00A750A3">
        <w:rPr>
          <w:rFonts w:ascii="Arial" w:hAnsi="Arial" w:cs="Arial"/>
          <w:color w:val="000000"/>
          <w:sz w:val="16"/>
          <w:szCs w:val="16"/>
        </w:rPr>
        <w:t xml:space="preserve">Self-Contained </w:t>
      </w:r>
      <w:r w:rsidRPr="00BC4050">
        <w:rPr>
          <w:rFonts w:ascii="Arial" w:hAnsi="Arial" w:cs="Arial"/>
          <w:color w:val="000000"/>
          <w:sz w:val="16"/>
          <w:szCs w:val="16"/>
        </w:rPr>
        <w:t>Wall-Switch (Wall-Box) Lighting Sensors –</w:t>
      </w:r>
      <w:r w:rsidRPr="00BC4050">
        <w:rPr>
          <w:rFonts w:ascii="Arial" w:hAnsi="Arial" w:cs="Arial"/>
          <w:i/>
          <w:color w:val="000000"/>
          <w:sz w:val="16"/>
          <w:szCs w:val="16"/>
        </w:rPr>
        <w:t xml:space="preserve"> line voltage units that are designed to replace a standard wall switch without additional switch/relay packs</w:t>
      </w:r>
    </w:p>
    <w:p w:rsidR="00742F64" w:rsidRPr="00BC4050" w:rsidRDefault="00742F64" w:rsidP="00742F64">
      <w:pPr>
        <w:widowControl w:val="0"/>
        <w:autoSpaceDE w:val="0"/>
        <w:autoSpaceDN w:val="0"/>
        <w:adjustRightInd w:val="0"/>
        <w:spacing w:line="360" w:lineRule="auto"/>
        <w:rPr>
          <w:rFonts w:ascii="Arial" w:hAnsi="Arial" w:cs="Arial"/>
          <w:color w:val="000000"/>
          <w:sz w:val="16"/>
          <w:szCs w:val="16"/>
        </w:rPr>
      </w:pPr>
      <w:r w:rsidRPr="00BC4050">
        <w:rPr>
          <w:rFonts w:ascii="Arial" w:hAnsi="Arial" w:cs="Arial"/>
          <w:b/>
          <w:color w:val="000000"/>
          <w:sz w:val="16"/>
          <w:szCs w:val="16"/>
        </w:rPr>
        <w:t>Requirements</w:t>
      </w:r>
      <w:r w:rsidRPr="00BC4050">
        <w:rPr>
          <w:rFonts w:ascii="Arial" w:hAnsi="Arial" w:cs="Arial"/>
          <w:color w:val="000000"/>
          <w:sz w:val="16"/>
          <w:szCs w:val="16"/>
        </w:rPr>
        <w:t>:</w:t>
      </w:r>
    </w:p>
    <w:p w:rsidR="00742F64" w:rsidRPr="00BC4050"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sidRPr="00BC4050">
        <w:rPr>
          <w:rFonts w:ascii="Arial" w:hAnsi="Arial" w:cs="Arial"/>
          <w:color w:val="000000"/>
          <w:sz w:val="16"/>
          <w:szCs w:val="16"/>
        </w:rPr>
        <w:t>Only hardwired passive infrared and/or ultrasonic detectors that control interior lighting fixtures are eligible</w:t>
      </w:r>
    </w:p>
    <w:p w:rsidR="00742F64" w:rsidRDefault="00742F64" w:rsidP="00742F64">
      <w:pPr>
        <w:widowControl w:val="0"/>
        <w:numPr>
          <w:ilvl w:val="0"/>
          <w:numId w:val="17"/>
        </w:numPr>
        <w:autoSpaceDE w:val="0"/>
        <w:autoSpaceDN w:val="0"/>
        <w:adjustRightInd w:val="0"/>
        <w:spacing w:line="360" w:lineRule="auto"/>
        <w:rPr>
          <w:rFonts w:ascii="Arial" w:hAnsi="Arial" w:cs="Arial"/>
          <w:b/>
          <w:color w:val="000000"/>
          <w:sz w:val="16"/>
          <w:szCs w:val="16"/>
        </w:rPr>
      </w:pPr>
      <w:r>
        <w:rPr>
          <w:rFonts w:ascii="Arial" w:hAnsi="Arial" w:cs="Arial"/>
          <w:b/>
          <w:sz w:val="16"/>
          <w:szCs w:val="16"/>
        </w:rPr>
        <w:t>M</w:t>
      </w:r>
      <w:r w:rsidRPr="00B60CE6">
        <w:rPr>
          <w:rFonts w:ascii="Arial" w:hAnsi="Arial" w:cs="Arial"/>
          <w:b/>
          <w:sz w:val="16"/>
          <w:szCs w:val="16"/>
        </w:rPr>
        <w:t>ust not</w:t>
      </w:r>
      <w:r w:rsidRPr="000C6CC8">
        <w:rPr>
          <w:rFonts w:ascii="Arial" w:hAnsi="Arial" w:cs="Arial"/>
          <w:sz w:val="16"/>
          <w:szCs w:val="16"/>
        </w:rPr>
        <w:t xml:space="preserve"> exceed the maximum </w:t>
      </w:r>
      <w:r w:rsidRPr="00BC4050">
        <w:rPr>
          <w:rFonts w:ascii="Arial" w:hAnsi="Arial" w:cs="Arial"/>
          <w:color w:val="000000"/>
          <w:sz w:val="16"/>
          <w:szCs w:val="16"/>
        </w:rPr>
        <w:t xml:space="preserve">Controlled wattage requirements, </w:t>
      </w:r>
      <w:r w:rsidRPr="000C6CC8">
        <w:rPr>
          <w:rFonts w:ascii="Arial" w:hAnsi="Arial" w:cs="Arial"/>
          <w:sz w:val="16"/>
          <w:szCs w:val="16"/>
        </w:rPr>
        <w:t>Listed in table</w:t>
      </w:r>
      <w:r>
        <w:rPr>
          <w:rFonts w:ascii="Arial" w:hAnsi="Arial" w:cs="Arial"/>
          <w:sz w:val="16"/>
          <w:szCs w:val="16"/>
        </w:rPr>
        <w:t xml:space="preserve"> </w:t>
      </w:r>
      <w:r w:rsidRPr="00BC4050">
        <w:rPr>
          <w:rFonts w:ascii="Arial" w:hAnsi="Arial" w:cs="Arial"/>
          <w:color w:val="000000"/>
          <w:sz w:val="16"/>
          <w:szCs w:val="16"/>
        </w:rPr>
        <w:t>1</w:t>
      </w:r>
      <w:r>
        <w:rPr>
          <w:rFonts w:ascii="Arial" w:hAnsi="Arial" w:cs="Arial"/>
          <w:color w:val="000000"/>
          <w:sz w:val="16"/>
          <w:szCs w:val="16"/>
        </w:rPr>
        <w:t>9 below</w:t>
      </w:r>
    </w:p>
    <w:p w:rsidR="00742F64" w:rsidRDefault="00742F64" w:rsidP="00742F64">
      <w:pPr>
        <w:widowControl w:val="0"/>
        <w:autoSpaceDE w:val="0"/>
        <w:autoSpaceDN w:val="0"/>
        <w:adjustRightInd w:val="0"/>
        <w:spacing w:line="360" w:lineRule="auto"/>
        <w:rPr>
          <w:rFonts w:ascii="Arial" w:hAnsi="Arial" w:cs="Arial"/>
          <w:color w:val="000000"/>
          <w:sz w:val="16"/>
          <w:szCs w:val="16"/>
        </w:rPr>
      </w:pPr>
      <w:r w:rsidRPr="00B9379B">
        <w:rPr>
          <w:rFonts w:ascii="Arial" w:hAnsi="Arial" w:cs="Arial"/>
          <w:b/>
          <w:color w:val="000000"/>
          <w:sz w:val="16"/>
          <w:szCs w:val="16"/>
        </w:rPr>
        <w:t>Exclusions</w:t>
      </w:r>
      <w:r>
        <w:rPr>
          <w:rFonts w:ascii="Arial" w:hAnsi="Arial" w:cs="Arial"/>
          <w:color w:val="000000"/>
          <w:sz w:val="16"/>
          <w:szCs w:val="16"/>
        </w:rPr>
        <w:t>:</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Sensors for exterior installations do not qualify</w:t>
      </w:r>
    </w:p>
    <w:p w:rsidR="00742F64" w:rsidRDefault="00742F64" w:rsidP="00742F64">
      <w:pPr>
        <w:widowControl w:val="0"/>
        <w:autoSpaceDE w:val="0"/>
        <w:autoSpaceDN w:val="0"/>
        <w:adjustRightInd w:val="0"/>
        <w:spacing w:line="360" w:lineRule="auto"/>
        <w:rPr>
          <w:rFonts w:ascii="Arial" w:hAnsi="Arial" w:cs="Arial"/>
          <w:color w:val="000000"/>
          <w:sz w:val="16"/>
          <w:szCs w:val="16"/>
        </w:rPr>
      </w:pPr>
      <w:r w:rsidRPr="00AF3F96">
        <w:rPr>
          <w:rFonts w:ascii="Arial" w:hAnsi="Arial" w:cs="Arial"/>
          <w:b/>
          <w:color w:val="000000"/>
          <w:sz w:val="16"/>
          <w:szCs w:val="16"/>
        </w:rPr>
        <w:t>Application Process</w:t>
      </w:r>
      <w:r>
        <w:rPr>
          <w:rFonts w:ascii="Arial" w:hAnsi="Arial" w:cs="Arial"/>
          <w:color w:val="000000"/>
          <w:sz w:val="16"/>
          <w:szCs w:val="16"/>
        </w:rPr>
        <w:t>:</w:t>
      </w:r>
    </w:p>
    <w:p w:rsidR="00742F64" w:rsidRDefault="00742F64" w:rsidP="00742F64">
      <w:pPr>
        <w:widowControl w:val="0"/>
        <w:numPr>
          <w:ilvl w:val="0"/>
          <w:numId w:val="17"/>
        </w:numPr>
        <w:tabs>
          <w:tab w:val="left" w:pos="540"/>
        </w:tabs>
        <w:autoSpaceDE w:val="0"/>
        <w:autoSpaceDN w:val="0"/>
        <w:adjustRightInd w:val="0"/>
        <w:spacing w:line="360" w:lineRule="auto"/>
        <w:ind w:left="540" w:hanging="324"/>
        <w:rPr>
          <w:rFonts w:ascii="Arial" w:hAnsi="Arial" w:cs="Arial"/>
          <w:color w:val="000000"/>
          <w:sz w:val="16"/>
          <w:szCs w:val="16"/>
        </w:rPr>
      </w:pPr>
      <w:r>
        <w:rPr>
          <w:rFonts w:ascii="Arial" w:hAnsi="Arial" w:cs="Arial"/>
          <w:color w:val="000000"/>
          <w:sz w:val="16"/>
          <w:szCs w:val="16"/>
        </w:rPr>
        <w:t>Please be sure that the product qualifies under this category and not under the Bi-level Stairwell/Hall/Garage Fixtures category</w:t>
      </w:r>
    </w:p>
    <w:p w:rsidR="00742F64" w:rsidRDefault="00742F64" w:rsidP="00742F64">
      <w:pPr>
        <w:widowControl w:val="0"/>
        <w:numPr>
          <w:ilvl w:val="1"/>
          <w:numId w:val="17"/>
        </w:numPr>
        <w:tabs>
          <w:tab w:val="left" w:pos="-540"/>
        </w:tabs>
        <w:autoSpaceDE w:val="0"/>
        <w:autoSpaceDN w:val="0"/>
        <w:adjustRightInd w:val="0"/>
        <w:spacing w:line="360" w:lineRule="auto"/>
        <w:ind w:left="720" w:hanging="180"/>
        <w:rPr>
          <w:rFonts w:ascii="Arial" w:hAnsi="Arial" w:cs="Arial"/>
          <w:color w:val="000000"/>
          <w:sz w:val="16"/>
          <w:szCs w:val="16"/>
        </w:rPr>
      </w:pPr>
      <w:r>
        <w:rPr>
          <w:rFonts w:ascii="Arial" w:hAnsi="Arial" w:cs="Arial"/>
          <w:color w:val="000000"/>
          <w:sz w:val="16"/>
          <w:szCs w:val="16"/>
        </w:rPr>
        <w:t>New fixtures equipped with fixture-integrated sensors used in stairwells, halls, or garages sometimes qualify through the Bi-level category and not the Occupancy Sensor category depending on specifications.</w:t>
      </w:r>
    </w:p>
    <w:p w:rsidR="00742F64" w:rsidRPr="007E2769" w:rsidRDefault="00742F64" w:rsidP="00742F64">
      <w:pPr>
        <w:autoSpaceDE w:val="0"/>
        <w:autoSpaceDN w:val="0"/>
        <w:adjustRightInd w:val="0"/>
        <w:jc w:val="center"/>
        <w:rPr>
          <w:rFonts w:ascii="Arial" w:hAnsi="Arial" w:cs="Arial"/>
          <w:color w:val="231F20"/>
          <w:sz w:val="18"/>
          <w:szCs w:val="18"/>
        </w:rPr>
      </w:pPr>
      <w:r w:rsidRPr="00BC4050">
        <w:rPr>
          <w:rFonts w:ascii="Arial" w:hAnsi="Arial" w:cs="Arial"/>
          <w:color w:val="000000"/>
          <w:sz w:val="16"/>
          <w:szCs w:val="16"/>
        </w:rPr>
        <w:t>Table 1</w:t>
      </w:r>
      <w:r>
        <w:rPr>
          <w:rFonts w:ascii="Arial" w:hAnsi="Arial" w:cs="Arial"/>
          <w:color w:val="000000"/>
          <w:sz w:val="16"/>
          <w:szCs w:val="16"/>
        </w:rPr>
        <w:t>9</w:t>
      </w:r>
    </w:p>
    <w:p w:rsidR="00742F64" w:rsidRDefault="00742F64" w:rsidP="00742F64">
      <w:pPr>
        <w:autoSpaceDE w:val="0"/>
        <w:autoSpaceDN w:val="0"/>
        <w:adjustRightInd w:val="0"/>
        <w:jc w:val="both"/>
        <w:rPr>
          <w:rFonts w:ascii="Arial" w:hAnsi="Arial" w:cs="Arial"/>
          <w:color w:val="231F20"/>
          <w:sz w:val="18"/>
          <w:szCs w:val="18"/>
        </w:rPr>
      </w:pPr>
    </w:p>
    <w:tbl>
      <w:tblPr>
        <w:tblpPr w:leftFromText="180" w:rightFromText="180" w:vertAnchor="text" w:horzAnchor="page" w:tblpX="2413" w:tblpY="-95"/>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8"/>
        <w:gridCol w:w="4057"/>
        <w:gridCol w:w="1888"/>
      </w:tblGrid>
      <w:tr w:rsidR="00742F64" w:rsidRPr="003A60DE" w:rsidTr="007E455C">
        <w:trPr>
          <w:cantSplit/>
          <w:trHeight w:val="528"/>
        </w:trPr>
        <w:tc>
          <w:tcPr>
            <w:tcW w:w="1328" w:type="dxa"/>
            <w:shd w:val="clear" w:color="auto" w:fill="008000"/>
            <w:vAlign w:val="center"/>
          </w:tcPr>
          <w:p w:rsidR="00742F64" w:rsidRPr="003A60DE" w:rsidRDefault="00742F64" w:rsidP="007E455C">
            <w:pPr>
              <w:ind w:left="-900" w:firstLine="900"/>
              <w:jc w:val="center"/>
              <w:rPr>
                <w:rFonts w:ascii="Arial" w:hAnsi="Arial" w:cs="Arial"/>
                <w:b/>
                <w:color w:val="FFFFFF"/>
                <w:sz w:val="16"/>
                <w:szCs w:val="16"/>
              </w:rPr>
            </w:pPr>
            <w:r w:rsidRPr="003A60DE">
              <w:rPr>
                <w:rFonts w:ascii="Arial" w:hAnsi="Arial" w:cs="Arial"/>
                <w:b/>
                <w:bCs/>
                <w:color w:val="FFFFFF"/>
                <w:sz w:val="16"/>
                <w:szCs w:val="16"/>
              </w:rPr>
              <w:lastRenderedPageBreak/>
              <w:t>Product code</w:t>
            </w:r>
          </w:p>
        </w:tc>
        <w:tc>
          <w:tcPr>
            <w:tcW w:w="4057" w:type="dxa"/>
            <w:shd w:val="clear" w:color="auto" w:fill="008000"/>
          </w:tcPr>
          <w:p w:rsidR="00742F64" w:rsidRPr="003A60DE" w:rsidRDefault="00742F64" w:rsidP="007E455C">
            <w:pPr>
              <w:autoSpaceDE w:val="0"/>
              <w:autoSpaceDN w:val="0"/>
              <w:adjustRightInd w:val="0"/>
              <w:jc w:val="center"/>
              <w:rPr>
                <w:rFonts w:ascii="Arial" w:hAnsi="Arial" w:cs="Arial"/>
                <w:b/>
                <w:bCs/>
                <w:color w:val="FFFFFF"/>
                <w:sz w:val="16"/>
                <w:szCs w:val="16"/>
              </w:rPr>
            </w:pPr>
          </w:p>
          <w:p w:rsidR="00742F64" w:rsidRPr="003A60DE" w:rsidRDefault="00742F64" w:rsidP="007E455C">
            <w:pPr>
              <w:autoSpaceDE w:val="0"/>
              <w:autoSpaceDN w:val="0"/>
              <w:adjustRightInd w:val="0"/>
              <w:jc w:val="center"/>
              <w:rPr>
                <w:rFonts w:ascii="Arial" w:hAnsi="Arial" w:cs="Arial"/>
                <w:b/>
                <w:bCs/>
                <w:color w:val="FFFFFF"/>
                <w:sz w:val="16"/>
                <w:szCs w:val="16"/>
              </w:rPr>
            </w:pPr>
            <w:r w:rsidRPr="003A60DE">
              <w:rPr>
                <w:rFonts w:ascii="Arial" w:hAnsi="Arial" w:cs="Arial"/>
                <w:b/>
                <w:bCs/>
                <w:color w:val="FFFFFF"/>
                <w:sz w:val="16"/>
                <w:szCs w:val="16"/>
              </w:rPr>
              <w:t>Description</w:t>
            </w:r>
          </w:p>
        </w:tc>
        <w:tc>
          <w:tcPr>
            <w:tcW w:w="1888" w:type="dxa"/>
            <w:shd w:val="clear" w:color="auto" w:fill="008000"/>
            <w:vAlign w:val="center"/>
          </w:tcPr>
          <w:p w:rsidR="00742F64" w:rsidRPr="003A60DE" w:rsidRDefault="00742F64" w:rsidP="007E455C">
            <w:pPr>
              <w:autoSpaceDE w:val="0"/>
              <w:autoSpaceDN w:val="0"/>
              <w:adjustRightInd w:val="0"/>
              <w:jc w:val="center"/>
              <w:rPr>
                <w:rFonts w:ascii="Arial" w:hAnsi="Arial" w:cs="Arial"/>
                <w:b/>
                <w:bCs/>
                <w:color w:val="FFFFFF"/>
                <w:sz w:val="16"/>
                <w:szCs w:val="16"/>
              </w:rPr>
            </w:pPr>
            <w:r w:rsidRPr="003A60DE">
              <w:rPr>
                <w:rFonts w:ascii="Arial" w:hAnsi="Arial" w:cs="Arial"/>
                <w:b/>
                <w:bCs/>
                <w:color w:val="FFFFFF"/>
                <w:sz w:val="16"/>
                <w:szCs w:val="16"/>
              </w:rPr>
              <w:t>Rebate/Unit Measure</w:t>
            </w:r>
          </w:p>
        </w:tc>
      </w:tr>
      <w:tr w:rsidR="00742F64" w:rsidRPr="003A60DE" w:rsidTr="007E455C">
        <w:trPr>
          <w:cantSplit/>
          <w:trHeight w:val="225"/>
        </w:trPr>
        <w:tc>
          <w:tcPr>
            <w:tcW w:w="1328" w:type="dxa"/>
            <w:vAlign w:val="center"/>
          </w:tcPr>
          <w:p w:rsidR="00742F64" w:rsidRPr="003A60DE" w:rsidRDefault="00742F64" w:rsidP="007E455C">
            <w:pPr>
              <w:ind w:left="-900" w:firstLine="900"/>
              <w:jc w:val="both"/>
              <w:rPr>
                <w:rFonts w:ascii="Arial" w:hAnsi="Arial" w:cs="Arial"/>
                <w:sz w:val="16"/>
                <w:szCs w:val="16"/>
              </w:rPr>
            </w:pPr>
            <w:r w:rsidRPr="003A60DE">
              <w:rPr>
                <w:rFonts w:ascii="Arial" w:hAnsi="Arial" w:cs="Arial"/>
                <w:sz w:val="16"/>
                <w:szCs w:val="16"/>
              </w:rPr>
              <w:t>L-J1</w:t>
            </w:r>
            <w:r w:rsidR="00573F47">
              <w:rPr>
                <w:rFonts w:ascii="Arial" w:hAnsi="Arial" w:cs="Arial"/>
                <w:sz w:val="16"/>
                <w:szCs w:val="16"/>
              </w:rPr>
              <w:t>1</w:t>
            </w:r>
          </w:p>
        </w:tc>
        <w:tc>
          <w:tcPr>
            <w:tcW w:w="4057" w:type="dxa"/>
          </w:tcPr>
          <w:p w:rsidR="00742F64" w:rsidRPr="003A60DE" w:rsidRDefault="00742F64" w:rsidP="007E455C">
            <w:pPr>
              <w:autoSpaceDE w:val="0"/>
              <w:autoSpaceDN w:val="0"/>
              <w:adjustRightInd w:val="0"/>
              <w:jc w:val="both"/>
              <w:rPr>
                <w:rFonts w:ascii="Arial" w:hAnsi="Arial" w:cs="Arial"/>
                <w:sz w:val="16"/>
                <w:szCs w:val="16"/>
              </w:rPr>
            </w:pPr>
            <w:r w:rsidRPr="003A60DE">
              <w:rPr>
                <w:rFonts w:ascii="Arial" w:hAnsi="Arial" w:cs="Arial"/>
                <w:sz w:val="16"/>
                <w:szCs w:val="16"/>
              </w:rPr>
              <w:t>Wall-box lighting Sensor</w:t>
            </w:r>
          </w:p>
        </w:tc>
        <w:tc>
          <w:tcPr>
            <w:tcW w:w="1888" w:type="dxa"/>
            <w:vAlign w:val="center"/>
          </w:tcPr>
          <w:p w:rsidR="00742F64" w:rsidRPr="003A60DE" w:rsidRDefault="00742F64" w:rsidP="007E455C">
            <w:pPr>
              <w:autoSpaceDE w:val="0"/>
              <w:autoSpaceDN w:val="0"/>
              <w:adjustRightInd w:val="0"/>
              <w:jc w:val="center"/>
              <w:rPr>
                <w:rFonts w:ascii="Arial" w:hAnsi="Arial" w:cs="Arial"/>
                <w:sz w:val="16"/>
                <w:szCs w:val="16"/>
              </w:rPr>
            </w:pPr>
            <w:r w:rsidRPr="003A60DE">
              <w:rPr>
                <w:rFonts w:ascii="Arial" w:hAnsi="Arial" w:cs="Arial"/>
                <w:sz w:val="16"/>
                <w:szCs w:val="16"/>
              </w:rPr>
              <w:t>$2</w:t>
            </w:r>
            <w:r>
              <w:rPr>
                <w:rFonts w:ascii="Arial" w:hAnsi="Arial" w:cs="Arial"/>
                <w:sz w:val="16"/>
                <w:szCs w:val="16"/>
              </w:rPr>
              <w:t>0</w:t>
            </w:r>
            <w:r w:rsidRPr="003A60DE">
              <w:rPr>
                <w:rFonts w:ascii="Arial" w:hAnsi="Arial" w:cs="Arial"/>
                <w:sz w:val="16"/>
                <w:szCs w:val="16"/>
              </w:rPr>
              <w:t>.</w:t>
            </w:r>
            <w:r>
              <w:rPr>
                <w:rFonts w:ascii="Arial" w:hAnsi="Arial" w:cs="Arial"/>
                <w:sz w:val="16"/>
                <w:szCs w:val="16"/>
              </w:rPr>
              <w:t>0</w:t>
            </w:r>
            <w:r w:rsidRPr="003A60DE">
              <w:rPr>
                <w:rFonts w:ascii="Arial" w:hAnsi="Arial" w:cs="Arial"/>
                <w:sz w:val="16"/>
                <w:szCs w:val="16"/>
              </w:rPr>
              <w:t>0/Sensor</w:t>
            </w:r>
          </w:p>
        </w:tc>
      </w:tr>
      <w:tr w:rsidR="00742F64" w:rsidRPr="003A60DE" w:rsidTr="007E455C">
        <w:trPr>
          <w:cantSplit/>
          <w:trHeight w:val="225"/>
        </w:trPr>
        <w:tc>
          <w:tcPr>
            <w:tcW w:w="1328" w:type="dxa"/>
            <w:vAlign w:val="center"/>
          </w:tcPr>
          <w:p w:rsidR="00742F64" w:rsidRPr="003A60DE" w:rsidRDefault="00742F64" w:rsidP="007E455C">
            <w:pPr>
              <w:ind w:left="-900" w:firstLine="900"/>
              <w:jc w:val="both"/>
              <w:rPr>
                <w:rFonts w:ascii="Arial" w:hAnsi="Arial" w:cs="Arial"/>
                <w:sz w:val="16"/>
                <w:szCs w:val="16"/>
              </w:rPr>
            </w:pPr>
            <w:r w:rsidRPr="003A60DE">
              <w:rPr>
                <w:rFonts w:ascii="Arial" w:hAnsi="Arial" w:cs="Arial"/>
                <w:sz w:val="16"/>
                <w:szCs w:val="16"/>
              </w:rPr>
              <w:t>L-J2</w:t>
            </w:r>
            <w:r w:rsidR="00573F47">
              <w:rPr>
                <w:rFonts w:ascii="Arial" w:hAnsi="Arial" w:cs="Arial"/>
                <w:sz w:val="16"/>
                <w:szCs w:val="16"/>
              </w:rPr>
              <w:t>1</w:t>
            </w:r>
          </w:p>
        </w:tc>
        <w:tc>
          <w:tcPr>
            <w:tcW w:w="4057" w:type="dxa"/>
          </w:tcPr>
          <w:p w:rsidR="00742F64" w:rsidRPr="003A60DE" w:rsidRDefault="00742F64" w:rsidP="007E455C">
            <w:pPr>
              <w:autoSpaceDE w:val="0"/>
              <w:autoSpaceDN w:val="0"/>
              <w:adjustRightInd w:val="0"/>
              <w:jc w:val="both"/>
              <w:rPr>
                <w:rFonts w:ascii="Arial" w:hAnsi="Arial" w:cs="Arial"/>
                <w:sz w:val="16"/>
                <w:szCs w:val="16"/>
              </w:rPr>
            </w:pPr>
            <w:r w:rsidRPr="003A60DE">
              <w:rPr>
                <w:rFonts w:ascii="Arial" w:hAnsi="Arial" w:cs="Arial"/>
                <w:sz w:val="16"/>
                <w:szCs w:val="16"/>
              </w:rPr>
              <w:t>Wall- or ceiling Mounted Lighting Sensor &lt;500 Watts</w:t>
            </w:r>
          </w:p>
        </w:tc>
        <w:tc>
          <w:tcPr>
            <w:tcW w:w="1888" w:type="dxa"/>
            <w:vAlign w:val="center"/>
          </w:tcPr>
          <w:p w:rsidR="00742F64" w:rsidRPr="003A60DE" w:rsidRDefault="00742F64" w:rsidP="007E455C">
            <w:pPr>
              <w:autoSpaceDE w:val="0"/>
              <w:autoSpaceDN w:val="0"/>
              <w:adjustRightInd w:val="0"/>
              <w:jc w:val="center"/>
              <w:rPr>
                <w:rFonts w:ascii="Arial" w:hAnsi="Arial" w:cs="Arial"/>
                <w:sz w:val="16"/>
                <w:szCs w:val="16"/>
              </w:rPr>
            </w:pPr>
            <w:r w:rsidRPr="003A60DE">
              <w:rPr>
                <w:rFonts w:ascii="Arial" w:hAnsi="Arial" w:cs="Arial"/>
                <w:sz w:val="16"/>
                <w:szCs w:val="16"/>
              </w:rPr>
              <w:t>$3</w:t>
            </w:r>
            <w:r>
              <w:rPr>
                <w:rFonts w:ascii="Arial" w:hAnsi="Arial" w:cs="Arial"/>
                <w:sz w:val="16"/>
                <w:szCs w:val="16"/>
              </w:rPr>
              <w:t>5</w:t>
            </w:r>
            <w:r w:rsidRPr="003A60DE">
              <w:rPr>
                <w:rFonts w:ascii="Arial" w:hAnsi="Arial" w:cs="Arial"/>
                <w:sz w:val="16"/>
                <w:szCs w:val="16"/>
              </w:rPr>
              <w:t>.</w:t>
            </w:r>
            <w:r>
              <w:rPr>
                <w:rFonts w:ascii="Arial" w:hAnsi="Arial" w:cs="Arial"/>
                <w:sz w:val="16"/>
                <w:szCs w:val="16"/>
              </w:rPr>
              <w:t>0</w:t>
            </w:r>
            <w:r w:rsidRPr="003A60DE">
              <w:rPr>
                <w:rFonts w:ascii="Arial" w:hAnsi="Arial" w:cs="Arial"/>
                <w:sz w:val="16"/>
                <w:szCs w:val="16"/>
              </w:rPr>
              <w:t>0/Sensor</w:t>
            </w:r>
          </w:p>
        </w:tc>
      </w:tr>
      <w:tr w:rsidR="00742F64" w:rsidRPr="003A60DE" w:rsidTr="007E455C">
        <w:trPr>
          <w:cantSplit/>
          <w:trHeight w:val="225"/>
        </w:trPr>
        <w:tc>
          <w:tcPr>
            <w:tcW w:w="1328" w:type="dxa"/>
            <w:vAlign w:val="center"/>
          </w:tcPr>
          <w:p w:rsidR="00742F64" w:rsidRPr="003A60DE" w:rsidRDefault="00742F64" w:rsidP="007E455C">
            <w:pPr>
              <w:ind w:left="-900" w:firstLine="900"/>
              <w:jc w:val="both"/>
              <w:rPr>
                <w:rFonts w:ascii="Arial" w:hAnsi="Arial" w:cs="Arial"/>
                <w:sz w:val="16"/>
                <w:szCs w:val="16"/>
              </w:rPr>
            </w:pPr>
            <w:r w:rsidRPr="003A60DE">
              <w:rPr>
                <w:rFonts w:ascii="Arial" w:hAnsi="Arial" w:cs="Arial"/>
                <w:sz w:val="16"/>
                <w:szCs w:val="16"/>
              </w:rPr>
              <w:t>L-J3</w:t>
            </w:r>
            <w:r w:rsidR="00573F47">
              <w:rPr>
                <w:rFonts w:ascii="Arial" w:hAnsi="Arial" w:cs="Arial"/>
                <w:sz w:val="16"/>
                <w:szCs w:val="16"/>
              </w:rPr>
              <w:t>1</w:t>
            </w:r>
          </w:p>
        </w:tc>
        <w:tc>
          <w:tcPr>
            <w:tcW w:w="4057" w:type="dxa"/>
          </w:tcPr>
          <w:p w:rsidR="00742F64" w:rsidRPr="003A60DE" w:rsidRDefault="00742F64" w:rsidP="007E455C">
            <w:pPr>
              <w:autoSpaceDE w:val="0"/>
              <w:autoSpaceDN w:val="0"/>
              <w:adjustRightInd w:val="0"/>
              <w:jc w:val="both"/>
              <w:rPr>
                <w:rFonts w:ascii="Arial" w:hAnsi="Arial" w:cs="Arial"/>
                <w:sz w:val="16"/>
                <w:szCs w:val="16"/>
              </w:rPr>
            </w:pPr>
            <w:r w:rsidRPr="003A60DE">
              <w:rPr>
                <w:rFonts w:ascii="Arial" w:hAnsi="Arial" w:cs="Arial"/>
                <w:sz w:val="16"/>
                <w:szCs w:val="16"/>
              </w:rPr>
              <w:t>Wall or Ceiling Mounted Lighting Sensor ≥ 500 Watts</w:t>
            </w:r>
          </w:p>
        </w:tc>
        <w:tc>
          <w:tcPr>
            <w:tcW w:w="1888" w:type="dxa"/>
            <w:vAlign w:val="center"/>
          </w:tcPr>
          <w:p w:rsidR="00742F64" w:rsidRPr="003A60DE" w:rsidRDefault="00742F64" w:rsidP="007E455C">
            <w:pPr>
              <w:autoSpaceDE w:val="0"/>
              <w:autoSpaceDN w:val="0"/>
              <w:adjustRightInd w:val="0"/>
              <w:jc w:val="center"/>
              <w:rPr>
                <w:rFonts w:ascii="Arial" w:hAnsi="Arial" w:cs="Arial"/>
                <w:sz w:val="16"/>
                <w:szCs w:val="16"/>
              </w:rPr>
            </w:pPr>
            <w:r w:rsidRPr="003A60DE">
              <w:rPr>
                <w:rFonts w:ascii="Arial" w:hAnsi="Arial" w:cs="Arial"/>
                <w:sz w:val="16"/>
                <w:szCs w:val="16"/>
              </w:rPr>
              <w:t>$</w:t>
            </w:r>
            <w:r>
              <w:rPr>
                <w:rFonts w:ascii="Arial" w:hAnsi="Arial" w:cs="Arial"/>
                <w:sz w:val="16"/>
                <w:szCs w:val="16"/>
              </w:rPr>
              <w:t>55</w:t>
            </w:r>
            <w:r w:rsidRPr="003A60DE">
              <w:rPr>
                <w:rFonts w:ascii="Arial" w:hAnsi="Arial" w:cs="Arial"/>
                <w:sz w:val="16"/>
                <w:szCs w:val="16"/>
              </w:rPr>
              <w:t>.</w:t>
            </w:r>
            <w:r>
              <w:rPr>
                <w:rFonts w:ascii="Arial" w:hAnsi="Arial" w:cs="Arial"/>
                <w:sz w:val="16"/>
                <w:szCs w:val="16"/>
              </w:rPr>
              <w:t>0</w:t>
            </w:r>
            <w:r w:rsidRPr="003A60DE">
              <w:rPr>
                <w:rFonts w:ascii="Arial" w:hAnsi="Arial" w:cs="Arial"/>
                <w:sz w:val="16"/>
                <w:szCs w:val="16"/>
              </w:rPr>
              <w:t>0/Sensor</w:t>
            </w:r>
          </w:p>
        </w:tc>
      </w:tr>
    </w:tbl>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autoSpaceDE w:val="0"/>
        <w:autoSpaceDN w:val="0"/>
        <w:adjustRightInd w:val="0"/>
        <w:jc w:val="both"/>
        <w:rPr>
          <w:rFonts w:ascii="Arial" w:hAnsi="Arial" w:cs="Arial"/>
          <w:color w:val="231F20"/>
          <w:sz w:val="18"/>
          <w:szCs w:val="18"/>
        </w:rPr>
      </w:pPr>
    </w:p>
    <w:p w:rsidR="00742F64" w:rsidRDefault="00742F64" w:rsidP="00742F64">
      <w:pPr>
        <w:widowControl w:val="0"/>
        <w:autoSpaceDE w:val="0"/>
        <w:autoSpaceDN w:val="0"/>
        <w:adjustRightInd w:val="0"/>
        <w:rPr>
          <w:rFonts w:ascii="Arial" w:hAnsi="Arial" w:cs="Arial"/>
          <w:b/>
          <w:color w:val="008000"/>
          <w:sz w:val="20"/>
          <w:szCs w:val="20"/>
        </w:rPr>
      </w:pPr>
    </w:p>
    <w:p w:rsidR="00742F64" w:rsidRPr="002837F2" w:rsidRDefault="00742F64" w:rsidP="00742F64">
      <w:pPr>
        <w:widowControl w:val="0"/>
        <w:autoSpaceDE w:val="0"/>
        <w:autoSpaceDN w:val="0"/>
        <w:adjustRightInd w:val="0"/>
        <w:outlineLvl w:val="2"/>
        <w:rPr>
          <w:rFonts w:ascii="Arial" w:hAnsi="Arial" w:cs="Arial"/>
          <w:b/>
          <w:color w:val="008000"/>
          <w:sz w:val="20"/>
          <w:szCs w:val="20"/>
        </w:rPr>
      </w:pPr>
      <w:bookmarkStart w:id="9" w:name="_Toc328485811"/>
      <w:r>
        <w:rPr>
          <w:rFonts w:ascii="Arial" w:hAnsi="Arial" w:cs="Arial"/>
          <w:b/>
          <w:color w:val="008000"/>
          <w:sz w:val="20"/>
          <w:szCs w:val="20"/>
        </w:rPr>
        <w:t xml:space="preserve">L-J41&amp; 51 </w:t>
      </w:r>
      <w:r w:rsidRPr="002837F2">
        <w:rPr>
          <w:rFonts w:ascii="Arial" w:hAnsi="Arial" w:cs="Arial"/>
          <w:b/>
          <w:color w:val="008000"/>
          <w:sz w:val="20"/>
          <w:szCs w:val="20"/>
        </w:rPr>
        <w:t>FIXTURE INTEGRATED OCCUPANCY SENSORS</w:t>
      </w:r>
      <w:bookmarkEnd w:id="9"/>
      <w:r w:rsidRPr="002837F2">
        <w:rPr>
          <w:rFonts w:ascii="Arial" w:hAnsi="Arial" w:cs="Arial"/>
          <w:b/>
          <w:color w:val="008000"/>
          <w:sz w:val="20"/>
          <w:szCs w:val="20"/>
        </w:rPr>
        <w:t xml:space="preserve"> </w:t>
      </w:r>
    </w:p>
    <w:p w:rsidR="00742F64" w:rsidRPr="0060644F" w:rsidRDefault="00742F64" w:rsidP="00742F64">
      <w:pPr>
        <w:widowControl w:val="0"/>
        <w:autoSpaceDE w:val="0"/>
        <w:autoSpaceDN w:val="0"/>
        <w:adjustRightInd w:val="0"/>
        <w:ind w:left="360" w:hanging="360"/>
        <w:rPr>
          <w:rFonts w:ascii="Arial" w:hAnsi="Arial" w:cs="Arial"/>
          <w:i/>
          <w:color w:val="000000"/>
          <w:sz w:val="16"/>
          <w:szCs w:val="16"/>
        </w:rPr>
      </w:pPr>
      <w:r w:rsidRPr="00A750A3">
        <w:rPr>
          <w:rFonts w:ascii="Arial" w:hAnsi="Arial" w:cs="Arial"/>
          <w:color w:val="000000"/>
          <w:sz w:val="16"/>
          <w:szCs w:val="16"/>
        </w:rPr>
        <w:t>Fixture-Integrated Sensors –</w:t>
      </w:r>
      <w:r w:rsidRPr="0060644F">
        <w:rPr>
          <w:rFonts w:ascii="Arial" w:hAnsi="Arial" w:cs="Arial"/>
          <w:i/>
          <w:color w:val="000000"/>
          <w:sz w:val="16"/>
          <w:szCs w:val="16"/>
        </w:rPr>
        <w:t xml:space="preserve"> occupancy sensors that are factory or field-installed in a lighting fixture intended to control the lamps within that fixture</w:t>
      </w:r>
    </w:p>
    <w:p w:rsidR="00742F64" w:rsidRDefault="00742F64" w:rsidP="00742F64">
      <w:pPr>
        <w:widowControl w:val="0"/>
        <w:autoSpaceDE w:val="0"/>
        <w:autoSpaceDN w:val="0"/>
        <w:adjustRightInd w:val="0"/>
        <w:spacing w:line="360" w:lineRule="auto"/>
        <w:rPr>
          <w:rFonts w:ascii="Arial" w:hAnsi="Arial" w:cs="Arial"/>
          <w:color w:val="000000"/>
          <w:sz w:val="16"/>
          <w:szCs w:val="16"/>
        </w:rPr>
      </w:pPr>
      <w:r w:rsidRPr="00AF3F96">
        <w:rPr>
          <w:rFonts w:ascii="Arial" w:hAnsi="Arial" w:cs="Arial"/>
          <w:b/>
          <w:color w:val="000000"/>
          <w:sz w:val="16"/>
          <w:szCs w:val="16"/>
        </w:rPr>
        <w:t>Requirements</w:t>
      </w:r>
      <w:r>
        <w:rPr>
          <w:rFonts w:ascii="Arial" w:hAnsi="Arial" w:cs="Arial"/>
          <w:color w:val="000000"/>
          <w:sz w:val="16"/>
          <w:szCs w:val="16"/>
        </w:rPr>
        <w:t>:</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Only hardwired passive infrared and/or ultrasonic detectors that control interior lighting fixtures</w:t>
      </w:r>
      <w:r w:rsidRPr="0053792E">
        <w:rPr>
          <w:rFonts w:ascii="Arial" w:hAnsi="Arial" w:cs="Arial"/>
          <w:color w:val="000000"/>
          <w:sz w:val="16"/>
          <w:szCs w:val="16"/>
        </w:rPr>
        <w:t xml:space="preserve"> </w:t>
      </w:r>
      <w:r>
        <w:rPr>
          <w:rFonts w:ascii="Arial" w:hAnsi="Arial" w:cs="Arial"/>
          <w:color w:val="000000"/>
          <w:sz w:val="16"/>
          <w:szCs w:val="16"/>
        </w:rPr>
        <w:t>qualify</w:t>
      </w:r>
    </w:p>
    <w:p w:rsidR="00742F64" w:rsidRPr="005B5B92"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Sensors must control all lamps in the fixture</w:t>
      </w:r>
      <w:r w:rsidRPr="005B5B92">
        <w:rPr>
          <w:rFonts w:ascii="Arial" w:hAnsi="Arial" w:cs="Arial"/>
          <w:color w:val="231F20"/>
          <w:sz w:val="16"/>
          <w:szCs w:val="16"/>
        </w:rPr>
        <w:t xml:space="preserve"> </w:t>
      </w:r>
    </w:p>
    <w:p w:rsidR="00742F64" w:rsidRPr="00F66910" w:rsidRDefault="00742F64" w:rsidP="00742F64">
      <w:pPr>
        <w:numPr>
          <w:ilvl w:val="0"/>
          <w:numId w:val="17"/>
        </w:numPr>
        <w:rPr>
          <w:rFonts w:ascii="Arial" w:hAnsi="Arial" w:cs="Arial"/>
          <w:color w:val="000000"/>
          <w:sz w:val="16"/>
          <w:szCs w:val="16"/>
        </w:rPr>
      </w:pPr>
      <w:r>
        <w:rPr>
          <w:rFonts w:ascii="Arial" w:hAnsi="Arial" w:cs="Arial"/>
          <w:color w:val="000000"/>
          <w:sz w:val="16"/>
          <w:szCs w:val="16"/>
        </w:rPr>
        <w:t xml:space="preserve">Must be </w:t>
      </w:r>
      <w:proofErr w:type="spellStart"/>
      <w:r>
        <w:rPr>
          <w:rFonts w:ascii="Arial" w:hAnsi="Arial" w:cs="Arial"/>
          <w:color w:val="000000"/>
          <w:sz w:val="16"/>
          <w:szCs w:val="16"/>
        </w:rPr>
        <w:t>inline</w:t>
      </w:r>
      <w:proofErr w:type="spellEnd"/>
      <w:r>
        <w:rPr>
          <w:rFonts w:ascii="Arial" w:hAnsi="Arial" w:cs="Arial"/>
          <w:color w:val="000000"/>
          <w:sz w:val="16"/>
          <w:szCs w:val="16"/>
        </w:rPr>
        <w:t xml:space="preserve"> with w</w:t>
      </w:r>
      <w:r w:rsidRPr="00F66910">
        <w:rPr>
          <w:rFonts w:ascii="Arial" w:hAnsi="Arial" w:cs="Arial"/>
          <w:color w:val="000000"/>
          <w:sz w:val="16"/>
          <w:szCs w:val="16"/>
        </w:rPr>
        <w:t xml:space="preserve">attage controlled requirements  listed </w:t>
      </w:r>
      <w:r>
        <w:rPr>
          <w:rFonts w:ascii="Arial" w:hAnsi="Arial" w:cs="Arial"/>
          <w:color w:val="000000"/>
          <w:sz w:val="16"/>
          <w:szCs w:val="16"/>
        </w:rPr>
        <w:t xml:space="preserve">in </w:t>
      </w:r>
      <w:r w:rsidRPr="00F66910">
        <w:rPr>
          <w:rFonts w:ascii="Arial" w:hAnsi="Arial" w:cs="Arial"/>
          <w:color w:val="000000"/>
          <w:sz w:val="16"/>
          <w:szCs w:val="16"/>
        </w:rPr>
        <w:t xml:space="preserve">Table </w:t>
      </w:r>
      <w:r>
        <w:rPr>
          <w:rFonts w:ascii="Arial" w:hAnsi="Arial" w:cs="Arial"/>
          <w:color w:val="000000"/>
          <w:sz w:val="16"/>
          <w:szCs w:val="16"/>
        </w:rPr>
        <w:t>20</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Must be compatible with installed ballast</w:t>
      </w:r>
    </w:p>
    <w:p w:rsidR="00742F64" w:rsidRDefault="00742F64" w:rsidP="00742F64">
      <w:pPr>
        <w:widowControl w:val="0"/>
        <w:autoSpaceDE w:val="0"/>
        <w:autoSpaceDN w:val="0"/>
        <w:adjustRightInd w:val="0"/>
        <w:spacing w:line="360" w:lineRule="auto"/>
        <w:rPr>
          <w:rFonts w:ascii="Arial" w:hAnsi="Arial" w:cs="Arial"/>
          <w:color w:val="000000"/>
          <w:sz w:val="16"/>
          <w:szCs w:val="16"/>
        </w:rPr>
      </w:pPr>
      <w:r w:rsidRPr="00AF3F96">
        <w:rPr>
          <w:rFonts w:ascii="Arial" w:hAnsi="Arial" w:cs="Arial"/>
          <w:b/>
          <w:color w:val="000000"/>
          <w:sz w:val="16"/>
          <w:szCs w:val="16"/>
        </w:rPr>
        <w:t>Application Process</w:t>
      </w:r>
      <w:r>
        <w:rPr>
          <w:rFonts w:ascii="Arial" w:hAnsi="Arial" w:cs="Arial"/>
          <w:color w:val="000000"/>
          <w:sz w:val="16"/>
          <w:szCs w:val="16"/>
        </w:rPr>
        <w:t>:</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New fixtures equipped with fixture-integrated sensors used in stairwells, halls, or garages may qualify through the Bi-level Fixture category. </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Applications filed under Bi-level fixture category are not eligible for additional rebates through T8/T5 Lamp and Ballast, Occupancy Sensor or Linear Fluorescent Fixture categories</w:t>
      </w:r>
    </w:p>
    <w:p w:rsidR="00742F64" w:rsidRDefault="00742F64" w:rsidP="00742F64">
      <w:pPr>
        <w:widowControl w:val="0"/>
        <w:autoSpaceDE w:val="0"/>
        <w:autoSpaceDN w:val="0"/>
        <w:adjustRightInd w:val="0"/>
        <w:spacing w:line="360" w:lineRule="auto"/>
        <w:rPr>
          <w:rFonts w:ascii="Arial" w:hAnsi="Arial" w:cs="Arial"/>
          <w:color w:val="000000"/>
          <w:sz w:val="16"/>
          <w:szCs w:val="16"/>
        </w:rPr>
      </w:pPr>
      <w:r>
        <w:rPr>
          <w:rFonts w:ascii="Arial" w:hAnsi="Arial" w:cs="Arial"/>
          <w:b/>
          <w:bCs/>
          <w:color w:val="000000"/>
          <w:sz w:val="16"/>
          <w:szCs w:val="16"/>
        </w:rPr>
        <w:t>Additional Details</w:t>
      </w:r>
      <w:r>
        <w:rPr>
          <w:rFonts w:ascii="Arial" w:hAnsi="Arial" w:cs="Arial"/>
          <w:color w:val="000000"/>
          <w:sz w:val="16"/>
          <w:szCs w:val="16"/>
        </w:rPr>
        <w:t>:</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b/>
          <w:bCs/>
          <w:color w:val="000000"/>
          <w:sz w:val="16"/>
          <w:szCs w:val="16"/>
        </w:rPr>
        <w:t xml:space="preserve">When used in conjunction with both T8 and T5 lamps: </w:t>
      </w:r>
      <w:r>
        <w:rPr>
          <w:rFonts w:ascii="Arial" w:hAnsi="Arial" w:cs="Arial"/>
          <w:sz w:val="16"/>
          <w:szCs w:val="16"/>
        </w:rPr>
        <w:t>Program start ballasts are designed to provide maximum lamp life in frequent lamp staring applications such as in areas where occupancy sensor controls are used</w:t>
      </w:r>
    </w:p>
    <w:p w:rsidR="00742F64" w:rsidRDefault="00742F64" w:rsidP="00742F64">
      <w:pPr>
        <w:widowControl w:val="0"/>
        <w:numPr>
          <w:ilvl w:val="0"/>
          <w:numId w:val="17"/>
        </w:numPr>
        <w:autoSpaceDE w:val="0"/>
        <w:autoSpaceDN w:val="0"/>
        <w:adjustRightInd w:val="0"/>
        <w:spacing w:line="360" w:lineRule="auto"/>
        <w:rPr>
          <w:rFonts w:ascii="Arial" w:hAnsi="Arial" w:cs="Arial"/>
          <w:color w:val="000000"/>
          <w:sz w:val="16"/>
          <w:szCs w:val="16"/>
        </w:rPr>
      </w:pPr>
      <w:r>
        <w:rPr>
          <w:rFonts w:ascii="Arial" w:hAnsi="Arial" w:cs="Arial"/>
          <w:b/>
          <w:bCs/>
          <w:color w:val="000000"/>
          <w:sz w:val="16"/>
          <w:szCs w:val="16"/>
        </w:rPr>
        <w:t xml:space="preserve">When used in conjunction with T8 lamps: </w:t>
      </w:r>
      <w:r>
        <w:rPr>
          <w:rFonts w:ascii="Arial" w:hAnsi="Arial" w:cs="Arial"/>
          <w:sz w:val="16"/>
          <w:szCs w:val="16"/>
        </w:rPr>
        <w:t>Instant-start electronic ballasts are the most popular type of electronic ballast today because they provide maximum energy savings and start lamps without delay</w:t>
      </w:r>
    </w:p>
    <w:p w:rsidR="00742F64" w:rsidRPr="008B46B9" w:rsidRDefault="00742F64" w:rsidP="00742F64">
      <w:pPr>
        <w:widowControl w:val="0"/>
        <w:autoSpaceDE w:val="0"/>
        <w:autoSpaceDN w:val="0"/>
        <w:adjustRightInd w:val="0"/>
        <w:jc w:val="center"/>
        <w:rPr>
          <w:rFonts w:ascii="Arial" w:hAnsi="Arial" w:cs="Arial"/>
          <w:b/>
          <w:color w:val="000000"/>
          <w:sz w:val="16"/>
          <w:szCs w:val="16"/>
        </w:rPr>
      </w:pPr>
      <w:r w:rsidRPr="00FF5407">
        <w:rPr>
          <w:rFonts w:ascii="Arial" w:hAnsi="Arial" w:cs="Arial"/>
          <w:b/>
          <w:color w:val="000000"/>
          <w:sz w:val="16"/>
          <w:szCs w:val="16"/>
        </w:rPr>
        <w:t xml:space="preserve">Table </w:t>
      </w:r>
      <w:r>
        <w:rPr>
          <w:rFonts w:ascii="Arial" w:hAnsi="Arial" w:cs="Arial"/>
          <w:b/>
          <w:color w:val="000000"/>
          <w:sz w:val="16"/>
          <w:szCs w:val="16"/>
        </w:rPr>
        <w:t>20</w:t>
      </w:r>
    </w:p>
    <w:tbl>
      <w:tblPr>
        <w:tblW w:w="6958" w:type="dxa"/>
        <w:jc w:val="center"/>
        <w:tblLayout w:type="fixed"/>
        <w:tblLook w:val="0000"/>
      </w:tblPr>
      <w:tblGrid>
        <w:gridCol w:w="837"/>
        <w:gridCol w:w="2552"/>
        <w:gridCol w:w="2160"/>
        <w:gridCol w:w="1409"/>
      </w:tblGrid>
      <w:tr w:rsidR="00742F64" w:rsidRPr="00B32321" w:rsidTr="007E455C">
        <w:trPr>
          <w:trHeight w:val="245"/>
          <w:jc w:val="center"/>
        </w:trPr>
        <w:tc>
          <w:tcPr>
            <w:tcW w:w="837" w:type="dxa"/>
            <w:tcBorders>
              <w:top w:val="single" w:sz="4" w:space="0" w:color="auto"/>
              <w:left w:val="single" w:sz="4" w:space="0" w:color="auto"/>
              <w:bottom w:val="single" w:sz="4" w:space="0" w:color="auto"/>
              <w:right w:val="single" w:sz="4" w:space="0" w:color="auto"/>
            </w:tcBorders>
            <w:shd w:val="clear" w:color="auto" w:fill="008000"/>
            <w:noWrap/>
            <w:vAlign w:val="bottom"/>
          </w:tcPr>
          <w:p w:rsidR="00742F64" w:rsidRPr="00B32321" w:rsidRDefault="00742F64" w:rsidP="007E455C">
            <w:pPr>
              <w:rPr>
                <w:rFonts w:ascii="Arial" w:hAnsi="Arial" w:cs="Arial"/>
                <w:b/>
                <w:sz w:val="16"/>
                <w:szCs w:val="16"/>
              </w:rPr>
            </w:pPr>
            <w:r w:rsidRPr="003C0242">
              <w:rPr>
                <w:rFonts w:ascii="Arial" w:hAnsi="Arial" w:cs="Arial"/>
                <w:b/>
                <w:sz w:val="16"/>
                <w:szCs w:val="16"/>
              </w:rPr>
              <w:t>Product Code</w:t>
            </w:r>
          </w:p>
        </w:tc>
        <w:tc>
          <w:tcPr>
            <w:tcW w:w="2552" w:type="dxa"/>
            <w:tcBorders>
              <w:top w:val="single" w:sz="4" w:space="0" w:color="auto"/>
              <w:left w:val="single" w:sz="4" w:space="0" w:color="auto"/>
              <w:bottom w:val="single" w:sz="4" w:space="0" w:color="auto"/>
              <w:right w:val="single" w:sz="4" w:space="0" w:color="auto"/>
            </w:tcBorders>
            <w:shd w:val="clear" w:color="auto" w:fill="008000"/>
            <w:vAlign w:val="bottom"/>
          </w:tcPr>
          <w:p w:rsidR="00742F64" w:rsidRPr="00B32321" w:rsidRDefault="00742F64" w:rsidP="007E455C">
            <w:pPr>
              <w:jc w:val="center"/>
              <w:rPr>
                <w:rFonts w:ascii="Arial" w:hAnsi="Arial" w:cs="Arial"/>
                <w:b/>
                <w:sz w:val="16"/>
                <w:szCs w:val="16"/>
              </w:rPr>
            </w:pPr>
            <w:r>
              <w:rPr>
                <w:rFonts w:ascii="Arial" w:hAnsi="Arial" w:cs="Arial"/>
                <w:b/>
                <w:sz w:val="16"/>
                <w:szCs w:val="16"/>
              </w:rPr>
              <w:t>Occupancy Sensor Type</w:t>
            </w:r>
          </w:p>
        </w:tc>
        <w:tc>
          <w:tcPr>
            <w:tcW w:w="2160" w:type="dxa"/>
            <w:tcBorders>
              <w:top w:val="single" w:sz="4" w:space="0" w:color="auto"/>
              <w:left w:val="single" w:sz="4" w:space="0" w:color="auto"/>
              <w:bottom w:val="single" w:sz="4" w:space="0" w:color="auto"/>
              <w:right w:val="single" w:sz="4" w:space="0" w:color="auto"/>
            </w:tcBorders>
            <w:shd w:val="clear" w:color="auto" w:fill="008000"/>
            <w:vAlign w:val="bottom"/>
          </w:tcPr>
          <w:p w:rsidR="00742F64" w:rsidRPr="00B32321" w:rsidRDefault="00742F64" w:rsidP="007E455C">
            <w:pPr>
              <w:jc w:val="center"/>
              <w:rPr>
                <w:rFonts w:ascii="Arial" w:hAnsi="Arial" w:cs="Arial"/>
                <w:b/>
                <w:sz w:val="16"/>
                <w:szCs w:val="16"/>
              </w:rPr>
            </w:pPr>
            <w:r>
              <w:rPr>
                <w:rFonts w:ascii="Arial" w:hAnsi="Arial" w:cs="Arial"/>
                <w:b/>
                <w:sz w:val="16"/>
                <w:szCs w:val="16"/>
              </w:rPr>
              <w:t>Wattage controlled</w:t>
            </w:r>
          </w:p>
        </w:tc>
        <w:tc>
          <w:tcPr>
            <w:tcW w:w="1409" w:type="dxa"/>
            <w:tcBorders>
              <w:top w:val="single" w:sz="4" w:space="0" w:color="auto"/>
              <w:left w:val="single" w:sz="4" w:space="0" w:color="auto"/>
              <w:bottom w:val="single" w:sz="4" w:space="0" w:color="auto"/>
              <w:right w:val="single" w:sz="4" w:space="0" w:color="auto"/>
            </w:tcBorders>
            <w:shd w:val="clear" w:color="auto" w:fill="008000"/>
          </w:tcPr>
          <w:p w:rsidR="00742F64" w:rsidRDefault="00742F64" w:rsidP="007E455C">
            <w:pPr>
              <w:jc w:val="right"/>
              <w:rPr>
                <w:rFonts w:ascii="Arial" w:hAnsi="Arial" w:cs="Arial"/>
                <w:b/>
                <w:sz w:val="16"/>
                <w:szCs w:val="16"/>
              </w:rPr>
            </w:pPr>
          </w:p>
          <w:p w:rsidR="00742F64" w:rsidRPr="003C0242" w:rsidRDefault="00742F64" w:rsidP="007E455C">
            <w:pPr>
              <w:jc w:val="right"/>
              <w:rPr>
                <w:rFonts w:ascii="Arial" w:hAnsi="Arial" w:cs="Arial"/>
                <w:b/>
                <w:sz w:val="16"/>
                <w:szCs w:val="16"/>
              </w:rPr>
            </w:pPr>
            <w:r w:rsidRPr="003C0242">
              <w:rPr>
                <w:rFonts w:ascii="Arial" w:hAnsi="Arial" w:cs="Arial"/>
                <w:b/>
                <w:sz w:val="16"/>
                <w:szCs w:val="16"/>
              </w:rPr>
              <w:t>Rebate/Unit</w:t>
            </w:r>
          </w:p>
        </w:tc>
      </w:tr>
      <w:tr w:rsidR="00742F64" w:rsidTr="007E455C">
        <w:trPr>
          <w:trHeight w:val="259"/>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742F64" w:rsidRPr="00B32321" w:rsidRDefault="00742F64" w:rsidP="007E455C">
            <w:pPr>
              <w:rPr>
                <w:rFonts w:ascii="Arial" w:hAnsi="Arial" w:cs="Arial"/>
                <w:sz w:val="16"/>
                <w:szCs w:val="16"/>
              </w:rPr>
            </w:pPr>
            <w:r w:rsidRPr="003A60DE">
              <w:rPr>
                <w:rFonts w:ascii="Arial" w:hAnsi="Arial" w:cs="Arial"/>
                <w:sz w:val="16"/>
                <w:szCs w:val="16"/>
              </w:rPr>
              <w:t>L-J4</w:t>
            </w:r>
            <w:r w:rsidR="00573F47">
              <w:rPr>
                <w:rFonts w:ascii="Arial" w:hAnsi="Arial" w:cs="Arial"/>
                <w:sz w:val="16"/>
                <w:szCs w:val="16"/>
              </w:rPr>
              <w:t>1</w:t>
            </w:r>
          </w:p>
        </w:tc>
        <w:tc>
          <w:tcPr>
            <w:tcW w:w="2552" w:type="dxa"/>
            <w:tcBorders>
              <w:top w:val="single" w:sz="4" w:space="0" w:color="auto"/>
              <w:left w:val="nil"/>
              <w:bottom w:val="single" w:sz="4" w:space="0" w:color="auto"/>
              <w:right w:val="single" w:sz="4" w:space="0" w:color="auto"/>
            </w:tcBorders>
            <w:shd w:val="clear" w:color="auto" w:fill="auto"/>
            <w:vAlign w:val="bottom"/>
          </w:tcPr>
          <w:p w:rsidR="00742F64" w:rsidRDefault="00742F64" w:rsidP="007E455C">
            <w:pPr>
              <w:rPr>
                <w:rFonts w:ascii="Arial" w:hAnsi="Arial" w:cs="Arial"/>
                <w:color w:val="000000"/>
                <w:sz w:val="16"/>
                <w:szCs w:val="16"/>
              </w:rPr>
            </w:pPr>
            <w:r>
              <w:rPr>
                <w:rFonts w:ascii="Arial" w:hAnsi="Arial" w:cs="Arial"/>
                <w:color w:val="000000"/>
                <w:sz w:val="16"/>
                <w:szCs w:val="16"/>
              </w:rPr>
              <w:t xml:space="preserve">Fixture-Integrated; Installations higher than 12' </w:t>
            </w:r>
          </w:p>
        </w:tc>
        <w:tc>
          <w:tcPr>
            <w:tcW w:w="2160" w:type="dxa"/>
            <w:tcBorders>
              <w:top w:val="single" w:sz="4" w:space="0" w:color="auto"/>
              <w:left w:val="nil"/>
              <w:bottom w:val="single" w:sz="4" w:space="0" w:color="auto"/>
              <w:right w:val="single" w:sz="4" w:space="0" w:color="auto"/>
            </w:tcBorders>
            <w:shd w:val="clear" w:color="auto" w:fill="auto"/>
            <w:vAlign w:val="bottom"/>
          </w:tcPr>
          <w:p w:rsidR="00742F64" w:rsidRPr="00000C23" w:rsidRDefault="00742F64" w:rsidP="007E455C">
            <w:pPr>
              <w:jc w:val="center"/>
              <w:rPr>
                <w:rFonts w:ascii="Arial" w:hAnsi="Arial" w:cs="Arial"/>
                <w:color w:val="000000"/>
                <w:sz w:val="16"/>
                <w:szCs w:val="16"/>
              </w:rPr>
            </w:pPr>
            <w:r w:rsidRPr="00000C23">
              <w:rPr>
                <w:rFonts w:ascii="Arial" w:hAnsi="Arial" w:cs="Arial"/>
                <w:color w:val="000000"/>
                <w:sz w:val="16"/>
                <w:szCs w:val="16"/>
                <w:u w:val="single"/>
              </w:rPr>
              <w:t>&gt;</w:t>
            </w:r>
            <w:r>
              <w:rPr>
                <w:rFonts w:ascii="Arial" w:hAnsi="Arial" w:cs="Arial"/>
                <w:color w:val="000000"/>
                <w:sz w:val="16"/>
                <w:szCs w:val="16"/>
              </w:rPr>
              <w:t>150 Watts</w:t>
            </w:r>
          </w:p>
        </w:tc>
        <w:tc>
          <w:tcPr>
            <w:tcW w:w="1409" w:type="dxa"/>
            <w:tcBorders>
              <w:top w:val="single" w:sz="4" w:space="0" w:color="auto"/>
              <w:left w:val="nil"/>
              <w:bottom w:val="single" w:sz="4" w:space="0" w:color="auto"/>
              <w:right w:val="single" w:sz="4" w:space="0" w:color="auto"/>
            </w:tcBorders>
            <w:vAlign w:val="bottom"/>
          </w:tcPr>
          <w:p w:rsidR="00742F64" w:rsidRDefault="00742F64" w:rsidP="007E455C">
            <w:pPr>
              <w:jc w:val="center"/>
              <w:rPr>
                <w:rFonts w:ascii="Arial" w:hAnsi="Arial" w:cs="Arial"/>
                <w:color w:val="000000"/>
                <w:sz w:val="16"/>
                <w:szCs w:val="16"/>
              </w:rPr>
            </w:pPr>
            <w:r>
              <w:rPr>
                <w:rFonts w:ascii="Arial" w:hAnsi="Arial" w:cs="Arial"/>
                <w:color w:val="000000"/>
                <w:sz w:val="16"/>
                <w:szCs w:val="16"/>
              </w:rPr>
              <w:t>$40.00/sensor</w:t>
            </w:r>
          </w:p>
        </w:tc>
      </w:tr>
      <w:tr w:rsidR="00742F64" w:rsidTr="007E455C">
        <w:trPr>
          <w:trHeight w:val="259"/>
          <w:jc w:val="center"/>
        </w:trPr>
        <w:tc>
          <w:tcPr>
            <w:tcW w:w="837" w:type="dxa"/>
            <w:tcBorders>
              <w:top w:val="nil"/>
              <w:left w:val="single" w:sz="4" w:space="0" w:color="auto"/>
              <w:bottom w:val="single" w:sz="4" w:space="0" w:color="auto"/>
              <w:right w:val="single" w:sz="4" w:space="0" w:color="auto"/>
            </w:tcBorders>
            <w:shd w:val="clear" w:color="auto" w:fill="auto"/>
            <w:vAlign w:val="center"/>
          </w:tcPr>
          <w:p w:rsidR="00742F64" w:rsidRPr="00B32321" w:rsidRDefault="00742F64" w:rsidP="007E455C">
            <w:pPr>
              <w:rPr>
                <w:rFonts w:ascii="Arial" w:hAnsi="Arial" w:cs="Arial"/>
                <w:sz w:val="16"/>
                <w:szCs w:val="16"/>
              </w:rPr>
            </w:pPr>
            <w:r w:rsidRPr="003A60DE">
              <w:rPr>
                <w:rFonts w:ascii="Arial" w:hAnsi="Arial" w:cs="Arial"/>
                <w:sz w:val="16"/>
                <w:szCs w:val="16"/>
              </w:rPr>
              <w:t>L-J5</w:t>
            </w:r>
            <w:r w:rsidR="00573F47">
              <w:rPr>
                <w:rFonts w:ascii="Arial" w:hAnsi="Arial" w:cs="Arial"/>
                <w:sz w:val="16"/>
                <w:szCs w:val="16"/>
              </w:rPr>
              <w:t>1</w:t>
            </w:r>
          </w:p>
        </w:tc>
        <w:tc>
          <w:tcPr>
            <w:tcW w:w="2552" w:type="dxa"/>
            <w:tcBorders>
              <w:top w:val="nil"/>
              <w:left w:val="nil"/>
              <w:bottom w:val="single" w:sz="4" w:space="0" w:color="auto"/>
              <w:right w:val="single" w:sz="4" w:space="0" w:color="auto"/>
            </w:tcBorders>
            <w:shd w:val="clear" w:color="auto" w:fill="auto"/>
            <w:vAlign w:val="bottom"/>
          </w:tcPr>
          <w:p w:rsidR="00742F64" w:rsidRDefault="00742F64" w:rsidP="007E455C">
            <w:pPr>
              <w:rPr>
                <w:rFonts w:ascii="Arial" w:hAnsi="Arial" w:cs="Arial"/>
                <w:color w:val="000000"/>
                <w:sz w:val="16"/>
                <w:szCs w:val="16"/>
              </w:rPr>
            </w:pPr>
            <w:r>
              <w:rPr>
                <w:rFonts w:ascii="Arial" w:hAnsi="Arial" w:cs="Arial"/>
                <w:color w:val="000000"/>
                <w:sz w:val="16"/>
                <w:szCs w:val="16"/>
              </w:rPr>
              <w:t>Fixture-Integrated; Installations 12' or under</w:t>
            </w:r>
          </w:p>
        </w:tc>
        <w:tc>
          <w:tcPr>
            <w:tcW w:w="2160" w:type="dxa"/>
            <w:tcBorders>
              <w:top w:val="nil"/>
              <w:left w:val="nil"/>
              <w:bottom w:val="single" w:sz="4" w:space="0" w:color="auto"/>
              <w:right w:val="single" w:sz="4" w:space="0" w:color="auto"/>
            </w:tcBorders>
            <w:shd w:val="clear" w:color="auto" w:fill="auto"/>
            <w:vAlign w:val="bottom"/>
          </w:tcPr>
          <w:p w:rsidR="00742F64" w:rsidRDefault="00742F64" w:rsidP="007E455C">
            <w:pPr>
              <w:jc w:val="center"/>
              <w:rPr>
                <w:rFonts w:ascii="Arial" w:hAnsi="Arial" w:cs="Arial"/>
                <w:color w:val="000000"/>
                <w:sz w:val="16"/>
                <w:szCs w:val="16"/>
              </w:rPr>
            </w:pPr>
            <w:r>
              <w:rPr>
                <w:rFonts w:ascii="Arial" w:hAnsi="Arial" w:cs="Arial"/>
                <w:color w:val="000000"/>
                <w:sz w:val="16"/>
                <w:szCs w:val="16"/>
              </w:rPr>
              <w:t>&lt;150 Watts</w:t>
            </w:r>
          </w:p>
        </w:tc>
        <w:tc>
          <w:tcPr>
            <w:tcW w:w="1409" w:type="dxa"/>
            <w:tcBorders>
              <w:top w:val="nil"/>
              <w:left w:val="nil"/>
              <w:bottom w:val="single" w:sz="4" w:space="0" w:color="auto"/>
              <w:right w:val="single" w:sz="4" w:space="0" w:color="auto"/>
            </w:tcBorders>
            <w:vAlign w:val="bottom"/>
          </w:tcPr>
          <w:p w:rsidR="00742F64" w:rsidRDefault="00742F64" w:rsidP="007E455C">
            <w:pPr>
              <w:jc w:val="center"/>
              <w:rPr>
                <w:rFonts w:ascii="Arial" w:hAnsi="Arial" w:cs="Arial"/>
                <w:color w:val="000000"/>
                <w:sz w:val="16"/>
                <w:szCs w:val="16"/>
              </w:rPr>
            </w:pPr>
            <w:r>
              <w:rPr>
                <w:rFonts w:ascii="Arial" w:hAnsi="Arial" w:cs="Arial"/>
                <w:color w:val="000000"/>
                <w:sz w:val="16"/>
                <w:szCs w:val="16"/>
              </w:rPr>
              <w:t>$15.00/sensor</w:t>
            </w:r>
          </w:p>
        </w:tc>
      </w:tr>
    </w:tbl>
    <w:p w:rsidR="00742F64" w:rsidRDefault="00742F64" w:rsidP="001248A3">
      <w:pPr>
        <w:pStyle w:val="Heading2"/>
      </w:pPr>
    </w:p>
    <w:p w:rsidR="00E71EF1" w:rsidRPr="004B0389" w:rsidRDefault="001248A3" w:rsidP="001248A3">
      <w:pPr>
        <w:pStyle w:val="Heading2"/>
      </w:pPr>
      <w:bookmarkStart w:id="10" w:name="_Toc328485812"/>
      <w:r w:rsidRPr="004B0389">
        <w:t xml:space="preserve">1.2 </w:t>
      </w:r>
      <w:r w:rsidR="00C069A2" w:rsidRPr="004B0389">
        <w:t xml:space="preserve">DEER Differences </w:t>
      </w:r>
      <w:r w:rsidR="00E71EF1" w:rsidRPr="004B0389">
        <w:t>Analysis</w:t>
      </w:r>
      <w:bookmarkEnd w:id="10"/>
    </w:p>
    <w:p w:rsidR="00E95803" w:rsidRPr="004B0389" w:rsidRDefault="005561F7" w:rsidP="00E95803">
      <w:r w:rsidRPr="004B0389">
        <w:t xml:space="preserve">Database for Energy Efficient Resources </w:t>
      </w:r>
      <w:r w:rsidR="00386B24">
        <w:t xml:space="preserve">no longer lists lighting occupancy sensors. </w:t>
      </w:r>
      <w:r w:rsidR="00BA49CF">
        <w:t>The savings calculations follow DEER methodologies with READI tool interactive effects.</w:t>
      </w:r>
    </w:p>
    <w:p w:rsidR="00E95803" w:rsidRDefault="00E95803" w:rsidP="00E95803">
      <w:pPr>
        <w:pStyle w:val="Heading2"/>
      </w:pPr>
      <w:bookmarkStart w:id="11" w:name="_Toc174222012"/>
      <w:bookmarkStart w:id="12" w:name="_Toc328485813"/>
      <w:r w:rsidRPr="004B0389">
        <w:t xml:space="preserve">1.3 Codes </w:t>
      </w:r>
      <w:r w:rsidR="002164C7" w:rsidRPr="004B0389">
        <w:t>and</w:t>
      </w:r>
      <w:r w:rsidRPr="004B0389">
        <w:t xml:space="preserve"> Standards Requirements Analysis</w:t>
      </w:r>
      <w:bookmarkEnd w:id="11"/>
      <w:bookmarkEnd w:id="12"/>
    </w:p>
    <w:p w:rsidR="00742F64" w:rsidRPr="003E3941" w:rsidRDefault="00742F64" w:rsidP="00742F64">
      <w:pPr>
        <w:rPr>
          <w:i/>
        </w:rPr>
      </w:pPr>
    </w:p>
    <w:p w:rsidR="00742F64" w:rsidRDefault="00742F64" w:rsidP="00742F64">
      <w:r w:rsidRPr="006B7E13">
        <w:rPr>
          <w:rFonts w:ascii="Arial" w:hAnsi="Arial" w:cs="Arial"/>
          <w:b/>
          <w:i/>
        </w:rPr>
        <w:t>Title 20:</w:t>
      </w:r>
      <w:r>
        <w:t xml:space="preserve"> This</w:t>
      </w:r>
      <w:r w:rsidRPr="006B7E13">
        <w:t xml:space="preserve"> measure do</w:t>
      </w:r>
      <w:r>
        <w:t xml:space="preserve">es </w:t>
      </w:r>
      <w:r w:rsidRPr="006B7E13">
        <w:t>not fall under Title 20</w:t>
      </w:r>
      <w:r w:rsidR="007C6EAB">
        <w:fldChar w:fldCharType="begin"/>
      </w:r>
      <w:r>
        <w:instrText xml:space="preserve"> XE "</w:instrText>
      </w:r>
      <w:r w:rsidRPr="00885DE7">
        <w:instrText>Title 20</w:instrText>
      </w:r>
      <w:r>
        <w:instrText xml:space="preserve">" </w:instrText>
      </w:r>
      <w:r w:rsidR="007C6EAB">
        <w:fldChar w:fldCharType="end"/>
      </w:r>
      <w:r w:rsidRPr="006B7E13">
        <w:t xml:space="preserve"> of the California Energy Regulations.  </w:t>
      </w:r>
    </w:p>
    <w:p w:rsidR="00742F64" w:rsidRPr="00EE53FF" w:rsidRDefault="00742F64" w:rsidP="00742F64">
      <w:pPr>
        <w:rPr>
          <w:i/>
        </w:rPr>
      </w:pPr>
    </w:p>
    <w:p w:rsidR="00742F64" w:rsidRPr="006B7E13" w:rsidRDefault="00742F64" w:rsidP="00742F64">
      <w:pPr>
        <w:autoSpaceDE w:val="0"/>
        <w:autoSpaceDN w:val="0"/>
        <w:adjustRightInd w:val="0"/>
        <w:rPr>
          <w:iCs/>
          <w:szCs w:val="20"/>
        </w:rPr>
      </w:pPr>
      <w:r w:rsidRPr="006B7E13">
        <w:rPr>
          <w:rFonts w:ascii="Arial" w:hAnsi="Arial" w:cs="Arial"/>
          <w:b/>
          <w:i/>
        </w:rPr>
        <w:t>Title 24</w:t>
      </w:r>
      <w:proofErr w:type="gramStart"/>
      <w:r w:rsidRPr="006B7E13">
        <w:rPr>
          <w:rFonts w:ascii="Arial" w:hAnsi="Arial" w:cs="Arial"/>
          <w:b/>
          <w:i/>
        </w:rPr>
        <w:t>:</w:t>
      </w:r>
      <w:r w:rsidRPr="006B7E13">
        <w:rPr>
          <w:rFonts w:ascii="Arial,Italic" w:hAnsi="Arial,Italic" w:cs="Arial,Italic"/>
          <w:i/>
          <w:iCs/>
          <w:sz w:val="22"/>
          <w:szCs w:val="22"/>
        </w:rPr>
        <w:t>.</w:t>
      </w:r>
      <w:proofErr w:type="gramEnd"/>
      <w:r>
        <w:rPr>
          <w:rFonts w:ascii="Arial,Italic" w:hAnsi="Arial,Italic" w:cs="Arial,Italic"/>
          <w:i/>
          <w:iCs/>
          <w:sz w:val="22"/>
          <w:szCs w:val="22"/>
        </w:rPr>
        <w:t xml:space="preserve"> </w:t>
      </w:r>
      <w:r w:rsidRPr="006B7E13">
        <w:rPr>
          <w:iCs/>
          <w:szCs w:val="20"/>
        </w:rPr>
        <w:t>Under this regulation, the following is required</w:t>
      </w:r>
    </w:p>
    <w:p w:rsidR="00742F64" w:rsidRPr="006B7E13" w:rsidRDefault="00742F64" w:rsidP="00742F64">
      <w:pPr>
        <w:autoSpaceDE w:val="0"/>
        <w:autoSpaceDN w:val="0"/>
        <w:adjustRightInd w:val="0"/>
        <w:rPr>
          <w:rFonts w:ascii="Arial,Italic" w:hAnsi="Arial,Italic" w:cs="Arial,Italic"/>
          <w:iCs/>
          <w:sz w:val="22"/>
          <w:szCs w:val="22"/>
        </w:rPr>
      </w:pPr>
    </w:p>
    <w:p w:rsidR="00B73DE1" w:rsidRDefault="00742F64" w:rsidP="00742F64">
      <w:r w:rsidRPr="00090DB0">
        <w:t>Title 24</w:t>
      </w:r>
      <w:r w:rsidR="007C6EAB">
        <w:fldChar w:fldCharType="begin"/>
      </w:r>
      <w:r>
        <w:instrText xml:space="preserve"> XE "</w:instrText>
      </w:r>
      <w:r w:rsidRPr="00885DE7">
        <w:instrText>Title 24</w:instrText>
      </w:r>
      <w:r>
        <w:instrText xml:space="preserve">" </w:instrText>
      </w:r>
      <w:r w:rsidR="007C6EAB">
        <w:fldChar w:fldCharType="end"/>
      </w:r>
      <w:r w:rsidRPr="00090DB0">
        <w:t xml:space="preserve"> requires automatic controls that include occupancy sensors. </w:t>
      </w:r>
      <w:r w:rsidR="007C6EAB">
        <w:fldChar w:fldCharType="begin"/>
      </w:r>
      <w:r>
        <w:instrText xml:space="preserve"> REF _Ref180380960 \h  \* MERGEFORMAT </w:instrText>
      </w:r>
      <w:r w:rsidR="007C6EAB">
        <w:fldChar w:fldCharType="separate"/>
      </w:r>
      <w:proofErr w:type="gramStart"/>
      <w:r w:rsidR="000F6E3A" w:rsidRPr="000F6E3A">
        <w:rPr>
          <w:bCs/>
        </w:rPr>
        <w:t>Figure 1.</w:t>
      </w:r>
      <w:proofErr w:type="gramEnd"/>
      <w:r w:rsidR="000F6E3A" w:rsidRPr="000F6E3A">
        <w:rPr>
          <w:b/>
          <w:bCs/>
        </w:rPr>
        <w:t xml:space="preserve"> Title 24, Section 5.2.1.2 Area Controls, Shut-Off Controls §131(d)</w:t>
      </w:r>
      <w:r w:rsidR="007C6EAB">
        <w:fldChar w:fldCharType="end"/>
      </w:r>
      <w:r w:rsidRPr="00090DB0">
        <w:t xml:space="preserve"> shows Section 5.2.1.2 Area Controls, Shut-Off Controls §131(d).</w:t>
      </w:r>
    </w:p>
    <w:p w:rsidR="00742F64" w:rsidRPr="00090DB0" w:rsidRDefault="00B73DE1" w:rsidP="00742F64">
      <w:r w:rsidRPr="00090DB0">
        <w:t xml:space="preserve"> </w:t>
      </w:r>
    </w:p>
    <w:p w:rsidR="00742F64" w:rsidRPr="00090DB0" w:rsidRDefault="007C6EAB" w:rsidP="00742F64">
      <w:pPr>
        <w:jc w:val="center"/>
      </w:pPr>
      <w:r>
        <w:pict>
          <v:shapetype id="_x0000_t202" coordsize="21600,21600" o:spt="202" path="m,l,21600r21600,l21600,xe">
            <v:stroke joinstyle="miter"/>
            <v:path gradientshapeok="t" o:connecttype="rect"/>
          </v:shapetype>
          <v:shape id="_x0000_s1034" type="#_x0000_t202" style="width:359.6pt;height:189.1pt;mso-left-percent:-10001;mso-top-percent:-10001;mso-position-horizontal:absolute;mso-position-horizontal-relative:char;mso-position-vertical:absolute;mso-position-vertical-relative:line;mso-left-percent:-10001;mso-top-percent:-10001" fillcolor="#f8f8f8">
            <v:textbox style="mso-next-textbox:#_x0000_s1034">
              <w:txbxContent>
                <w:p w:rsidR="00C816F0" w:rsidRDefault="00C816F0" w:rsidP="00742F64">
                  <w:pPr>
                    <w:spacing w:after="120"/>
                    <w:rPr>
                      <w:rFonts w:ascii="Arial" w:hAnsi="Arial"/>
                      <w:sz w:val="16"/>
                      <w:szCs w:val="16"/>
                    </w:rPr>
                  </w:pPr>
                  <w:r w:rsidRPr="001D0D85">
                    <w:rPr>
                      <w:rFonts w:ascii="Arial" w:hAnsi="Arial"/>
                      <w:sz w:val="16"/>
                      <w:szCs w:val="16"/>
                    </w:rPr>
                    <w:t>The Standards require that lights on each floor of a building be controlled by a</w:t>
                  </w:r>
                  <w:r>
                    <w:rPr>
                      <w:rFonts w:ascii="Arial" w:hAnsi="Arial"/>
                      <w:sz w:val="16"/>
                      <w:szCs w:val="16"/>
                    </w:rPr>
                    <w:t xml:space="preserve"> </w:t>
                  </w:r>
                  <w:r w:rsidRPr="001D0D85">
                    <w:rPr>
                      <w:rFonts w:ascii="Arial" w:hAnsi="Arial"/>
                      <w:sz w:val="16"/>
                      <w:szCs w:val="16"/>
                    </w:rPr>
                    <w:t>separate automatic control device (or control point with multiple point control</w:t>
                  </w:r>
                  <w:r>
                    <w:rPr>
                      <w:rFonts w:ascii="Arial" w:hAnsi="Arial"/>
                      <w:sz w:val="16"/>
                      <w:szCs w:val="16"/>
                    </w:rPr>
                    <w:t xml:space="preserve"> </w:t>
                  </w:r>
                  <w:r w:rsidRPr="001D0D85">
                    <w:rPr>
                      <w:rFonts w:ascii="Arial" w:hAnsi="Arial"/>
                      <w:sz w:val="16"/>
                      <w:szCs w:val="16"/>
                    </w:rPr>
                    <w:t>systems).</w:t>
                  </w:r>
                </w:p>
                <w:p w:rsidR="00C816F0" w:rsidRDefault="00C816F0" w:rsidP="00742F64">
                  <w:pPr>
                    <w:spacing w:after="120"/>
                    <w:rPr>
                      <w:rFonts w:ascii="Arial" w:hAnsi="Arial"/>
                      <w:sz w:val="16"/>
                      <w:szCs w:val="16"/>
                    </w:rPr>
                  </w:pPr>
                  <w:r w:rsidRPr="001D0D85">
                    <w:rPr>
                      <w:rFonts w:ascii="Arial" w:hAnsi="Arial"/>
                      <w:sz w:val="16"/>
                      <w:szCs w:val="16"/>
                    </w:rPr>
                    <w:t>The areas exempted from automatic shut-off are:</w:t>
                  </w:r>
                </w:p>
                <w:p w:rsidR="00C816F0" w:rsidRPr="001D0D85" w:rsidRDefault="00C816F0" w:rsidP="00742F64">
                  <w:pPr>
                    <w:numPr>
                      <w:ilvl w:val="0"/>
                      <w:numId w:val="5"/>
                    </w:numPr>
                    <w:tabs>
                      <w:tab w:val="clear" w:pos="720"/>
                    </w:tabs>
                    <w:spacing w:after="120"/>
                    <w:rPr>
                      <w:rFonts w:ascii="Arial" w:hAnsi="Arial"/>
                      <w:sz w:val="16"/>
                      <w:szCs w:val="16"/>
                    </w:rPr>
                  </w:pPr>
                  <w:r w:rsidRPr="001D0D85">
                    <w:rPr>
                      <w:rFonts w:ascii="Arial" w:hAnsi="Arial"/>
                      <w:sz w:val="16"/>
                      <w:szCs w:val="16"/>
                    </w:rPr>
                    <w:t>Areas that must be continuously lit, such as hotel lobbies and 24-hour, 365 day per year grocery stores where lights are never turned</w:t>
                  </w:r>
                  <w:r>
                    <w:rPr>
                      <w:rFonts w:ascii="Arial" w:hAnsi="Arial"/>
                      <w:sz w:val="16"/>
                      <w:szCs w:val="16"/>
                    </w:rPr>
                    <w:t xml:space="preserve"> </w:t>
                  </w:r>
                  <w:r w:rsidRPr="001D0D85">
                    <w:rPr>
                      <w:rFonts w:ascii="Arial" w:hAnsi="Arial"/>
                      <w:sz w:val="16"/>
                      <w:szCs w:val="16"/>
                    </w:rPr>
                    <w:t>off.</w:t>
                  </w:r>
                </w:p>
                <w:p w:rsidR="00C816F0" w:rsidRPr="001D0D85" w:rsidRDefault="00C816F0" w:rsidP="00742F64">
                  <w:pPr>
                    <w:numPr>
                      <w:ilvl w:val="0"/>
                      <w:numId w:val="5"/>
                    </w:numPr>
                    <w:tabs>
                      <w:tab w:val="clear" w:pos="720"/>
                    </w:tabs>
                    <w:spacing w:after="120"/>
                    <w:rPr>
                      <w:rFonts w:ascii="Arial" w:hAnsi="Arial"/>
                      <w:sz w:val="16"/>
                      <w:szCs w:val="16"/>
                    </w:rPr>
                  </w:pPr>
                  <w:r w:rsidRPr="001D0D85">
                    <w:rPr>
                      <w:rFonts w:ascii="Arial" w:hAnsi="Arial"/>
                      <w:sz w:val="16"/>
                      <w:szCs w:val="16"/>
                    </w:rPr>
                    <w:t>Security or emergency egress lighting that must be continuously on,</w:t>
                  </w:r>
                  <w:r>
                    <w:rPr>
                      <w:rFonts w:ascii="Arial" w:hAnsi="Arial"/>
                      <w:sz w:val="16"/>
                      <w:szCs w:val="16"/>
                    </w:rPr>
                    <w:t xml:space="preserve"> </w:t>
                  </w:r>
                  <w:r w:rsidRPr="001D0D85">
                    <w:rPr>
                      <w:rFonts w:ascii="Arial" w:hAnsi="Arial"/>
                      <w:sz w:val="16"/>
                      <w:szCs w:val="16"/>
                    </w:rPr>
                    <w:t>provided it does not exceed 0.5 W/ft</w:t>
                  </w:r>
                  <w:r w:rsidRPr="003C23EE">
                    <w:rPr>
                      <w:rFonts w:ascii="Arial" w:hAnsi="Arial"/>
                      <w:sz w:val="16"/>
                      <w:szCs w:val="16"/>
                      <w:vertAlign w:val="superscript"/>
                    </w:rPr>
                    <w:t>2</w:t>
                  </w:r>
                  <w:r w:rsidRPr="001D0D85">
                    <w:rPr>
                      <w:rFonts w:ascii="Arial" w:hAnsi="Arial"/>
                      <w:sz w:val="16"/>
                      <w:szCs w:val="16"/>
                    </w:rPr>
                    <w:t xml:space="preserve"> and the area is controlled by</w:t>
                  </w:r>
                  <w:r>
                    <w:rPr>
                      <w:rFonts w:ascii="Arial" w:hAnsi="Arial"/>
                      <w:sz w:val="16"/>
                      <w:szCs w:val="16"/>
                    </w:rPr>
                    <w:t xml:space="preserve"> </w:t>
                  </w:r>
                  <w:r w:rsidRPr="001D0D85">
                    <w:rPr>
                      <w:rFonts w:ascii="Arial" w:hAnsi="Arial"/>
                      <w:sz w:val="16"/>
                      <w:szCs w:val="16"/>
                    </w:rPr>
                    <w:t>switches accessible only to authorized personnel (the security or</w:t>
                  </w:r>
                  <w:r>
                    <w:rPr>
                      <w:rFonts w:ascii="Arial" w:hAnsi="Arial"/>
                      <w:sz w:val="16"/>
                      <w:szCs w:val="16"/>
                    </w:rPr>
                    <w:t xml:space="preserve"> </w:t>
                  </w:r>
                  <w:r w:rsidRPr="001D0D85">
                    <w:rPr>
                      <w:rFonts w:ascii="Arial" w:hAnsi="Arial"/>
                      <w:sz w:val="16"/>
                      <w:szCs w:val="16"/>
                    </w:rPr>
                    <w:t>egress area must be documented on the plans).</w:t>
                  </w:r>
                </w:p>
                <w:p w:rsidR="00C816F0" w:rsidRDefault="00C816F0" w:rsidP="00742F64">
                  <w:pPr>
                    <w:numPr>
                      <w:ilvl w:val="0"/>
                      <w:numId w:val="5"/>
                    </w:numPr>
                    <w:tabs>
                      <w:tab w:val="clear" w:pos="720"/>
                    </w:tabs>
                    <w:spacing w:after="120"/>
                    <w:rPr>
                      <w:rFonts w:ascii="Arial" w:hAnsi="Arial"/>
                      <w:sz w:val="16"/>
                      <w:szCs w:val="16"/>
                    </w:rPr>
                  </w:pPr>
                  <w:r w:rsidRPr="001D0D85">
                    <w:rPr>
                      <w:rFonts w:ascii="Arial" w:hAnsi="Arial"/>
                      <w:sz w:val="16"/>
                      <w:szCs w:val="16"/>
                    </w:rPr>
                    <w:t>Corridors, guest rooms, and lodging quarters of high-rise residential</w:t>
                  </w:r>
                  <w:r>
                    <w:rPr>
                      <w:rFonts w:ascii="Arial" w:hAnsi="Arial"/>
                      <w:sz w:val="16"/>
                      <w:szCs w:val="16"/>
                    </w:rPr>
                    <w:t xml:space="preserve"> </w:t>
                  </w:r>
                  <w:r w:rsidRPr="001D0D85">
                    <w:rPr>
                      <w:rFonts w:ascii="Arial" w:hAnsi="Arial"/>
                      <w:sz w:val="16"/>
                      <w:szCs w:val="16"/>
                    </w:rPr>
                    <w:t>buildings or hotel/motels.</w:t>
                  </w:r>
                </w:p>
                <w:p w:rsidR="00C816F0" w:rsidRDefault="00C816F0" w:rsidP="00742F64">
                  <w:pPr>
                    <w:spacing w:after="120"/>
                    <w:rPr>
                      <w:rFonts w:ascii="Arial" w:hAnsi="Arial"/>
                      <w:sz w:val="16"/>
                      <w:szCs w:val="16"/>
                    </w:rPr>
                  </w:pPr>
                  <w:r w:rsidRPr="001D0D85">
                    <w:rPr>
                      <w:rFonts w:ascii="Arial" w:hAnsi="Arial"/>
                      <w:sz w:val="16"/>
                      <w:szCs w:val="16"/>
                    </w:rPr>
                    <w:t>The shut-off control need not be a single control, but may include automatic time</w:t>
                  </w:r>
                  <w:r>
                    <w:rPr>
                      <w:rFonts w:ascii="Arial" w:hAnsi="Arial"/>
                      <w:sz w:val="16"/>
                      <w:szCs w:val="16"/>
                    </w:rPr>
                    <w:t xml:space="preserve"> </w:t>
                  </w:r>
                  <w:r w:rsidRPr="001D0D85">
                    <w:rPr>
                      <w:rFonts w:ascii="Arial" w:hAnsi="Arial"/>
                      <w:sz w:val="16"/>
                      <w:szCs w:val="16"/>
                    </w:rPr>
                    <w:t>switches, occupancy sensors, or other automatic controls (see Sections 5.2.1.1</w:t>
                  </w:r>
                  <w:r>
                    <w:rPr>
                      <w:rFonts w:ascii="Arial" w:hAnsi="Arial"/>
                      <w:sz w:val="16"/>
                      <w:szCs w:val="16"/>
                    </w:rPr>
                    <w:t xml:space="preserve"> </w:t>
                  </w:r>
                  <w:r w:rsidRPr="001D0D85">
                    <w:rPr>
                      <w:rFonts w:ascii="Arial" w:hAnsi="Arial"/>
                      <w:sz w:val="16"/>
                      <w:szCs w:val="16"/>
                    </w:rPr>
                    <w:t>A. Automatic Time Switches and B. Occupant-Sensors).</w:t>
                  </w:r>
                </w:p>
                <w:p w:rsidR="00C816F0" w:rsidRPr="001D0D85" w:rsidRDefault="00C816F0" w:rsidP="00742F64">
                  <w:pPr>
                    <w:spacing w:after="120"/>
                    <w:rPr>
                      <w:rFonts w:ascii="Arial" w:hAnsi="Arial"/>
                      <w:sz w:val="16"/>
                      <w:szCs w:val="16"/>
                    </w:rPr>
                  </w:pPr>
                  <w:r w:rsidRPr="001D0D85">
                    <w:rPr>
                      <w:rFonts w:ascii="Arial" w:hAnsi="Arial"/>
                      <w:sz w:val="16"/>
                      <w:szCs w:val="16"/>
                    </w:rPr>
                    <w:t>When an occupant-sensing device is used to meet the automatic shut-off</w:t>
                  </w:r>
                  <w:r>
                    <w:rPr>
                      <w:rFonts w:ascii="Arial" w:hAnsi="Arial"/>
                      <w:sz w:val="16"/>
                      <w:szCs w:val="16"/>
                    </w:rPr>
                    <w:t xml:space="preserve"> </w:t>
                  </w:r>
                  <w:r w:rsidRPr="001D0D85">
                    <w:rPr>
                      <w:rFonts w:ascii="Arial" w:hAnsi="Arial"/>
                      <w:sz w:val="16"/>
                      <w:szCs w:val="16"/>
                    </w:rPr>
                    <w:t>requirement, it must be installed in accordance with manufacturer's instructions</w:t>
                  </w:r>
                  <w:r>
                    <w:rPr>
                      <w:rFonts w:ascii="Arial" w:hAnsi="Arial"/>
                      <w:sz w:val="16"/>
                      <w:szCs w:val="16"/>
                    </w:rPr>
                    <w:t xml:space="preserve"> </w:t>
                  </w:r>
                  <w:r w:rsidRPr="001D0D85">
                    <w:rPr>
                      <w:rFonts w:ascii="Arial" w:hAnsi="Arial"/>
                      <w:sz w:val="16"/>
                      <w:szCs w:val="16"/>
                    </w:rPr>
                    <w:t>with regard to placement of the sensors.</w:t>
                  </w:r>
                </w:p>
              </w:txbxContent>
            </v:textbox>
            <w10:wrap type="none"/>
            <w10:anchorlock/>
          </v:shape>
        </w:pict>
      </w:r>
    </w:p>
    <w:p w:rsidR="00742F64" w:rsidRPr="00090DB0" w:rsidRDefault="00742F64" w:rsidP="00742F64">
      <w:pPr>
        <w:pStyle w:val="Caption"/>
        <w:keepNext/>
      </w:pPr>
      <w:bookmarkStart w:id="13" w:name="_Ref180380960"/>
      <w:bookmarkStart w:id="14" w:name="_Toc182220283"/>
      <w:bookmarkStart w:id="15" w:name="_Toc253057947"/>
      <w:proofErr w:type="gramStart"/>
      <w:r w:rsidRPr="00090DB0">
        <w:t xml:space="preserve">Figure </w:t>
      </w:r>
      <w:fldSimple w:instr=" SEQ Figure \* ARABIC ">
        <w:r w:rsidR="000F6E3A">
          <w:rPr>
            <w:noProof/>
          </w:rPr>
          <w:t>1</w:t>
        </w:r>
      </w:fldSimple>
      <w:r w:rsidRPr="00090DB0">
        <w:t>.</w:t>
      </w:r>
      <w:proofErr w:type="gramEnd"/>
      <w:r w:rsidRPr="00090DB0">
        <w:rPr>
          <w:b w:val="0"/>
          <w:bCs w:val="0"/>
        </w:rPr>
        <w:t xml:space="preserve"> Title 24, Section 5.2.1.2 Area Controls, Shut-Off Controls §131(d)</w:t>
      </w:r>
      <w:bookmarkEnd w:id="13"/>
      <w:bookmarkEnd w:id="14"/>
      <w:bookmarkEnd w:id="15"/>
    </w:p>
    <w:p w:rsidR="00742F64" w:rsidRPr="00090DB0" w:rsidRDefault="00742F64" w:rsidP="00742F64"/>
    <w:p w:rsidR="00742F64" w:rsidRPr="00090DB0" w:rsidRDefault="00742F64" w:rsidP="00742F64">
      <w:r w:rsidRPr="00090DB0">
        <w:t>If an occupancy sensor is used to comply with this section of the code, then it cannot be used to claim energy and demand savings.</w:t>
      </w:r>
    </w:p>
    <w:p w:rsidR="00742F64" w:rsidRPr="00090DB0" w:rsidRDefault="00742F64" w:rsidP="00742F64"/>
    <w:p w:rsidR="00742F64" w:rsidRPr="00090DB0" w:rsidRDefault="00742F64" w:rsidP="00742F64">
      <w:r w:rsidRPr="00090DB0">
        <w:t xml:space="preserve">New additions to existing spaces require automatic controls which include occupancy sensors. </w:t>
      </w:r>
      <w:proofErr w:type="gramStart"/>
      <w:r w:rsidRPr="00090DB0">
        <w:t>shows</w:t>
      </w:r>
      <w:proofErr w:type="gramEnd"/>
      <w:r w:rsidRPr="00090DB0">
        <w:t xml:space="preserve"> selected text from Section 5.14 Additions and Alterations, §149.</w:t>
      </w:r>
      <w:r w:rsidR="00B73DE1" w:rsidRPr="00090DB0">
        <w:t xml:space="preserve"> </w:t>
      </w:r>
    </w:p>
    <w:p w:rsidR="00742F64" w:rsidRPr="00090DB0" w:rsidRDefault="00742F64" w:rsidP="00742F64"/>
    <w:p w:rsidR="00742F64" w:rsidRPr="00090DB0" w:rsidRDefault="007C6EAB" w:rsidP="00742F64">
      <w:pPr>
        <w:jc w:val="center"/>
      </w:pPr>
      <w:r>
        <w:pict>
          <v:shape id="_x0000_s1033" type="#_x0000_t202" style="width:359.6pt;height:196.4pt;mso-left-percent:-10001;mso-top-percent:-10001;mso-position-horizontal:absolute;mso-position-horizontal-relative:char;mso-position-vertical:absolute;mso-position-vertical-relative:line;mso-left-percent:-10001;mso-top-percent:-10001" fillcolor="#f8f8f8">
            <v:textbox style="mso-next-textbox:#_x0000_s1033">
              <w:txbxContent>
                <w:p w:rsidR="00C816F0" w:rsidRPr="00E32B7C" w:rsidRDefault="00C816F0" w:rsidP="00742F64">
                  <w:pPr>
                    <w:autoSpaceDE w:val="0"/>
                    <w:autoSpaceDN w:val="0"/>
                    <w:adjustRightInd w:val="0"/>
                    <w:spacing w:after="120"/>
                    <w:rPr>
                      <w:rFonts w:ascii="Arial,BoldItalic" w:hAnsi="Arial,BoldItalic" w:cs="Arial,BoldItalic"/>
                      <w:sz w:val="20"/>
                      <w:szCs w:val="20"/>
                    </w:rPr>
                  </w:pPr>
                  <w:r>
                    <w:rPr>
                      <w:rFonts w:ascii="Arial,BoldItalic" w:hAnsi="Arial,BoldItalic" w:cs="Arial,BoldItalic"/>
                      <w:b/>
                      <w:bCs/>
                      <w:i/>
                      <w:iCs/>
                      <w:sz w:val="20"/>
                      <w:szCs w:val="20"/>
                    </w:rPr>
                    <w:t xml:space="preserve">5.14 </w:t>
                  </w:r>
                  <w:r w:rsidRPr="00E32B7C">
                    <w:rPr>
                      <w:rFonts w:ascii="Arial,BoldItalic" w:hAnsi="Arial,BoldItalic" w:cs="Arial,BoldItalic"/>
                      <w:b/>
                      <w:bCs/>
                      <w:i/>
                      <w:iCs/>
                      <w:sz w:val="20"/>
                      <w:szCs w:val="20"/>
                    </w:rPr>
                    <w:t>Additions and Alterations</w:t>
                  </w:r>
                </w:p>
                <w:p w:rsidR="00C816F0" w:rsidRDefault="00C816F0" w:rsidP="00742F64">
                  <w:pPr>
                    <w:spacing w:after="120"/>
                    <w:rPr>
                      <w:rFonts w:ascii="Arial" w:hAnsi="Arial"/>
                      <w:sz w:val="16"/>
                      <w:szCs w:val="16"/>
                    </w:rPr>
                  </w:pPr>
                  <w:r w:rsidRPr="00545A67">
                    <w:rPr>
                      <w:rFonts w:ascii="Arial" w:hAnsi="Arial"/>
                      <w:sz w:val="16"/>
                      <w:szCs w:val="16"/>
                    </w:rPr>
                    <w:t>New additions must meet the all mandatory measures for both the prescriptive</w:t>
                  </w:r>
                  <w:r>
                    <w:rPr>
                      <w:rFonts w:ascii="Arial" w:hAnsi="Arial"/>
                      <w:sz w:val="16"/>
                      <w:szCs w:val="16"/>
                    </w:rPr>
                    <w:t xml:space="preserve"> </w:t>
                  </w:r>
                  <w:r w:rsidRPr="00545A67">
                    <w:rPr>
                      <w:rFonts w:ascii="Arial" w:hAnsi="Arial"/>
                      <w:sz w:val="16"/>
                      <w:szCs w:val="16"/>
                    </w:rPr>
                    <w:t>and performance method of compliance. Prescriptive requirements, including</w:t>
                  </w:r>
                  <w:r>
                    <w:rPr>
                      <w:rFonts w:ascii="Arial" w:hAnsi="Arial"/>
                      <w:sz w:val="16"/>
                      <w:szCs w:val="16"/>
                    </w:rPr>
                    <w:t xml:space="preserve"> </w:t>
                  </w:r>
                  <w:r w:rsidRPr="00545A67">
                    <w:rPr>
                      <w:rFonts w:ascii="Arial" w:hAnsi="Arial"/>
                      <w:sz w:val="16"/>
                      <w:szCs w:val="16"/>
                    </w:rPr>
                    <w:t>the lighting power densities must be met if prescriptive method of compliance is</w:t>
                  </w:r>
                  <w:r>
                    <w:rPr>
                      <w:rFonts w:ascii="Arial" w:hAnsi="Arial"/>
                      <w:sz w:val="16"/>
                      <w:szCs w:val="16"/>
                    </w:rPr>
                    <w:t xml:space="preserve"> </w:t>
                  </w:r>
                  <w:r w:rsidRPr="00545A67">
                    <w:rPr>
                      <w:rFonts w:ascii="Arial" w:hAnsi="Arial"/>
                      <w:sz w:val="16"/>
                      <w:szCs w:val="16"/>
                    </w:rPr>
                    <w:t>used. If performance approach is used, the lighting power densities may be</w:t>
                  </w:r>
                  <w:r>
                    <w:rPr>
                      <w:rFonts w:ascii="Arial" w:hAnsi="Arial"/>
                      <w:sz w:val="16"/>
                      <w:szCs w:val="16"/>
                    </w:rPr>
                    <w:t xml:space="preserve"> </w:t>
                  </w:r>
                  <w:r w:rsidRPr="00545A67">
                    <w:rPr>
                      <w:rFonts w:ascii="Arial" w:hAnsi="Arial"/>
                      <w:sz w:val="16"/>
                      <w:szCs w:val="16"/>
                    </w:rPr>
                    <w:t>traded-off against other prescriptive building features.</w:t>
                  </w:r>
                </w:p>
                <w:p w:rsidR="00C816F0" w:rsidRPr="00E32B7C" w:rsidRDefault="00C816F0" w:rsidP="00742F64">
                  <w:pPr>
                    <w:spacing w:after="120"/>
                    <w:rPr>
                      <w:rFonts w:ascii="Arial" w:hAnsi="Arial"/>
                      <w:b/>
                      <w:i/>
                      <w:sz w:val="20"/>
                      <w:szCs w:val="20"/>
                    </w:rPr>
                  </w:pPr>
                  <w:r w:rsidRPr="00E32B7C">
                    <w:rPr>
                      <w:rFonts w:ascii="Arial" w:hAnsi="Arial"/>
                      <w:b/>
                      <w:i/>
                      <w:sz w:val="20"/>
                      <w:szCs w:val="20"/>
                    </w:rPr>
                    <w:t>5.14.1 Mandatory Measures – Additions and Alterations</w:t>
                  </w:r>
                </w:p>
                <w:p w:rsidR="00C816F0" w:rsidRDefault="00C816F0" w:rsidP="00742F64">
                  <w:pPr>
                    <w:spacing w:after="120"/>
                    <w:rPr>
                      <w:rFonts w:ascii="Arial" w:hAnsi="Arial"/>
                      <w:sz w:val="16"/>
                      <w:szCs w:val="16"/>
                    </w:rPr>
                  </w:pPr>
                  <w:r w:rsidRPr="00E32B7C">
                    <w:rPr>
                      <w:rFonts w:ascii="Arial" w:hAnsi="Arial"/>
                      <w:sz w:val="16"/>
                      <w:szCs w:val="16"/>
                    </w:rPr>
                    <w:t>New additions and lighting systems that are installed for the first time in an</w:t>
                  </w:r>
                  <w:r>
                    <w:rPr>
                      <w:rFonts w:ascii="Arial" w:hAnsi="Arial"/>
                      <w:sz w:val="16"/>
                      <w:szCs w:val="16"/>
                    </w:rPr>
                    <w:t xml:space="preserve"> </w:t>
                  </w:r>
                  <w:r w:rsidRPr="00E32B7C">
                    <w:rPr>
                      <w:rFonts w:ascii="Arial" w:hAnsi="Arial"/>
                      <w:sz w:val="16"/>
                      <w:szCs w:val="16"/>
                    </w:rPr>
                    <w:t>existing space must comply with mandatory requirements of §119, §130, §131,</w:t>
                  </w:r>
                  <w:r>
                    <w:rPr>
                      <w:rFonts w:ascii="Arial" w:hAnsi="Arial"/>
                      <w:sz w:val="16"/>
                      <w:szCs w:val="16"/>
                    </w:rPr>
                    <w:t xml:space="preserve"> </w:t>
                  </w:r>
                  <w:r w:rsidRPr="00E32B7C">
                    <w:rPr>
                      <w:rFonts w:ascii="Arial" w:hAnsi="Arial"/>
                      <w:sz w:val="16"/>
                      <w:szCs w:val="16"/>
                    </w:rPr>
                    <w:t>and §132.</w:t>
                  </w:r>
                </w:p>
                <w:p w:rsidR="00C816F0" w:rsidRPr="00E32B7C" w:rsidRDefault="00C816F0" w:rsidP="00742F64">
                  <w:pPr>
                    <w:spacing w:after="120"/>
                    <w:rPr>
                      <w:rFonts w:ascii="Arial" w:hAnsi="Arial"/>
                      <w:b/>
                      <w:i/>
                      <w:sz w:val="20"/>
                      <w:szCs w:val="20"/>
                    </w:rPr>
                  </w:pPr>
                  <w:r w:rsidRPr="00E32B7C">
                    <w:rPr>
                      <w:rFonts w:ascii="Arial" w:hAnsi="Arial"/>
                      <w:b/>
                      <w:i/>
                      <w:sz w:val="20"/>
                      <w:szCs w:val="20"/>
                    </w:rPr>
                    <w:t>5.14.2 Prescriptive Measures – Additions</w:t>
                  </w:r>
                </w:p>
                <w:p w:rsidR="00C816F0" w:rsidRPr="00E32B7C" w:rsidRDefault="00C816F0" w:rsidP="00742F64">
                  <w:pPr>
                    <w:spacing w:after="120"/>
                    <w:rPr>
                      <w:rFonts w:ascii="Arial" w:hAnsi="Arial"/>
                      <w:sz w:val="16"/>
                      <w:szCs w:val="16"/>
                    </w:rPr>
                  </w:pPr>
                  <w:r w:rsidRPr="00E32B7C">
                    <w:rPr>
                      <w:rFonts w:ascii="Arial" w:hAnsi="Arial"/>
                      <w:sz w:val="16"/>
                      <w:szCs w:val="16"/>
                    </w:rPr>
                    <w:t>All additions must comply with the prescriptive requirements of</w:t>
                  </w:r>
                </w:p>
                <w:p w:rsidR="00C816F0" w:rsidRPr="00E32B7C" w:rsidRDefault="00C816F0" w:rsidP="00742F64">
                  <w:pPr>
                    <w:numPr>
                      <w:ilvl w:val="0"/>
                      <w:numId w:val="6"/>
                    </w:numPr>
                    <w:tabs>
                      <w:tab w:val="clear" w:pos="720"/>
                      <w:tab w:val="num" w:pos="540"/>
                    </w:tabs>
                    <w:spacing w:after="120"/>
                    <w:rPr>
                      <w:rFonts w:ascii="Arial" w:hAnsi="Arial"/>
                      <w:sz w:val="16"/>
                      <w:szCs w:val="16"/>
                    </w:rPr>
                  </w:pPr>
                  <w:r w:rsidRPr="00E32B7C">
                    <w:rPr>
                      <w:rFonts w:ascii="Arial" w:hAnsi="Arial"/>
                      <w:sz w:val="16"/>
                      <w:szCs w:val="16"/>
                    </w:rPr>
                    <w:t xml:space="preserve">§143 (c) – Minimum Skylight Area for Large Enclosed Spaces in </w:t>
                  </w:r>
                  <w:proofErr w:type="spellStart"/>
                  <w:r w:rsidRPr="00E32B7C">
                    <w:rPr>
                      <w:rFonts w:ascii="Arial" w:hAnsi="Arial"/>
                      <w:sz w:val="16"/>
                      <w:szCs w:val="16"/>
                    </w:rPr>
                    <w:t>Lowrise</w:t>
                  </w:r>
                  <w:proofErr w:type="spellEnd"/>
                  <w:r>
                    <w:rPr>
                      <w:rFonts w:ascii="Arial" w:hAnsi="Arial"/>
                      <w:sz w:val="16"/>
                      <w:szCs w:val="16"/>
                    </w:rPr>
                    <w:t xml:space="preserve"> </w:t>
                  </w:r>
                  <w:r w:rsidRPr="00E32B7C">
                    <w:rPr>
                      <w:rFonts w:ascii="Arial" w:hAnsi="Arial"/>
                      <w:sz w:val="16"/>
                      <w:szCs w:val="16"/>
                    </w:rPr>
                    <w:t>Buildings, and</w:t>
                  </w:r>
                </w:p>
                <w:p w:rsidR="00C816F0" w:rsidRPr="00E32B7C" w:rsidRDefault="00C816F0" w:rsidP="00742F64">
                  <w:pPr>
                    <w:numPr>
                      <w:ilvl w:val="0"/>
                      <w:numId w:val="6"/>
                    </w:numPr>
                    <w:tabs>
                      <w:tab w:val="clear" w:pos="720"/>
                      <w:tab w:val="num" w:pos="540"/>
                    </w:tabs>
                    <w:spacing w:after="120"/>
                    <w:rPr>
                      <w:rFonts w:ascii="Arial" w:hAnsi="Arial"/>
                      <w:sz w:val="16"/>
                      <w:szCs w:val="16"/>
                    </w:rPr>
                  </w:pPr>
                  <w:r w:rsidRPr="00E32B7C">
                    <w:rPr>
                      <w:rFonts w:ascii="Arial" w:hAnsi="Arial"/>
                      <w:sz w:val="16"/>
                      <w:szCs w:val="16"/>
                    </w:rPr>
                    <w:t>§146 – Prescriptive Requirements for Indoor Lighting</w:t>
                  </w:r>
                </w:p>
                <w:p w:rsidR="00C816F0" w:rsidRDefault="00C816F0" w:rsidP="00742F64">
                  <w:pPr>
                    <w:spacing w:after="120"/>
                    <w:rPr>
                      <w:rFonts w:ascii="Arial" w:hAnsi="Arial"/>
                      <w:sz w:val="16"/>
                      <w:szCs w:val="16"/>
                    </w:rPr>
                  </w:pPr>
                  <w:r w:rsidRPr="00E32B7C">
                    <w:rPr>
                      <w:rFonts w:ascii="Arial" w:hAnsi="Arial"/>
                      <w:sz w:val="16"/>
                      <w:szCs w:val="16"/>
                    </w:rPr>
                    <w:t>Additions must also meet the mandatory requirements discussed in Section</w:t>
                  </w:r>
                  <w:r>
                    <w:rPr>
                      <w:rFonts w:ascii="Arial" w:hAnsi="Arial"/>
                      <w:sz w:val="16"/>
                      <w:szCs w:val="16"/>
                    </w:rPr>
                    <w:t xml:space="preserve"> </w:t>
                  </w:r>
                  <w:r w:rsidRPr="00E32B7C">
                    <w:rPr>
                      <w:rFonts w:ascii="Arial" w:hAnsi="Arial"/>
                      <w:sz w:val="16"/>
                      <w:szCs w:val="16"/>
                    </w:rPr>
                    <w:t>5.12.1 above. For more information on these requirements, refer to Section 5.2.2</w:t>
                  </w:r>
                  <w:r>
                    <w:rPr>
                      <w:rFonts w:ascii="Arial" w:hAnsi="Arial"/>
                      <w:sz w:val="16"/>
                      <w:szCs w:val="16"/>
                    </w:rPr>
                    <w:t xml:space="preserve"> </w:t>
                  </w:r>
                  <w:r w:rsidRPr="00E32B7C">
                    <w:rPr>
                      <w:rFonts w:ascii="Arial" w:hAnsi="Arial"/>
                      <w:sz w:val="16"/>
                      <w:szCs w:val="16"/>
                    </w:rPr>
                    <w:t>Prescriptive Approach.</w:t>
                  </w:r>
                </w:p>
                <w:p w:rsidR="00C816F0" w:rsidRPr="00E32B7C" w:rsidRDefault="00C816F0" w:rsidP="00742F64">
                  <w:pPr>
                    <w:spacing w:after="120"/>
                    <w:rPr>
                      <w:rFonts w:ascii="Arial" w:hAnsi="Arial"/>
                      <w:sz w:val="16"/>
                      <w:szCs w:val="16"/>
                    </w:rPr>
                  </w:pPr>
                </w:p>
                <w:p w:rsidR="00C816F0" w:rsidRDefault="00C816F0" w:rsidP="00742F64">
                  <w:pPr>
                    <w:spacing w:after="120"/>
                  </w:pPr>
                </w:p>
              </w:txbxContent>
            </v:textbox>
            <w10:wrap type="none"/>
            <w10:anchorlock/>
          </v:shape>
        </w:pict>
      </w:r>
    </w:p>
    <w:p w:rsidR="00742F64" w:rsidRPr="00090DB0" w:rsidRDefault="00742F64" w:rsidP="00742F64">
      <w:pPr>
        <w:pStyle w:val="Caption"/>
        <w:keepNext/>
      </w:pPr>
      <w:bookmarkStart w:id="16" w:name="_Toc182220284"/>
      <w:bookmarkStart w:id="17" w:name="_Toc253057948"/>
      <w:proofErr w:type="gramStart"/>
      <w:r w:rsidRPr="00090DB0">
        <w:t xml:space="preserve">Figure </w:t>
      </w:r>
      <w:fldSimple w:instr=" SEQ Figure \* ARABIC ">
        <w:r w:rsidR="000F6E3A">
          <w:rPr>
            <w:noProof/>
          </w:rPr>
          <w:t>2</w:t>
        </w:r>
      </w:fldSimple>
      <w:r w:rsidRPr="00090DB0">
        <w:t>.</w:t>
      </w:r>
      <w:proofErr w:type="gramEnd"/>
      <w:r w:rsidRPr="00090DB0">
        <w:rPr>
          <w:b w:val="0"/>
        </w:rPr>
        <w:t xml:space="preserve"> Title 24, Section 5.14, Selections Pertaining to Additions</w:t>
      </w:r>
      <w:bookmarkEnd w:id="16"/>
      <w:bookmarkEnd w:id="17"/>
    </w:p>
    <w:p w:rsidR="00742F64" w:rsidRPr="00090DB0" w:rsidRDefault="00742F64" w:rsidP="00742F64"/>
    <w:p w:rsidR="00742F64" w:rsidRPr="00090DB0" w:rsidRDefault="00742F64" w:rsidP="00742F64">
      <w:r w:rsidRPr="00090DB0">
        <w:t xml:space="preserve">If the occupancy sensor is used for either the mandatory, prescriptive, or performance compliance, then it cannot be used to claim energy and demand savings. </w:t>
      </w:r>
    </w:p>
    <w:p w:rsidR="00742F64" w:rsidRPr="00090DB0" w:rsidRDefault="00742F64" w:rsidP="00742F64"/>
    <w:p w:rsidR="00742F64" w:rsidRPr="00090DB0" w:rsidRDefault="00742F64" w:rsidP="00742F64">
      <w:r w:rsidRPr="00090DB0">
        <w:t xml:space="preserve">Alterations to existing spaces require automatic controls which include occupancy sensors. </w:t>
      </w:r>
      <w:r w:rsidR="007C6EAB">
        <w:fldChar w:fldCharType="begin"/>
      </w:r>
      <w:r>
        <w:instrText xml:space="preserve"> REF _Ref180381223 \h  \* MERGEFORMAT </w:instrText>
      </w:r>
      <w:r w:rsidR="007C6EAB">
        <w:fldChar w:fldCharType="separate"/>
      </w:r>
      <w:proofErr w:type="gramStart"/>
      <w:r w:rsidR="000F6E3A" w:rsidRPr="00090DB0">
        <w:t xml:space="preserve">Figure </w:t>
      </w:r>
      <w:r w:rsidR="000F6E3A">
        <w:rPr>
          <w:noProof/>
        </w:rPr>
        <w:t>3</w:t>
      </w:r>
      <w:r w:rsidR="000F6E3A" w:rsidRPr="00090DB0">
        <w:rPr>
          <w:noProof/>
        </w:rPr>
        <w:t>.</w:t>
      </w:r>
      <w:proofErr w:type="gramEnd"/>
      <w:r w:rsidR="000F6E3A" w:rsidRPr="000F6E3A">
        <w:rPr>
          <w:b/>
        </w:rPr>
        <w:t xml:space="preserve"> Title 24, Section 5.14, Selections Pertaining to Alterations</w:t>
      </w:r>
      <w:r w:rsidR="007C6EAB">
        <w:fldChar w:fldCharType="end"/>
      </w:r>
      <w:r w:rsidRPr="00090DB0">
        <w:t xml:space="preserve"> shows selected text from Section 5.14 Additions and Alterations, §149.</w:t>
      </w:r>
      <w:r w:rsidR="00B73DE1" w:rsidRPr="00090DB0">
        <w:t xml:space="preserve"> </w:t>
      </w:r>
    </w:p>
    <w:p w:rsidR="00742F64" w:rsidRPr="00090DB0" w:rsidRDefault="007C6EAB" w:rsidP="00742F64">
      <w:pPr>
        <w:jc w:val="center"/>
      </w:pPr>
      <w:r>
        <w:pict>
          <v:shape id="_x0000_s1032" type="#_x0000_t202" style="width:359.6pt;height:359.6pt;mso-left-percent:-10001;mso-top-percent:-10001;mso-position-horizontal:absolute;mso-position-horizontal-relative:char;mso-position-vertical:absolute;mso-position-vertical-relative:line;mso-left-percent:-10001;mso-top-percent:-10001" fillcolor="#f8f8f8">
            <v:textbox style="mso-next-textbox:#_x0000_s1032">
              <w:txbxContent>
                <w:p w:rsidR="00C816F0" w:rsidRPr="00E32B7C" w:rsidRDefault="00C816F0" w:rsidP="00742F64">
                  <w:pPr>
                    <w:autoSpaceDE w:val="0"/>
                    <w:autoSpaceDN w:val="0"/>
                    <w:adjustRightInd w:val="0"/>
                    <w:spacing w:after="120"/>
                    <w:rPr>
                      <w:rFonts w:ascii="Arial,BoldItalic" w:hAnsi="Arial,BoldItalic" w:cs="Arial,BoldItalic"/>
                      <w:sz w:val="20"/>
                      <w:szCs w:val="20"/>
                    </w:rPr>
                  </w:pPr>
                  <w:r>
                    <w:rPr>
                      <w:rFonts w:ascii="Arial,BoldItalic" w:hAnsi="Arial,BoldItalic" w:cs="Arial,BoldItalic"/>
                      <w:b/>
                      <w:bCs/>
                      <w:i/>
                      <w:iCs/>
                      <w:sz w:val="20"/>
                      <w:szCs w:val="20"/>
                    </w:rPr>
                    <w:t xml:space="preserve">5.14 </w:t>
                  </w:r>
                  <w:r w:rsidRPr="00E32B7C">
                    <w:rPr>
                      <w:rFonts w:ascii="Arial,BoldItalic" w:hAnsi="Arial,BoldItalic" w:cs="Arial,BoldItalic"/>
                      <w:b/>
                      <w:bCs/>
                      <w:i/>
                      <w:iCs/>
                      <w:sz w:val="20"/>
                      <w:szCs w:val="20"/>
                    </w:rPr>
                    <w:t>Additions and Alterations</w:t>
                  </w:r>
                </w:p>
                <w:p w:rsidR="00C816F0" w:rsidRDefault="00C816F0" w:rsidP="00742F64">
                  <w:pPr>
                    <w:spacing w:after="120"/>
                    <w:rPr>
                      <w:rFonts w:ascii="Arial" w:hAnsi="Arial"/>
                      <w:sz w:val="16"/>
                      <w:szCs w:val="16"/>
                    </w:rPr>
                  </w:pPr>
                  <w:r w:rsidRPr="00AA66D5">
                    <w:rPr>
                      <w:rFonts w:ascii="Arial" w:hAnsi="Arial"/>
                      <w:sz w:val="16"/>
                      <w:szCs w:val="16"/>
                    </w:rPr>
                    <w:t>Altered lighting components must also meet applicable mandatory measures</w:t>
                  </w:r>
                  <w:r>
                    <w:rPr>
                      <w:rFonts w:ascii="Arial" w:hAnsi="Arial"/>
                      <w:sz w:val="16"/>
                      <w:szCs w:val="16"/>
                    </w:rPr>
                    <w:t xml:space="preserve"> </w:t>
                  </w:r>
                  <w:r w:rsidRPr="00AA66D5">
                    <w:rPr>
                      <w:rFonts w:ascii="Arial" w:hAnsi="Arial"/>
                      <w:sz w:val="16"/>
                      <w:szCs w:val="16"/>
                    </w:rPr>
                    <w:t>described below. Prescriptive requirements apply if in a permitted space (The</w:t>
                  </w:r>
                  <w:r>
                    <w:rPr>
                      <w:rFonts w:ascii="Arial" w:hAnsi="Arial"/>
                      <w:sz w:val="16"/>
                      <w:szCs w:val="16"/>
                    </w:rPr>
                    <w:t xml:space="preserve"> </w:t>
                  </w:r>
                  <w:r w:rsidRPr="00AA66D5">
                    <w:rPr>
                      <w:rFonts w:ascii="Arial" w:hAnsi="Arial"/>
                      <w:sz w:val="16"/>
                      <w:szCs w:val="16"/>
                    </w:rPr>
                    <w:t>Basis for the Alteration Area is discussed in Section 5.12.3, Prescriptive</w:t>
                  </w:r>
                  <w:r>
                    <w:rPr>
                      <w:rFonts w:ascii="Arial" w:hAnsi="Arial"/>
                      <w:sz w:val="16"/>
                      <w:szCs w:val="16"/>
                    </w:rPr>
                    <w:t xml:space="preserve"> </w:t>
                  </w:r>
                  <w:r w:rsidRPr="00AA66D5">
                    <w:rPr>
                      <w:rFonts w:ascii="Arial" w:hAnsi="Arial"/>
                      <w:sz w:val="16"/>
                      <w:szCs w:val="16"/>
                    </w:rPr>
                    <w:t>Measure – Alterations below) more than 50% of the fixtures are replaced, or if</w:t>
                  </w:r>
                  <w:r>
                    <w:rPr>
                      <w:rFonts w:ascii="Arial" w:hAnsi="Arial"/>
                      <w:sz w:val="16"/>
                      <w:szCs w:val="16"/>
                    </w:rPr>
                    <w:t xml:space="preserve"> </w:t>
                  </w:r>
                  <w:r w:rsidRPr="00AA66D5">
                    <w:rPr>
                      <w:rFonts w:ascii="Arial" w:hAnsi="Arial"/>
                      <w:sz w:val="16"/>
                      <w:szCs w:val="16"/>
                    </w:rPr>
                    <w:t>the connected lighting load is increased. These requirements are discussed in</w:t>
                  </w:r>
                  <w:r>
                    <w:rPr>
                      <w:rFonts w:ascii="Arial" w:hAnsi="Arial"/>
                      <w:sz w:val="16"/>
                      <w:szCs w:val="16"/>
                    </w:rPr>
                    <w:t xml:space="preserve"> </w:t>
                  </w:r>
                  <w:r w:rsidRPr="00AA66D5">
                    <w:rPr>
                      <w:rFonts w:ascii="Arial" w:hAnsi="Arial"/>
                      <w:sz w:val="16"/>
                      <w:szCs w:val="16"/>
                    </w:rPr>
                    <w:t>the following sections.</w:t>
                  </w:r>
                </w:p>
                <w:p w:rsidR="00C816F0" w:rsidRPr="00AA66D5" w:rsidRDefault="00C816F0" w:rsidP="00742F64">
                  <w:pPr>
                    <w:spacing w:after="120"/>
                    <w:rPr>
                      <w:rFonts w:ascii="Arial" w:hAnsi="Arial"/>
                      <w:sz w:val="16"/>
                      <w:szCs w:val="16"/>
                    </w:rPr>
                  </w:pPr>
                  <w:r w:rsidRPr="00AA66D5">
                    <w:rPr>
                      <w:rFonts w:ascii="Arial" w:hAnsi="Arial"/>
                      <w:sz w:val="16"/>
                      <w:szCs w:val="16"/>
                    </w:rPr>
                    <w:t xml:space="preserve">Lighting alterations generally refers to replacing the entire </w:t>
                  </w:r>
                  <w:proofErr w:type="spellStart"/>
                  <w:r w:rsidRPr="00AA66D5">
                    <w:rPr>
                      <w:rFonts w:ascii="Arial" w:hAnsi="Arial"/>
                      <w:sz w:val="16"/>
                      <w:szCs w:val="16"/>
                    </w:rPr>
                    <w:t>luminaire</w:t>
                  </w:r>
                  <w:proofErr w:type="spellEnd"/>
                  <w:r w:rsidRPr="00AA66D5">
                    <w:rPr>
                      <w:rFonts w:ascii="Arial" w:hAnsi="Arial"/>
                      <w:sz w:val="16"/>
                      <w:szCs w:val="16"/>
                    </w:rPr>
                    <w:t>, which</w:t>
                  </w:r>
                  <w:r>
                    <w:rPr>
                      <w:rFonts w:ascii="Arial" w:hAnsi="Arial"/>
                      <w:sz w:val="16"/>
                      <w:szCs w:val="16"/>
                    </w:rPr>
                    <w:t xml:space="preserve"> </w:t>
                  </w:r>
                  <w:r w:rsidRPr="00AA66D5">
                    <w:rPr>
                      <w:rFonts w:ascii="Arial" w:hAnsi="Arial"/>
                      <w:sz w:val="16"/>
                      <w:szCs w:val="16"/>
                    </w:rPr>
                    <w:t>includes the housing, lamps, ballasts, and louvers or lenses. Simply replacing</w:t>
                  </w:r>
                  <w:r>
                    <w:rPr>
                      <w:rFonts w:ascii="Arial" w:hAnsi="Arial"/>
                      <w:sz w:val="16"/>
                      <w:szCs w:val="16"/>
                    </w:rPr>
                    <w:t xml:space="preserve"> </w:t>
                  </w:r>
                  <w:r w:rsidRPr="00AA66D5">
                    <w:rPr>
                      <w:rFonts w:ascii="Arial" w:hAnsi="Arial"/>
                      <w:sz w:val="16"/>
                      <w:szCs w:val="16"/>
                    </w:rPr>
                    <w:t>the lamps and ballasts in an existing fixture is not considered a lighting</w:t>
                  </w:r>
                  <w:r>
                    <w:rPr>
                      <w:rFonts w:ascii="Arial" w:hAnsi="Arial"/>
                      <w:sz w:val="16"/>
                      <w:szCs w:val="16"/>
                    </w:rPr>
                    <w:t xml:space="preserve"> </w:t>
                  </w:r>
                  <w:r w:rsidRPr="00AA66D5">
                    <w:rPr>
                      <w:rFonts w:ascii="Arial" w:hAnsi="Arial"/>
                      <w:sz w:val="16"/>
                      <w:szCs w:val="16"/>
                    </w:rPr>
                    <w:t xml:space="preserve">alteration. Replacing or installing new wiring that connects the </w:t>
                  </w:r>
                  <w:proofErr w:type="spellStart"/>
                  <w:r w:rsidRPr="00AA66D5">
                    <w:rPr>
                      <w:rFonts w:ascii="Arial" w:hAnsi="Arial"/>
                      <w:sz w:val="16"/>
                      <w:szCs w:val="16"/>
                    </w:rPr>
                    <w:t>luminaires</w:t>
                  </w:r>
                  <w:proofErr w:type="spellEnd"/>
                  <w:r w:rsidRPr="00AA66D5">
                    <w:rPr>
                      <w:rFonts w:ascii="Arial" w:hAnsi="Arial"/>
                      <w:sz w:val="16"/>
                      <w:szCs w:val="16"/>
                    </w:rPr>
                    <w:t xml:space="preserve"> to</w:t>
                  </w:r>
                  <w:r>
                    <w:rPr>
                      <w:rFonts w:ascii="Arial" w:hAnsi="Arial"/>
                      <w:sz w:val="16"/>
                      <w:szCs w:val="16"/>
                    </w:rPr>
                    <w:t xml:space="preserve"> </w:t>
                  </w:r>
                  <w:r w:rsidRPr="00AA66D5">
                    <w:rPr>
                      <w:rFonts w:ascii="Arial" w:hAnsi="Arial"/>
                      <w:sz w:val="16"/>
                      <w:szCs w:val="16"/>
                    </w:rPr>
                    <w:t>switches, relays, branch circuits, and other control devices represents a lighting</w:t>
                  </w:r>
                  <w:r>
                    <w:rPr>
                      <w:rFonts w:ascii="Arial" w:hAnsi="Arial"/>
                      <w:sz w:val="16"/>
                      <w:szCs w:val="16"/>
                    </w:rPr>
                    <w:t xml:space="preserve"> </w:t>
                  </w:r>
                  <w:r w:rsidRPr="00AA66D5">
                    <w:rPr>
                      <w:rFonts w:ascii="Arial" w:hAnsi="Arial"/>
                      <w:sz w:val="16"/>
                      <w:szCs w:val="16"/>
                    </w:rPr>
                    <w:t>alteration and therefore must meet the applicable mandatory requirements as</w:t>
                  </w:r>
                  <w:r>
                    <w:rPr>
                      <w:rFonts w:ascii="Arial" w:hAnsi="Arial"/>
                      <w:sz w:val="16"/>
                      <w:szCs w:val="16"/>
                    </w:rPr>
                    <w:t xml:space="preserve"> </w:t>
                  </w:r>
                  <w:r w:rsidRPr="00AA66D5">
                    <w:rPr>
                      <w:rFonts w:ascii="Arial" w:hAnsi="Arial"/>
                      <w:sz w:val="16"/>
                      <w:szCs w:val="16"/>
                    </w:rPr>
                    <w:t>described below.</w:t>
                  </w:r>
                </w:p>
                <w:p w:rsidR="00C816F0" w:rsidRPr="00E32B7C" w:rsidRDefault="00C816F0" w:rsidP="00742F64">
                  <w:pPr>
                    <w:spacing w:after="120"/>
                    <w:rPr>
                      <w:rFonts w:ascii="Arial" w:hAnsi="Arial"/>
                      <w:b/>
                      <w:i/>
                      <w:sz w:val="20"/>
                      <w:szCs w:val="20"/>
                    </w:rPr>
                  </w:pPr>
                  <w:r w:rsidRPr="00E32B7C">
                    <w:rPr>
                      <w:rFonts w:ascii="Arial" w:hAnsi="Arial"/>
                      <w:b/>
                      <w:i/>
                      <w:sz w:val="20"/>
                      <w:szCs w:val="20"/>
                    </w:rPr>
                    <w:t>5.14.1 Mandatory Measures – Additions and Alterations</w:t>
                  </w:r>
                </w:p>
                <w:p w:rsidR="00C816F0" w:rsidRPr="00AA66D5" w:rsidRDefault="00C816F0" w:rsidP="00742F64">
                  <w:pPr>
                    <w:spacing w:after="120"/>
                    <w:rPr>
                      <w:rFonts w:ascii="Arial" w:hAnsi="Arial"/>
                      <w:sz w:val="16"/>
                      <w:szCs w:val="16"/>
                    </w:rPr>
                  </w:pPr>
                  <w:r w:rsidRPr="00AA66D5">
                    <w:rPr>
                      <w:rFonts w:ascii="Arial" w:hAnsi="Arial"/>
                      <w:sz w:val="16"/>
                      <w:szCs w:val="16"/>
                    </w:rPr>
                    <w:t>All “altered” lighting components in alterations must comply with applicable</w:t>
                  </w:r>
                  <w:r>
                    <w:rPr>
                      <w:rFonts w:ascii="Arial" w:hAnsi="Arial"/>
                      <w:sz w:val="16"/>
                      <w:szCs w:val="16"/>
                    </w:rPr>
                    <w:t xml:space="preserve"> </w:t>
                  </w:r>
                  <w:r w:rsidRPr="00AA66D5">
                    <w:rPr>
                      <w:rFonts w:ascii="Arial" w:hAnsi="Arial"/>
                      <w:sz w:val="16"/>
                      <w:szCs w:val="16"/>
                    </w:rPr>
                    <w:t>mandatory requirements of §119, §130, §131, and §132. Although these</w:t>
                  </w:r>
                  <w:r>
                    <w:rPr>
                      <w:rFonts w:ascii="Arial" w:hAnsi="Arial"/>
                      <w:sz w:val="16"/>
                      <w:szCs w:val="16"/>
                    </w:rPr>
                    <w:t xml:space="preserve"> </w:t>
                  </w:r>
                  <w:r w:rsidRPr="00AA66D5">
                    <w:rPr>
                      <w:rFonts w:ascii="Arial" w:hAnsi="Arial"/>
                      <w:sz w:val="16"/>
                      <w:szCs w:val="16"/>
                    </w:rPr>
                    <w:t xml:space="preserve">mandatory requirements apply only to </w:t>
                  </w:r>
                  <w:proofErr w:type="gramStart"/>
                  <w:r w:rsidRPr="00AA66D5">
                    <w:rPr>
                      <w:rFonts w:ascii="Arial" w:hAnsi="Arial"/>
                      <w:sz w:val="16"/>
                      <w:szCs w:val="16"/>
                    </w:rPr>
                    <w:t>altered</w:t>
                  </w:r>
                  <w:proofErr w:type="gramEnd"/>
                  <w:r w:rsidRPr="00AA66D5">
                    <w:rPr>
                      <w:rFonts w:ascii="Arial" w:hAnsi="Arial"/>
                      <w:sz w:val="16"/>
                      <w:szCs w:val="16"/>
                    </w:rPr>
                    <w:t xml:space="preserve"> lighting components, it is</w:t>
                  </w:r>
                  <w:r>
                    <w:rPr>
                      <w:rFonts w:ascii="Arial" w:hAnsi="Arial"/>
                      <w:sz w:val="16"/>
                      <w:szCs w:val="16"/>
                    </w:rPr>
                    <w:t xml:space="preserve"> </w:t>
                  </w:r>
                  <w:r w:rsidRPr="00AA66D5">
                    <w:rPr>
                      <w:rFonts w:ascii="Arial" w:hAnsi="Arial"/>
                      <w:sz w:val="16"/>
                      <w:szCs w:val="16"/>
                    </w:rPr>
                    <w:t>recommended that mandatory measures be considered for the entire space to</w:t>
                  </w:r>
                  <w:r>
                    <w:rPr>
                      <w:rFonts w:ascii="Arial" w:hAnsi="Arial"/>
                      <w:sz w:val="16"/>
                      <w:szCs w:val="16"/>
                    </w:rPr>
                    <w:t xml:space="preserve"> </w:t>
                  </w:r>
                  <w:r w:rsidRPr="00AA66D5">
                    <w:rPr>
                      <w:rFonts w:ascii="Arial" w:hAnsi="Arial"/>
                      <w:sz w:val="16"/>
                      <w:szCs w:val="16"/>
                    </w:rPr>
                    <w:t>achieve maximum energy savings.</w:t>
                  </w:r>
                </w:p>
                <w:p w:rsidR="00C816F0" w:rsidRPr="00AA66D5" w:rsidRDefault="00C816F0" w:rsidP="00742F64">
                  <w:pPr>
                    <w:numPr>
                      <w:ilvl w:val="0"/>
                      <w:numId w:val="7"/>
                    </w:numPr>
                    <w:spacing w:after="120"/>
                    <w:rPr>
                      <w:rFonts w:ascii="Arial" w:hAnsi="Arial"/>
                      <w:sz w:val="16"/>
                      <w:szCs w:val="16"/>
                    </w:rPr>
                  </w:pPr>
                  <w:r w:rsidRPr="00AA66D5">
                    <w:rPr>
                      <w:rFonts w:ascii="Arial" w:hAnsi="Arial"/>
                      <w:sz w:val="16"/>
                      <w:szCs w:val="16"/>
                    </w:rPr>
                    <w:t xml:space="preserve">All altered </w:t>
                  </w:r>
                  <w:proofErr w:type="spellStart"/>
                  <w:r w:rsidRPr="00AA66D5">
                    <w:rPr>
                      <w:rFonts w:ascii="Arial" w:hAnsi="Arial"/>
                      <w:sz w:val="16"/>
                      <w:szCs w:val="16"/>
                    </w:rPr>
                    <w:t>luminaires</w:t>
                  </w:r>
                  <w:proofErr w:type="spellEnd"/>
                  <w:r w:rsidRPr="00AA66D5">
                    <w:rPr>
                      <w:rFonts w:ascii="Arial" w:hAnsi="Arial"/>
                      <w:sz w:val="16"/>
                      <w:szCs w:val="16"/>
                    </w:rPr>
                    <w:t xml:space="preserve"> in a space must meet the automatic shut-off</w:t>
                  </w:r>
                  <w:r>
                    <w:rPr>
                      <w:rFonts w:ascii="Arial" w:hAnsi="Arial"/>
                      <w:sz w:val="16"/>
                      <w:szCs w:val="16"/>
                    </w:rPr>
                    <w:t xml:space="preserve"> </w:t>
                  </w:r>
                  <w:r w:rsidRPr="00AA66D5">
                    <w:rPr>
                      <w:rFonts w:ascii="Arial" w:hAnsi="Arial"/>
                      <w:sz w:val="16"/>
                      <w:szCs w:val="16"/>
                    </w:rPr>
                    <w:t>controls requirements of §131 (d).</w:t>
                  </w:r>
                </w:p>
                <w:p w:rsidR="00C816F0" w:rsidRPr="00AA66D5" w:rsidRDefault="00C816F0" w:rsidP="00742F64">
                  <w:pPr>
                    <w:spacing w:after="120"/>
                    <w:rPr>
                      <w:rFonts w:ascii="Arial" w:hAnsi="Arial"/>
                      <w:sz w:val="16"/>
                      <w:szCs w:val="16"/>
                    </w:rPr>
                  </w:pPr>
                  <w:r w:rsidRPr="00AA66D5">
                    <w:rPr>
                      <w:rFonts w:ascii="Arial" w:hAnsi="Arial"/>
                      <w:sz w:val="16"/>
                      <w:szCs w:val="16"/>
                    </w:rPr>
                    <w:t>For lighting alterations purposes, rewiring refers to replacement or installation of</w:t>
                  </w:r>
                  <w:r>
                    <w:rPr>
                      <w:rFonts w:ascii="Arial" w:hAnsi="Arial"/>
                      <w:sz w:val="16"/>
                      <w:szCs w:val="16"/>
                    </w:rPr>
                    <w:t xml:space="preserve"> </w:t>
                  </w:r>
                  <w:r w:rsidRPr="00AA66D5">
                    <w:rPr>
                      <w:rFonts w:ascii="Arial" w:hAnsi="Arial"/>
                      <w:sz w:val="16"/>
                      <w:szCs w:val="16"/>
                    </w:rPr>
                    <w:t>new wires that serve the circuit between the switches, relays, branch circuits,</w:t>
                  </w:r>
                  <w:r>
                    <w:rPr>
                      <w:rFonts w:ascii="Arial" w:hAnsi="Arial"/>
                      <w:sz w:val="16"/>
                      <w:szCs w:val="16"/>
                    </w:rPr>
                    <w:t xml:space="preserve"> </w:t>
                  </w:r>
                  <w:r w:rsidRPr="00AA66D5">
                    <w:rPr>
                      <w:rFonts w:ascii="Arial" w:hAnsi="Arial"/>
                      <w:sz w:val="16"/>
                      <w:szCs w:val="16"/>
                    </w:rPr>
                    <w:t xml:space="preserve">other control devices, and rewired </w:t>
                  </w:r>
                  <w:proofErr w:type="spellStart"/>
                  <w:r w:rsidRPr="00AA66D5">
                    <w:rPr>
                      <w:rFonts w:ascii="Arial" w:hAnsi="Arial"/>
                      <w:sz w:val="16"/>
                      <w:szCs w:val="16"/>
                    </w:rPr>
                    <w:t>luminaire</w:t>
                  </w:r>
                  <w:proofErr w:type="spellEnd"/>
                  <w:r w:rsidRPr="00AA66D5">
                    <w:rPr>
                      <w:rFonts w:ascii="Arial" w:hAnsi="Arial"/>
                      <w:sz w:val="16"/>
                      <w:szCs w:val="16"/>
                    </w:rPr>
                    <w:t>(s). In the case where only the</w:t>
                  </w:r>
                  <w:r>
                    <w:rPr>
                      <w:rFonts w:ascii="Arial" w:hAnsi="Arial"/>
                      <w:sz w:val="16"/>
                      <w:szCs w:val="16"/>
                    </w:rPr>
                    <w:t xml:space="preserve"> </w:t>
                  </w:r>
                  <w:r w:rsidRPr="00AA66D5">
                    <w:rPr>
                      <w:rFonts w:ascii="Arial" w:hAnsi="Arial"/>
                      <w:sz w:val="16"/>
                      <w:szCs w:val="16"/>
                    </w:rPr>
                    <w:t xml:space="preserve">wiring in a circuit that connects the switch and the </w:t>
                  </w:r>
                  <w:proofErr w:type="spellStart"/>
                  <w:r w:rsidRPr="00AA66D5">
                    <w:rPr>
                      <w:rFonts w:ascii="Arial" w:hAnsi="Arial"/>
                      <w:sz w:val="16"/>
                      <w:szCs w:val="16"/>
                    </w:rPr>
                    <w:t>luminaire</w:t>
                  </w:r>
                  <w:proofErr w:type="spellEnd"/>
                  <w:r w:rsidRPr="00AA66D5">
                    <w:rPr>
                      <w:rFonts w:ascii="Arial" w:hAnsi="Arial"/>
                      <w:sz w:val="16"/>
                      <w:szCs w:val="16"/>
                    </w:rPr>
                    <w:t>(s) is being replaced</w:t>
                  </w:r>
                  <w:r>
                    <w:rPr>
                      <w:rFonts w:ascii="Arial" w:hAnsi="Arial"/>
                      <w:sz w:val="16"/>
                      <w:szCs w:val="16"/>
                    </w:rPr>
                    <w:t xml:space="preserve"> </w:t>
                  </w:r>
                  <w:r w:rsidRPr="00AA66D5">
                    <w:rPr>
                      <w:rFonts w:ascii="Arial" w:hAnsi="Arial"/>
                      <w:sz w:val="16"/>
                      <w:szCs w:val="16"/>
                    </w:rPr>
                    <w:t xml:space="preserve">without any alterations to the </w:t>
                  </w:r>
                  <w:proofErr w:type="spellStart"/>
                  <w:r w:rsidRPr="00AA66D5">
                    <w:rPr>
                      <w:rFonts w:ascii="Arial" w:hAnsi="Arial"/>
                      <w:sz w:val="16"/>
                      <w:szCs w:val="16"/>
                    </w:rPr>
                    <w:t>luminaire</w:t>
                  </w:r>
                  <w:proofErr w:type="spellEnd"/>
                  <w:r w:rsidRPr="00AA66D5">
                    <w:rPr>
                      <w:rFonts w:ascii="Arial" w:hAnsi="Arial"/>
                      <w:sz w:val="16"/>
                      <w:szCs w:val="16"/>
                    </w:rPr>
                    <w:t>(s), the wiring system itself is considered</w:t>
                  </w:r>
                  <w:r>
                    <w:rPr>
                      <w:rFonts w:ascii="Arial" w:hAnsi="Arial"/>
                      <w:sz w:val="16"/>
                      <w:szCs w:val="16"/>
                    </w:rPr>
                    <w:t xml:space="preserve"> </w:t>
                  </w:r>
                  <w:r w:rsidRPr="00AA66D5">
                    <w:rPr>
                      <w:rFonts w:ascii="Arial" w:hAnsi="Arial"/>
                      <w:sz w:val="16"/>
                      <w:szCs w:val="16"/>
                    </w:rPr>
                    <w:t>the altered component and must therefore meet the lighting control</w:t>
                  </w:r>
                  <w:r>
                    <w:rPr>
                      <w:rFonts w:ascii="Arial" w:hAnsi="Arial"/>
                      <w:sz w:val="16"/>
                      <w:szCs w:val="16"/>
                    </w:rPr>
                    <w:t xml:space="preserve"> </w:t>
                  </w:r>
                  <w:r w:rsidRPr="00AA66D5">
                    <w:rPr>
                      <w:rFonts w:ascii="Arial" w:hAnsi="Arial"/>
                      <w:sz w:val="16"/>
                      <w:szCs w:val="16"/>
                    </w:rPr>
                    <w:t>requirements.</w:t>
                  </w:r>
                </w:p>
                <w:p w:rsidR="00C816F0" w:rsidRPr="00E32B7C" w:rsidRDefault="00C816F0" w:rsidP="00742F64">
                  <w:pPr>
                    <w:spacing w:after="120"/>
                    <w:rPr>
                      <w:rFonts w:ascii="Arial" w:hAnsi="Arial"/>
                      <w:b/>
                      <w:i/>
                      <w:sz w:val="20"/>
                      <w:szCs w:val="20"/>
                    </w:rPr>
                  </w:pPr>
                  <w:r>
                    <w:rPr>
                      <w:rFonts w:ascii="Arial" w:hAnsi="Arial"/>
                      <w:b/>
                      <w:i/>
                      <w:sz w:val="20"/>
                      <w:szCs w:val="20"/>
                    </w:rPr>
                    <w:t>5.14.3</w:t>
                  </w:r>
                  <w:r w:rsidRPr="00E32B7C">
                    <w:rPr>
                      <w:rFonts w:ascii="Arial" w:hAnsi="Arial"/>
                      <w:b/>
                      <w:i/>
                      <w:sz w:val="20"/>
                      <w:szCs w:val="20"/>
                    </w:rPr>
                    <w:t xml:space="preserve"> Prescriptive Measures – A</w:t>
                  </w:r>
                  <w:r>
                    <w:rPr>
                      <w:rFonts w:ascii="Arial" w:hAnsi="Arial"/>
                      <w:b/>
                      <w:i/>
                      <w:sz w:val="20"/>
                      <w:szCs w:val="20"/>
                    </w:rPr>
                    <w:t>ltera</w:t>
                  </w:r>
                  <w:r w:rsidRPr="00E32B7C">
                    <w:rPr>
                      <w:rFonts w:ascii="Arial" w:hAnsi="Arial"/>
                      <w:b/>
                      <w:i/>
                      <w:sz w:val="20"/>
                      <w:szCs w:val="20"/>
                    </w:rPr>
                    <w:t>tions</w:t>
                  </w:r>
                </w:p>
                <w:p w:rsidR="00C816F0" w:rsidRPr="009754DA" w:rsidRDefault="00C816F0" w:rsidP="00742F64">
                  <w:pPr>
                    <w:spacing w:after="120"/>
                    <w:rPr>
                      <w:rFonts w:ascii="Arial" w:hAnsi="Arial"/>
                      <w:sz w:val="16"/>
                      <w:szCs w:val="16"/>
                    </w:rPr>
                  </w:pPr>
                  <w:r w:rsidRPr="009754DA">
                    <w:rPr>
                      <w:rFonts w:ascii="Arial" w:hAnsi="Arial"/>
                      <w:sz w:val="16"/>
                      <w:szCs w:val="16"/>
                    </w:rPr>
                    <w:t>Alterations that involve the following must comply with §146:</w:t>
                  </w:r>
                </w:p>
                <w:p w:rsidR="00C816F0" w:rsidRDefault="00C816F0" w:rsidP="00742F64">
                  <w:pPr>
                    <w:numPr>
                      <w:ilvl w:val="0"/>
                      <w:numId w:val="7"/>
                    </w:numPr>
                    <w:spacing w:after="120"/>
                    <w:rPr>
                      <w:rFonts w:ascii="Arial" w:hAnsi="Arial"/>
                      <w:sz w:val="16"/>
                      <w:szCs w:val="16"/>
                    </w:rPr>
                  </w:pPr>
                  <w:r w:rsidRPr="009754DA">
                    <w:rPr>
                      <w:rFonts w:ascii="Arial" w:hAnsi="Arial"/>
                      <w:sz w:val="16"/>
                      <w:szCs w:val="16"/>
                    </w:rPr>
                    <w:t xml:space="preserve">Replacing more than 50% of the </w:t>
                  </w:r>
                  <w:proofErr w:type="spellStart"/>
                  <w:r w:rsidRPr="009754DA">
                    <w:rPr>
                      <w:rFonts w:ascii="Arial" w:hAnsi="Arial"/>
                      <w:sz w:val="16"/>
                      <w:szCs w:val="16"/>
                    </w:rPr>
                    <w:t>luminaires</w:t>
                  </w:r>
                  <w:proofErr w:type="spellEnd"/>
                  <w:r w:rsidRPr="009754DA">
                    <w:rPr>
                      <w:rFonts w:ascii="Arial" w:hAnsi="Arial"/>
                      <w:sz w:val="16"/>
                      <w:szCs w:val="16"/>
                    </w:rPr>
                    <w:t>, or</w:t>
                  </w:r>
                </w:p>
                <w:p w:rsidR="00C816F0" w:rsidRPr="009754DA" w:rsidRDefault="00C816F0" w:rsidP="00742F64">
                  <w:pPr>
                    <w:numPr>
                      <w:ilvl w:val="0"/>
                      <w:numId w:val="7"/>
                    </w:numPr>
                    <w:spacing w:after="120"/>
                    <w:rPr>
                      <w:rFonts w:ascii="Arial" w:hAnsi="Arial"/>
                      <w:sz w:val="16"/>
                      <w:szCs w:val="16"/>
                    </w:rPr>
                  </w:pPr>
                  <w:r w:rsidRPr="009754DA">
                    <w:rPr>
                      <w:rFonts w:ascii="Arial" w:hAnsi="Arial"/>
                      <w:sz w:val="16"/>
                      <w:szCs w:val="16"/>
                    </w:rPr>
                    <w:t>An increase in the connected lighting load.</w:t>
                  </w:r>
                </w:p>
                <w:p w:rsidR="00C816F0" w:rsidRPr="00CA7C40" w:rsidRDefault="00C816F0" w:rsidP="00742F64">
                  <w:pPr>
                    <w:spacing w:after="120"/>
                    <w:rPr>
                      <w:rFonts w:ascii="Arial" w:hAnsi="Arial"/>
                      <w:sz w:val="16"/>
                      <w:szCs w:val="16"/>
                    </w:rPr>
                  </w:pPr>
                  <w:r w:rsidRPr="009754DA">
                    <w:rPr>
                      <w:rFonts w:ascii="Arial" w:hAnsi="Arial"/>
                      <w:sz w:val="16"/>
                      <w:szCs w:val="16"/>
                    </w:rPr>
                    <w:t>When it is necessary to calculate the existing wattage to demonstrate that the</w:t>
                  </w:r>
                  <w:r>
                    <w:rPr>
                      <w:rFonts w:ascii="Arial" w:hAnsi="Arial"/>
                      <w:sz w:val="16"/>
                      <w:szCs w:val="16"/>
                    </w:rPr>
                    <w:t xml:space="preserve"> </w:t>
                  </w:r>
                  <w:r w:rsidRPr="009754DA">
                    <w:rPr>
                      <w:rFonts w:ascii="Arial" w:hAnsi="Arial"/>
                      <w:sz w:val="16"/>
                      <w:szCs w:val="16"/>
                    </w:rPr>
                    <w:t>alteration does not result in an increased lighting level, use the same</w:t>
                  </w:r>
                  <w:r>
                    <w:rPr>
                      <w:rFonts w:ascii="Arial" w:hAnsi="Arial"/>
                      <w:sz w:val="16"/>
                      <w:szCs w:val="16"/>
                    </w:rPr>
                    <w:t xml:space="preserve"> </w:t>
                  </w:r>
                  <w:r w:rsidRPr="009754DA">
                    <w:rPr>
                      <w:rFonts w:ascii="Arial" w:hAnsi="Arial"/>
                      <w:sz w:val="16"/>
                      <w:szCs w:val="16"/>
                    </w:rPr>
                    <w:t>methodology used for new lighting installations found in this chapter.</w:t>
                  </w:r>
                </w:p>
              </w:txbxContent>
            </v:textbox>
            <w10:wrap type="none"/>
            <w10:anchorlock/>
          </v:shape>
        </w:pict>
      </w:r>
    </w:p>
    <w:p w:rsidR="00742F64" w:rsidRPr="00090DB0" w:rsidRDefault="00742F64" w:rsidP="00742F64">
      <w:pPr>
        <w:pStyle w:val="Caption"/>
        <w:keepNext/>
      </w:pPr>
      <w:bookmarkStart w:id="18" w:name="_Ref180381223"/>
      <w:bookmarkStart w:id="19" w:name="_Toc182220285"/>
      <w:bookmarkStart w:id="20" w:name="_Toc253057949"/>
      <w:proofErr w:type="gramStart"/>
      <w:r w:rsidRPr="00090DB0">
        <w:t xml:space="preserve">Figure </w:t>
      </w:r>
      <w:fldSimple w:instr=" SEQ Figure \* ARABIC ">
        <w:r w:rsidR="000F6E3A">
          <w:rPr>
            <w:noProof/>
          </w:rPr>
          <w:t>3</w:t>
        </w:r>
      </w:fldSimple>
      <w:r w:rsidRPr="00090DB0">
        <w:t>.</w:t>
      </w:r>
      <w:proofErr w:type="gramEnd"/>
      <w:r w:rsidRPr="00090DB0">
        <w:rPr>
          <w:b w:val="0"/>
        </w:rPr>
        <w:t xml:space="preserve"> Title 24, Section 5.14, Selections Pertaining to Alterations</w:t>
      </w:r>
      <w:bookmarkEnd w:id="18"/>
      <w:bookmarkEnd w:id="19"/>
      <w:bookmarkEnd w:id="20"/>
    </w:p>
    <w:p w:rsidR="00742F64" w:rsidRPr="00090DB0" w:rsidRDefault="00742F64" w:rsidP="00742F64"/>
    <w:p w:rsidR="00742F64" w:rsidRPr="00090DB0" w:rsidRDefault="00742F64" w:rsidP="00742F64">
      <w:r w:rsidRPr="00090DB0">
        <w:t>If the occupancy sensor is required by or used to comply with any of the above codes, then the occupancy sensor cannot be used to claim energy and demand savings.</w:t>
      </w:r>
    </w:p>
    <w:p w:rsidR="00742F64" w:rsidRPr="004019AC" w:rsidRDefault="00742F64" w:rsidP="00742F64">
      <w:pPr>
        <w:autoSpaceDE w:val="0"/>
        <w:autoSpaceDN w:val="0"/>
        <w:adjustRightInd w:val="0"/>
        <w:rPr>
          <w:rFonts w:ascii="Arial" w:hAnsi="Arial" w:cs="Arial"/>
          <w:sz w:val="22"/>
          <w:szCs w:val="22"/>
        </w:rPr>
      </w:pPr>
    </w:p>
    <w:p w:rsidR="00742F64" w:rsidRDefault="00742F64" w:rsidP="00742F64">
      <w:r w:rsidRPr="003D54AB">
        <w:rPr>
          <w:rFonts w:ascii="Arial" w:hAnsi="Arial" w:cs="Arial"/>
          <w:b/>
          <w:i/>
        </w:rPr>
        <w:t>Federal Standards:</w:t>
      </w:r>
      <w:r w:rsidRPr="003D54AB">
        <w:t xml:space="preserve"> This measure</w:t>
      </w:r>
      <w:r>
        <w:t xml:space="preserve"> </w:t>
      </w:r>
      <w:r w:rsidRPr="003D54AB">
        <w:t>do</w:t>
      </w:r>
      <w:r>
        <w:t>es</w:t>
      </w:r>
      <w:r w:rsidRPr="003D54AB">
        <w:t xml:space="preserve"> not fall under Federal DOE or EPA Energy Regulations.  </w:t>
      </w:r>
    </w:p>
    <w:p w:rsidR="00501AE2" w:rsidRDefault="00501AE2" w:rsidP="00501AE2">
      <w:pPr>
        <w:outlineLvl w:val="1"/>
        <w:rPr>
          <w:rStyle w:val="Heading2Char"/>
        </w:rPr>
      </w:pPr>
      <w:bookmarkStart w:id="21" w:name="_Toc214003088"/>
      <w:bookmarkStart w:id="22" w:name="_Toc328485814"/>
      <w:r>
        <w:rPr>
          <w:rStyle w:val="Heading2Char"/>
        </w:rPr>
        <w:t>1.4</w:t>
      </w:r>
      <w:r w:rsidRPr="004F5204">
        <w:rPr>
          <w:rStyle w:val="Heading2Char"/>
        </w:rPr>
        <w:t>Measure Effective Useful L</w:t>
      </w:r>
      <w:r>
        <w:rPr>
          <w:rStyle w:val="Heading2Char"/>
        </w:rPr>
        <w:t>ife</w:t>
      </w:r>
      <w:bookmarkEnd w:id="21"/>
      <w:bookmarkEnd w:id="22"/>
    </w:p>
    <w:p w:rsidR="00E95803" w:rsidRPr="004B0389" w:rsidRDefault="00E95803" w:rsidP="00E95803">
      <w:pPr>
        <w:autoSpaceDE w:val="0"/>
        <w:autoSpaceDN w:val="0"/>
        <w:adjustRightInd w:val="0"/>
      </w:pPr>
    </w:p>
    <w:p w:rsidR="00857B62" w:rsidRPr="004B0389" w:rsidRDefault="0006214A" w:rsidP="00857B62">
      <w:pPr>
        <w:autoSpaceDE w:val="0"/>
        <w:autoSpaceDN w:val="0"/>
        <w:adjustRightInd w:val="0"/>
      </w:pPr>
      <w:r>
        <w:t xml:space="preserve">See </w:t>
      </w:r>
      <w:r w:rsidRPr="0006214A">
        <w:t>WPSDGENRLG0999</w:t>
      </w:r>
      <w:r w:rsidR="00C816F0">
        <w:t xml:space="preserve"> </w:t>
      </w:r>
      <w:r>
        <w:t xml:space="preserve">for additional and updated information.  </w:t>
      </w:r>
      <w:r w:rsidR="00501AE2">
        <w:t>The effective useful life was updated form the updated deer table and is assumed to be 8 years</w:t>
      </w:r>
      <w:r w:rsidR="00C816F0">
        <w:rPr>
          <w:rStyle w:val="EndnoteReference"/>
        </w:rPr>
        <w:endnoteReference w:id="1"/>
      </w:r>
      <w:r w:rsidR="00501AE2">
        <w:t xml:space="preserve">. </w:t>
      </w:r>
    </w:p>
    <w:p w:rsidR="00C069A2" w:rsidRPr="004B0389" w:rsidRDefault="001248A3" w:rsidP="002E0043">
      <w:pPr>
        <w:pStyle w:val="Heading2"/>
        <w:keepNext w:val="0"/>
      </w:pPr>
      <w:bookmarkStart w:id="23" w:name="_Toc328485815"/>
      <w:r w:rsidRPr="004B0389">
        <w:t xml:space="preserve">1.5 </w:t>
      </w:r>
      <w:r w:rsidR="00A50ACB" w:rsidRPr="004B0389">
        <w:t>Base Case</w:t>
      </w:r>
      <w:r w:rsidR="00C069A2" w:rsidRPr="004B0389">
        <w:t xml:space="preserve"> for Savings Estimates: Existing </w:t>
      </w:r>
      <w:r w:rsidR="002164C7" w:rsidRPr="004B0389">
        <w:t>and</w:t>
      </w:r>
      <w:r w:rsidR="00C069A2" w:rsidRPr="004B0389">
        <w:t xml:space="preserve"> Above Code</w:t>
      </w:r>
      <w:bookmarkEnd w:id="23"/>
    </w:p>
    <w:p w:rsidR="00243F2E" w:rsidRDefault="00243F2E" w:rsidP="00243F2E">
      <w:pPr>
        <w:numPr>
          <w:ilvl w:val="0"/>
          <w:numId w:val="20"/>
        </w:numPr>
        <w:rPr>
          <w:b/>
        </w:rPr>
      </w:pPr>
      <w:r w:rsidRPr="00243F2E">
        <w:rPr>
          <w:b/>
        </w:rPr>
        <w:t>For Wall or Ceiling mounted Occupancy Sensors</w:t>
      </w:r>
    </w:p>
    <w:p w:rsidR="00386B24" w:rsidRPr="00386B24" w:rsidRDefault="00386B24" w:rsidP="00962D9A">
      <w:pPr>
        <w:numPr>
          <w:ilvl w:val="0"/>
          <w:numId w:val="26"/>
        </w:numPr>
      </w:pPr>
      <w:r>
        <w:t xml:space="preserve">L-J21 and L-J21: The base case assumption is three T8 fixtures of two lamps.  </w:t>
      </w:r>
    </w:p>
    <w:p w:rsidR="00962D9A" w:rsidRDefault="002F3814" w:rsidP="00962D9A">
      <w:pPr>
        <w:numPr>
          <w:ilvl w:val="0"/>
          <w:numId w:val="26"/>
        </w:numPr>
      </w:pPr>
      <w:r w:rsidRPr="00386B24">
        <w:t>L-J31</w:t>
      </w:r>
      <w:r>
        <w:t xml:space="preserve">: </w:t>
      </w:r>
      <w:r w:rsidRPr="004B0389">
        <w:t xml:space="preserve">The base case assumption is </w:t>
      </w:r>
      <w:r>
        <w:t>an</w:t>
      </w:r>
      <w:r w:rsidRPr="004B0389">
        <w:t xml:space="preserve"> existing eight fixtures of two lamp</w:t>
      </w:r>
      <w:r w:rsidR="00F568BF">
        <w:t xml:space="preserve">s.  </w:t>
      </w:r>
      <w:r w:rsidRPr="004B0389">
        <w:t xml:space="preserve"> </w:t>
      </w:r>
      <w:r w:rsidR="00962D9A">
        <w:t>To satisfy dual baseline considerations for the lamps, one third of the fixtures are considered</w:t>
      </w:r>
      <w:r w:rsidR="00962D9A" w:rsidRPr="004B0389">
        <w:t xml:space="preserve"> two lamp 48” T-12 linear fluorescent energy saver lamps with energy saving magnetic ballasts</w:t>
      </w:r>
      <w:r w:rsidR="00962D9A">
        <w:t xml:space="preserve"> and 2/3 of the fixtures are considered 48” T8 linear </w:t>
      </w:r>
      <w:r w:rsidR="00962D9A">
        <w:lastRenderedPageBreak/>
        <w:t>fluorescent lamps with electronic ballasts</w:t>
      </w:r>
      <w:r w:rsidR="00962D9A" w:rsidRPr="004B0389">
        <w:t>. The wattages for the baseline and proposed fixtures were obtained from the SPC Table of Standard Fixture Wattages.</w:t>
      </w:r>
      <w:r w:rsidR="00962D9A" w:rsidRPr="004B0389">
        <w:rPr>
          <w:rStyle w:val="EndnoteReference"/>
        </w:rPr>
        <w:endnoteReference w:id="2"/>
      </w:r>
    </w:p>
    <w:p w:rsidR="002F3814" w:rsidRDefault="002F3814" w:rsidP="002F12D0">
      <w:pPr>
        <w:ind w:left="1080"/>
      </w:pPr>
      <w:proofErr w:type="gramStart"/>
      <w:r w:rsidRPr="004B0389">
        <w:t>48” T-12 linear fluorescent energy saver lamps with energy saving magnetic ballasts and no occupancy sensor.</w:t>
      </w:r>
      <w:proofErr w:type="gramEnd"/>
      <w:r w:rsidRPr="004B0389">
        <w:t xml:space="preserve"> </w:t>
      </w:r>
      <w:r w:rsidRPr="00742F64">
        <w:rPr>
          <w:highlight w:val="yellow"/>
        </w:rPr>
        <w:t xml:space="preserve">The </w:t>
      </w:r>
      <w:r w:rsidRPr="00573F47">
        <w:t xml:space="preserve">wattage of the baseline fluorescent fixture is </w:t>
      </w:r>
      <w:r w:rsidR="00962D9A">
        <w:t>72 watt</w:t>
      </w:r>
      <w:r w:rsidR="00944AC7">
        <w:t>s</w:t>
      </w:r>
      <w:r w:rsidR="00962D9A">
        <w:t xml:space="preserve"> * 1/3 +60 Watts *2/3</w:t>
      </w:r>
      <w:proofErr w:type="gramStart"/>
      <w:r w:rsidR="00962D9A">
        <w:t>)=</w:t>
      </w:r>
      <w:proofErr w:type="gramEnd"/>
      <w:r w:rsidR="00962D9A">
        <w:t xml:space="preserve">64 watts (72 Watts </w:t>
      </w:r>
      <w:r w:rsidRPr="00573F47">
        <w:t>fixture code: F42EE)</w:t>
      </w:r>
      <w:r w:rsidR="00962D9A">
        <w:t xml:space="preserve"> and (60 watts Fixture code F42LL)</w:t>
      </w:r>
      <w:r w:rsidR="00573F47">
        <w:rPr>
          <w:rStyle w:val="EndnoteReference"/>
        </w:rPr>
        <w:t>1</w:t>
      </w:r>
      <w:r w:rsidRPr="00573F47">
        <w:t xml:space="preserve"> </w:t>
      </w:r>
      <w:r w:rsidRPr="00742F64">
        <w:rPr>
          <w:highlight w:val="yellow"/>
        </w:rPr>
        <w:t>The</w:t>
      </w:r>
      <w:r w:rsidRPr="004B0389">
        <w:t xml:space="preserve"> </w:t>
      </w:r>
      <w:r w:rsidRPr="003E0332">
        <w:rPr>
          <w:highlight w:val="yellow"/>
        </w:rPr>
        <w:t>occupancy sensor controls a total of eight fixtures, or 5</w:t>
      </w:r>
      <w:r w:rsidR="002F12D0">
        <w:rPr>
          <w:highlight w:val="yellow"/>
        </w:rPr>
        <w:t>12</w:t>
      </w:r>
      <w:r w:rsidRPr="003E0332">
        <w:rPr>
          <w:highlight w:val="yellow"/>
        </w:rPr>
        <w:t xml:space="preserve"> Watts.</w:t>
      </w:r>
      <w:r w:rsidRPr="004B0389">
        <w:t xml:space="preserve"> </w:t>
      </w:r>
    </w:p>
    <w:p w:rsidR="002F3814" w:rsidRDefault="002F3814" w:rsidP="00830DF2"/>
    <w:p w:rsidR="00243F2E" w:rsidRDefault="00243F2E" w:rsidP="00830DF2">
      <w:pPr>
        <w:numPr>
          <w:ilvl w:val="0"/>
          <w:numId w:val="20"/>
        </w:numPr>
        <w:rPr>
          <w:b/>
        </w:rPr>
      </w:pPr>
      <w:r w:rsidRPr="00243F2E">
        <w:rPr>
          <w:b/>
        </w:rPr>
        <w:t>For Fixture Integrated Occupancy Sensors</w:t>
      </w:r>
    </w:p>
    <w:p w:rsidR="00DF1ADD" w:rsidRPr="00386B24" w:rsidRDefault="00DF1ADD" w:rsidP="00386B24">
      <w:pPr>
        <w:pStyle w:val="BasicText"/>
        <w:numPr>
          <w:ilvl w:val="0"/>
          <w:numId w:val="27"/>
        </w:numPr>
        <w:rPr>
          <w:color w:val="auto"/>
        </w:rPr>
      </w:pPr>
      <w:r w:rsidRPr="00386B24">
        <w:t xml:space="preserve">L-J41: </w:t>
      </w:r>
      <w:r w:rsidR="00944AC7" w:rsidRPr="00386B24">
        <w:t xml:space="preserve"> For the fixture integrated occupancy sensors, each occupancy sensor is assumed to be integral to one high bay linear fluorescent fixture containing programmed rapid start ballast equipped with four T5HO lamps with total wattage equal </w:t>
      </w:r>
      <w:proofErr w:type="gramStart"/>
      <w:r w:rsidR="00944AC7" w:rsidRPr="00386B24">
        <w:t xml:space="preserve">to  </w:t>
      </w:r>
      <w:r w:rsidR="002F12D0" w:rsidRPr="00386B24">
        <w:rPr>
          <w:highlight w:val="yellow"/>
        </w:rPr>
        <w:t>234</w:t>
      </w:r>
      <w:proofErr w:type="gramEnd"/>
      <w:r w:rsidRPr="00386B24">
        <w:rPr>
          <w:highlight w:val="yellow"/>
        </w:rPr>
        <w:t xml:space="preserve"> watts per fixture</w:t>
      </w:r>
      <w:r w:rsidR="001819A8" w:rsidRPr="00386B24">
        <w:t>. Fixture code is F44PHL/2</w:t>
      </w:r>
    </w:p>
    <w:p w:rsidR="00830DF2" w:rsidRDefault="00DF1ADD" w:rsidP="00386B24">
      <w:pPr>
        <w:pStyle w:val="ListParagraph"/>
        <w:numPr>
          <w:ilvl w:val="0"/>
          <w:numId w:val="27"/>
        </w:numPr>
      </w:pPr>
      <w:r w:rsidRPr="00386B24">
        <w:t>L-J</w:t>
      </w:r>
      <w:r w:rsidR="00C0513E" w:rsidRPr="00386B24">
        <w:t>5</w:t>
      </w:r>
      <w:r w:rsidRPr="00386B24">
        <w:t>1</w:t>
      </w:r>
      <w:proofErr w:type="gramStart"/>
      <w:r>
        <w:t>:</w:t>
      </w:r>
      <w:r w:rsidR="00EF05CE">
        <w:t>In</w:t>
      </w:r>
      <w:proofErr w:type="gramEnd"/>
      <w:r w:rsidR="00EF05CE">
        <w:t xml:space="preserve"> this scenario, </w:t>
      </w:r>
      <w:r>
        <w:t xml:space="preserve"> </w:t>
      </w:r>
      <w:r w:rsidR="00EF05CE">
        <w:t>t</w:t>
      </w:r>
      <w:r w:rsidR="003758FE" w:rsidRPr="003758FE">
        <w:t xml:space="preserve">he </w:t>
      </w:r>
      <w:r w:rsidR="003758FE">
        <w:t xml:space="preserve">existing base case assumed for </w:t>
      </w:r>
      <w:r w:rsidR="007D2F7B">
        <w:t xml:space="preserve">the occupancy sensor is assumed to control 3 lamp T8 32 Watt Rapid Start Ballast Fixture ( SPC Fixture code: </w:t>
      </w:r>
      <w:r w:rsidR="0031013A">
        <w:t>F43LL</w:t>
      </w:r>
      <w:r w:rsidR="007D2F7B">
        <w:t xml:space="preserve">) </w:t>
      </w:r>
      <w:r w:rsidR="0031013A">
        <w:t>equal to 93 watts per fixture.</w:t>
      </w:r>
    </w:p>
    <w:p w:rsidR="00EF05CE" w:rsidRDefault="00EF05CE" w:rsidP="00830DF2"/>
    <w:p w:rsidR="00830DF2" w:rsidRPr="004B0389" w:rsidRDefault="00830DF2" w:rsidP="00830DF2">
      <w:r>
        <w:t xml:space="preserve">Note that in each </w:t>
      </w:r>
      <w:r w:rsidR="00EF7357">
        <w:t>case</w:t>
      </w:r>
      <w:r>
        <w:t xml:space="preserve">, </w:t>
      </w:r>
      <w:r w:rsidR="00EF7357" w:rsidRPr="004B0389">
        <w:t>the</w:t>
      </w:r>
      <w:r w:rsidRPr="004B0389">
        <w:t xml:space="preserve"> energy savings and demand reduction is calculated from no occupancy sensor to having an occupancy sensor. If the occupancy sensor was used to comply with code, then the above code energy and demand savings from the occupancy sensor is zero.</w:t>
      </w:r>
    </w:p>
    <w:p w:rsidR="004B6A32" w:rsidRDefault="00830DF2" w:rsidP="007D2F7B">
      <w:r w:rsidRPr="004B0389">
        <w:t>If the occupancy sensor was not used to meet code, and the code was met by other means, such as automatic time clocks, then the base case would be, in this case, automatic time clocks. It is assumed that the automatic time clock would be set to turn on and off at the beginning and end of the day, respectively. If this is the case, then the incremental energy savings would be relatively small, due to inactivity or vacancy only during lunch and break periods, which may not perfectly coincide. Therefore, above code savings are assumed to be zero.</w:t>
      </w:r>
    </w:p>
    <w:p w:rsidR="004B6A32" w:rsidRDefault="004B6A32" w:rsidP="002E0043">
      <w:pPr>
        <w:pStyle w:val="Heading2"/>
        <w:keepNext w:val="0"/>
      </w:pPr>
      <w:bookmarkStart w:id="24" w:name="_Toc328485816"/>
      <w:r>
        <w:t>Hours of operation</w:t>
      </w:r>
      <w:bookmarkEnd w:id="24"/>
    </w:p>
    <w:p w:rsidR="004B6A32" w:rsidRPr="004B6A32" w:rsidRDefault="00C816F0" w:rsidP="004B6A32">
      <w:r>
        <w:t xml:space="preserve">See </w:t>
      </w:r>
      <w:r w:rsidRPr="0006214A">
        <w:t>WPSDGENRLG0999</w:t>
      </w:r>
      <w:r>
        <w:t xml:space="preserve">.  </w:t>
      </w:r>
      <w:r w:rsidR="004B6A32" w:rsidRPr="004B6A32">
        <w:t>The hours of operation match the non-CFL lighting operating hours for each building type provided by Paul Reeves in an email to Pacific Gas and Electric Company on 11/19/2008</w:t>
      </w:r>
      <w:r w:rsidR="004B6A32">
        <w:t xml:space="preserve">, </w:t>
      </w:r>
      <w:proofErr w:type="gramStart"/>
      <w:r w:rsidR="004B6A32">
        <w:t>The</w:t>
      </w:r>
      <w:proofErr w:type="gramEnd"/>
      <w:r w:rsidR="004B6A32">
        <w:t xml:space="preserve"> table below shows a summary of it. </w:t>
      </w:r>
    </w:p>
    <w:p w:rsidR="004B6A32" w:rsidRPr="004B6A32" w:rsidRDefault="004B6A32" w:rsidP="004B6A32"/>
    <w:p w:rsidR="004B6A32" w:rsidRDefault="009C304D" w:rsidP="00C816F0">
      <w:pPr>
        <w:pStyle w:val="Heading2"/>
        <w:keepNext w:val="0"/>
        <w:jc w:val="center"/>
      </w:pPr>
      <w:r>
        <w:rPr>
          <w:noProof/>
        </w:rPr>
        <w:lastRenderedPageBreak/>
        <w:drawing>
          <wp:inline distT="0" distB="0" distL="0" distR="0">
            <wp:extent cx="3152775" cy="32289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r="46954"/>
                    <a:stretch>
                      <a:fillRect/>
                    </a:stretch>
                  </pic:blipFill>
                  <pic:spPr bwMode="auto">
                    <a:xfrm>
                      <a:off x="0" y="0"/>
                      <a:ext cx="3152775" cy="3228975"/>
                    </a:xfrm>
                    <a:prstGeom prst="rect">
                      <a:avLst/>
                    </a:prstGeom>
                    <a:noFill/>
                    <a:ln w="9525">
                      <a:noFill/>
                      <a:miter lim="800000"/>
                      <a:headEnd/>
                      <a:tailEnd/>
                    </a:ln>
                  </pic:spPr>
                </pic:pic>
              </a:graphicData>
            </a:graphic>
          </wp:inline>
        </w:drawing>
      </w:r>
    </w:p>
    <w:p w:rsidR="007D2F7B" w:rsidRDefault="007D2F7B" w:rsidP="00397565">
      <w:pPr>
        <w:pStyle w:val="Heading2"/>
        <w:keepNext w:val="0"/>
      </w:pPr>
      <w:bookmarkStart w:id="25" w:name="_Toc174222016"/>
    </w:p>
    <w:p w:rsidR="00397565" w:rsidRPr="004B0389" w:rsidRDefault="00397565" w:rsidP="00397565">
      <w:pPr>
        <w:pStyle w:val="Heading2"/>
        <w:keepNext w:val="0"/>
      </w:pPr>
      <w:bookmarkStart w:id="26" w:name="_Toc328485817"/>
      <w:r w:rsidRPr="004B0389">
        <w:t>1.</w:t>
      </w:r>
      <w:r w:rsidR="007D2F7B">
        <w:t>6</w:t>
      </w:r>
      <w:r w:rsidRPr="004B0389">
        <w:t xml:space="preserve"> Net-to-Gross Rat</w:t>
      </w:r>
      <w:r w:rsidR="00A50ACB" w:rsidRPr="004B0389">
        <w:t>io</w:t>
      </w:r>
      <w:r w:rsidRPr="004B0389">
        <w:t xml:space="preserve"> for Different Program Strategies</w:t>
      </w:r>
      <w:bookmarkEnd w:id="25"/>
      <w:bookmarkEnd w:id="26"/>
    </w:p>
    <w:p w:rsidR="00830DF2" w:rsidRDefault="00830DF2" w:rsidP="00830DF2">
      <w:bookmarkStart w:id="27" w:name="OLE_LINK6"/>
      <w:r>
        <w:t>Net-to-Gross (</w:t>
      </w:r>
      <w:smartTag w:uri="urn:schemas-microsoft-com:office:smarttags" w:element="stockticker">
        <w:r>
          <w:t>NTG</w:t>
        </w:r>
      </w:smartTag>
      <w:r>
        <w:t xml:space="preserve">) Ratios are used to estimate free-ridership occurring in energy efficiency programs. Free riders are program participants who would have undertaken an activity whether or not there was an energy efficiency program promoting that activity. An </w:t>
      </w:r>
      <w:smartTag w:uri="urn:schemas-microsoft-com:office:smarttags" w:element="stockticker">
        <w:r>
          <w:t>NTG</w:t>
        </w:r>
      </w:smartTag>
      <w:r>
        <w:t xml:space="preserve"> Ratio is a factor that represents the net program load impact divided by the gross program load impact. This factor is applied to gross program savings to determine the program's net impact. </w:t>
      </w:r>
    </w:p>
    <w:p w:rsidR="00830DF2" w:rsidRDefault="00830DF2" w:rsidP="00830DF2">
      <w:r>
        <w:t xml:space="preserve">The recommended Net-to-Gross Ratio (NTGR) for these measures are </w:t>
      </w:r>
      <w:r w:rsidR="002E2AE6">
        <w:t xml:space="preserve">from DEER 2011 </w:t>
      </w:r>
      <w:r w:rsidR="00391C76">
        <w:t>“</w:t>
      </w:r>
      <w:proofErr w:type="spellStart"/>
      <w:r w:rsidR="00391C76" w:rsidRPr="00391C76">
        <w:rPr>
          <w:color w:val="000000"/>
        </w:rPr>
        <w:t>NonRes-sAll-mOccSens</w:t>
      </w:r>
      <w:proofErr w:type="spellEnd"/>
      <w:r w:rsidR="00391C76">
        <w:rPr>
          <w:color w:val="000000"/>
        </w:rPr>
        <w:t>”</w:t>
      </w:r>
      <w:r w:rsidR="00391C76" w:rsidRPr="00AE23BE">
        <w:t xml:space="preserve"> </w:t>
      </w:r>
      <w:r w:rsidRPr="00AE23BE">
        <w:t xml:space="preserve">Table </w:t>
      </w:r>
      <w:r>
        <w:t>6</w:t>
      </w:r>
      <w:r w:rsidRPr="00AE23BE">
        <w:t xml:space="preserve"> bel</w:t>
      </w:r>
      <w:r>
        <w:t>ow specifies the NTG ratio to be used for these measures</w:t>
      </w:r>
      <w:r w:rsidR="00C816F0">
        <w:rPr>
          <w:rStyle w:val="EndnoteReference"/>
        </w:rPr>
        <w:endnoteReference w:id="3"/>
      </w:r>
      <w:r>
        <w:t>.</w:t>
      </w:r>
    </w:p>
    <w:p w:rsidR="00830DF2" w:rsidRPr="007821CF" w:rsidRDefault="00830DF2" w:rsidP="00830DF2">
      <w:pPr>
        <w:rPr>
          <w:color w:val="FF0000"/>
        </w:rPr>
      </w:pPr>
    </w:p>
    <w:p w:rsidR="00830DF2" w:rsidRPr="00196D7C" w:rsidRDefault="00830DF2" w:rsidP="00830DF2">
      <w:pPr>
        <w:pStyle w:val="Caption"/>
        <w:keepNext/>
      </w:pPr>
      <w:bookmarkStart w:id="29" w:name="_Toc173576414"/>
      <w:bookmarkStart w:id="30" w:name="_Toc190665229"/>
      <w:r w:rsidRPr="00196D7C">
        <w:t xml:space="preserve">Table </w:t>
      </w:r>
      <w:fldSimple w:instr=" SEQ Table \* ARABIC \s 1 ">
        <w:r w:rsidR="000F6E3A">
          <w:rPr>
            <w:noProof/>
          </w:rPr>
          <w:t>1</w:t>
        </w:r>
      </w:fldSimple>
      <w:r w:rsidRPr="00196D7C">
        <w:t xml:space="preserve">  Net-to-Gross Ratios</w:t>
      </w:r>
      <w:bookmarkEnd w:id="29"/>
      <w:bookmarkEnd w:id="30"/>
    </w:p>
    <w:tbl>
      <w:tblPr>
        <w:tblW w:w="3289" w:type="pct"/>
        <w:tblInd w:w="1728" w:type="dxa"/>
        <w:tblBorders>
          <w:insideH w:val="single" w:sz="18" w:space="0" w:color="FFFFFF"/>
          <w:insideV w:val="single" w:sz="18" w:space="0" w:color="FFFFFF"/>
        </w:tblBorders>
        <w:tblLook w:val="01E0"/>
      </w:tblPr>
      <w:tblGrid>
        <w:gridCol w:w="4500"/>
        <w:gridCol w:w="1799"/>
      </w:tblGrid>
      <w:tr w:rsidR="00830DF2" w:rsidRPr="00196D7C" w:rsidTr="007E455C">
        <w:tc>
          <w:tcPr>
            <w:tcW w:w="3572" w:type="pct"/>
            <w:shd w:val="pct20" w:color="000000" w:fill="FFFFFF"/>
          </w:tcPr>
          <w:p w:rsidR="00830DF2" w:rsidRPr="00D05CA7" w:rsidRDefault="00830DF2" w:rsidP="007E455C">
            <w:pPr>
              <w:jc w:val="center"/>
              <w:rPr>
                <w:b/>
                <w:bCs/>
              </w:rPr>
            </w:pPr>
            <w:r w:rsidRPr="00D05CA7">
              <w:rPr>
                <w:b/>
                <w:bCs/>
              </w:rPr>
              <w:t>Program Approach</w:t>
            </w:r>
          </w:p>
        </w:tc>
        <w:tc>
          <w:tcPr>
            <w:tcW w:w="1428" w:type="pct"/>
            <w:shd w:val="pct20" w:color="000000" w:fill="FFFFFF"/>
          </w:tcPr>
          <w:p w:rsidR="00830DF2" w:rsidRPr="00D05CA7" w:rsidRDefault="00830DF2" w:rsidP="007E455C">
            <w:pPr>
              <w:jc w:val="center"/>
              <w:rPr>
                <w:b/>
                <w:bCs/>
              </w:rPr>
            </w:pPr>
            <w:r w:rsidRPr="00D05CA7">
              <w:rPr>
                <w:b/>
                <w:bCs/>
              </w:rPr>
              <w:t>NTG</w:t>
            </w:r>
          </w:p>
        </w:tc>
      </w:tr>
      <w:tr w:rsidR="00830DF2" w:rsidRPr="00196D7C" w:rsidTr="007E455C">
        <w:tc>
          <w:tcPr>
            <w:tcW w:w="3572" w:type="pct"/>
            <w:shd w:val="pct5" w:color="000000" w:fill="FFFFFF"/>
          </w:tcPr>
          <w:p w:rsidR="00830DF2" w:rsidRPr="00BF3CB4" w:rsidRDefault="002E2AE6" w:rsidP="007E455C">
            <w:pPr>
              <w:rPr>
                <w:highlight w:val="yellow"/>
              </w:rPr>
            </w:pPr>
            <w:r>
              <w:t>Lighting Control</w:t>
            </w:r>
          </w:p>
        </w:tc>
        <w:tc>
          <w:tcPr>
            <w:tcW w:w="1428" w:type="pct"/>
            <w:shd w:val="pct5" w:color="000000" w:fill="FFFFFF"/>
          </w:tcPr>
          <w:p w:rsidR="00830DF2" w:rsidRPr="00BF3CB4" w:rsidRDefault="00830DF2" w:rsidP="00391C76">
            <w:pPr>
              <w:jc w:val="center"/>
              <w:rPr>
                <w:highlight w:val="yellow"/>
              </w:rPr>
            </w:pPr>
            <w:r>
              <w:t>0.</w:t>
            </w:r>
            <w:r w:rsidR="002E2AE6">
              <w:t>6</w:t>
            </w:r>
          </w:p>
        </w:tc>
      </w:tr>
    </w:tbl>
    <w:p w:rsidR="00397565" w:rsidRPr="004B0389" w:rsidRDefault="00397565" w:rsidP="00397565"/>
    <w:p w:rsidR="00C069A2" w:rsidRPr="004B0389" w:rsidRDefault="00C069A2" w:rsidP="002E0043">
      <w:pPr>
        <w:pStyle w:val="Heading1"/>
        <w:keepNext w:val="0"/>
      </w:pPr>
      <w:bookmarkStart w:id="31" w:name="_Toc328485818"/>
      <w:bookmarkEnd w:id="27"/>
      <w:proofErr w:type="gramStart"/>
      <w:r w:rsidRPr="004B0389">
        <w:t>Section 2</w:t>
      </w:r>
      <w:r w:rsidR="003129E8" w:rsidRPr="004B0389">
        <w:t>.</w:t>
      </w:r>
      <w:proofErr w:type="gramEnd"/>
      <w:r w:rsidRPr="004B0389">
        <w:t xml:space="preserve"> Calculation Methods</w:t>
      </w:r>
      <w:bookmarkEnd w:id="31"/>
    </w:p>
    <w:p w:rsidR="00C069A2" w:rsidRPr="004B0389" w:rsidRDefault="00C069A2" w:rsidP="002E0043">
      <w:pPr>
        <w:pStyle w:val="Heading2"/>
        <w:keepNext w:val="0"/>
      </w:pPr>
      <w:bookmarkStart w:id="32" w:name="_Toc328485819"/>
      <w:r w:rsidRPr="004B0389">
        <w:t>2.1 Energy Savings Estimation Methodologies</w:t>
      </w:r>
      <w:bookmarkEnd w:id="32"/>
    </w:p>
    <w:p w:rsidR="00904478" w:rsidRPr="004B0389" w:rsidRDefault="00904478" w:rsidP="002E0043"/>
    <w:p w:rsidR="004236B9" w:rsidRPr="004B0389" w:rsidRDefault="004236B9" w:rsidP="004236B9">
      <w:r w:rsidRPr="004B0389">
        <w:t>The occupancy sensor savings estimation calculation uses a 20% time off value for spaces which are assumed to have higher occupancy and a 50% time off value for spaces which are assumed to have lower occupancy.</w:t>
      </w:r>
    </w:p>
    <w:p w:rsidR="004236B9" w:rsidRPr="004B0389" w:rsidRDefault="004236B9" w:rsidP="004236B9"/>
    <w:p w:rsidR="004236B9" w:rsidRPr="004B0389" w:rsidRDefault="004236B9" w:rsidP="004236B9"/>
    <w:p w:rsidR="008838F0" w:rsidRPr="004B0389" w:rsidRDefault="004236B9" w:rsidP="008838F0">
      <w:r w:rsidRPr="004B0389">
        <w:lastRenderedPageBreak/>
        <w:t xml:space="preserve">The annual energy savings per occupancy sensor is the product of the controlled wattage, annual hours of use, energy interactive effects (EIE), and occupancy sensor percent time off (PTO). The calculation is shown in </w:t>
      </w:r>
      <w:r w:rsidR="003A5172">
        <w:t>Equation 1</w:t>
      </w:r>
      <w:fldSimple w:instr=" REF _Ref179562804 \h  \* MERGEFORMAT "/>
      <w:r w:rsidRPr="004B0389">
        <w:t xml:space="preserve">. </w:t>
      </w:r>
    </w:p>
    <w:p w:rsidR="00D2717C" w:rsidRPr="004B0389" w:rsidRDefault="00D2717C" w:rsidP="00B05045"/>
    <w:p w:rsidR="00D2717C" w:rsidRPr="004B0389" w:rsidRDefault="00287921" w:rsidP="00B05045">
      <w:pPr>
        <w:tabs>
          <w:tab w:val="left" w:pos="8640"/>
        </w:tabs>
      </w:pPr>
      <w:r w:rsidRPr="004B0389">
        <w:rPr>
          <w:position w:val="-32"/>
        </w:rPr>
        <w:object w:dxaOrig="8840" w:dyaOrig="760">
          <v:shape id="_x0000_i1028" type="#_x0000_t75" style="width:396pt;height:33pt" o:ole="">
            <v:imagedata r:id="rId16" o:title=""/>
          </v:shape>
          <o:OLEObject Type="Embed" ProgID="Equation.3" ShapeID="_x0000_i1028" DrawAspect="Content" ObjectID="_1402228742" r:id="rId17"/>
        </w:object>
      </w:r>
      <w:r w:rsidR="00B05045" w:rsidRPr="004B0389">
        <w:tab/>
        <w:t>[Eq. 1]</w:t>
      </w:r>
    </w:p>
    <w:p w:rsidR="008838F0" w:rsidRPr="004B0389" w:rsidRDefault="008838F0" w:rsidP="008838F0"/>
    <w:p w:rsidR="00F70E38" w:rsidRPr="00F70E38" w:rsidRDefault="00470DC0" w:rsidP="002E0043">
      <w:pPr>
        <w:pStyle w:val="Heading2"/>
        <w:keepNext w:val="0"/>
        <w:rPr>
          <w:rFonts w:ascii="Times New Roman" w:hAnsi="Times New Roman" w:cs="Times New Roman"/>
          <w:b w:val="0"/>
          <w:bCs w:val="0"/>
          <w:i w:val="0"/>
          <w:iCs w:val="0"/>
          <w:sz w:val="24"/>
          <w:szCs w:val="24"/>
        </w:rPr>
      </w:pPr>
      <w:bookmarkStart w:id="33" w:name="_Toc328485820"/>
      <w:r>
        <w:rPr>
          <w:rFonts w:ascii="Times New Roman" w:hAnsi="Times New Roman" w:cs="Times New Roman"/>
          <w:b w:val="0"/>
          <w:bCs w:val="0"/>
          <w:i w:val="0"/>
          <w:iCs w:val="0"/>
          <w:sz w:val="24"/>
          <w:szCs w:val="24"/>
        </w:rPr>
        <w:t xml:space="preserve">The Controlled wattage </w:t>
      </w:r>
      <w:r w:rsidR="00F70E38" w:rsidRPr="00F70E38">
        <w:rPr>
          <w:rFonts w:ascii="Times New Roman" w:hAnsi="Times New Roman" w:cs="Times New Roman"/>
          <w:b w:val="0"/>
          <w:bCs w:val="0"/>
          <w:i w:val="0"/>
          <w:iCs w:val="0"/>
          <w:sz w:val="24"/>
          <w:szCs w:val="24"/>
        </w:rPr>
        <w:t xml:space="preserve">is the same as described above in the </w:t>
      </w:r>
      <w:r>
        <w:rPr>
          <w:rFonts w:ascii="Times New Roman" w:hAnsi="Times New Roman" w:cs="Times New Roman"/>
          <w:b w:val="0"/>
          <w:bCs w:val="0"/>
          <w:i w:val="0"/>
          <w:iCs w:val="0"/>
          <w:sz w:val="24"/>
          <w:szCs w:val="24"/>
        </w:rPr>
        <w:t>base case description</w:t>
      </w:r>
      <w:r w:rsidR="00F70E38" w:rsidRPr="00F70E38">
        <w:rPr>
          <w:rFonts w:ascii="Times New Roman" w:hAnsi="Times New Roman" w:cs="Times New Roman"/>
          <w:b w:val="0"/>
          <w:bCs w:val="0"/>
          <w:i w:val="0"/>
          <w:iCs w:val="0"/>
          <w:sz w:val="24"/>
          <w:szCs w:val="24"/>
        </w:rPr>
        <w:t xml:space="preserve"> section. Interactive Effects and Peak Coincidence Factor are derived from the DEER 2008 Miser tool. For a summary of savings values, refer to embedded excel calculation sheet</w:t>
      </w:r>
      <w:r w:rsidR="00C816F0">
        <w:rPr>
          <w:rStyle w:val="EndnoteReference"/>
          <w:rFonts w:ascii="Times New Roman" w:hAnsi="Times New Roman" w:cs="Times New Roman"/>
          <w:b w:val="0"/>
          <w:bCs w:val="0"/>
          <w:i w:val="0"/>
          <w:iCs w:val="0"/>
          <w:sz w:val="24"/>
          <w:szCs w:val="24"/>
        </w:rPr>
        <w:endnoteReference w:id="4"/>
      </w:r>
      <w:r>
        <w:rPr>
          <w:rFonts w:ascii="Times New Roman" w:hAnsi="Times New Roman" w:cs="Times New Roman"/>
          <w:b w:val="0"/>
          <w:bCs w:val="0"/>
          <w:i w:val="0"/>
          <w:iCs w:val="0"/>
          <w:sz w:val="24"/>
          <w:szCs w:val="24"/>
        </w:rPr>
        <w:t>.</w:t>
      </w:r>
      <w:bookmarkEnd w:id="33"/>
    </w:p>
    <w:p w:rsidR="00C069A2" w:rsidRPr="004B6A32" w:rsidRDefault="0030550A" w:rsidP="002E0043">
      <w:pPr>
        <w:pStyle w:val="Heading2"/>
        <w:keepNext w:val="0"/>
      </w:pPr>
      <w:bookmarkStart w:id="35" w:name="_Toc328485821"/>
      <w:r w:rsidRPr="004B6A32">
        <w:t>2.2 Demand R</w:t>
      </w:r>
      <w:r w:rsidR="00C069A2" w:rsidRPr="004B6A32">
        <w:t>eduction Estimation Methodologies</w:t>
      </w:r>
      <w:bookmarkEnd w:id="35"/>
    </w:p>
    <w:p w:rsidR="00106127" w:rsidRPr="004060E3" w:rsidRDefault="00106127" w:rsidP="00106127">
      <w:r w:rsidRPr="004060E3">
        <w:t>As discussed in Section 2.1, the occupancy demand reduction estimation calculation uses a 20% time off value for spaces which are assumed to have higher occupancy and a 50% time off value for spaces which are assumed to have lower occupancy.</w:t>
      </w:r>
    </w:p>
    <w:p w:rsidR="00106127" w:rsidRPr="00F07026" w:rsidRDefault="00106127" w:rsidP="00106127">
      <w:pPr>
        <w:rPr>
          <w:highlight w:val="yellow"/>
        </w:rPr>
      </w:pPr>
    </w:p>
    <w:p w:rsidR="00106127" w:rsidRPr="004060E3" w:rsidRDefault="00106127" w:rsidP="00106127">
      <w:r w:rsidRPr="004060E3">
        <w:t xml:space="preserve">The demand reduction per occupancy sensor is the product of the controlled wattage, coincident diversity factor (CDF), demand interactive effects (DIE), and occupancy sensor percent time off (PTO). The calculation is shown in Equation 3. </w:t>
      </w:r>
    </w:p>
    <w:p w:rsidR="00D562F0" w:rsidRPr="00F07026" w:rsidRDefault="00D562F0" w:rsidP="00E6259A">
      <w:pPr>
        <w:rPr>
          <w:highlight w:val="yellow"/>
        </w:rPr>
      </w:pPr>
    </w:p>
    <w:p w:rsidR="00F70E38" w:rsidRDefault="00E6259A" w:rsidP="000D0954">
      <w:pPr>
        <w:tabs>
          <w:tab w:val="left" w:pos="8640"/>
        </w:tabs>
      </w:pPr>
      <w:r w:rsidRPr="000D0954">
        <w:rPr>
          <w:position w:val="-28"/>
        </w:rPr>
        <w:object w:dxaOrig="7119" w:dyaOrig="680">
          <v:shape id="_x0000_i1029" type="#_x0000_t75" style="width:328.5pt;height:31.5pt" o:ole="">
            <v:imagedata r:id="rId18" o:title=""/>
          </v:shape>
          <o:OLEObject Type="Embed" ProgID="Equation.3" ShapeID="_x0000_i1029" DrawAspect="Content" ObjectID="_1402228743" r:id="rId19"/>
        </w:object>
      </w:r>
      <w:r w:rsidRPr="000D0954">
        <w:tab/>
      </w:r>
      <w:r w:rsidR="00656D4F" w:rsidRPr="000D0954">
        <w:t xml:space="preserve">[Eq. </w:t>
      </w:r>
      <w:r w:rsidR="00106127" w:rsidRPr="000D0954">
        <w:t>3</w:t>
      </w:r>
      <w:r w:rsidR="00656D4F" w:rsidRPr="000D0954">
        <w:t>]</w:t>
      </w:r>
      <w:bookmarkStart w:id="36" w:name="_Toc174222020"/>
    </w:p>
    <w:p w:rsidR="000D0954" w:rsidRDefault="000D0954" w:rsidP="000D0954">
      <w:pPr>
        <w:tabs>
          <w:tab w:val="left" w:pos="8640"/>
        </w:tabs>
      </w:pPr>
    </w:p>
    <w:p w:rsidR="000D0954" w:rsidRDefault="000D0954" w:rsidP="000D0954">
      <w:pPr>
        <w:tabs>
          <w:tab w:val="left" w:pos="8640"/>
        </w:tabs>
      </w:pPr>
    </w:p>
    <w:p w:rsidR="000D0954" w:rsidRPr="00F70E38" w:rsidRDefault="000D0954" w:rsidP="000D0954">
      <w:pPr>
        <w:pStyle w:val="Heading2"/>
        <w:keepNext w:val="0"/>
        <w:rPr>
          <w:rFonts w:ascii="Times New Roman" w:hAnsi="Times New Roman" w:cs="Times New Roman"/>
          <w:b w:val="0"/>
          <w:bCs w:val="0"/>
          <w:i w:val="0"/>
          <w:iCs w:val="0"/>
          <w:sz w:val="24"/>
          <w:szCs w:val="24"/>
        </w:rPr>
      </w:pPr>
      <w:bookmarkStart w:id="37" w:name="_Toc328485822"/>
      <w:r w:rsidRPr="00F70E38">
        <w:rPr>
          <w:rFonts w:ascii="Times New Roman" w:hAnsi="Times New Roman" w:cs="Times New Roman"/>
          <w:b w:val="0"/>
          <w:bCs w:val="0"/>
          <w:i w:val="0"/>
          <w:iCs w:val="0"/>
          <w:sz w:val="24"/>
          <w:szCs w:val="24"/>
        </w:rPr>
        <w:t>For a summary of savings values, refer to embedded excel calculation sheet</w:t>
      </w:r>
      <w:r>
        <w:rPr>
          <w:rFonts w:ascii="Times New Roman" w:hAnsi="Times New Roman" w:cs="Times New Roman"/>
          <w:b w:val="0"/>
          <w:bCs w:val="0"/>
          <w:i w:val="0"/>
          <w:iCs w:val="0"/>
          <w:sz w:val="24"/>
          <w:szCs w:val="24"/>
        </w:rPr>
        <w:t>.</w:t>
      </w:r>
      <w:bookmarkEnd w:id="37"/>
    </w:p>
    <w:p w:rsidR="000D0954" w:rsidRDefault="000D0954" w:rsidP="000D0954">
      <w:pPr>
        <w:tabs>
          <w:tab w:val="left" w:pos="8640"/>
        </w:tabs>
      </w:pPr>
    </w:p>
    <w:p w:rsidR="000D0954" w:rsidRDefault="000D0954" w:rsidP="000D0954">
      <w:pPr>
        <w:tabs>
          <w:tab w:val="left" w:pos="8640"/>
        </w:tabs>
      </w:pPr>
    </w:p>
    <w:p w:rsidR="00F70E38" w:rsidRPr="000D0954" w:rsidRDefault="00F70E38" w:rsidP="00F70E38">
      <w:pPr>
        <w:outlineLvl w:val="0"/>
        <w:rPr>
          <w:b/>
        </w:rPr>
      </w:pPr>
      <w:bookmarkStart w:id="38" w:name="_Toc328485823"/>
      <w:r w:rsidRPr="000D0954">
        <w:rPr>
          <w:b/>
        </w:rPr>
        <w:t>2.3 Gas Energy Saving Estimation</w:t>
      </w:r>
      <w:bookmarkEnd w:id="38"/>
    </w:p>
    <w:p w:rsidR="00F70E38" w:rsidRPr="000D0954" w:rsidRDefault="00F70E38" w:rsidP="00F70E38"/>
    <w:p w:rsidR="00F70E38" w:rsidRPr="000D0954" w:rsidRDefault="00F70E38" w:rsidP="00F70E38">
      <w:pPr>
        <w:pStyle w:val="Reminder"/>
        <w:rPr>
          <w:rFonts w:ascii="Times New Roman" w:hAnsi="Times New Roman"/>
          <w:i w:val="0"/>
          <w:color w:val="auto"/>
        </w:rPr>
      </w:pPr>
      <w:r w:rsidRPr="000D0954">
        <w:rPr>
          <w:rFonts w:ascii="Times New Roman" w:hAnsi="Times New Roman"/>
          <w:i w:val="0"/>
          <w:color w:val="auto"/>
        </w:rPr>
        <w:t>Only losses in Gas savings are associated with these measures</w:t>
      </w:r>
    </w:p>
    <w:p w:rsidR="00F70E38" w:rsidRPr="000D0954" w:rsidRDefault="00F70E38" w:rsidP="00F70E38">
      <w:pPr>
        <w:pStyle w:val="Reminder"/>
        <w:rPr>
          <w:rFonts w:ascii="Times New Roman" w:hAnsi="Times New Roman"/>
          <w:color w:val="auto"/>
        </w:rPr>
      </w:pPr>
    </w:p>
    <w:p w:rsidR="00F70E38" w:rsidRPr="000D0954" w:rsidRDefault="00F70E38" w:rsidP="00F70E38">
      <w:pPr>
        <w:ind w:right="-180"/>
        <w:rPr>
          <w:sz w:val="17"/>
          <w:szCs w:val="17"/>
        </w:rPr>
      </w:pPr>
      <w:r w:rsidRPr="000D0954">
        <w:rPr>
          <w:i/>
          <w:sz w:val="17"/>
          <w:szCs w:val="17"/>
        </w:rPr>
        <w:t xml:space="preserve">Gas Savings </w:t>
      </w:r>
      <w:r w:rsidRPr="000D0954">
        <w:rPr>
          <w:i/>
          <w:position w:val="-30"/>
          <w:sz w:val="23"/>
          <w:szCs w:val="23"/>
        </w:rPr>
        <w:object w:dxaOrig="1240" w:dyaOrig="720">
          <v:shape id="_x0000_i1030" type="#_x0000_t75" style="width:62.25pt;height:36pt" o:ole="">
            <v:imagedata r:id="rId20" o:title=""/>
          </v:shape>
          <o:OLEObject Type="Embed" ProgID="Equation.3" ShapeID="_x0000_i1030" DrawAspect="Content" ObjectID="_1402228744" r:id="rId21"/>
        </w:object>
      </w:r>
      <w:r w:rsidRPr="000D0954">
        <w:rPr>
          <w:i/>
          <w:sz w:val="17"/>
          <w:szCs w:val="17"/>
        </w:rPr>
        <w:t xml:space="preserve">= </w:t>
      </w:r>
      <w:r w:rsidRPr="000D0954">
        <w:rPr>
          <w:i/>
          <w:sz w:val="17"/>
          <w:szCs w:val="17"/>
          <w:u w:val="single"/>
        </w:rPr>
        <w:t>(∆Watts/unit) x (annual hours</w:t>
      </w:r>
      <w:r w:rsidRPr="000D0954">
        <w:rPr>
          <w:sz w:val="17"/>
          <w:szCs w:val="17"/>
          <w:u w:val="single"/>
        </w:rPr>
        <w:t xml:space="preserve"> of use) x (3.413 BTU/Watt hours) x Interactive Effects</w:t>
      </w:r>
      <w:r w:rsidRPr="000D0954">
        <w:rPr>
          <w:sz w:val="17"/>
          <w:szCs w:val="17"/>
        </w:rPr>
        <w:t xml:space="preserve">   [</w:t>
      </w:r>
      <w:r w:rsidRPr="000D0954">
        <w:rPr>
          <w:b/>
          <w:sz w:val="22"/>
          <w:szCs w:val="22"/>
        </w:rPr>
        <w:t xml:space="preserve">Equation </w:t>
      </w:r>
      <w:r w:rsidRPr="000D0954">
        <w:rPr>
          <w:b/>
          <w:sz w:val="18"/>
          <w:szCs w:val="18"/>
        </w:rPr>
        <w:t>3]</w:t>
      </w:r>
    </w:p>
    <w:p w:rsidR="00F70E38" w:rsidRPr="000D0954" w:rsidRDefault="00F70E38" w:rsidP="00F70E38">
      <w:pPr>
        <w:ind w:left="720"/>
        <w:rPr>
          <w:sz w:val="23"/>
          <w:szCs w:val="23"/>
        </w:rPr>
      </w:pPr>
      <w:r w:rsidRPr="000D0954">
        <w:rPr>
          <w:sz w:val="23"/>
          <w:szCs w:val="23"/>
        </w:rPr>
        <w:tab/>
        <w:t xml:space="preserve">                                                          100,000 (BTU/Therm) </w:t>
      </w:r>
    </w:p>
    <w:p w:rsidR="00F70E38" w:rsidRPr="000D0954" w:rsidRDefault="00F70E38" w:rsidP="00F70E38">
      <w:pPr>
        <w:rPr>
          <w:i/>
          <w:sz w:val="20"/>
          <w:szCs w:val="20"/>
        </w:rPr>
      </w:pPr>
    </w:p>
    <w:p w:rsidR="000D0954" w:rsidRPr="00F70E38" w:rsidRDefault="000D0954" w:rsidP="000D0954">
      <w:pPr>
        <w:pStyle w:val="Heading2"/>
        <w:keepNext w:val="0"/>
        <w:rPr>
          <w:rFonts w:ascii="Times New Roman" w:hAnsi="Times New Roman" w:cs="Times New Roman"/>
          <w:b w:val="0"/>
          <w:bCs w:val="0"/>
          <w:i w:val="0"/>
          <w:iCs w:val="0"/>
          <w:sz w:val="24"/>
          <w:szCs w:val="24"/>
        </w:rPr>
      </w:pPr>
      <w:bookmarkStart w:id="39" w:name="_Toc328485824"/>
      <w:r w:rsidRPr="000D0954">
        <w:rPr>
          <w:rFonts w:ascii="Times New Roman" w:hAnsi="Times New Roman" w:cs="Times New Roman"/>
          <w:b w:val="0"/>
          <w:bCs w:val="0"/>
          <w:i w:val="0"/>
          <w:iCs w:val="0"/>
          <w:sz w:val="24"/>
          <w:szCs w:val="24"/>
        </w:rPr>
        <w:t xml:space="preserve">For a summary of savings values, refer to </w:t>
      </w:r>
      <w:r w:rsidR="00FF5D2D">
        <w:rPr>
          <w:rFonts w:ascii="Times New Roman" w:hAnsi="Times New Roman" w:cs="Times New Roman"/>
          <w:b w:val="0"/>
          <w:bCs w:val="0"/>
          <w:i w:val="0"/>
          <w:iCs w:val="0"/>
          <w:sz w:val="24"/>
          <w:szCs w:val="24"/>
        </w:rPr>
        <w:t xml:space="preserve">both the </w:t>
      </w:r>
      <w:r w:rsidRPr="000D0954">
        <w:rPr>
          <w:rFonts w:ascii="Times New Roman" w:hAnsi="Times New Roman" w:cs="Times New Roman"/>
          <w:b w:val="0"/>
          <w:bCs w:val="0"/>
          <w:i w:val="0"/>
          <w:iCs w:val="0"/>
          <w:sz w:val="24"/>
          <w:szCs w:val="24"/>
        </w:rPr>
        <w:t>embedded excel calculation sheet</w:t>
      </w:r>
      <w:r w:rsidR="00FF5D2D">
        <w:rPr>
          <w:rFonts w:ascii="Times New Roman" w:hAnsi="Times New Roman" w:cs="Times New Roman"/>
          <w:b w:val="0"/>
          <w:bCs w:val="0"/>
          <w:i w:val="0"/>
          <w:iCs w:val="0"/>
          <w:sz w:val="24"/>
          <w:szCs w:val="24"/>
        </w:rPr>
        <w:t xml:space="preserve"> and to </w:t>
      </w:r>
      <w:r w:rsidR="00FF5D2D" w:rsidRPr="00FF5D2D">
        <w:rPr>
          <w:rFonts w:ascii="Times New Roman" w:hAnsi="Times New Roman" w:cs="Times New Roman"/>
          <w:b w:val="0"/>
          <w:bCs w:val="0"/>
          <w:i w:val="0"/>
          <w:iCs w:val="0"/>
          <w:sz w:val="24"/>
          <w:szCs w:val="24"/>
        </w:rPr>
        <w:t>WPSDGENRLG0999</w:t>
      </w:r>
      <w:r w:rsidR="00FF5D2D">
        <w:rPr>
          <w:rFonts w:ascii="Times New Roman" w:hAnsi="Times New Roman" w:cs="Times New Roman"/>
          <w:b w:val="0"/>
          <w:bCs w:val="0"/>
          <w:i w:val="0"/>
          <w:iCs w:val="0"/>
          <w:sz w:val="24"/>
          <w:szCs w:val="24"/>
        </w:rPr>
        <w:t xml:space="preserve"> for individual results.  </w:t>
      </w:r>
      <w:r w:rsidR="00FF5D2D" w:rsidRPr="00FF5D2D">
        <w:rPr>
          <w:rFonts w:ascii="Times New Roman" w:hAnsi="Times New Roman" w:cs="Times New Roman"/>
          <w:b w:val="0"/>
          <w:bCs w:val="0"/>
          <w:i w:val="0"/>
          <w:iCs w:val="0"/>
          <w:sz w:val="24"/>
          <w:szCs w:val="24"/>
        </w:rPr>
        <w:t>WPSDGENRLG0999</w:t>
      </w:r>
      <w:r w:rsidR="00FF5D2D">
        <w:rPr>
          <w:rFonts w:ascii="Times New Roman" w:hAnsi="Times New Roman" w:cs="Times New Roman"/>
          <w:b w:val="0"/>
          <w:bCs w:val="0"/>
          <w:i w:val="0"/>
          <w:iCs w:val="0"/>
          <w:sz w:val="24"/>
          <w:szCs w:val="24"/>
        </w:rPr>
        <w:t xml:space="preserve"> shall have precedence over this </w:t>
      </w:r>
      <w:proofErr w:type="spellStart"/>
      <w:r w:rsidR="00FF5D2D">
        <w:rPr>
          <w:rFonts w:ascii="Times New Roman" w:hAnsi="Times New Roman" w:cs="Times New Roman"/>
          <w:b w:val="0"/>
          <w:bCs w:val="0"/>
          <w:i w:val="0"/>
          <w:iCs w:val="0"/>
          <w:sz w:val="24"/>
          <w:szCs w:val="24"/>
        </w:rPr>
        <w:t>workpaper</w:t>
      </w:r>
      <w:proofErr w:type="spellEnd"/>
      <w:r w:rsidRPr="000D0954">
        <w:rPr>
          <w:rFonts w:ascii="Times New Roman" w:hAnsi="Times New Roman" w:cs="Times New Roman"/>
          <w:b w:val="0"/>
          <w:bCs w:val="0"/>
          <w:i w:val="0"/>
          <w:iCs w:val="0"/>
          <w:sz w:val="24"/>
          <w:szCs w:val="24"/>
        </w:rPr>
        <w:t>.</w:t>
      </w:r>
      <w:bookmarkEnd w:id="39"/>
    </w:p>
    <w:p w:rsidR="00F70E38" w:rsidRDefault="00F70E38" w:rsidP="00E0375D">
      <w:pPr>
        <w:pStyle w:val="Heading1"/>
        <w:keepNext w:val="0"/>
      </w:pPr>
    </w:p>
    <w:p w:rsidR="00E0375D" w:rsidRPr="004B0389" w:rsidRDefault="00E0375D" w:rsidP="00E0375D">
      <w:pPr>
        <w:pStyle w:val="Heading1"/>
        <w:keepNext w:val="0"/>
      </w:pPr>
      <w:bookmarkStart w:id="40" w:name="_Toc328485825"/>
      <w:proofErr w:type="gramStart"/>
      <w:r w:rsidRPr="004B0389">
        <w:lastRenderedPageBreak/>
        <w:t>Section 3.</w:t>
      </w:r>
      <w:proofErr w:type="gramEnd"/>
      <w:r w:rsidRPr="004B0389">
        <w:t xml:space="preserve"> Load Shapes</w:t>
      </w:r>
      <w:bookmarkEnd w:id="36"/>
      <w:bookmarkEnd w:id="40"/>
    </w:p>
    <w:p w:rsidR="00E0375D" w:rsidRPr="004B0389" w:rsidRDefault="00E0375D" w:rsidP="00E0375D">
      <w:pPr>
        <w:autoSpaceDE w:val="0"/>
        <w:autoSpaceDN w:val="0"/>
        <w:adjustRightInd w:val="0"/>
      </w:pPr>
      <w:r w:rsidRPr="004B0389">
        <w:t xml:space="preserve">Load Shapes are an important part of the life-cycle cost analysis of any energy efficiency program portfolio. The net benefits associated with a measure are based on the amount of energy saved and the avoided cost per unit of energy saved. For electricity, the avoided cost varies hourly over an entire year. Thus, the net benefits calculation for a measure requires both the total annual energy savings (kWh) of the measure and the distribution of that savings over the year. The distribution of savings over the year is represented by the measure’s load shape. The measure’s load shape indicates what fraction of annual energy savings occurs in each time period of the year. An hourly load shape indicates what fraction of annual savings occurs for each hour of the year. A </w:t>
      </w:r>
      <w:r w:rsidR="00A61165" w:rsidRPr="004B0389">
        <w:t>t</w:t>
      </w:r>
      <w:r w:rsidRPr="004B0389">
        <w:t>ime</w:t>
      </w:r>
      <w:r w:rsidR="00A61165" w:rsidRPr="004B0389">
        <w:t xml:space="preserve"> </w:t>
      </w:r>
      <w:r w:rsidRPr="004B0389">
        <w:t>of</w:t>
      </w:r>
      <w:r w:rsidR="00A61165" w:rsidRPr="004B0389">
        <w:t xml:space="preserve"> u</w:t>
      </w:r>
      <w:r w:rsidRPr="004B0389">
        <w:t xml:space="preserve">se (TOU) load shape indicates what fraction occurs within five broad </w:t>
      </w:r>
      <w:r w:rsidR="00A61165" w:rsidRPr="004B0389">
        <w:t>TOU</w:t>
      </w:r>
      <w:r w:rsidRPr="004B0389">
        <w:t xml:space="preserve"> periods, typically defined by a specific utility rate tariff. Formally, a load shape is set of fractions summing to unity, one fraction for each hour or for each TOU period. Multiplying the measure load shape with the hourly avoided cost stream determines the average avoided cost per kWh for use in the life cycle cost analysis that determines a measure’s Total Resource Cost (TRC) benefit.</w:t>
      </w:r>
    </w:p>
    <w:p w:rsidR="00E0375D" w:rsidRPr="004B0389" w:rsidRDefault="00E0375D" w:rsidP="00E0375D"/>
    <w:p w:rsidR="00E0375D" w:rsidRPr="004B0389" w:rsidRDefault="00A50ACB" w:rsidP="00E0375D">
      <w:pPr>
        <w:pStyle w:val="Heading2"/>
        <w:keepNext w:val="0"/>
      </w:pPr>
      <w:bookmarkStart w:id="41" w:name="_Toc174222021"/>
      <w:bookmarkStart w:id="42" w:name="_Toc328485826"/>
      <w:r w:rsidRPr="004B0389">
        <w:t>3.1 Base Case</w:t>
      </w:r>
      <w:r w:rsidR="00E0375D" w:rsidRPr="004B0389">
        <w:t xml:space="preserve"> Load Shapes</w:t>
      </w:r>
      <w:bookmarkEnd w:id="41"/>
      <w:bookmarkEnd w:id="42"/>
    </w:p>
    <w:p w:rsidR="00E0375D" w:rsidRPr="004B0389" w:rsidRDefault="00E0375D" w:rsidP="00E0375D">
      <w:r w:rsidRPr="004B0389">
        <w:t xml:space="preserve">The base case indoor lighting system demand </w:t>
      </w:r>
      <w:r w:rsidR="009310CF" w:rsidRPr="004B0389">
        <w:t>is</w:t>
      </w:r>
      <w:r w:rsidRPr="004B0389">
        <w:t xml:space="preserve"> expected to follow a typical non-residential indoor lighting end use load shape for each market sector as shown in the E3 Calculator.</w:t>
      </w:r>
    </w:p>
    <w:p w:rsidR="00E0375D" w:rsidRPr="004B0389" w:rsidRDefault="00E0375D" w:rsidP="00E0375D">
      <w:pPr>
        <w:spacing w:after="120"/>
        <w:jc w:val="both"/>
      </w:pPr>
    </w:p>
    <w:p w:rsidR="00E0375D" w:rsidRPr="004B0389" w:rsidRDefault="00E0375D" w:rsidP="00E0375D">
      <w:pPr>
        <w:pStyle w:val="Heading2"/>
        <w:keepNext w:val="0"/>
      </w:pPr>
      <w:bookmarkStart w:id="43" w:name="_Toc174222022"/>
      <w:bookmarkStart w:id="44" w:name="_Toc328485827"/>
      <w:r w:rsidRPr="004B0389">
        <w:t>3.2 Measure Load Shapes</w:t>
      </w:r>
      <w:bookmarkEnd w:id="43"/>
      <w:bookmarkEnd w:id="44"/>
    </w:p>
    <w:p w:rsidR="00E0375D" w:rsidRPr="004B0389" w:rsidRDefault="00E0375D" w:rsidP="00E0375D">
      <w:r w:rsidRPr="004B0389">
        <w:t xml:space="preserve">For purposes of the net benefits estimates in the E3 </w:t>
      </w:r>
      <w:r w:rsidR="00B17902" w:rsidRPr="004B0389">
        <w:t>C</w:t>
      </w:r>
      <w:r w:rsidRPr="004B0389">
        <w:t>alculator, what is required is the demand load shape that ideally represents the difference between the base equipment and the installed energy efficiency measure. This difference load profile is what is called the Measure Load Shape and would be the preferred load shape for use in the net benefits calculations. For the occupancy sensor measure, the base case is no occupancy sensor, so the Measure Load Shape is the same as that of the installed energy efficiency measure load shape. The occupancy sensor controls would alter each typical commercial indoor lighting hourly demand profile differently, making it difficult to select any single demand profile to represent the entire category.</w:t>
      </w:r>
    </w:p>
    <w:p w:rsidR="00E0375D" w:rsidRPr="004B0389" w:rsidRDefault="00E0375D" w:rsidP="00E0375D"/>
    <w:p w:rsidR="00E0375D" w:rsidRPr="004B0389" w:rsidRDefault="00E0375D" w:rsidP="00E0375D">
      <w:r w:rsidRPr="004B0389">
        <w:t>The Load Shape Update Initiative Study determined that for load-following measures, the end-use load shape can be substituted for the measure shape:</w:t>
      </w:r>
    </w:p>
    <w:p w:rsidR="00E0375D" w:rsidRPr="004B0389" w:rsidRDefault="00E0375D" w:rsidP="00E0375D">
      <w:r w:rsidRPr="004B0389">
        <w:t xml:space="preserve"> </w:t>
      </w:r>
    </w:p>
    <w:p w:rsidR="00E0375D" w:rsidRPr="004B0389" w:rsidRDefault="00E0375D" w:rsidP="00E0375D">
      <w:pPr>
        <w:autoSpaceDE w:val="0"/>
        <w:autoSpaceDN w:val="0"/>
        <w:adjustRightInd w:val="0"/>
        <w:ind w:left="720"/>
      </w:pPr>
      <w:r w:rsidRPr="004B0389">
        <w:t>“It can be argued that for measures that are roughly load-following (have a similar pattern to the end-use itself), substituting the end-use load shape for the measure shape is a reasonable simplification. Errors introduced by this substitution may be minor compared to other uncertainties in the savings valuation process. Distinguishing measure shape from end-use shape may be an unnecessary complication except for measures that are not load-following. This perspective was suggested by some workshop participants and interviewees.”</w:t>
      </w:r>
      <w:r w:rsidR="00C6327C" w:rsidRPr="004B0389">
        <w:t xml:space="preserve"> </w:t>
      </w:r>
    </w:p>
    <w:p w:rsidR="00E0375D" w:rsidRPr="004B0389" w:rsidRDefault="00E0375D" w:rsidP="00E0375D"/>
    <w:p w:rsidR="00E0375D" w:rsidRPr="004B0389" w:rsidRDefault="00E0375D" w:rsidP="00E0375D">
      <w:r w:rsidRPr="004B0389">
        <w:t xml:space="preserve">The E3 Calculator contains a fixed set of load shapes selections that are the combination of the hourly avoided costs and whatever load shape data were available at the time of the tool’s </w:t>
      </w:r>
      <w:r w:rsidRPr="004B0389">
        <w:lastRenderedPageBreak/>
        <w:t xml:space="preserve">creation. In of the case of </w:t>
      </w:r>
      <w:r w:rsidR="00B17902" w:rsidRPr="004B0389">
        <w:t xml:space="preserve">the </w:t>
      </w:r>
      <w:r w:rsidRPr="004B0389">
        <w:t>S</w:t>
      </w:r>
      <w:r w:rsidR="00B17902" w:rsidRPr="004B0389">
        <w:t xml:space="preserve">outhern </w:t>
      </w:r>
      <w:r w:rsidRPr="004B0389">
        <w:t>C</w:t>
      </w:r>
      <w:r w:rsidR="00B17902" w:rsidRPr="004B0389">
        <w:t xml:space="preserve">alifornia </w:t>
      </w:r>
      <w:r w:rsidRPr="004B0389">
        <w:t>E</w:t>
      </w:r>
      <w:r w:rsidR="00B17902" w:rsidRPr="004B0389">
        <w:t>dison</w:t>
      </w:r>
      <w:r w:rsidRPr="004B0389">
        <w:t xml:space="preserve"> E3 Calculator, the majority of the load shape data at the time were TOU End Use load shapes and not Hourly Measure load shapes. </w:t>
      </w:r>
      <w:fldSimple w:instr=" REF _Ref179563349 \h  \* MERGEFORMAT ">
        <w:r w:rsidR="000F6E3A" w:rsidRPr="004B0389">
          <w:t xml:space="preserve">Figure </w:t>
        </w:r>
        <w:r w:rsidR="000F6E3A">
          <w:rPr>
            <w:noProof/>
          </w:rPr>
          <w:t>4</w:t>
        </w:r>
      </w:fldSimple>
      <w:r w:rsidRPr="004B0389">
        <w:t xml:space="preserve"> and </w:t>
      </w:r>
      <w:fldSimple w:instr=" REF _Ref179563355 \h  \* MERGEFORMAT ">
        <w:r w:rsidR="000F6E3A" w:rsidRPr="004B0389">
          <w:t xml:space="preserve">Figure </w:t>
        </w:r>
        <w:r w:rsidR="000F6E3A">
          <w:rPr>
            <w:noProof/>
          </w:rPr>
          <w:t>5</w:t>
        </w:r>
      </w:fldSimple>
      <w:r w:rsidRPr="004B0389">
        <w:t xml:space="preserve"> represent the TOU End Use Energy and Peak Demand factors for indoor lighting measures that are embedded within the E3 Calculator.</w:t>
      </w:r>
    </w:p>
    <w:p w:rsidR="00E0375D" w:rsidRPr="004B0389" w:rsidRDefault="00E0375D" w:rsidP="00E0375D"/>
    <w:p w:rsidR="00E0375D" w:rsidRPr="004B0389" w:rsidRDefault="009C304D" w:rsidP="00E0375D">
      <w:pPr>
        <w:jc w:val="center"/>
      </w:pPr>
      <w:r>
        <w:rPr>
          <w:noProof/>
        </w:rPr>
        <w:drawing>
          <wp:inline distT="0" distB="0" distL="0" distR="0">
            <wp:extent cx="4133850" cy="236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4133850" cy="2362200"/>
                    </a:xfrm>
                    <a:prstGeom prst="rect">
                      <a:avLst/>
                    </a:prstGeom>
                    <a:noFill/>
                    <a:ln w="9525">
                      <a:noFill/>
                      <a:miter lim="800000"/>
                      <a:headEnd/>
                      <a:tailEnd/>
                    </a:ln>
                  </pic:spPr>
                </pic:pic>
              </a:graphicData>
            </a:graphic>
          </wp:inline>
        </w:drawing>
      </w:r>
    </w:p>
    <w:p w:rsidR="00E0375D" w:rsidRPr="004B0389" w:rsidRDefault="00E0375D" w:rsidP="00E0375D">
      <w:pPr>
        <w:pStyle w:val="Caption"/>
        <w:rPr>
          <w:b w:val="0"/>
        </w:rPr>
      </w:pPr>
      <w:bookmarkStart w:id="45" w:name="_Ref179563349"/>
      <w:bookmarkStart w:id="46" w:name="_Toc174222037"/>
      <w:bookmarkStart w:id="47" w:name="_Toc180494444"/>
      <w:proofErr w:type="gramStart"/>
      <w:r w:rsidRPr="004B0389">
        <w:t xml:space="preserve">Figure </w:t>
      </w:r>
      <w:fldSimple w:instr=" SEQ Figure \* ARABIC ">
        <w:r w:rsidR="000F6E3A">
          <w:rPr>
            <w:noProof/>
          </w:rPr>
          <w:t>4</w:t>
        </w:r>
      </w:fldSimple>
      <w:bookmarkEnd w:id="45"/>
      <w:r w:rsidRPr="004B0389">
        <w:t>.</w:t>
      </w:r>
      <w:proofErr w:type="gramEnd"/>
      <w:r w:rsidRPr="004B0389">
        <w:t xml:space="preserve"> </w:t>
      </w:r>
      <w:r w:rsidRPr="004B0389">
        <w:rPr>
          <w:b w:val="0"/>
        </w:rPr>
        <w:t>TOU Energy Factors for the Lighting End Use</w:t>
      </w:r>
      <w:bookmarkEnd w:id="46"/>
      <w:bookmarkEnd w:id="47"/>
    </w:p>
    <w:p w:rsidR="00E0375D" w:rsidRPr="004B0389" w:rsidRDefault="00E0375D" w:rsidP="00E0375D">
      <w:pPr>
        <w:jc w:val="center"/>
      </w:pPr>
    </w:p>
    <w:p w:rsidR="00A61165" w:rsidRPr="004B0389" w:rsidRDefault="00A61165" w:rsidP="00E0375D">
      <w:pPr>
        <w:jc w:val="center"/>
      </w:pPr>
    </w:p>
    <w:p w:rsidR="00E0375D" w:rsidRPr="004B0389" w:rsidRDefault="009C304D" w:rsidP="00E0375D">
      <w:pPr>
        <w:jc w:val="center"/>
      </w:pPr>
      <w:r>
        <w:rPr>
          <w:noProof/>
        </w:rPr>
        <w:drawing>
          <wp:inline distT="0" distB="0" distL="0" distR="0">
            <wp:extent cx="3448050" cy="2228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3448050" cy="2228850"/>
                    </a:xfrm>
                    <a:prstGeom prst="rect">
                      <a:avLst/>
                    </a:prstGeom>
                    <a:noFill/>
                    <a:ln w="9525">
                      <a:noFill/>
                      <a:miter lim="800000"/>
                      <a:headEnd/>
                      <a:tailEnd/>
                    </a:ln>
                  </pic:spPr>
                </pic:pic>
              </a:graphicData>
            </a:graphic>
          </wp:inline>
        </w:drawing>
      </w:r>
    </w:p>
    <w:p w:rsidR="00E0375D" w:rsidRPr="004B0389" w:rsidRDefault="00E0375D" w:rsidP="00E0375D">
      <w:pPr>
        <w:pStyle w:val="Caption"/>
      </w:pPr>
      <w:bookmarkStart w:id="48" w:name="_Ref179563355"/>
      <w:bookmarkStart w:id="49" w:name="_Toc174222038"/>
      <w:bookmarkStart w:id="50" w:name="_Toc180494445"/>
      <w:proofErr w:type="gramStart"/>
      <w:r w:rsidRPr="004B0389">
        <w:t xml:space="preserve">Figure </w:t>
      </w:r>
      <w:fldSimple w:instr=" SEQ Figure \* ARABIC ">
        <w:r w:rsidR="000F6E3A">
          <w:rPr>
            <w:noProof/>
          </w:rPr>
          <w:t>5</w:t>
        </w:r>
      </w:fldSimple>
      <w:bookmarkEnd w:id="48"/>
      <w:r w:rsidRPr="004B0389">
        <w:t>.</w:t>
      </w:r>
      <w:proofErr w:type="gramEnd"/>
      <w:r w:rsidRPr="004B0389">
        <w:t xml:space="preserve"> </w:t>
      </w:r>
      <w:r w:rsidRPr="004B0389">
        <w:rPr>
          <w:b w:val="0"/>
        </w:rPr>
        <w:t>TOU Demand Factors for the Lighting End Use</w:t>
      </w:r>
      <w:bookmarkEnd w:id="49"/>
      <w:bookmarkEnd w:id="50"/>
    </w:p>
    <w:p w:rsidR="00E0375D" w:rsidRPr="004B0389" w:rsidRDefault="00E0375D" w:rsidP="00E0375D"/>
    <w:p w:rsidR="00A61165" w:rsidRPr="004B0389" w:rsidRDefault="00E0375D" w:rsidP="00E0375D">
      <w:r w:rsidRPr="004B0389">
        <w:t>In the E3 Calculator, for the “Measure Electric End Use Shape” selection, the “Indoor Lighting” (</w:t>
      </w:r>
      <w:proofErr w:type="spellStart"/>
      <w:r w:rsidRPr="004B0389">
        <w:t>IndoorLT</w:t>
      </w:r>
      <w:proofErr w:type="spellEnd"/>
      <w:r w:rsidRPr="004B0389">
        <w:t xml:space="preserve">) load shape is the only appropriate selection for the Integrated Occupancy Sensor for </w:t>
      </w:r>
      <w:proofErr w:type="gramStart"/>
      <w:r w:rsidRPr="004B0389">
        <w:t>High Bays</w:t>
      </w:r>
      <w:proofErr w:type="gramEnd"/>
      <w:r w:rsidRPr="004B0389">
        <w:t xml:space="preserve"> measure category. The “Indoor Lighting” selection is enabled for most of the nonresidential Target Sectors in Version 3c3-2000 of the E3 Calculator.</w:t>
      </w:r>
    </w:p>
    <w:p w:rsidR="00E0375D" w:rsidRPr="004B0389" w:rsidRDefault="00E0375D" w:rsidP="00E0375D">
      <w:r w:rsidRPr="004B0389">
        <w:t>The exceptions are:</w:t>
      </w:r>
    </w:p>
    <w:p w:rsidR="00E0375D" w:rsidRPr="004B0389" w:rsidRDefault="00E0375D" w:rsidP="00E0375D"/>
    <w:p w:rsidR="00E0375D" w:rsidRPr="004B0389" w:rsidRDefault="00E0375D" w:rsidP="00E0375D">
      <w:pPr>
        <w:numPr>
          <w:ilvl w:val="0"/>
          <w:numId w:val="10"/>
        </w:numPr>
      </w:pPr>
      <w:r w:rsidRPr="004B0389">
        <w:t xml:space="preserve">Grocery Store, select Food Store to enable the </w:t>
      </w:r>
      <w:proofErr w:type="spellStart"/>
      <w:r w:rsidRPr="004B0389">
        <w:t>IndoorLT</w:t>
      </w:r>
      <w:proofErr w:type="spellEnd"/>
      <w:r w:rsidRPr="004B0389">
        <w:t xml:space="preserve"> load shape</w:t>
      </w:r>
    </w:p>
    <w:p w:rsidR="00E0375D" w:rsidRPr="004B0389" w:rsidRDefault="00E0375D" w:rsidP="00E0375D">
      <w:pPr>
        <w:numPr>
          <w:ilvl w:val="0"/>
          <w:numId w:val="10"/>
        </w:numPr>
      </w:pPr>
      <w:r w:rsidRPr="004B0389">
        <w:t xml:space="preserve">Fast Food Restaurant, select Restaurant to enable the </w:t>
      </w:r>
      <w:proofErr w:type="spellStart"/>
      <w:r w:rsidRPr="004B0389">
        <w:t>IndoorLT</w:t>
      </w:r>
      <w:proofErr w:type="spellEnd"/>
      <w:r w:rsidRPr="004B0389">
        <w:t xml:space="preserve"> load shape</w:t>
      </w:r>
    </w:p>
    <w:p w:rsidR="00E0375D" w:rsidRPr="004B0389" w:rsidRDefault="00E0375D" w:rsidP="00E0375D">
      <w:pPr>
        <w:numPr>
          <w:ilvl w:val="0"/>
          <w:numId w:val="10"/>
        </w:numPr>
      </w:pPr>
      <w:r w:rsidRPr="004B0389">
        <w:t xml:space="preserve">Sit Down Restaurant, select Restaurant to enable the </w:t>
      </w:r>
      <w:proofErr w:type="spellStart"/>
      <w:r w:rsidRPr="004B0389">
        <w:t>IndoorLT</w:t>
      </w:r>
      <w:proofErr w:type="spellEnd"/>
      <w:r w:rsidRPr="004B0389">
        <w:t xml:space="preserve"> load shape</w:t>
      </w:r>
    </w:p>
    <w:p w:rsidR="00E0375D" w:rsidRPr="004B0389" w:rsidRDefault="00E0375D" w:rsidP="00E0375D">
      <w:pPr>
        <w:numPr>
          <w:ilvl w:val="0"/>
          <w:numId w:val="10"/>
        </w:numPr>
      </w:pPr>
      <w:r w:rsidRPr="004B0389">
        <w:lastRenderedPageBreak/>
        <w:t xml:space="preserve">Storage Building, select Non-Refrigerated Warehouse to enable the </w:t>
      </w:r>
      <w:proofErr w:type="spellStart"/>
      <w:r w:rsidRPr="004B0389">
        <w:t>IndoorLT</w:t>
      </w:r>
      <w:proofErr w:type="spellEnd"/>
      <w:r w:rsidRPr="004B0389">
        <w:t xml:space="preserve"> load shape</w:t>
      </w:r>
    </w:p>
    <w:p w:rsidR="00E0375D" w:rsidRPr="004B0389" w:rsidRDefault="00E0375D" w:rsidP="00E0375D">
      <w:pPr>
        <w:numPr>
          <w:ilvl w:val="0"/>
          <w:numId w:val="10"/>
        </w:numPr>
      </w:pPr>
      <w:r w:rsidRPr="004B0389">
        <w:t xml:space="preserve">School, select K-12 School to enable the </w:t>
      </w:r>
      <w:proofErr w:type="spellStart"/>
      <w:r w:rsidRPr="004B0389">
        <w:t>IndoorLT</w:t>
      </w:r>
      <w:proofErr w:type="spellEnd"/>
      <w:r w:rsidRPr="004B0389">
        <w:t xml:space="preserve"> load shape</w:t>
      </w:r>
    </w:p>
    <w:p w:rsidR="00E0375D" w:rsidRPr="004B0389" w:rsidRDefault="00E0375D" w:rsidP="00E0375D">
      <w:pPr>
        <w:numPr>
          <w:ilvl w:val="0"/>
          <w:numId w:val="10"/>
        </w:numPr>
      </w:pPr>
      <w:r w:rsidRPr="004B0389">
        <w:t xml:space="preserve">Assembly, select Miscellaneous Commercial to enable the </w:t>
      </w:r>
      <w:proofErr w:type="spellStart"/>
      <w:r w:rsidRPr="004B0389">
        <w:t>IndoorLT</w:t>
      </w:r>
      <w:proofErr w:type="spellEnd"/>
      <w:r w:rsidRPr="004B0389">
        <w:t xml:space="preserve"> load shape.</w:t>
      </w:r>
    </w:p>
    <w:p w:rsidR="00A61165" w:rsidRPr="004B0389" w:rsidRDefault="00A61165" w:rsidP="00A61165"/>
    <w:p w:rsidR="00C069A2" w:rsidRPr="004B0389" w:rsidRDefault="00C069A2" w:rsidP="002E0043">
      <w:pPr>
        <w:pStyle w:val="Heading1"/>
        <w:keepNext w:val="0"/>
      </w:pPr>
      <w:bookmarkStart w:id="51" w:name="_Toc328485828"/>
      <w:proofErr w:type="gramStart"/>
      <w:r w:rsidRPr="004B0389">
        <w:t>Section 4</w:t>
      </w:r>
      <w:r w:rsidR="003129E8" w:rsidRPr="004B0389">
        <w:t>.</w:t>
      </w:r>
      <w:proofErr w:type="gramEnd"/>
      <w:r w:rsidRPr="004B0389">
        <w:t xml:space="preserve"> Base Case </w:t>
      </w:r>
      <w:r w:rsidR="002164C7" w:rsidRPr="004B0389">
        <w:t>and</w:t>
      </w:r>
      <w:r w:rsidRPr="004B0389">
        <w:t xml:space="preserve"> Measure Costs</w:t>
      </w:r>
      <w:bookmarkEnd w:id="51"/>
    </w:p>
    <w:p w:rsidR="00C069A2" w:rsidRPr="00F627C3" w:rsidRDefault="00A50ACB" w:rsidP="002E0043">
      <w:pPr>
        <w:pStyle w:val="Heading2"/>
        <w:keepNext w:val="0"/>
      </w:pPr>
      <w:bookmarkStart w:id="52" w:name="_Toc328485829"/>
      <w:r w:rsidRPr="00F627C3">
        <w:t>4.1 Base Case</w:t>
      </w:r>
      <w:r w:rsidR="00C069A2" w:rsidRPr="00F627C3">
        <w:t xml:space="preserve"> Costs</w:t>
      </w:r>
      <w:bookmarkEnd w:id="52"/>
    </w:p>
    <w:p w:rsidR="000E707B" w:rsidRPr="00F627C3" w:rsidRDefault="000B3FF4" w:rsidP="00F55847">
      <w:r w:rsidRPr="00F627C3">
        <w:t>The measure assumes tha</w:t>
      </w:r>
      <w:r w:rsidR="0048318E" w:rsidRPr="00F627C3">
        <w:t>t the base case has no occupancy</w:t>
      </w:r>
      <w:r w:rsidRPr="00F627C3">
        <w:t xml:space="preserve"> sens</w:t>
      </w:r>
      <w:r w:rsidR="0048318E" w:rsidRPr="00F627C3">
        <w:t>o</w:t>
      </w:r>
      <w:r w:rsidRPr="00F627C3">
        <w:t>r</w:t>
      </w:r>
      <w:r w:rsidR="0048318E" w:rsidRPr="00F627C3">
        <w:t>. The base case cost is zero.</w:t>
      </w:r>
    </w:p>
    <w:p w:rsidR="00C069A2" w:rsidRPr="00F627C3" w:rsidRDefault="00C069A2" w:rsidP="002E0043">
      <w:pPr>
        <w:pStyle w:val="Heading2"/>
        <w:keepNext w:val="0"/>
      </w:pPr>
      <w:bookmarkStart w:id="53" w:name="_Toc328485830"/>
      <w:r w:rsidRPr="00F627C3">
        <w:t>4.2 Measure Costs</w:t>
      </w:r>
      <w:bookmarkEnd w:id="53"/>
    </w:p>
    <w:p w:rsidR="0089326E" w:rsidRPr="00F627C3" w:rsidRDefault="0085279D" w:rsidP="005A3798">
      <w:r w:rsidRPr="00F627C3">
        <w:t xml:space="preserve">The measure cost </w:t>
      </w:r>
      <w:r w:rsidR="00B614DF" w:rsidRPr="00F627C3">
        <w:t xml:space="preserve">for the occupancy sensor </w:t>
      </w:r>
      <w:r w:rsidRPr="00F627C3">
        <w:t xml:space="preserve">was obtained from </w:t>
      </w:r>
      <w:r w:rsidR="00F627C3">
        <w:t xml:space="preserve">the updated </w:t>
      </w:r>
      <w:r w:rsidRPr="00F627C3">
        <w:t xml:space="preserve">DEER </w:t>
      </w:r>
      <w:r w:rsidR="00F627C3" w:rsidRPr="00F627C3">
        <w:t>cost</w:t>
      </w:r>
      <w:r w:rsidR="0087372F" w:rsidRPr="00F627C3">
        <w:t xml:space="preserve"> Table </w:t>
      </w:r>
      <w:r w:rsidR="000F5848" w:rsidRPr="00F627C3">
        <w:t>6</w:t>
      </w:r>
      <w:r w:rsidR="0087372F" w:rsidRPr="00F627C3">
        <w:t xml:space="preserve"> shows data from the DEER Cost Data spreadsheet.</w:t>
      </w:r>
      <w:r w:rsidR="00C6327C" w:rsidRPr="00C6327C">
        <w:rPr>
          <w:vertAlign w:val="superscript"/>
        </w:rPr>
        <w:t>4</w:t>
      </w:r>
    </w:p>
    <w:p w:rsidR="006A3D6E" w:rsidRDefault="006A3D6E" w:rsidP="00844EF8">
      <w:pPr>
        <w:pStyle w:val="Caption"/>
      </w:pPr>
      <w:bookmarkStart w:id="54" w:name="_Toc180494435"/>
    </w:p>
    <w:p w:rsidR="006A3D6E" w:rsidRDefault="006A3D6E" w:rsidP="00844EF8">
      <w:pPr>
        <w:pStyle w:val="Caption"/>
      </w:pPr>
    </w:p>
    <w:p w:rsidR="006A3D6E" w:rsidRDefault="006A3D6E" w:rsidP="00844EF8">
      <w:pPr>
        <w:pStyle w:val="Caption"/>
      </w:pPr>
    </w:p>
    <w:p w:rsidR="006D6706" w:rsidRPr="00F627C3" w:rsidRDefault="006D6706" w:rsidP="00844EF8">
      <w:pPr>
        <w:pStyle w:val="Caption"/>
      </w:pPr>
      <w:proofErr w:type="gramStart"/>
      <w:r w:rsidRPr="00F627C3">
        <w:t xml:space="preserve">Table </w:t>
      </w:r>
      <w:fldSimple w:instr=" SEQ Table \* ARABIC ">
        <w:r w:rsidR="000F6E3A">
          <w:rPr>
            <w:noProof/>
          </w:rPr>
          <w:t>2</w:t>
        </w:r>
      </w:fldSimple>
      <w:r w:rsidR="00046BF3" w:rsidRPr="00F627C3">
        <w:t>.</w:t>
      </w:r>
      <w:proofErr w:type="gramEnd"/>
      <w:r w:rsidRPr="00F627C3">
        <w:t xml:space="preserve"> </w:t>
      </w:r>
      <w:r w:rsidRPr="00F627C3">
        <w:rPr>
          <w:b w:val="0"/>
        </w:rPr>
        <w:t>DEER Cost Data for Large Area Lighting Sensor Control</w:t>
      </w:r>
      <w:bookmarkEnd w:id="54"/>
    </w:p>
    <w:tbl>
      <w:tblPr>
        <w:tblW w:w="10534" w:type="dxa"/>
        <w:jc w:val="center"/>
        <w:tblBorders>
          <w:top w:val="single" w:sz="2" w:space="0" w:color="C0C0C0"/>
          <w:left w:val="single" w:sz="2" w:space="0" w:color="C0C0C0"/>
          <w:bottom w:val="single" w:sz="2" w:space="0" w:color="C0C0C0"/>
          <w:right w:val="single" w:sz="2" w:space="0" w:color="C0C0C0"/>
          <w:insideH w:val="single" w:sz="18" w:space="0" w:color="FFFFFF"/>
          <w:insideV w:val="single" w:sz="18" w:space="0" w:color="FFFFFF"/>
        </w:tblBorders>
        <w:tblLayout w:type="fixed"/>
        <w:tblLook w:val="0000"/>
      </w:tblPr>
      <w:tblGrid>
        <w:gridCol w:w="1442"/>
        <w:gridCol w:w="1442"/>
        <w:gridCol w:w="1277"/>
        <w:gridCol w:w="1277"/>
        <w:gridCol w:w="1080"/>
        <w:gridCol w:w="900"/>
        <w:gridCol w:w="1260"/>
        <w:gridCol w:w="729"/>
        <w:gridCol w:w="1127"/>
      </w:tblGrid>
      <w:tr w:rsidR="006A3D6E" w:rsidRPr="001B3B98" w:rsidTr="006A3D6E">
        <w:trPr>
          <w:trHeight w:val="675"/>
          <w:jc w:val="center"/>
        </w:trPr>
        <w:tc>
          <w:tcPr>
            <w:tcW w:w="1442" w:type="dxa"/>
            <w:tcBorders>
              <w:top w:val="single" w:sz="2" w:space="0" w:color="C0C0C0"/>
              <w:bottom w:val="single" w:sz="18" w:space="0" w:color="FFFFFF"/>
            </w:tcBorders>
            <w:shd w:val="pct20" w:color="auto" w:fill="FFFFFF"/>
          </w:tcPr>
          <w:p w:rsidR="006A3D6E" w:rsidRPr="00F627C3" w:rsidRDefault="006A3D6E" w:rsidP="00046BF3">
            <w:pPr>
              <w:jc w:val="center"/>
              <w:rPr>
                <w:b/>
                <w:bCs/>
                <w:sz w:val="16"/>
                <w:szCs w:val="16"/>
              </w:rPr>
            </w:pPr>
            <w:r>
              <w:rPr>
                <w:b/>
                <w:bCs/>
                <w:sz w:val="16"/>
                <w:szCs w:val="16"/>
              </w:rPr>
              <w:t>Measure Code</w:t>
            </w:r>
          </w:p>
        </w:tc>
        <w:tc>
          <w:tcPr>
            <w:tcW w:w="1442"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Cost Case Description</w:t>
            </w:r>
          </w:p>
        </w:tc>
        <w:tc>
          <w:tcPr>
            <w:tcW w:w="1277"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Cost Case ID</w:t>
            </w:r>
          </w:p>
        </w:tc>
        <w:tc>
          <w:tcPr>
            <w:tcW w:w="1277"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Program Delivery Strategies</w:t>
            </w:r>
          </w:p>
        </w:tc>
        <w:tc>
          <w:tcPr>
            <w:tcW w:w="1080"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Material Cost</w:t>
            </w:r>
          </w:p>
        </w:tc>
        <w:tc>
          <w:tcPr>
            <w:tcW w:w="900"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Installation Man Hours - Retrofit</w:t>
            </w:r>
          </w:p>
        </w:tc>
        <w:tc>
          <w:tcPr>
            <w:tcW w:w="1260"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Installation Labor Cost - Retrofit</w:t>
            </w:r>
          </w:p>
        </w:tc>
        <w:tc>
          <w:tcPr>
            <w:tcW w:w="729" w:type="dxa"/>
            <w:tcBorders>
              <w:top w:val="single" w:sz="2" w:space="0" w:color="C0C0C0"/>
              <w:bottom w:val="single" w:sz="18" w:space="0" w:color="FFFFFF"/>
            </w:tcBorders>
            <w:shd w:val="pct20" w:color="auto" w:fill="FFFFFF"/>
            <w:vAlign w:val="center"/>
          </w:tcPr>
          <w:p w:rsidR="006A3D6E" w:rsidRPr="001B3B98" w:rsidRDefault="006A3D6E" w:rsidP="00046BF3">
            <w:pPr>
              <w:jc w:val="center"/>
              <w:rPr>
                <w:b/>
                <w:bCs/>
                <w:sz w:val="16"/>
                <w:szCs w:val="16"/>
                <w:highlight w:val="yellow"/>
              </w:rPr>
            </w:pPr>
            <w:r w:rsidRPr="00F627C3">
              <w:rPr>
                <w:b/>
                <w:bCs/>
                <w:sz w:val="16"/>
                <w:szCs w:val="16"/>
              </w:rPr>
              <w:t>Normalizing Unit</w:t>
            </w:r>
          </w:p>
        </w:tc>
        <w:tc>
          <w:tcPr>
            <w:tcW w:w="1127" w:type="dxa"/>
            <w:tcBorders>
              <w:top w:val="single" w:sz="2" w:space="0" w:color="C0C0C0"/>
              <w:bottom w:val="single" w:sz="18" w:space="0" w:color="FFFFFF"/>
            </w:tcBorders>
            <w:shd w:val="pct20" w:color="auto" w:fill="FFFFFF"/>
            <w:vAlign w:val="center"/>
          </w:tcPr>
          <w:p w:rsidR="006A3D6E" w:rsidRDefault="006A3D6E" w:rsidP="00F627C3">
            <w:pPr>
              <w:jc w:val="center"/>
              <w:rPr>
                <w:rFonts w:ascii="Arial" w:hAnsi="Arial" w:cs="Arial"/>
                <w:b/>
                <w:bCs/>
                <w:sz w:val="16"/>
                <w:szCs w:val="16"/>
              </w:rPr>
            </w:pPr>
            <w:r>
              <w:rPr>
                <w:rFonts w:ascii="Arial" w:hAnsi="Arial" w:cs="Arial"/>
                <w:b/>
                <w:bCs/>
                <w:sz w:val="16"/>
                <w:szCs w:val="16"/>
              </w:rPr>
              <w:t>IMC</w:t>
            </w:r>
          </w:p>
          <w:p w:rsidR="006A3D6E" w:rsidRPr="001B3B98" w:rsidRDefault="006A3D6E" w:rsidP="00046BF3">
            <w:pPr>
              <w:jc w:val="center"/>
              <w:rPr>
                <w:b/>
                <w:bCs/>
                <w:sz w:val="16"/>
                <w:szCs w:val="16"/>
                <w:highlight w:val="yellow"/>
              </w:rPr>
            </w:pPr>
          </w:p>
        </w:tc>
      </w:tr>
      <w:tr w:rsidR="006A3D6E" w:rsidRPr="001B3B98" w:rsidTr="006A3D6E">
        <w:trPr>
          <w:trHeight w:val="255"/>
          <w:jc w:val="center"/>
        </w:trPr>
        <w:tc>
          <w:tcPr>
            <w:tcW w:w="1442" w:type="dxa"/>
            <w:tcBorders>
              <w:top w:val="single" w:sz="18" w:space="0" w:color="FFFFFF"/>
              <w:bottom w:val="single" w:sz="18" w:space="0" w:color="FFFFFF"/>
            </w:tcBorders>
            <w:shd w:val="pct5" w:color="auto" w:fill="auto"/>
          </w:tcPr>
          <w:p w:rsidR="006A3D6E" w:rsidRPr="00F627C3" w:rsidRDefault="006A3D6E">
            <w:pPr>
              <w:rPr>
                <w:sz w:val="16"/>
                <w:szCs w:val="16"/>
              </w:rPr>
            </w:pPr>
            <w:r>
              <w:rPr>
                <w:sz w:val="16"/>
                <w:szCs w:val="16"/>
              </w:rPr>
              <w:t>L-J41, L-J51</w:t>
            </w:r>
          </w:p>
        </w:tc>
        <w:tc>
          <w:tcPr>
            <w:tcW w:w="1442" w:type="dxa"/>
            <w:tcBorders>
              <w:top w:val="single" w:sz="18" w:space="0" w:color="FFFFFF"/>
              <w:bottom w:val="single" w:sz="18" w:space="0" w:color="FFFFFF"/>
            </w:tcBorders>
            <w:shd w:val="pct5" w:color="auto" w:fill="auto"/>
            <w:noWrap/>
            <w:vAlign w:val="bottom"/>
          </w:tcPr>
          <w:p w:rsidR="006A3D6E" w:rsidRPr="001B3B98" w:rsidRDefault="006A3D6E" w:rsidP="00357B17">
            <w:pPr>
              <w:rPr>
                <w:sz w:val="16"/>
                <w:szCs w:val="16"/>
                <w:highlight w:val="yellow"/>
              </w:rPr>
            </w:pPr>
            <w:r w:rsidRPr="00F627C3">
              <w:rPr>
                <w:sz w:val="16"/>
                <w:szCs w:val="16"/>
              </w:rPr>
              <w:t xml:space="preserve">Assume control 3 </w:t>
            </w:r>
            <w:r w:rsidR="00357B17">
              <w:rPr>
                <w:sz w:val="16"/>
                <w:szCs w:val="16"/>
              </w:rPr>
              <w:t>single fixture</w:t>
            </w:r>
          </w:p>
        </w:tc>
        <w:tc>
          <w:tcPr>
            <w:tcW w:w="1277" w:type="dxa"/>
            <w:tcBorders>
              <w:top w:val="single" w:sz="18" w:space="0" w:color="FFFFFF"/>
              <w:bottom w:val="single" w:sz="18" w:space="0" w:color="FFFFFF"/>
            </w:tcBorders>
            <w:shd w:val="pct5" w:color="auto" w:fill="auto"/>
            <w:noWrap/>
            <w:vAlign w:val="bottom"/>
          </w:tcPr>
          <w:p w:rsidR="006A3D6E" w:rsidRPr="001B3B98" w:rsidRDefault="006A3D6E">
            <w:pPr>
              <w:rPr>
                <w:sz w:val="16"/>
                <w:szCs w:val="16"/>
                <w:highlight w:val="yellow"/>
              </w:rPr>
            </w:pPr>
            <w:r w:rsidRPr="00F627C3">
              <w:rPr>
                <w:sz w:val="16"/>
                <w:szCs w:val="16"/>
              </w:rPr>
              <w:t>D08-NE-ILtg-OccSens</w:t>
            </w:r>
          </w:p>
        </w:tc>
        <w:tc>
          <w:tcPr>
            <w:tcW w:w="1277" w:type="dxa"/>
            <w:tcBorders>
              <w:top w:val="single" w:sz="18" w:space="0" w:color="FFFFFF"/>
              <w:bottom w:val="single" w:sz="18" w:space="0" w:color="FFFFFF"/>
            </w:tcBorders>
            <w:shd w:val="pct5" w:color="auto" w:fill="auto"/>
            <w:noWrap/>
            <w:vAlign w:val="bottom"/>
          </w:tcPr>
          <w:p w:rsidR="006A3D6E" w:rsidRPr="001B3B98" w:rsidRDefault="006A3D6E">
            <w:pPr>
              <w:rPr>
                <w:sz w:val="16"/>
                <w:szCs w:val="16"/>
                <w:highlight w:val="yellow"/>
              </w:rPr>
            </w:pPr>
            <w:r w:rsidRPr="00F627C3">
              <w:rPr>
                <w:sz w:val="16"/>
                <w:szCs w:val="16"/>
              </w:rPr>
              <w:t>Downstream Prescriptive Rebates/Incentives</w:t>
            </w:r>
          </w:p>
        </w:tc>
        <w:tc>
          <w:tcPr>
            <w:tcW w:w="1080" w:type="dxa"/>
            <w:tcBorders>
              <w:top w:val="single" w:sz="18" w:space="0" w:color="FFFFFF"/>
              <w:bottom w:val="single" w:sz="18" w:space="0" w:color="FFFFFF"/>
            </w:tcBorders>
            <w:shd w:val="pct5" w:color="auto" w:fill="auto"/>
            <w:noWrap/>
            <w:vAlign w:val="bottom"/>
          </w:tcPr>
          <w:p w:rsidR="006A3D6E" w:rsidRPr="001B3B98" w:rsidRDefault="006A3D6E">
            <w:pPr>
              <w:jc w:val="right"/>
              <w:rPr>
                <w:sz w:val="16"/>
                <w:szCs w:val="16"/>
                <w:highlight w:val="yellow"/>
              </w:rPr>
            </w:pPr>
            <w:r w:rsidRPr="00F627C3">
              <w:rPr>
                <w:sz w:val="16"/>
                <w:szCs w:val="16"/>
              </w:rPr>
              <w:t>47.1459166666667</w:t>
            </w:r>
          </w:p>
        </w:tc>
        <w:tc>
          <w:tcPr>
            <w:tcW w:w="900" w:type="dxa"/>
            <w:tcBorders>
              <w:top w:val="single" w:sz="18" w:space="0" w:color="FFFFFF"/>
              <w:bottom w:val="single" w:sz="18" w:space="0" w:color="FFFFFF"/>
            </w:tcBorders>
            <w:shd w:val="pct5" w:color="auto" w:fill="auto"/>
            <w:noWrap/>
            <w:vAlign w:val="bottom"/>
          </w:tcPr>
          <w:p w:rsidR="006A3D6E" w:rsidRDefault="006A3D6E" w:rsidP="00F627C3">
            <w:pPr>
              <w:jc w:val="right"/>
              <w:rPr>
                <w:rFonts w:ascii="Arial" w:hAnsi="Arial" w:cs="Arial"/>
                <w:color w:val="000000"/>
                <w:sz w:val="16"/>
                <w:szCs w:val="16"/>
              </w:rPr>
            </w:pPr>
            <w:r>
              <w:rPr>
                <w:rFonts w:ascii="Arial" w:hAnsi="Arial" w:cs="Arial"/>
                <w:color w:val="000000"/>
                <w:sz w:val="16"/>
                <w:szCs w:val="16"/>
              </w:rPr>
              <w:t>0.65</w:t>
            </w:r>
          </w:p>
          <w:p w:rsidR="006A3D6E" w:rsidRPr="001B3B98" w:rsidRDefault="006A3D6E">
            <w:pPr>
              <w:jc w:val="right"/>
              <w:rPr>
                <w:sz w:val="16"/>
                <w:szCs w:val="16"/>
                <w:highlight w:val="yellow"/>
              </w:rPr>
            </w:pPr>
          </w:p>
        </w:tc>
        <w:tc>
          <w:tcPr>
            <w:tcW w:w="1260" w:type="dxa"/>
            <w:tcBorders>
              <w:top w:val="single" w:sz="18" w:space="0" w:color="FFFFFF"/>
              <w:bottom w:val="single" w:sz="18" w:space="0" w:color="FFFFFF"/>
            </w:tcBorders>
            <w:shd w:val="pct5" w:color="auto" w:fill="auto"/>
            <w:noWrap/>
            <w:vAlign w:val="bottom"/>
          </w:tcPr>
          <w:p w:rsidR="006A3D6E" w:rsidRDefault="006A3D6E" w:rsidP="00F627C3">
            <w:pPr>
              <w:jc w:val="right"/>
              <w:rPr>
                <w:rFonts w:ascii="Arial" w:hAnsi="Arial" w:cs="Arial"/>
                <w:color w:val="000000"/>
                <w:sz w:val="16"/>
                <w:szCs w:val="16"/>
              </w:rPr>
            </w:pPr>
            <w:r>
              <w:rPr>
                <w:rFonts w:ascii="Arial" w:hAnsi="Arial" w:cs="Arial"/>
                <w:color w:val="000000"/>
                <w:sz w:val="16"/>
                <w:szCs w:val="16"/>
              </w:rPr>
              <w:t>$44.12</w:t>
            </w:r>
          </w:p>
          <w:p w:rsidR="006A3D6E" w:rsidRPr="001B3B98" w:rsidRDefault="006A3D6E">
            <w:pPr>
              <w:jc w:val="right"/>
              <w:rPr>
                <w:sz w:val="16"/>
                <w:szCs w:val="16"/>
                <w:highlight w:val="yellow"/>
              </w:rPr>
            </w:pPr>
          </w:p>
        </w:tc>
        <w:tc>
          <w:tcPr>
            <w:tcW w:w="729" w:type="dxa"/>
            <w:tcBorders>
              <w:top w:val="single" w:sz="18" w:space="0" w:color="FFFFFF"/>
              <w:bottom w:val="single" w:sz="18" w:space="0" w:color="FFFFFF"/>
            </w:tcBorders>
            <w:shd w:val="pct5" w:color="auto" w:fill="auto"/>
            <w:noWrap/>
            <w:vAlign w:val="bottom"/>
          </w:tcPr>
          <w:p w:rsidR="006A3D6E" w:rsidRDefault="006A3D6E" w:rsidP="00F627C3">
            <w:pPr>
              <w:jc w:val="right"/>
              <w:rPr>
                <w:rFonts w:ascii="Arial" w:hAnsi="Arial" w:cs="Arial"/>
                <w:sz w:val="16"/>
                <w:szCs w:val="16"/>
              </w:rPr>
            </w:pPr>
            <w:r>
              <w:rPr>
                <w:rFonts w:ascii="Arial" w:hAnsi="Arial" w:cs="Arial"/>
                <w:sz w:val="16"/>
                <w:szCs w:val="16"/>
              </w:rPr>
              <w:t>Sensor</w:t>
            </w:r>
          </w:p>
          <w:p w:rsidR="006A3D6E" w:rsidRPr="001B3B98" w:rsidRDefault="006A3D6E">
            <w:pPr>
              <w:jc w:val="right"/>
              <w:rPr>
                <w:sz w:val="16"/>
                <w:szCs w:val="16"/>
                <w:highlight w:val="yellow"/>
              </w:rPr>
            </w:pPr>
          </w:p>
        </w:tc>
        <w:tc>
          <w:tcPr>
            <w:tcW w:w="1127" w:type="dxa"/>
            <w:tcBorders>
              <w:top w:val="single" w:sz="18" w:space="0" w:color="FFFFFF"/>
              <w:bottom w:val="single" w:sz="18" w:space="0" w:color="FFFFFF"/>
            </w:tcBorders>
            <w:shd w:val="pct5" w:color="auto" w:fill="auto"/>
            <w:noWrap/>
            <w:vAlign w:val="bottom"/>
          </w:tcPr>
          <w:p w:rsidR="006A3D6E" w:rsidRDefault="006A3D6E" w:rsidP="00F627C3">
            <w:pPr>
              <w:jc w:val="right"/>
              <w:rPr>
                <w:rFonts w:ascii="Arial" w:hAnsi="Arial" w:cs="Arial"/>
                <w:sz w:val="16"/>
                <w:szCs w:val="16"/>
              </w:rPr>
            </w:pPr>
            <w:r>
              <w:rPr>
                <w:rFonts w:ascii="Arial" w:hAnsi="Arial" w:cs="Arial"/>
                <w:sz w:val="16"/>
                <w:szCs w:val="16"/>
              </w:rPr>
              <w:t>$91.27</w:t>
            </w:r>
          </w:p>
          <w:p w:rsidR="006A3D6E" w:rsidRPr="001B3B98" w:rsidRDefault="006A3D6E">
            <w:pPr>
              <w:jc w:val="right"/>
              <w:rPr>
                <w:sz w:val="16"/>
                <w:szCs w:val="16"/>
                <w:highlight w:val="yellow"/>
              </w:rPr>
            </w:pPr>
          </w:p>
        </w:tc>
      </w:tr>
      <w:tr w:rsidR="006A3D6E" w:rsidRPr="001B3B98" w:rsidTr="006A3D6E">
        <w:trPr>
          <w:trHeight w:val="255"/>
          <w:jc w:val="center"/>
        </w:trPr>
        <w:tc>
          <w:tcPr>
            <w:tcW w:w="1442" w:type="dxa"/>
            <w:tcBorders>
              <w:top w:val="single" w:sz="18" w:space="0" w:color="FFFFFF"/>
              <w:bottom w:val="single" w:sz="2" w:space="0" w:color="C0C0C0"/>
            </w:tcBorders>
            <w:shd w:val="pct5" w:color="auto" w:fill="auto"/>
          </w:tcPr>
          <w:p w:rsidR="006A3D6E" w:rsidRDefault="006A3D6E">
            <w:pPr>
              <w:rPr>
                <w:sz w:val="16"/>
                <w:szCs w:val="16"/>
              </w:rPr>
            </w:pPr>
            <w:r>
              <w:rPr>
                <w:sz w:val="16"/>
                <w:szCs w:val="16"/>
              </w:rPr>
              <w:t>L- J11, L-J21,L-J31</w:t>
            </w:r>
          </w:p>
        </w:tc>
        <w:tc>
          <w:tcPr>
            <w:tcW w:w="1442" w:type="dxa"/>
            <w:tcBorders>
              <w:top w:val="single" w:sz="18" w:space="0" w:color="FFFFFF"/>
              <w:bottom w:val="single" w:sz="2" w:space="0" w:color="C0C0C0"/>
            </w:tcBorders>
            <w:shd w:val="pct5" w:color="auto" w:fill="auto"/>
            <w:noWrap/>
            <w:vAlign w:val="bottom"/>
          </w:tcPr>
          <w:p w:rsidR="006A3D6E" w:rsidRPr="00F627C3" w:rsidRDefault="006A3D6E">
            <w:pPr>
              <w:rPr>
                <w:sz w:val="16"/>
                <w:szCs w:val="16"/>
              </w:rPr>
            </w:pPr>
            <w:r>
              <w:rPr>
                <w:sz w:val="16"/>
                <w:szCs w:val="16"/>
              </w:rPr>
              <w:t>D03-856</w:t>
            </w:r>
          </w:p>
        </w:tc>
        <w:tc>
          <w:tcPr>
            <w:tcW w:w="1277" w:type="dxa"/>
            <w:tcBorders>
              <w:top w:val="single" w:sz="18" w:space="0" w:color="FFFFFF"/>
              <w:bottom w:val="single" w:sz="2" w:space="0" w:color="C0C0C0"/>
            </w:tcBorders>
            <w:shd w:val="pct5" w:color="auto" w:fill="auto"/>
            <w:noWrap/>
            <w:vAlign w:val="bottom"/>
          </w:tcPr>
          <w:p w:rsidR="006A3D6E" w:rsidRPr="00F627C3" w:rsidRDefault="006A3D6E">
            <w:pPr>
              <w:rPr>
                <w:sz w:val="16"/>
                <w:szCs w:val="16"/>
              </w:rPr>
            </w:pPr>
            <w:r w:rsidRPr="006A3D6E">
              <w:rPr>
                <w:sz w:val="16"/>
                <w:szCs w:val="16"/>
              </w:rPr>
              <w:t>CALC00AVOCC01</w:t>
            </w:r>
          </w:p>
        </w:tc>
        <w:tc>
          <w:tcPr>
            <w:tcW w:w="1277" w:type="dxa"/>
            <w:tcBorders>
              <w:top w:val="single" w:sz="18" w:space="0" w:color="FFFFFF"/>
              <w:bottom w:val="single" w:sz="2" w:space="0" w:color="C0C0C0"/>
            </w:tcBorders>
            <w:shd w:val="pct5" w:color="auto" w:fill="auto"/>
            <w:noWrap/>
            <w:vAlign w:val="bottom"/>
          </w:tcPr>
          <w:p w:rsidR="006A3D6E" w:rsidRPr="00F627C3" w:rsidRDefault="006A3D6E">
            <w:pPr>
              <w:rPr>
                <w:sz w:val="16"/>
                <w:szCs w:val="16"/>
              </w:rPr>
            </w:pPr>
            <w:r w:rsidRPr="00F627C3">
              <w:rPr>
                <w:sz w:val="16"/>
                <w:szCs w:val="16"/>
              </w:rPr>
              <w:t>Downstream Prescriptive Rebates/Incentives</w:t>
            </w:r>
          </w:p>
        </w:tc>
        <w:tc>
          <w:tcPr>
            <w:tcW w:w="1080" w:type="dxa"/>
            <w:tcBorders>
              <w:top w:val="single" w:sz="18" w:space="0" w:color="FFFFFF"/>
              <w:bottom w:val="single" w:sz="2" w:space="0" w:color="C0C0C0"/>
            </w:tcBorders>
            <w:shd w:val="pct5" w:color="auto" w:fill="auto"/>
            <w:noWrap/>
            <w:vAlign w:val="bottom"/>
          </w:tcPr>
          <w:p w:rsidR="006A3D6E" w:rsidRPr="00F627C3" w:rsidRDefault="006A3D6E">
            <w:pPr>
              <w:jc w:val="right"/>
              <w:rPr>
                <w:sz w:val="16"/>
                <w:szCs w:val="16"/>
              </w:rPr>
            </w:pPr>
            <w:r w:rsidRPr="006A3D6E">
              <w:rPr>
                <w:sz w:val="16"/>
                <w:szCs w:val="16"/>
              </w:rPr>
              <w:t>$42.2833</w:t>
            </w:r>
          </w:p>
        </w:tc>
        <w:tc>
          <w:tcPr>
            <w:tcW w:w="900" w:type="dxa"/>
            <w:tcBorders>
              <w:top w:val="single" w:sz="18" w:space="0" w:color="FFFFFF"/>
              <w:bottom w:val="single" w:sz="2" w:space="0" w:color="C0C0C0"/>
            </w:tcBorders>
            <w:shd w:val="pct5" w:color="auto" w:fill="auto"/>
            <w:noWrap/>
            <w:vAlign w:val="bottom"/>
          </w:tcPr>
          <w:p w:rsidR="006A3D6E" w:rsidRDefault="006A3D6E" w:rsidP="00F627C3">
            <w:pPr>
              <w:jc w:val="right"/>
              <w:rPr>
                <w:rFonts w:ascii="Arial" w:hAnsi="Arial" w:cs="Arial"/>
                <w:color w:val="000000"/>
                <w:sz w:val="16"/>
                <w:szCs w:val="16"/>
              </w:rPr>
            </w:pPr>
            <w:r>
              <w:rPr>
                <w:rFonts w:ascii="Arial" w:hAnsi="Arial" w:cs="Arial"/>
                <w:color w:val="000000"/>
                <w:sz w:val="16"/>
                <w:szCs w:val="16"/>
              </w:rPr>
              <w:t>N/A</w:t>
            </w:r>
          </w:p>
        </w:tc>
        <w:tc>
          <w:tcPr>
            <w:tcW w:w="1260" w:type="dxa"/>
            <w:tcBorders>
              <w:top w:val="single" w:sz="18" w:space="0" w:color="FFFFFF"/>
              <w:bottom w:val="single" w:sz="2" w:space="0" w:color="C0C0C0"/>
            </w:tcBorders>
            <w:shd w:val="pct5" w:color="auto" w:fill="auto"/>
            <w:noWrap/>
            <w:vAlign w:val="bottom"/>
          </w:tcPr>
          <w:p w:rsidR="006A3D6E" w:rsidRDefault="006A3D6E" w:rsidP="00F627C3">
            <w:pPr>
              <w:jc w:val="right"/>
              <w:rPr>
                <w:rFonts w:ascii="Arial" w:hAnsi="Arial" w:cs="Arial"/>
                <w:color w:val="000000"/>
                <w:sz w:val="16"/>
                <w:szCs w:val="16"/>
              </w:rPr>
            </w:pPr>
            <w:r w:rsidRPr="006A3D6E">
              <w:rPr>
                <w:rFonts w:ascii="Arial" w:hAnsi="Arial" w:cs="Arial"/>
                <w:color w:val="000000"/>
                <w:sz w:val="16"/>
                <w:szCs w:val="16"/>
              </w:rPr>
              <w:t>$35.00</w:t>
            </w:r>
          </w:p>
        </w:tc>
        <w:tc>
          <w:tcPr>
            <w:tcW w:w="729" w:type="dxa"/>
            <w:tcBorders>
              <w:top w:val="single" w:sz="18" w:space="0" w:color="FFFFFF"/>
              <w:bottom w:val="single" w:sz="2" w:space="0" w:color="C0C0C0"/>
            </w:tcBorders>
            <w:shd w:val="pct5" w:color="auto" w:fill="auto"/>
            <w:noWrap/>
            <w:vAlign w:val="bottom"/>
          </w:tcPr>
          <w:p w:rsidR="006A3D6E" w:rsidRDefault="006A3D6E" w:rsidP="006A3D6E">
            <w:pPr>
              <w:jc w:val="right"/>
              <w:rPr>
                <w:rFonts w:ascii="Arial" w:hAnsi="Arial" w:cs="Arial"/>
                <w:sz w:val="16"/>
                <w:szCs w:val="16"/>
              </w:rPr>
            </w:pPr>
            <w:r>
              <w:rPr>
                <w:rFonts w:ascii="Arial" w:hAnsi="Arial" w:cs="Arial"/>
                <w:sz w:val="16"/>
                <w:szCs w:val="16"/>
              </w:rPr>
              <w:t>Sensor</w:t>
            </w:r>
          </w:p>
          <w:p w:rsidR="006A3D6E" w:rsidRDefault="006A3D6E" w:rsidP="00F627C3">
            <w:pPr>
              <w:jc w:val="right"/>
              <w:rPr>
                <w:rFonts w:ascii="Arial" w:hAnsi="Arial" w:cs="Arial"/>
                <w:sz w:val="16"/>
                <w:szCs w:val="16"/>
              </w:rPr>
            </w:pPr>
          </w:p>
        </w:tc>
        <w:tc>
          <w:tcPr>
            <w:tcW w:w="1127" w:type="dxa"/>
            <w:tcBorders>
              <w:top w:val="single" w:sz="18" w:space="0" w:color="FFFFFF"/>
              <w:bottom w:val="single" w:sz="2" w:space="0" w:color="C0C0C0"/>
            </w:tcBorders>
            <w:shd w:val="pct5" w:color="auto" w:fill="auto"/>
            <w:noWrap/>
            <w:vAlign w:val="bottom"/>
          </w:tcPr>
          <w:p w:rsidR="006A3D6E" w:rsidRDefault="006A3D6E" w:rsidP="00F627C3">
            <w:pPr>
              <w:jc w:val="right"/>
              <w:rPr>
                <w:rFonts w:ascii="Arial" w:hAnsi="Arial" w:cs="Arial"/>
                <w:sz w:val="16"/>
                <w:szCs w:val="16"/>
              </w:rPr>
            </w:pPr>
            <w:r w:rsidRPr="006A3D6E">
              <w:rPr>
                <w:rFonts w:ascii="Arial" w:hAnsi="Arial" w:cs="Arial"/>
                <w:sz w:val="16"/>
                <w:szCs w:val="16"/>
              </w:rPr>
              <w:t>$77.2833</w:t>
            </w:r>
          </w:p>
        </w:tc>
      </w:tr>
    </w:tbl>
    <w:p w:rsidR="0089326E" w:rsidRPr="001B3B98" w:rsidRDefault="0089326E" w:rsidP="005A3798">
      <w:pPr>
        <w:rPr>
          <w:highlight w:val="yellow"/>
        </w:rPr>
      </w:pPr>
    </w:p>
    <w:p w:rsidR="0030550A" w:rsidRPr="004B0389" w:rsidRDefault="0030550A" w:rsidP="002E0043">
      <w:pPr>
        <w:pStyle w:val="Heading2"/>
        <w:keepNext w:val="0"/>
      </w:pPr>
      <w:bookmarkStart w:id="55" w:name="_Toc328485831"/>
      <w:r w:rsidRPr="004B0389">
        <w:t xml:space="preserve">4.3 Incremental </w:t>
      </w:r>
      <w:r w:rsidR="002164C7" w:rsidRPr="004B0389">
        <w:t>and</w:t>
      </w:r>
      <w:r w:rsidRPr="004B0389">
        <w:t xml:space="preserve"> Full Measure Costs</w:t>
      </w:r>
      <w:bookmarkEnd w:id="55"/>
    </w:p>
    <w:p w:rsidR="00F55847" w:rsidRDefault="00FF5D2D" w:rsidP="00F55847">
      <w:r>
        <w:t xml:space="preserve">Refer to </w:t>
      </w:r>
      <w:r w:rsidRPr="00FF5D2D">
        <w:t>WPSDGENRLG0999</w:t>
      </w:r>
      <w:r>
        <w:t xml:space="preserve"> for specific incremental measure costs.  </w:t>
      </w:r>
      <w:r w:rsidR="005B0988" w:rsidRPr="004B0389">
        <w:t xml:space="preserve">The incremental </w:t>
      </w:r>
      <w:r w:rsidR="0048318E" w:rsidRPr="004B0389">
        <w:t xml:space="preserve">and full </w:t>
      </w:r>
      <w:r w:rsidR="005B0988" w:rsidRPr="004B0389">
        <w:t xml:space="preserve">measure cost is the same as that of the measure cost </w:t>
      </w:r>
    </w:p>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Default="00872B45" w:rsidP="00F55847"/>
    <w:p w:rsidR="00872B45" w:rsidRPr="00FF5D2D" w:rsidRDefault="00872B45" w:rsidP="00FF5D2D">
      <w:pPr>
        <w:pStyle w:val="EndnoteText"/>
        <w:ind w:left="0" w:firstLine="0"/>
        <w:rPr>
          <w:b/>
          <w:sz w:val="36"/>
          <w:szCs w:val="36"/>
        </w:rPr>
      </w:pPr>
      <w:r w:rsidRPr="00FF5D2D">
        <w:rPr>
          <w:b/>
          <w:sz w:val="36"/>
          <w:szCs w:val="36"/>
        </w:rPr>
        <w:t>Attachments</w:t>
      </w:r>
    </w:p>
    <w:sectPr w:rsidR="00872B45" w:rsidRPr="00FF5D2D" w:rsidSect="002164C7">
      <w:headerReference w:type="default" r:id="rId24"/>
      <w:footerReference w:type="default" r:id="rId25"/>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6F0" w:rsidRDefault="00C816F0">
      <w:r>
        <w:separator/>
      </w:r>
    </w:p>
  </w:endnote>
  <w:endnote w:type="continuationSeparator" w:id="0">
    <w:p w:rsidR="00C816F0" w:rsidRDefault="00C816F0">
      <w:r>
        <w:continuationSeparator/>
      </w:r>
    </w:p>
  </w:endnote>
  <w:endnote w:id="1">
    <w:p w:rsidR="00FF5D2D" w:rsidRDefault="00FF5D2D" w:rsidP="00C816F0">
      <w:pPr>
        <w:pStyle w:val="EndnoteText"/>
        <w:ind w:left="0" w:firstLine="0"/>
        <w:rPr>
          <w:b/>
          <w:sz w:val="36"/>
          <w:szCs w:val="36"/>
        </w:rPr>
      </w:pPr>
    </w:p>
    <w:p w:rsidR="00FF5D2D" w:rsidRDefault="00FF5D2D" w:rsidP="00C816F0">
      <w:pPr>
        <w:pStyle w:val="EndnoteText"/>
        <w:ind w:left="0" w:firstLine="0"/>
        <w:rPr>
          <w:b/>
          <w:sz w:val="36"/>
          <w:szCs w:val="36"/>
        </w:rPr>
      </w:pPr>
    </w:p>
    <w:p w:rsidR="00C816F0" w:rsidRPr="00FF5D2D" w:rsidRDefault="00C816F0" w:rsidP="00C816F0">
      <w:pPr>
        <w:pStyle w:val="EndnoteText"/>
        <w:ind w:left="0" w:firstLine="0"/>
        <w:rPr>
          <w:b/>
          <w:sz w:val="36"/>
          <w:szCs w:val="36"/>
        </w:rPr>
      </w:pPr>
      <w:r w:rsidRPr="00FF5D2D">
        <w:rPr>
          <w:b/>
          <w:sz w:val="36"/>
          <w:szCs w:val="36"/>
        </w:rPr>
        <w:t>References</w:t>
      </w:r>
    </w:p>
    <w:p w:rsidR="00C816F0" w:rsidRDefault="00C816F0" w:rsidP="00C816F0">
      <w:pPr>
        <w:pStyle w:val="EndnoteText"/>
      </w:pPr>
    </w:p>
    <w:p w:rsidR="00C816F0" w:rsidRDefault="00C816F0" w:rsidP="00C816F0">
      <w:pPr>
        <w:pStyle w:val="EndnoteText"/>
        <w:ind w:left="360" w:hanging="360"/>
      </w:pPr>
      <w:r>
        <w:rPr>
          <w:rStyle w:val="EndnoteReference"/>
        </w:rPr>
        <w:endnoteRef/>
      </w:r>
      <w:r>
        <w:t xml:space="preserve"> </w:t>
      </w:r>
      <w:r>
        <w:tab/>
      </w:r>
      <w:r w:rsidRPr="0006214A">
        <w:t>WPSDGENRLG0999</w:t>
      </w:r>
      <w:r>
        <w:t xml:space="preserve"> contains a listing of all lighting measures used in developing the SDG&amp;E forecast.  Data and information in </w:t>
      </w:r>
      <w:r w:rsidRPr="0006214A">
        <w:t>WPSDGENRLG0999</w:t>
      </w:r>
      <w:r>
        <w:t xml:space="preserve"> supersedes that contained in this </w:t>
      </w:r>
      <w:proofErr w:type="spellStart"/>
      <w:r>
        <w:t>workpaper</w:t>
      </w:r>
      <w:proofErr w:type="spellEnd"/>
      <w:r>
        <w:t>.</w:t>
      </w:r>
    </w:p>
  </w:endnote>
  <w:endnote w:id="2">
    <w:p w:rsidR="00C816F0" w:rsidRDefault="00C816F0" w:rsidP="00C816F0">
      <w:pPr>
        <w:pStyle w:val="EndnoteText"/>
        <w:ind w:left="360" w:hanging="360"/>
      </w:pPr>
    </w:p>
    <w:p w:rsidR="00C816F0" w:rsidRPr="00AE04DE" w:rsidRDefault="00C816F0" w:rsidP="00C816F0">
      <w:pPr>
        <w:pStyle w:val="Reminders"/>
        <w:numPr>
          <w:ilvl w:val="0"/>
          <w:numId w:val="0"/>
        </w:numPr>
        <w:ind w:left="360" w:hanging="360"/>
        <w:rPr>
          <w:rFonts w:ascii="Times New Roman" w:hAnsi="Times New Roman"/>
          <w:i w:val="0"/>
          <w:color w:val="auto"/>
        </w:rPr>
      </w:pPr>
    </w:p>
    <w:p w:rsidR="00C816F0" w:rsidRPr="00C816F0" w:rsidRDefault="00C816F0" w:rsidP="00C816F0">
      <w:pPr>
        <w:pStyle w:val="Reminders"/>
        <w:numPr>
          <w:ilvl w:val="0"/>
          <w:numId w:val="0"/>
        </w:numPr>
        <w:ind w:left="360" w:hanging="360"/>
        <w:rPr>
          <w:color w:val="auto"/>
        </w:rPr>
      </w:pPr>
      <w:r w:rsidRPr="00C816F0">
        <w:rPr>
          <w:rStyle w:val="EndnoteReference"/>
          <w:rFonts w:ascii="Times New Roman" w:hAnsi="Times New Roman"/>
          <w:i w:val="0"/>
          <w:color w:val="auto"/>
        </w:rPr>
        <w:t>2</w:t>
      </w:r>
      <w:r>
        <w:rPr>
          <w:color w:val="auto"/>
        </w:rPr>
        <w:tab/>
      </w:r>
      <w:r w:rsidRPr="00C816F0">
        <w:rPr>
          <w:color w:val="auto"/>
          <w:lang w:val="en-GB"/>
        </w:rPr>
        <w:t>2008 Database for Energy-Efficient Resources, December 2008.</w:t>
      </w:r>
    </w:p>
    <w:p w:rsidR="00C816F0" w:rsidRPr="0037046D" w:rsidRDefault="00C816F0" w:rsidP="00C816F0">
      <w:pPr>
        <w:ind w:left="360"/>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1" o:title=""/>
          </v:shape>
          <o:OLEObject Type="Embed" ProgID="Excel.Sheet.8" ShapeID="_x0000_i1034" DrawAspect="Icon" ObjectID="_1402228745" r:id="rId2"/>
        </w:object>
      </w:r>
    </w:p>
    <w:p w:rsidR="00C816F0" w:rsidRPr="00872B45" w:rsidRDefault="00C816F0" w:rsidP="00C816F0">
      <w:pPr>
        <w:pStyle w:val="EndnoteText"/>
        <w:ind w:left="360" w:hanging="360"/>
      </w:pPr>
    </w:p>
  </w:endnote>
  <w:endnote w:id="3">
    <w:p w:rsidR="00C816F0" w:rsidRDefault="00C816F0" w:rsidP="00C816F0">
      <w:pPr>
        <w:ind w:left="360" w:hanging="360"/>
        <w:rPr>
          <w:color w:val="333333"/>
          <w:lang w:val="en-GB"/>
        </w:rPr>
      </w:pPr>
      <w:r>
        <w:rPr>
          <w:rStyle w:val="EndnoteReference"/>
        </w:rPr>
        <w:endnoteRef/>
      </w:r>
      <w:r>
        <w:t xml:space="preserve"> </w:t>
      </w:r>
      <w:r>
        <w:rPr>
          <w:i/>
        </w:rPr>
        <w:tab/>
        <w:t>DEER 2011 NTGR</w:t>
      </w:r>
    </w:p>
    <w:bookmarkStart w:id="28" w:name="_MON_1400418558"/>
    <w:bookmarkEnd w:id="28"/>
    <w:p w:rsidR="00C816F0" w:rsidRDefault="00FF5D2D" w:rsidP="00FF5D2D">
      <w:pPr>
        <w:pStyle w:val="Reminders"/>
        <w:numPr>
          <w:ilvl w:val="0"/>
          <w:numId w:val="0"/>
        </w:numPr>
        <w:ind w:left="360"/>
      </w:pPr>
      <w:r>
        <w:rPr>
          <w:rFonts w:ascii="Times New Roman" w:hAnsi="Times New Roman"/>
          <w:i w:val="0"/>
          <w:color w:val="auto"/>
        </w:rPr>
        <w:object w:dxaOrig="1539" w:dyaOrig="996">
          <v:shape id="_x0000_i1052" type="#_x0000_t75" style="width:77.25pt;height:49.5pt" o:ole="">
            <v:imagedata r:id="rId3" o:title=""/>
          </v:shape>
          <o:OLEObject Type="Embed" ProgID="Excel.Sheet.8" ShapeID="_x0000_i1052" DrawAspect="Icon" ObjectID="_1402228746" r:id="rId4"/>
        </w:object>
      </w:r>
    </w:p>
  </w:endnote>
  <w:endnote w:id="4">
    <w:p w:rsidR="00C816F0" w:rsidRPr="002E2AE6" w:rsidRDefault="00C816F0" w:rsidP="00C816F0">
      <w:pPr>
        <w:pStyle w:val="EndnoteText"/>
        <w:ind w:left="360" w:hanging="360"/>
        <w:rPr>
          <w:i/>
        </w:rPr>
      </w:pPr>
      <w:r>
        <w:rPr>
          <w:rStyle w:val="EndnoteReference"/>
        </w:rPr>
        <w:endnoteRef/>
      </w:r>
      <w:r>
        <w:t xml:space="preserve"> </w:t>
      </w:r>
      <w:r>
        <w:tab/>
      </w:r>
      <w:r w:rsidRPr="002E2AE6">
        <w:rPr>
          <w:i/>
        </w:rPr>
        <w:t>Product  Code Energy Savings Matrix</w:t>
      </w:r>
    </w:p>
    <w:bookmarkStart w:id="34" w:name="_MON_1400476811"/>
    <w:bookmarkEnd w:id="34"/>
    <w:p w:rsidR="00C816F0" w:rsidRDefault="00C816F0" w:rsidP="00C816F0">
      <w:pPr>
        <w:pStyle w:val="EndnoteText"/>
        <w:ind w:firstLine="0"/>
      </w:pPr>
      <w:r>
        <w:object w:dxaOrig="1534" w:dyaOrig="993">
          <v:shape id="_x0000_i1051" type="#_x0000_t75" style="width:76.5pt;height:49.5pt" o:ole="">
            <v:imagedata r:id="rId5" o:title=""/>
          </v:shape>
          <o:OLEObject Type="Embed" ProgID="Excel.Sheet.12" ShapeID="_x0000_i1051" DrawAspect="Icon" ObjectID="_1402228747" r:id="rId6"/>
        </w:objec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Default="00C816F0" w:rsidP="00E57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16F0" w:rsidRDefault="00C81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Pr="00846195" w:rsidRDefault="00C816F0" w:rsidP="00E57743">
    <w:pPr>
      <w:pStyle w:val="Footer"/>
      <w:framePr w:wrap="around" w:vAnchor="text" w:hAnchor="margin" w:xAlign="center" w:y="1"/>
      <w:rPr>
        <w:rStyle w:val="PageNumber"/>
        <w:b/>
        <w:sz w:val="20"/>
        <w:szCs w:val="20"/>
      </w:rPr>
    </w:pPr>
    <w:r w:rsidRPr="00846195">
      <w:rPr>
        <w:rStyle w:val="PageNumber"/>
        <w:b/>
        <w:sz w:val="20"/>
        <w:szCs w:val="20"/>
      </w:rPr>
      <w:fldChar w:fldCharType="begin"/>
    </w:r>
    <w:r w:rsidRPr="00846195">
      <w:rPr>
        <w:rStyle w:val="PageNumber"/>
        <w:b/>
        <w:sz w:val="20"/>
        <w:szCs w:val="20"/>
      </w:rPr>
      <w:instrText xml:space="preserve">PAGE  </w:instrText>
    </w:r>
    <w:r w:rsidRPr="00846195">
      <w:rPr>
        <w:rStyle w:val="PageNumber"/>
        <w:b/>
        <w:sz w:val="20"/>
        <w:szCs w:val="20"/>
      </w:rPr>
      <w:fldChar w:fldCharType="separate"/>
    </w:r>
    <w:r>
      <w:rPr>
        <w:rStyle w:val="PageNumber"/>
        <w:b/>
        <w:noProof/>
        <w:sz w:val="20"/>
        <w:szCs w:val="20"/>
      </w:rPr>
      <w:t>6</w:t>
    </w:r>
    <w:r w:rsidRPr="00846195">
      <w:rPr>
        <w:rStyle w:val="PageNumber"/>
        <w:b/>
        <w:sz w:val="20"/>
        <w:szCs w:val="20"/>
      </w:rPr>
      <w:fldChar w:fldCharType="end"/>
    </w:r>
  </w:p>
  <w:p w:rsidR="00C816F0" w:rsidRDefault="00C816F0" w:rsidP="00D7047A">
    <w:pPr>
      <w:pStyle w:val="Footer"/>
      <w:pBdr>
        <w:top w:val="single" w:sz="4" w:space="1" w:color="auto"/>
      </w:pBdr>
      <w:tabs>
        <w:tab w:val="clear" w:pos="8640"/>
        <w:tab w:val="right" w:pos="9360"/>
      </w:tabs>
      <w:rPr>
        <w:b/>
        <w:sz w:val="20"/>
        <w:szCs w:val="20"/>
      </w:rPr>
    </w:pPr>
    <w:r w:rsidRPr="00C94E53">
      <w:rPr>
        <w:b/>
        <w:color w:val="FF0000"/>
        <w:sz w:val="20"/>
        <w:szCs w:val="20"/>
      </w:rPr>
      <w:t>WPSCNRLG0073</w:t>
    </w:r>
    <w:r>
      <w:rPr>
        <w:b/>
        <w:sz w:val="20"/>
        <w:szCs w:val="20"/>
      </w:rPr>
      <w:t xml:space="preserve">, Revision </w:t>
    </w:r>
    <w:r>
      <w:rPr>
        <w:b/>
        <w:color w:val="FF0000"/>
        <w:sz w:val="20"/>
        <w:szCs w:val="20"/>
      </w:rPr>
      <w:t>1</w:t>
    </w:r>
    <w:r>
      <w:rPr>
        <w:b/>
        <w:sz w:val="20"/>
        <w:szCs w:val="20"/>
      </w:rPr>
      <w:tab/>
    </w:r>
    <w:r>
      <w:rPr>
        <w:b/>
        <w:sz w:val="20"/>
        <w:szCs w:val="20"/>
      </w:rPr>
      <w:tab/>
    </w:r>
    <w:r w:rsidRPr="00C94E53">
      <w:rPr>
        <w:b/>
        <w:sz w:val="20"/>
        <w:szCs w:val="20"/>
        <w:highlight w:val="yellow"/>
      </w:rPr>
      <w:t>May 9, 2007</w:t>
    </w:r>
  </w:p>
  <w:p w:rsidR="00C816F0" w:rsidRPr="00D7047A" w:rsidRDefault="00C816F0" w:rsidP="00D7047A">
    <w:pPr>
      <w:pStyle w:val="Footer"/>
      <w:rPr>
        <w:b/>
        <w:sz w:val="20"/>
        <w:szCs w:val="20"/>
      </w:rPr>
    </w:pPr>
    <w:r>
      <w:rPr>
        <w:b/>
        <w:sz w:val="20"/>
        <w:szCs w:val="20"/>
      </w:rPr>
      <w:t xml:space="preserve">Southern California </w:t>
    </w:r>
    <w:smartTag w:uri="urn:schemas-microsoft-com:office:smarttags" w:element="place">
      <w:r>
        <w:rPr>
          <w:b/>
          <w:sz w:val="20"/>
          <w:szCs w:val="20"/>
        </w:rPr>
        <w:t>Edison</w:t>
      </w:r>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Pr="00B4143A" w:rsidRDefault="00C816F0" w:rsidP="00D7047A">
    <w:pPr>
      <w:pStyle w:val="Footer"/>
      <w:jc w:val="right"/>
      <w:rPr>
        <w:rFonts w:ascii="Arial" w:hAnsi="Arial" w:cs="Arial"/>
        <w:b/>
        <w:sz w:val="36"/>
        <w:szCs w:val="36"/>
      </w:rPr>
    </w:pPr>
    <w:r>
      <w:rPr>
        <w:rFonts w:ascii="Arial" w:hAnsi="Arial" w:cs="Arial"/>
        <w:b/>
        <w:sz w:val="36"/>
        <w:szCs w:val="36"/>
      </w:rPr>
      <w:t>June 5, 2012</w:t>
    </w:r>
  </w:p>
  <w:p w:rsidR="00C816F0" w:rsidRDefault="00C816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Pr="00832BD8" w:rsidRDefault="00C816F0" w:rsidP="00A61165">
    <w:pPr>
      <w:pStyle w:val="Footer"/>
      <w:pBdr>
        <w:top w:val="single" w:sz="4" w:space="1" w:color="auto"/>
      </w:pBdr>
      <w:tabs>
        <w:tab w:val="clear" w:pos="4320"/>
        <w:tab w:val="clear" w:pos="8640"/>
        <w:tab w:val="center" w:pos="4680"/>
        <w:tab w:val="right" w:pos="9360"/>
      </w:tabs>
      <w:rPr>
        <w:b/>
        <w:sz w:val="20"/>
        <w:szCs w:val="20"/>
      </w:rPr>
    </w:pPr>
    <w:r>
      <w:rPr>
        <w:b/>
        <w:sz w:val="20"/>
        <w:szCs w:val="20"/>
      </w:rPr>
      <w:t>WPSDGENRLG0016</w:t>
    </w:r>
    <w:r w:rsidRPr="00832BD8">
      <w:rPr>
        <w:b/>
        <w:sz w:val="20"/>
        <w:szCs w:val="20"/>
      </w:rPr>
      <w:t xml:space="preserve">, Revision </w:t>
    </w:r>
    <w:r>
      <w:rPr>
        <w:b/>
        <w:sz w:val="20"/>
        <w:szCs w:val="20"/>
      </w:rPr>
      <w:t>2</w:t>
    </w:r>
    <w:r w:rsidRPr="00832BD8">
      <w:rPr>
        <w:b/>
        <w:sz w:val="20"/>
        <w:szCs w:val="20"/>
      </w:rPr>
      <w:tab/>
    </w:r>
    <w:r w:rsidRPr="00A61165">
      <w:rPr>
        <w:rStyle w:val="PageNumber"/>
        <w:b/>
        <w:sz w:val="20"/>
        <w:szCs w:val="20"/>
      </w:rPr>
      <w:fldChar w:fldCharType="begin"/>
    </w:r>
    <w:r w:rsidRPr="00A61165">
      <w:rPr>
        <w:rStyle w:val="PageNumber"/>
        <w:b/>
        <w:sz w:val="20"/>
        <w:szCs w:val="20"/>
      </w:rPr>
      <w:instrText xml:space="preserve"> PAGE </w:instrText>
    </w:r>
    <w:r w:rsidRPr="00A61165">
      <w:rPr>
        <w:rStyle w:val="PageNumber"/>
        <w:b/>
        <w:sz w:val="20"/>
        <w:szCs w:val="20"/>
      </w:rPr>
      <w:fldChar w:fldCharType="separate"/>
    </w:r>
    <w:r w:rsidR="004111A6">
      <w:rPr>
        <w:rStyle w:val="PageNumber"/>
        <w:b/>
        <w:noProof/>
        <w:sz w:val="20"/>
        <w:szCs w:val="20"/>
      </w:rPr>
      <w:t>ii</w:t>
    </w:r>
    <w:r w:rsidRPr="00A61165">
      <w:rPr>
        <w:rStyle w:val="PageNumber"/>
        <w:b/>
        <w:sz w:val="20"/>
        <w:szCs w:val="20"/>
      </w:rPr>
      <w:fldChar w:fldCharType="end"/>
    </w:r>
    <w:r w:rsidRPr="00832BD8">
      <w:rPr>
        <w:b/>
        <w:sz w:val="20"/>
        <w:szCs w:val="20"/>
      </w:rPr>
      <w:tab/>
    </w:r>
    <w:r>
      <w:rPr>
        <w:b/>
        <w:sz w:val="20"/>
        <w:szCs w:val="20"/>
      </w:rPr>
      <w:t>June 5, 2012</w:t>
    </w:r>
  </w:p>
  <w:p w:rsidR="00C816F0" w:rsidRPr="00D7047A" w:rsidRDefault="00C816F0" w:rsidP="00D7047A">
    <w:pPr>
      <w:pStyle w:val="Footer"/>
      <w:rPr>
        <w:b/>
        <w:sz w:val="20"/>
        <w:szCs w:val="20"/>
      </w:rPr>
    </w:pPr>
    <w:r>
      <w:rPr>
        <w:b/>
        <w:sz w:val="20"/>
        <w:szCs w:val="20"/>
      </w:rPr>
      <w:t>San Diego Gas &amp; Electric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Pr="00832BD8" w:rsidRDefault="00C816F0" w:rsidP="00A61165">
    <w:pPr>
      <w:pStyle w:val="Footer"/>
      <w:pBdr>
        <w:top w:val="single" w:sz="4" w:space="1" w:color="auto"/>
      </w:pBdr>
      <w:tabs>
        <w:tab w:val="clear" w:pos="4320"/>
        <w:tab w:val="clear" w:pos="8640"/>
        <w:tab w:val="center" w:pos="4680"/>
        <w:tab w:val="right" w:pos="9360"/>
      </w:tabs>
      <w:rPr>
        <w:b/>
        <w:sz w:val="20"/>
        <w:szCs w:val="20"/>
      </w:rPr>
    </w:pPr>
    <w:r>
      <w:rPr>
        <w:b/>
        <w:sz w:val="20"/>
        <w:szCs w:val="20"/>
      </w:rPr>
      <w:t>WPSDGERLF0016, Revision 2</w:t>
    </w:r>
    <w:r w:rsidRPr="00832BD8">
      <w:rPr>
        <w:b/>
        <w:sz w:val="20"/>
        <w:szCs w:val="20"/>
      </w:rPr>
      <w:tab/>
    </w:r>
    <w:r w:rsidRPr="00FE37FC">
      <w:rPr>
        <w:rStyle w:val="PageNumber"/>
        <w:b/>
        <w:sz w:val="20"/>
        <w:szCs w:val="20"/>
      </w:rPr>
      <w:fldChar w:fldCharType="begin"/>
    </w:r>
    <w:r w:rsidRPr="00FE37FC">
      <w:rPr>
        <w:rStyle w:val="PageNumber"/>
        <w:b/>
        <w:sz w:val="20"/>
        <w:szCs w:val="20"/>
      </w:rPr>
      <w:instrText xml:space="preserve"> PAGE </w:instrText>
    </w:r>
    <w:r w:rsidRPr="00FE37FC">
      <w:rPr>
        <w:rStyle w:val="PageNumber"/>
        <w:b/>
        <w:sz w:val="20"/>
        <w:szCs w:val="20"/>
      </w:rPr>
      <w:fldChar w:fldCharType="separate"/>
    </w:r>
    <w:r w:rsidR="004111A6">
      <w:rPr>
        <w:rStyle w:val="PageNumber"/>
        <w:b/>
        <w:noProof/>
        <w:sz w:val="20"/>
        <w:szCs w:val="20"/>
      </w:rPr>
      <w:t>11</w:t>
    </w:r>
    <w:r w:rsidRPr="00FE37FC">
      <w:rPr>
        <w:rStyle w:val="PageNumber"/>
        <w:b/>
        <w:sz w:val="20"/>
        <w:szCs w:val="20"/>
      </w:rPr>
      <w:fldChar w:fldCharType="end"/>
    </w:r>
    <w:r w:rsidRPr="00F325DF">
      <w:rPr>
        <w:rFonts w:ascii="Arial" w:hAnsi="Arial" w:cs="Arial"/>
        <w:b/>
        <w:sz w:val="20"/>
        <w:szCs w:val="20"/>
      </w:rPr>
      <w:tab/>
    </w:r>
    <w:r>
      <w:rPr>
        <w:b/>
        <w:sz w:val="20"/>
        <w:szCs w:val="20"/>
      </w:rPr>
      <w:t>June 5, 2012</w:t>
    </w:r>
  </w:p>
  <w:p w:rsidR="00C816F0" w:rsidRPr="00D7047A" w:rsidRDefault="00C816F0" w:rsidP="00D7047A">
    <w:pPr>
      <w:pStyle w:val="Footer"/>
      <w:rPr>
        <w:b/>
        <w:sz w:val="20"/>
        <w:szCs w:val="20"/>
      </w:rPr>
    </w:pPr>
    <w:r>
      <w:rPr>
        <w:b/>
        <w:sz w:val="20"/>
        <w:szCs w:val="20"/>
      </w:rPr>
      <w:t>San Diego Gas &amp; Electric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6F0" w:rsidRDefault="00C816F0">
      <w:r>
        <w:separator/>
      </w:r>
    </w:p>
  </w:footnote>
  <w:footnote w:type="continuationSeparator" w:id="0">
    <w:p w:rsidR="00C816F0" w:rsidRDefault="00C81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F0" w:rsidRDefault="00C81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66"/>
    <w:multiLevelType w:val="hybridMultilevel"/>
    <w:tmpl w:val="4A2E197A"/>
    <w:lvl w:ilvl="0" w:tplc="392CC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C5857"/>
    <w:multiLevelType w:val="hybridMultilevel"/>
    <w:tmpl w:val="93BC31B6"/>
    <w:lvl w:ilvl="0" w:tplc="392CC5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62F67"/>
    <w:multiLevelType w:val="hybridMultilevel"/>
    <w:tmpl w:val="EB2A5FBE"/>
    <w:lvl w:ilvl="0" w:tplc="971C724E">
      <w:start w:val="1"/>
      <w:numFmt w:val="decimal"/>
      <w:lvlText w:val="%1-"/>
      <w:lvlJc w:val="left"/>
      <w:pPr>
        <w:ind w:left="1080" w:hanging="360"/>
      </w:pPr>
      <w:rPr>
        <w:rFonts w:ascii="Times New Roman" w:eastAsia="Times New Roman" w:hAnsi="Times New Roman" w:cs="Times New Roman"/>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183B"/>
    <w:multiLevelType w:val="hybridMultilevel"/>
    <w:tmpl w:val="F6F82EF0"/>
    <w:lvl w:ilvl="0" w:tplc="4BC099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1415"/>
    <w:multiLevelType w:val="hybridMultilevel"/>
    <w:tmpl w:val="53C64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161373"/>
    <w:multiLevelType w:val="hybridMultilevel"/>
    <w:tmpl w:val="975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27A4C"/>
    <w:multiLevelType w:val="hybridMultilevel"/>
    <w:tmpl w:val="F7843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957C84"/>
    <w:multiLevelType w:val="multilevel"/>
    <w:tmpl w:val="5E9E34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B16D79"/>
    <w:multiLevelType w:val="hybridMultilevel"/>
    <w:tmpl w:val="4A2E197A"/>
    <w:lvl w:ilvl="0" w:tplc="392CC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F0B0B"/>
    <w:multiLevelType w:val="hybridMultilevel"/>
    <w:tmpl w:val="A8649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F92F0D"/>
    <w:multiLevelType w:val="hybridMultilevel"/>
    <w:tmpl w:val="A6B2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652E7D"/>
    <w:multiLevelType w:val="hybridMultilevel"/>
    <w:tmpl w:val="C9CACF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C6CCE"/>
    <w:multiLevelType w:val="hybridMultilevel"/>
    <w:tmpl w:val="CF78E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9853F8"/>
    <w:multiLevelType w:val="hybridMultilevel"/>
    <w:tmpl w:val="9046470E"/>
    <w:lvl w:ilvl="0" w:tplc="2196B82A">
      <w:start w:val="1"/>
      <w:numFmt w:val="bullet"/>
      <w:lvlText w:val=""/>
      <w:lvlJc w:val="left"/>
      <w:pPr>
        <w:tabs>
          <w:tab w:val="num" w:pos="504"/>
        </w:tabs>
        <w:ind w:left="288" w:hanging="72"/>
      </w:pPr>
      <w:rPr>
        <w:rFonts w:ascii="Wingdings" w:hAnsi="Wingdings" w:hint="default"/>
      </w:rPr>
    </w:lvl>
    <w:lvl w:ilvl="1" w:tplc="C72A4F4E">
      <w:start w:val="1"/>
      <w:numFmt w:val="bullet"/>
      <w:lvlText w:val="o"/>
      <w:lvlJc w:val="left"/>
      <w:pPr>
        <w:tabs>
          <w:tab w:val="num" w:pos="612"/>
        </w:tabs>
        <w:ind w:left="684" w:hanging="144"/>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12147B"/>
    <w:multiLevelType w:val="hybridMultilevel"/>
    <w:tmpl w:val="A812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30739A"/>
    <w:multiLevelType w:val="hybridMultilevel"/>
    <w:tmpl w:val="3514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70A9F"/>
    <w:multiLevelType w:val="hybridMultilevel"/>
    <w:tmpl w:val="6ABC05BC"/>
    <w:lvl w:ilvl="0" w:tplc="40BE3C82">
      <w:start w:val="1"/>
      <w:numFmt w:val="bullet"/>
      <w:pStyle w:val="Reminders"/>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76623A"/>
    <w:multiLevelType w:val="multilevel"/>
    <w:tmpl w:val="59EC45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094C29"/>
    <w:multiLevelType w:val="hybridMultilevel"/>
    <w:tmpl w:val="EC38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053D28"/>
    <w:multiLevelType w:val="hybridMultilevel"/>
    <w:tmpl w:val="FCCA7A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BB0EEE"/>
    <w:multiLevelType w:val="hybridMultilevel"/>
    <w:tmpl w:val="E330649E"/>
    <w:lvl w:ilvl="0" w:tplc="392CC5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F6799"/>
    <w:multiLevelType w:val="hybridMultilevel"/>
    <w:tmpl w:val="35880CCA"/>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2">
    <w:nsid w:val="4D6D187E"/>
    <w:multiLevelType w:val="hybridMultilevel"/>
    <w:tmpl w:val="3648D35C"/>
    <w:lvl w:ilvl="0" w:tplc="D7660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686FDC"/>
    <w:multiLevelType w:val="hybridMultilevel"/>
    <w:tmpl w:val="3362C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C7AB6"/>
    <w:multiLevelType w:val="multilevel"/>
    <w:tmpl w:val="FBA48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B357D7C"/>
    <w:multiLevelType w:val="hybridMultilevel"/>
    <w:tmpl w:val="91B0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4239A4"/>
    <w:multiLevelType w:val="hybridMultilevel"/>
    <w:tmpl w:val="2E0E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9"/>
  </w:num>
  <w:num w:numId="4">
    <w:abstractNumId w:val="11"/>
  </w:num>
  <w:num w:numId="5">
    <w:abstractNumId w:val="5"/>
  </w:num>
  <w:num w:numId="6">
    <w:abstractNumId w:val="4"/>
  </w:num>
  <w:num w:numId="7">
    <w:abstractNumId w:val="6"/>
  </w:num>
  <w:num w:numId="8">
    <w:abstractNumId w:val="24"/>
  </w:num>
  <w:num w:numId="9">
    <w:abstractNumId w:val="10"/>
  </w:num>
  <w:num w:numId="10">
    <w:abstractNumId w:val="14"/>
  </w:num>
  <w:num w:numId="11">
    <w:abstractNumId w:val="26"/>
  </w:num>
  <w:num w:numId="12">
    <w:abstractNumId w:val="15"/>
  </w:num>
  <w:num w:numId="13">
    <w:abstractNumId w:val="18"/>
  </w:num>
  <w:num w:numId="14">
    <w:abstractNumId w:val="21"/>
  </w:num>
  <w:num w:numId="15">
    <w:abstractNumId w:val="12"/>
  </w:num>
  <w:num w:numId="16">
    <w:abstractNumId w:val="0"/>
  </w:num>
  <w:num w:numId="17">
    <w:abstractNumId w:val="13"/>
  </w:num>
  <w:num w:numId="18">
    <w:abstractNumId w:val="1"/>
  </w:num>
  <w:num w:numId="19">
    <w:abstractNumId w:val="20"/>
  </w:num>
  <w:num w:numId="20">
    <w:abstractNumId w:val="22"/>
  </w:num>
  <w:num w:numId="21">
    <w:abstractNumId w:val="25"/>
  </w:num>
  <w:num w:numId="22">
    <w:abstractNumId w:val="17"/>
  </w:num>
  <w:num w:numId="23">
    <w:abstractNumId w:val="23"/>
  </w:num>
  <w:num w:numId="24">
    <w:abstractNumId w:val="16"/>
  </w:num>
  <w:num w:numId="25">
    <w:abstractNumId w:val="3"/>
  </w:num>
  <w:num w:numId="26">
    <w:abstractNumId w:val="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481" style="mso-position-vertical-relative:line" fillcolor="white">
      <v:fill color="white"/>
      <o:colormru v:ext="edit" colors="#f8f8f8,#eaeaea"/>
    </o:shapedefaults>
  </w:hdrShapeDefaults>
  <w:footnotePr>
    <w:footnote w:id="-1"/>
    <w:footnote w:id="0"/>
  </w:footnotePr>
  <w:endnotePr>
    <w:endnote w:id="-1"/>
    <w:endnote w:id="0"/>
  </w:endnotePr>
  <w:compat/>
  <w:rsids>
    <w:rsidRoot w:val="00E71EF1"/>
    <w:rsid w:val="00000E90"/>
    <w:rsid w:val="0000272B"/>
    <w:rsid w:val="00004825"/>
    <w:rsid w:val="00010B95"/>
    <w:rsid w:val="000170B5"/>
    <w:rsid w:val="00017628"/>
    <w:rsid w:val="000207C4"/>
    <w:rsid w:val="0002194A"/>
    <w:rsid w:val="00022779"/>
    <w:rsid w:val="00024DC2"/>
    <w:rsid w:val="000261B8"/>
    <w:rsid w:val="0003064A"/>
    <w:rsid w:val="00031348"/>
    <w:rsid w:val="00046BF3"/>
    <w:rsid w:val="000571F6"/>
    <w:rsid w:val="00057679"/>
    <w:rsid w:val="00057AAF"/>
    <w:rsid w:val="00057FA0"/>
    <w:rsid w:val="0006061C"/>
    <w:rsid w:val="0006214A"/>
    <w:rsid w:val="0006297C"/>
    <w:rsid w:val="00065F87"/>
    <w:rsid w:val="00066301"/>
    <w:rsid w:val="00066437"/>
    <w:rsid w:val="00072FBD"/>
    <w:rsid w:val="000749EA"/>
    <w:rsid w:val="00077161"/>
    <w:rsid w:val="00077B05"/>
    <w:rsid w:val="0008195C"/>
    <w:rsid w:val="00082686"/>
    <w:rsid w:val="000842B9"/>
    <w:rsid w:val="00085977"/>
    <w:rsid w:val="00087378"/>
    <w:rsid w:val="00091842"/>
    <w:rsid w:val="00092D53"/>
    <w:rsid w:val="00093B25"/>
    <w:rsid w:val="00093E3F"/>
    <w:rsid w:val="000947E6"/>
    <w:rsid w:val="00095610"/>
    <w:rsid w:val="00095A54"/>
    <w:rsid w:val="000966CC"/>
    <w:rsid w:val="000A1062"/>
    <w:rsid w:val="000A28A2"/>
    <w:rsid w:val="000A2FB3"/>
    <w:rsid w:val="000A4389"/>
    <w:rsid w:val="000A48F2"/>
    <w:rsid w:val="000A58D2"/>
    <w:rsid w:val="000A5C3A"/>
    <w:rsid w:val="000B3FF4"/>
    <w:rsid w:val="000C092D"/>
    <w:rsid w:val="000D0954"/>
    <w:rsid w:val="000D0F89"/>
    <w:rsid w:val="000E01BA"/>
    <w:rsid w:val="000E707B"/>
    <w:rsid w:val="000F0069"/>
    <w:rsid w:val="000F503A"/>
    <w:rsid w:val="000F5285"/>
    <w:rsid w:val="000F5848"/>
    <w:rsid w:val="000F6E3A"/>
    <w:rsid w:val="001033A5"/>
    <w:rsid w:val="00103C74"/>
    <w:rsid w:val="0010465A"/>
    <w:rsid w:val="0010484B"/>
    <w:rsid w:val="00105453"/>
    <w:rsid w:val="00106127"/>
    <w:rsid w:val="0010735B"/>
    <w:rsid w:val="00110B83"/>
    <w:rsid w:val="001141D2"/>
    <w:rsid w:val="0012453D"/>
    <w:rsid w:val="001248A3"/>
    <w:rsid w:val="00126304"/>
    <w:rsid w:val="00127CC8"/>
    <w:rsid w:val="00147B7F"/>
    <w:rsid w:val="0016135E"/>
    <w:rsid w:val="0017028D"/>
    <w:rsid w:val="00174EE7"/>
    <w:rsid w:val="0017511E"/>
    <w:rsid w:val="00177EA6"/>
    <w:rsid w:val="001811F8"/>
    <w:rsid w:val="001819A8"/>
    <w:rsid w:val="00182EFF"/>
    <w:rsid w:val="00183372"/>
    <w:rsid w:val="00185CAA"/>
    <w:rsid w:val="001864B5"/>
    <w:rsid w:val="001942CE"/>
    <w:rsid w:val="00194AD2"/>
    <w:rsid w:val="001951DA"/>
    <w:rsid w:val="001A2DC7"/>
    <w:rsid w:val="001A64C6"/>
    <w:rsid w:val="001B094D"/>
    <w:rsid w:val="001B1025"/>
    <w:rsid w:val="001B14FD"/>
    <w:rsid w:val="001B2502"/>
    <w:rsid w:val="001B3B98"/>
    <w:rsid w:val="001C272B"/>
    <w:rsid w:val="001C4977"/>
    <w:rsid w:val="001C6518"/>
    <w:rsid w:val="001D0D85"/>
    <w:rsid w:val="001E0A97"/>
    <w:rsid w:val="001E15EC"/>
    <w:rsid w:val="001E7505"/>
    <w:rsid w:val="001F6088"/>
    <w:rsid w:val="0020108E"/>
    <w:rsid w:val="00203744"/>
    <w:rsid w:val="00214831"/>
    <w:rsid w:val="002154B2"/>
    <w:rsid w:val="00215BE7"/>
    <w:rsid w:val="002164C7"/>
    <w:rsid w:val="002205A8"/>
    <w:rsid w:val="00220C7F"/>
    <w:rsid w:val="002300B9"/>
    <w:rsid w:val="0023088A"/>
    <w:rsid w:val="00237954"/>
    <w:rsid w:val="00243BAC"/>
    <w:rsid w:val="00243F2E"/>
    <w:rsid w:val="00244D96"/>
    <w:rsid w:val="00247C86"/>
    <w:rsid w:val="0025564F"/>
    <w:rsid w:val="0025738E"/>
    <w:rsid w:val="002620B2"/>
    <w:rsid w:val="002726B1"/>
    <w:rsid w:val="00272DB3"/>
    <w:rsid w:val="00273FAB"/>
    <w:rsid w:val="0028337C"/>
    <w:rsid w:val="00285AF5"/>
    <w:rsid w:val="0028709C"/>
    <w:rsid w:val="002870FC"/>
    <w:rsid w:val="00287921"/>
    <w:rsid w:val="002A0853"/>
    <w:rsid w:val="002A495A"/>
    <w:rsid w:val="002A4B50"/>
    <w:rsid w:val="002D381C"/>
    <w:rsid w:val="002D3DAA"/>
    <w:rsid w:val="002D43EE"/>
    <w:rsid w:val="002D4BED"/>
    <w:rsid w:val="002E0043"/>
    <w:rsid w:val="002E2AE6"/>
    <w:rsid w:val="002E33F0"/>
    <w:rsid w:val="002E36FB"/>
    <w:rsid w:val="002E5671"/>
    <w:rsid w:val="002F12D0"/>
    <w:rsid w:val="002F3814"/>
    <w:rsid w:val="002F3FE5"/>
    <w:rsid w:val="002F789A"/>
    <w:rsid w:val="002F7FE3"/>
    <w:rsid w:val="003008CC"/>
    <w:rsid w:val="00300DBA"/>
    <w:rsid w:val="0030114D"/>
    <w:rsid w:val="00301792"/>
    <w:rsid w:val="0030222A"/>
    <w:rsid w:val="00302B74"/>
    <w:rsid w:val="0030462B"/>
    <w:rsid w:val="00305435"/>
    <w:rsid w:val="0030550A"/>
    <w:rsid w:val="00306549"/>
    <w:rsid w:val="00307ABE"/>
    <w:rsid w:val="0031013A"/>
    <w:rsid w:val="00310C05"/>
    <w:rsid w:val="003129E8"/>
    <w:rsid w:val="003129EA"/>
    <w:rsid w:val="00321EB5"/>
    <w:rsid w:val="00324D0F"/>
    <w:rsid w:val="0032502E"/>
    <w:rsid w:val="003259CD"/>
    <w:rsid w:val="00330345"/>
    <w:rsid w:val="00332F00"/>
    <w:rsid w:val="0033426B"/>
    <w:rsid w:val="00335017"/>
    <w:rsid w:val="0033689C"/>
    <w:rsid w:val="00341151"/>
    <w:rsid w:val="0034647B"/>
    <w:rsid w:val="00353DC2"/>
    <w:rsid w:val="00357B17"/>
    <w:rsid w:val="00366C97"/>
    <w:rsid w:val="00373167"/>
    <w:rsid w:val="003758FE"/>
    <w:rsid w:val="00375DF5"/>
    <w:rsid w:val="00377407"/>
    <w:rsid w:val="00382B68"/>
    <w:rsid w:val="00386B24"/>
    <w:rsid w:val="00391C76"/>
    <w:rsid w:val="00396871"/>
    <w:rsid w:val="00397565"/>
    <w:rsid w:val="003A5172"/>
    <w:rsid w:val="003B6DDA"/>
    <w:rsid w:val="003C23EE"/>
    <w:rsid w:val="003C48C5"/>
    <w:rsid w:val="003C4C6A"/>
    <w:rsid w:val="003C4F62"/>
    <w:rsid w:val="003C5797"/>
    <w:rsid w:val="003C659B"/>
    <w:rsid w:val="003C6DFA"/>
    <w:rsid w:val="003D5191"/>
    <w:rsid w:val="003D7FB1"/>
    <w:rsid w:val="003E0332"/>
    <w:rsid w:val="003E0A26"/>
    <w:rsid w:val="003E2B3D"/>
    <w:rsid w:val="003E6C51"/>
    <w:rsid w:val="00400A58"/>
    <w:rsid w:val="00403654"/>
    <w:rsid w:val="00405DE2"/>
    <w:rsid w:val="004060E3"/>
    <w:rsid w:val="004111A6"/>
    <w:rsid w:val="00417948"/>
    <w:rsid w:val="00417ABF"/>
    <w:rsid w:val="0042061D"/>
    <w:rsid w:val="00421ED8"/>
    <w:rsid w:val="004236B9"/>
    <w:rsid w:val="00425824"/>
    <w:rsid w:val="00425FE9"/>
    <w:rsid w:val="0044337C"/>
    <w:rsid w:val="00444341"/>
    <w:rsid w:val="0044474C"/>
    <w:rsid w:val="00445F7C"/>
    <w:rsid w:val="004551F3"/>
    <w:rsid w:val="00460F49"/>
    <w:rsid w:val="004617A6"/>
    <w:rsid w:val="0046230C"/>
    <w:rsid w:val="00462A50"/>
    <w:rsid w:val="00470DC0"/>
    <w:rsid w:val="00473C01"/>
    <w:rsid w:val="0048318E"/>
    <w:rsid w:val="004A5057"/>
    <w:rsid w:val="004A50CD"/>
    <w:rsid w:val="004B0389"/>
    <w:rsid w:val="004B2A73"/>
    <w:rsid w:val="004B6A32"/>
    <w:rsid w:val="004C2238"/>
    <w:rsid w:val="004C226B"/>
    <w:rsid w:val="004C6262"/>
    <w:rsid w:val="004C6363"/>
    <w:rsid w:val="004C68D0"/>
    <w:rsid w:val="004D2001"/>
    <w:rsid w:val="004D511F"/>
    <w:rsid w:val="004D5430"/>
    <w:rsid w:val="004D58D5"/>
    <w:rsid w:val="004E3B7F"/>
    <w:rsid w:val="004E619D"/>
    <w:rsid w:val="004F374F"/>
    <w:rsid w:val="004F436D"/>
    <w:rsid w:val="00501AE2"/>
    <w:rsid w:val="00506204"/>
    <w:rsid w:val="00507A8A"/>
    <w:rsid w:val="00510266"/>
    <w:rsid w:val="005113F6"/>
    <w:rsid w:val="005137BD"/>
    <w:rsid w:val="00514966"/>
    <w:rsid w:val="00514EEC"/>
    <w:rsid w:val="00523DAC"/>
    <w:rsid w:val="00530B04"/>
    <w:rsid w:val="00536B41"/>
    <w:rsid w:val="00543516"/>
    <w:rsid w:val="0054599C"/>
    <w:rsid w:val="00545A67"/>
    <w:rsid w:val="00555F39"/>
    <w:rsid w:val="005561F7"/>
    <w:rsid w:val="0056163A"/>
    <w:rsid w:val="005622FB"/>
    <w:rsid w:val="00573789"/>
    <w:rsid w:val="00573F47"/>
    <w:rsid w:val="00575A38"/>
    <w:rsid w:val="005771ED"/>
    <w:rsid w:val="00593147"/>
    <w:rsid w:val="005951CB"/>
    <w:rsid w:val="005A16C5"/>
    <w:rsid w:val="005A23DA"/>
    <w:rsid w:val="005A3798"/>
    <w:rsid w:val="005A5ECC"/>
    <w:rsid w:val="005B0988"/>
    <w:rsid w:val="005B0FA9"/>
    <w:rsid w:val="005B1E63"/>
    <w:rsid w:val="005B6AFE"/>
    <w:rsid w:val="005C23D1"/>
    <w:rsid w:val="005D427A"/>
    <w:rsid w:val="005E0116"/>
    <w:rsid w:val="005E0CB2"/>
    <w:rsid w:val="005E4FE9"/>
    <w:rsid w:val="005F170F"/>
    <w:rsid w:val="005F4E07"/>
    <w:rsid w:val="005F4E4F"/>
    <w:rsid w:val="005F5A40"/>
    <w:rsid w:val="00607401"/>
    <w:rsid w:val="00612A4E"/>
    <w:rsid w:val="00612E19"/>
    <w:rsid w:val="00615373"/>
    <w:rsid w:val="00621EA2"/>
    <w:rsid w:val="006221C3"/>
    <w:rsid w:val="00622319"/>
    <w:rsid w:val="0062243F"/>
    <w:rsid w:val="0062416A"/>
    <w:rsid w:val="006429BA"/>
    <w:rsid w:val="006435CF"/>
    <w:rsid w:val="00644409"/>
    <w:rsid w:val="006559C8"/>
    <w:rsid w:val="00656D4F"/>
    <w:rsid w:val="006625B0"/>
    <w:rsid w:val="00664225"/>
    <w:rsid w:val="00666F3B"/>
    <w:rsid w:val="006757C5"/>
    <w:rsid w:val="00676257"/>
    <w:rsid w:val="00690682"/>
    <w:rsid w:val="00693A94"/>
    <w:rsid w:val="00695ED2"/>
    <w:rsid w:val="006A1022"/>
    <w:rsid w:val="006A2D57"/>
    <w:rsid w:val="006A3D6E"/>
    <w:rsid w:val="006A4426"/>
    <w:rsid w:val="006B5A94"/>
    <w:rsid w:val="006D52D8"/>
    <w:rsid w:val="006D6706"/>
    <w:rsid w:val="006E09AD"/>
    <w:rsid w:val="006E47BA"/>
    <w:rsid w:val="006E50ED"/>
    <w:rsid w:val="006F0367"/>
    <w:rsid w:val="007004A6"/>
    <w:rsid w:val="00702700"/>
    <w:rsid w:val="00702D15"/>
    <w:rsid w:val="0070443C"/>
    <w:rsid w:val="00707892"/>
    <w:rsid w:val="007106B1"/>
    <w:rsid w:val="007115A4"/>
    <w:rsid w:val="00725D5C"/>
    <w:rsid w:val="0073076B"/>
    <w:rsid w:val="00740705"/>
    <w:rsid w:val="00742F64"/>
    <w:rsid w:val="00746DDC"/>
    <w:rsid w:val="00747BB6"/>
    <w:rsid w:val="0075236E"/>
    <w:rsid w:val="00753C00"/>
    <w:rsid w:val="00754887"/>
    <w:rsid w:val="0075536A"/>
    <w:rsid w:val="00755961"/>
    <w:rsid w:val="00765ACE"/>
    <w:rsid w:val="00770C53"/>
    <w:rsid w:val="0077562E"/>
    <w:rsid w:val="0077652E"/>
    <w:rsid w:val="0078265B"/>
    <w:rsid w:val="00785112"/>
    <w:rsid w:val="0078791E"/>
    <w:rsid w:val="00792474"/>
    <w:rsid w:val="0079521E"/>
    <w:rsid w:val="007A1510"/>
    <w:rsid w:val="007A768C"/>
    <w:rsid w:val="007B088D"/>
    <w:rsid w:val="007C3B5B"/>
    <w:rsid w:val="007C6EAB"/>
    <w:rsid w:val="007D2F7B"/>
    <w:rsid w:val="007E1179"/>
    <w:rsid w:val="007E3EA0"/>
    <w:rsid w:val="007E41BB"/>
    <w:rsid w:val="007E455C"/>
    <w:rsid w:val="007F3098"/>
    <w:rsid w:val="007F5802"/>
    <w:rsid w:val="00801AD6"/>
    <w:rsid w:val="00801F27"/>
    <w:rsid w:val="00823C90"/>
    <w:rsid w:val="00830CAF"/>
    <w:rsid w:val="00830DF2"/>
    <w:rsid w:val="0083134A"/>
    <w:rsid w:val="00832BD8"/>
    <w:rsid w:val="00833AC1"/>
    <w:rsid w:val="00844D29"/>
    <w:rsid w:val="00844EF8"/>
    <w:rsid w:val="00846195"/>
    <w:rsid w:val="00846FA0"/>
    <w:rsid w:val="008479B6"/>
    <w:rsid w:val="0085279D"/>
    <w:rsid w:val="00857B62"/>
    <w:rsid w:val="00864714"/>
    <w:rsid w:val="00872B45"/>
    <w:rsid w:val="0087372F"/>
    <w:rsid w:val="00873B6A"/>
    <w:rsid w:val="00881A3A"/>
    <w:rsid w:val="008834BB"/>
    <w:rsid w:val="008838F0"/>
    <w:rsid w:val="0089326E"/>
    <w:rsid w:val="008A3FFF"/>
    <w:rsid w:val="008A6EA0"/>
    <w:rsid w:val="008B0BBC"/>
    <w:rsid w:val="008C52D1"/>
    <w:rsid w:val="008C71B5"/>
    <w:rsid w:val="008D1E58"/>
    <w:rsid w:val="008E07C7"/>
    <w:rsid w:val="008E431F"/>
    <w:rsid w:val="008E6186"/>
    <w:rsid w:val="008E6367"/>
    <w:rsid w:val="008F2DDD"/>
    <w:rsid w:val="008F386F"/>
    <w:rsid w:val="00902D49"/>
    <w:rsid w:val="00903C95"/>
    <w:rsid w:val="00904478"/>
    <w:rsid w:val="009047F2"/>
    <w:rsid w:val="00905BBE"/>
    <w:rsid w:val="0091222C"/>
    <w:rsid w:val="009178CF"/>
    <w:rsid w:val="0092617E"/>
    <w:rsid w:val="009310CF"/>
    <w:rsid w:val="00932E7C"/>
    <w:rsid w:val="00935BD4"/>
    <w:rsid w:val="0093729F"/>
    <w:rsid w:val="009408CB"/>
    <w:rsid w:val="00944AC7"/>
    <w:rsid w:val="00961FF0"/>
    <w:rsid w:val="00962D9A"/>
    <w:rsid w:val="009665F3"/>
    <w:rsid w:val="00971809"/>
    <w:rsid w:val="009754DA"/>
    <w:rsid w:val="0098178B"/>
    <w:rsid w:val="009828E1"/>
    <w:rsid w:val="00984C02"/>
    <w:rsid w:val="009874D2"/>
    <w:rsid w:val="0099354D"/>
    <w:rsid w:val="00994BBE"/>
    <w:rsid w:val="009A4A75"/>
    <w:rsid w:val="009A56A4"/>
    <w:rsid w:val="009A7F79"/>
    <w:rsid w:val="009B4687"/>
    <w:rsid w:val="009B5076"/>
    <w:rsid w:val="009C0B02"/>
    <w:rsid w:val="009C304D"/>
    <w:rsid w:val="009C4744"/>
    <w:rsid w:val="009D3B45"/>
    <w:rsid w:val="009D50F8"/>
    <w:rsid w:val="009D7A24"/>
    <w:rsid w:val="009E06FB"/>
    <w:rsid w:val="009E150A"/>
    <w:rsid w:val="009E1BC1"/>
    <w:rsid w:val="009E5D18"/>
    <w:rsid w:val="009F5C2C"/>
    <w:rsid w:val="00A01E59"/>
    <w:rsid w:val="00A06964"/>
    <w:rsid w:val="00A127DD"/>
    <w:rsid w:val="00A15DFD"/>
    <w:rsid w:val="00A217CD"/>
    <w:rsid w:val="00A23622"/>
    <w:rsid w:val="00A24C8D"/>
    <w:rsid w:val="00A30090"/>
    <w:rsid w:val="00A3742A"/>
    <w:rsid w:val="00A37D6B"/>
    <w:rsid w:val="00A4248A"/>
    <w:rsid w:val="00A44773"/>
    <w:rsid w:val="00A4495B"/>
    <w:rsid w:val="00A47202"/>
    <w:rsid w:val="00A50ACB"/>
    <w:rsid w:val="00A56CA5"/>
    <w:rsid w:val="00A56ED4"/>
    <w:rsid w:val="00A570CE"/>
    <w:rsid w:val="00A61165"/>
    <w:rsid w:val="00A64757"/>
    <w:rsid w:val="00A7007B"/>
    <w:rsid w:val="00A71A1C"/>
    <w:rsid w:val="00A73442"/>
    <w:rsid w:val="00A76043"/>
    <w:rsid w:val="00A76985"/>
    <w:rsid w:val="00A80E34"/>
    <w:rsid w:val="00A84A02"/>
    <w:rsid w:val="00A85078"/>
    <w:rsid w:val="00A90D08"/>
    <w:rsid w:val="00A94746"/>
    <w:rsid w:val="00A9781A"/>
    <w:rsid w:val="00AA18DD"/>
    <w:rsid w:val="00AA66D5"/>
    <w:rsid w:val="00AB6CDC"/>
    <w:rsid w:val="00AC11BA"/>
    <w:rsid w:val="00AC3E49"/>
    <w:rsid w:val="00AD4D62"/>
    <w:rsid w:val="00AD6542"/>
    <w:rsid w:val="00AE5772"/>
    <w:rsid w:val="00B00AF6"/>
    <w:rsid w:val="00B01D68"/>
    <w:rsid w:val="00B02F2E"/>
    <w:rsid w:val="00B05045"/>
    <w:rsid w:val="00B050CD"/>
    <w:rsid w:val="00B05714"/>
    <w:rsid w:val="00B114A6"/>
    <w:rsid w:val="00B17902"/>
    <w:rsid w:val="00B2200A"/>
    <w:rsid w:val="00B22632"/>
    <w:rsid w:val="00B24A6F"/>
    <w:rsid w:val="00B27065"/>
    <w:rsid w:val="00B2766E"/>
    <w:rsid w:val="00B32311"/>
    <w:rsid w:val="00B34836"/>
    <w:rsid w:val="00B35A41"/>
    <w:rsid w:val="00B40268"/>
    <w:rsid w:val="00B4143A"/>
    <w:rsid w:val="00B4228B"/>
    <w:rsid w:val="00B465A6"/>
    <w:rsid w:val="00B50FD8"/>
    <w:rsid w:val="00B52A79"/>
    <w:rsid w:val="00B54256"/>
    <w:rsid w:val="00B545F4"/>
    <w:rsid w:val="00B5557F"/>
    <w:rsid w:val="00B614DF"/>
    <w:rsid w:val="00B6508B"/>
    <w:rsid w:val="00B73DE1"/>
    <w:rsid w:val="00B77F8B"/>
    <w:rsid w:val="00B904DC"/>
    <w:rsid w:val="00B91E0F"/>
    <w:rsid w:val="00BA05AE"/>
    <w:rsid w:val="00BA49CF"/>
    <w:rsid w:val="00BB2EAD"/>
    <w:rsid w:val="00BC2F98"/>
    <w:rsid w:val="00BC3AF0"/>
    <w:rsid w:val="00BD2128"/>
    <w:rsid w:val="00BD2B94"/>
    <w:rsid w:val="00BD4192"/>
    <w:rsid w:val="00BD4D9B"/>
    <w:rsid w:val="00BE70D4"/>
    <w:rsid w:val="00BF4A12"/>
    <w:rsid w:val="00C02C2C"/>
    <w:rsid w:val="00C0513E"/>
    <w:rsid w:val="00C060E5"/>
    <w:rsid w:val="00C069A2"/>
    <w:rsid w:val="00C12050"/>
    <w:rsid w:val="00C2280A"/>
    <w:rsid w:val="00C25D10"/>
    <w:rsid w:val="00C27A9B"/>
    <w:rsid w:val="00C402AB"/>
    <w:rsid w:val="00C429F3"/>
    <w:rsid w:val="00C45FC1"/>
    <w:rsid w:val="00C55663"/>
    <w:rsid w:val="00C60BDA"/>
    <w:rsid w:val="00C6327C"/>
    <w:rsid w:val="00C63CF5"/>
    <w:rsid w:val="00C71A30"/>
    <w:rsid w:val="00C739BF"/>
    <w:rsid w:val="00C75F78"/>
    <w:rsid w:val="00C77CDB"/>
    <w:rsid w:val="00C8094E"/>
    <w:rsid w:val="00C816F0"/>
    <w:rsid w:val="00C839B4"/>
    <w:rsid w:val="00C86C19"/>
    <w:rsid w:val="00C94F0E"/>
    <w:rsid w:val="00CA071B"/>
    <w:rsid w:val="00CA3187"/>
    <w:rsid w:val="00CA7639"/>
    <w:rsid w:val="00CA7C40"/>
    <w:rsid w:val="00CB06F7"/>
    <w:rsid w:val="00CB2A9E"/>
    <w:rsid w:val="00CB3355"/>
    <w:rsid w:val="00CB5F14"/>
    <w:rsid w:val="00CC4F71"/>
    <w:rsid w:val="00CD5104"/>
    <w:rsid w:val="00CD5B85"/>
    <w:rsid w:val="00CE17B5"/>
    <w:rsid w:val="00CE202E"/>
    <w:rsid w:val="00CE66DC"/>
    <w:rsid w:val="00CF4557"/>
    <w:rsid w:val="00CF69CD"/>
    <w:rsid w:val="00D0048F"/>
    <w:rsid w:val="00D03C27"/>
    <w:rsid w:val="00D03CCD"/>
    <w:rsid w:val="00D051C6"/>
    <w:rsid w:val="00D102CF"/>
    <w:rsid w:val="00D135D3"/>
    <w:rsid w:val="00D142CC"/>
    <w:rsid w:val="00D20795"/>
    <w:rsid w:val="00D21C20"/>
    <w:rsid w:val="00D2207B"/>
    <w:rsid w:val="00D243F9"/>
    <w:rsid w:val="00D26786"/>
    <w:rsid w:val="00D269F6"/>
    <w:rsid w:val="00D2717C"/>
    <w:rsid w:val="00D32FF3"/>
    <w:rsid w:val="00D33677"/>
    <w:rsid w:val="00D35436"/>
    <w:rsid w:val="00D40061"/>
    <w:rsid w:val="00D4432F"/>
    <w:rsid w:val="00D44A14"/>
    <w:rsid w:val="00D52F48"/>
    <w:rsid w:val="00D5555B"/>
    <w:rsid w:val="00D562F0"/>
    <w:rsid w:val="00D60B31"/>
    <w:rsid w:val="00D62DB4"/>
    <w:rsid w:val="00D6366A"/>
    <w:rsid w:val="00D64107"/>
    <w:rsid w:val="00D66848"/>
    <w:rsid w:val="00D66D78"/>
    <w:rsid w:val="00D67CEE"/>
    <w:rsid w:val="00D7047A"/>
    <w:rsid w:val="00D710FC"/>
    <w:rsid w:val="00D72273"/>
    <w:rsid w:val="00D8115A"/>
    <w:rsid w:val="00D81561"/>
    <w:rsid w:val="00D8750D"/>
    <w:rsid w:val="00DA554C"/>
    <w:rsid w:val="00DB3DAD"/>
    <w:rsid w:val="00DB49DE"/>
    <w:rsid w:val="00DB6FF0"/>
    <w:rsid w:val="00DC6D8F"/>
    <w:rsid w:val="00DD1CE8"/>
    <w:rsid w:val="00DD4B20"/>
    <w:rsid w:val="00DD6417"/>
    <w:rsid w:val="00DE2FE8"/>
    <w:rsid w:val="00DE39F2"/>
    <w:rsid w:val="00DE69D0"/>
    <w:rsid w:val="00DF07DD"/>
    <w:rsid w:val="00DF0821"/>
    <w:rsid w:val="00DF1ADD"/>
    <w:rsid w:val="00DF21B8"/>
    <w:rsid w:val="00DF414E"/>
    <w:rsid w:val="00E0375D"/>
    <w:rsid w:val="00E059C0"/>
    <w:rsid w:val="00E072F3"/>
    <w:rsid w:val="00E1022D"/>
    <w:rsid w:val="00E1475D"/>
    <w:rsid w:val="00E23958"/>
    <w:rsid w:val="00E27F6C"/>
    <w:rsid w:val="00E32B7C"/>
    <w:rsid w:val="00E35978"/>
    <w:rsid w:val="00E370B6"/>
    <w:rsid w:val="00E412BA"/>
    <w:rsid w:val="00E41A04"/>
    <w:rsid w:val="00E430F7"/>
    <w:rsid w:val="00E439F2"/>
    <w:rsid w:val="00E512DA"/>
    <w:rsid w:val="00E54232"/>
    <w:rsid w:val="00E56222"/>
    <w:rsid w:val="00E56896"/>
    <w:rsid w:val="00E57242"/>
    <w:rsid w:val="00E57743"/>
    <w:rsid w:val="00E57B40"/>
    <w:rsid w:val="00E62246"/>
    <w:rsid w:val="00E6259A"/>
    <w:rsid w:val="00E63E46"/>
    <w:rsid w:val="00E645C3"/>
    <w:rsid w:val="00E71EF1"/>
    <w:rsid w:val="00E740C4"/>
    <w:rsid w:val="00E74C96"/>
    <w:rsid w:val="00E759AD"/>
    <w:rsid w:val="00E80520"/>
    <w:rsid w:val="00E858B1"/>
    <w:rsid w:val="00E85E26"/>
    <w:rsid w:val="00E86B86"/>
    <w:rsid w:val="00E86BA0"/>
    <w:rsid w:val="00E874F8"/>
    <w:rsid w:val="00E9128A"/>
    <w:rsid w:val="00E92A6C"/>
    <w:rsid w:val="00E93CEE"/>
    <w:rsid w:val="00E94FAF"/>
    <w:rsid w:val="00E95803"/>
    <w:rsid w:val="00E95AB5"/>
    <w:rsid w:val="00EB048C"/>
    <w:rsid w:val="00EB15E9"/>
    <w:rsid w:val="00EB2CF4"/>
    <w:rsid w:val="00EB44EB"/>
    <w:rsid w:val="00EB6CE5"/>
    <w:rsid w:val="00EC27F5"/>
    <w:rsid w:val="00EC2B5A"/>
    <w:rsid w:val="00EC49A4"/>
    <w:rsid w:val="00EC55A8"/>
    <w:rsid w:val="00ED495C"/>
    <w:rsid w:val="00ED74B2"/>
    <w:rsid w:val="00EE0EF1"/>
    <w:rsid w:val="00EE1579"/>
    <w:rsid w:val="00EE34B6"/>
    <w:rsid w:val="00EE3734"/>
    <w:rsid w:val="00EE4215"/>
    <w:rsid w:val="00EE5E83"/>
    <w:rsid w:val="00EE7092"/>
    <w:rsid w:val="00EF05CE"/>
    <w:rsid w:val="00EF7357"/>
    <w:rsid w:val="00EF780F"/>
    <w:rsid w:val="00F004C3"/>
    <w:rsid w:val="00F038A6"/>
    <w:rsid w:val="00F07026"/>
    <w:rsid w:val="00F120BC"/>
    <w:rsid w:val="00F138A2"/>
    <w:rsid w:val="00F15834"/>
    <w:rsid w:val="00F159EB"/>
    <w:rsid w:val="00F163BB"/>
    <w:rsid w:val="00F20B31"/>
    <w:rsid w:val="00F2416A"/>
    <w:rsid w:val="00F25343"/>
    <w:rsid w:val="00F325DF"/>
    <w:rsid w:val="00F33121"/>
    <w:rsid w:val="00F40973"/>
    <w:rsid w:val="00F414D0"/>
    <w:rsid w:val="00F43070"/>
    <w:rsid w:val="00F549D3"/>
    <w:rsid w:val="00F55847"/>
    <w:rsid w:val="00F568BF"/>
    <w:rsid w:val="00F627C3"/>
    <w:rsid w:val="00F630A2"/>
    <w:rsid w:val="00F70E38"/>
    <w:rsid w:val="00F80226"/>
    <w:rsid w:val="00F8530F"/>
    <w:rsid w:val="00F903E4"/>
    <w:rsid w:val="00F908E9"/>
    <w:rsid w:val="00F97C0A"/>
    <w:rsid w:val="00FA0028"/>
    <w:rsid w:val="00FA6BC3"/>
    <w:rsid w:val="00FB30AA"/>
    <w:rsid w:val="00FC52DB"/>
    <w:rsid w:val="00FC6C9A"/>
    <w:rsid w:val="00FD1D4F"/>
    <w:rsid w:val="00FD2FA5"/>
    <w:rsid w:val="00FD38C0"/>
    <w:rsid w:val="00FD3F72"/>
    <w:rsid w:val="00FD5375"/>
    <w:rsid w:val="00FE31D0"/>
    <w:rsid w:val="00FE37FC"/>
    <w:rsid w:val="00FE414A"/>
    <w:rsid w:val="00FE4CD2"/>
    <w:rsid w:val="00FF02E8"/>
    <w:rsid w:val="00FF5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481" style="mso-position-vertical-relative:line" fillcolor="white">
      <v:fill color="white"/>
      <o:colormru v:ext="edit" colors="#f8f8f8,#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89C"/>
    <w:rPr>
      <w:sz w:val="24"/>
      <w:szCs w:val="24"/>
    </w:rPr>
  </w:style>
  <w:style w:type="paragraph" w:styleId="Heading1">
    <w:name w:val="heading 1"/>
    <w:basedOn w:val="Normal"/>
    <w:next w:val="Normal"/>
    <w:qFormat/>
    <w:rsid w:val="00E71E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71E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29E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966CC"/>
  </w:style>
  <w:style w:type="paragraph" w:styleId="TOC2">
    <w:name w:val="toc 2"/>
    <w:basedOn w:val="Normal"/>
    <w:next w:val="Normal"/>
    <w:autoRedefine/>
    <w:uiPriority w:val="39"/>
    <w:rsid w:val="000966CC"/>
    <w:pPr>
      <w:ind w:left="240"/>
    </w:pPr>
  </w:style>
  <w:style w:type="character" w:styleId="Hyperlink">
    <w:name w:val="Hyperlink"/>
    <w:basedOn w:val="DefaultParagraphFont"/>
    <w:uiPriority w:val="99"/>
    <w:rsid w:val="000966CC"/>
    <w:rPr>
      <w:color w:val="0000FF"/>
      <w:u w:val="single"/>
    </w:rPr>
  </w:style>
  <w:style w:type="paragraph" w:styleId="Footer">
    <w:name w:val="footer"/>
    <w:basedOn w:val="Normal"/>
    <w:rsid w:val="000966CC"/>
    <w:pPr>
      <w:tabs>
        <w:tab w:val="center" w:pos="4320"/>
        <w:tab w:val="right" w:pos="8640"/>
      </w:tabs>
    </w:pPr>
  </w:style>
  <w:style w:type="character" w:styleId="PageNumber">
    <w:name w:val="page number"/>
    <w:basedOn w:val="DefaultParagraphFont"/>
    <w:rsid w:val="000966CC"/>
  </w:style>
  <w:style w:type="paragraph" w:styleId="Header">
    <w:name w:val="header"/>
    <w:basedOn w:val="Normal"/>
    <w:rsid w:val="000966CC"/>
    <w:pPr>
      <w:tabs>
        <w:tab w:val="center" w:pos="4320"/>
        <w:tab w:val="right" w:pos="8640"/>
      </w:tabs>
    </w:pPr>
  </w:style>
  <w:style w:type="paragraph" w:styleId="TOC3">
    <w:name w:val="toc 3"/>
    <w:basedOn w:val="Normal"/>
    <w:next w:val="Normal"/>
    <w:autoRedefine/>
    <w:uiPriority w:val="39"/>
    <w:rsid w:val="00D33677"/>
    <w:pPr>
      <w:ind w:left="480"/>
    </w:pPr>
  </w:style>
  <w:style w:type="paragraph" w:styleId="EndnoteText">
    <w:name w:val="endnote text"/>
    <w:basedOn w:val="Normal"/>
    <w:semiHidden/>
    <w:rsid w:val="00A61165"/>
    <w:pPr>
      <w:spacing w:after="120"/>
      <w:ind w:left="288" w:hanging="288"/>
    </w:pPr>
  </w:style>
  <w:style w:type="character" w:styleId="EndnoteReference">
    <w:name w:val="endnote reference"/>
    <w:basedOn w:val="DefaultParagraphFont"/>
    <w:semiHidden/>
    <w:rsid w:val="004551F3"/>
    <w:rPr>
      <w:vertAlign w:val="superscript"/>
    </w:rPr>
  </w:style>
  <w:style w:type="paragraph" w:styleId="Index1">
    <w:name w:val="index 1"/>
    <w:basedOn w:val="Normal"/>
    <w:next w:val="Normal"/>
    <w:autoRedefine/>
    <w:semiHidden/>
    <w:rsid w:val="00F630A2"/>
    <w:pPr>
      <w:ind w:left="240" w:hanging="240"/>
    </w:pPr>
  </w:style>
  <w:style w:type="table" w:styleId="TableGrid">
    <w:name w:val="Table Grid"/>
    <w:basedOn w:val="TableNormal"/>
    <w:rsid w:val="0021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0571F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B24A6F"/>
    <w:rPr>
      <w:rFonts w:ascii="Tahoma" w:hAnsi="Tahoma" w:cs="Tahoma"/>
      <w:sz w:val="16"/>
      <w:szCs w:val="16"/>
    </w:rPr>
  </w:style>
  <w:style w:type="paragraph" w:styleId="Caption">
    <w:name w:val="caption"/>
    <w:basedOn w:val="Normal"/>
    <w:next w:val="Normal"/>
    <w:link w:val="CaptionChar"/>
    <w:qFormat/>
    <w:rsid w:val="00A61165"/>
    <w:pPr>
      <w:spacing w:before="60" w:after="60"/>
      <w:jc w:val="center"/>
    </w:pPr>
    <w:rPr>
      <w:b/>
      <w:bCs/>
    </w:rPr>
  </w:style>
  <w:style w:type="paragraph" w:styleId="TableofFigures">
    <w:name w:val="table of figures"/>
    <w:basedOn w:val="Normal"/>
    <w:next w:val="Normal"/>
    <w:semiHidden/>
    <w:rsid w:val="0054599C"/>
  </w:style>
  <w:style w:type="paragraph" w:styleId="DocumentMap">
    <w:name w:val="Document Map"/>
    <w:basedOn w:val="Normal"/>
    <w:semiHidden/>
    <w:rsid w:val="00B114A6"/>
    <w:pPr>
      <w:shd w:val="clear" w:color="auto" w:fill="000080"/>
    </w:pPr>
    <w:rPr>
      <w:rFonts w:ascii="Tahoma" w:hAnsi="Tahoma" w:cs="Tahoma"/>
    </w:rPr>
  </w:style>
  <w:style w:type="paragraph" w:customStyle="1" w:styleId="BasicText">
    <w:name w:val="Basic Text"/>
    <w:basedOn w:val="Normal"/>
    <w:rsid w:val="00B01D68"/>
    <w:pPr>
      <w:spacing w:before="40" w:after="40"/>
      <w:ind w:left="720"/>
    </w:pPr>
    <w:rPr>
      <w:color w:val="000000"/>
      <w:szCs w:val="20"/>
    </w:rPr>
  </w:style>
  <w:style w:type="character" w:customStyle="1" w:styleId="CaptionChar">
    <w:name w:val="Caption Char"/>
    <w:basedOn w:val="DefaultParagraphFont"/>
    <w:link w:val="Caption"/>
    <w:rsid w:val="00742F64"/>
    <w:rPr>
      <w:b/>
      <w:bCs/>
      <w:sz w:val="24"/>
      <w:szCs w:val="24"/>
    </w:rPr>
  </w:style>
  <w:style w:type="paragraph" w:customStyle="1" w:styleId="Reminder">
    <w:name w:val="Reminder"/>
    <w:basedOn w:val="Normal"/>
    <w:link w:val="ReminderChar"/>
    <w:rsid w:val="00F70E38"/>
    <w:pPr>
      <w:spacing w:before="40" w:after="40"/>
    </w:pPr>
    <w:rPr>
      <w:rFonts w:ascii="Trebuchet MS" w:hAnsi="Trebuchet MS"/>
      <w:i/>
      <w:color w:val="FF0000"/>
    </w:rPr>
  </w:style>
  <w:style w:type="character" w:customStyle="1" w:styleId="ReminderChar">
    <w:name w:val="Reminder Char"/>
    <w:basedOn w:val="DefaultParagraphFont"/>
    <w:link w:val="Reminder"/>
    <w:rsid w:val="00F70E38"/>
    <w:rPr>
      <w:rFonts w:ascii="Trebuchet MS" w:hAnsi="Trebuchet MS"/>
      <w:i/>
      <w:color w:val="FF0000"/>
      <w:sz w:val="24"/>
      <w:szCs w:val="24"/>
    </w:rPr>
  </w:style>
  <w:style w:type="character" w:styleId="CommentReference">
    <w:name w:val="annotation reference"/>
    <w:basedOn w:val="DefaultParagraphFont"/>
    <w:rsid w:val="004B6A32"/>
    <w:rPr>
      <w:sz w:val="16"/>
      <w:szCs w:val="16"/>
    </w:rPr>
  </w:style>
  <w:style w:type="paragraph" w:styleId="CommentText">
    <w:name w:val="annotation text"/>
    <w:basedOn w:val="Normal"/>
    <w:link w:val="CommentTextChar"/>
    <w:rsid w:val="004B6A32"/>
    <w:rPr>
      <w:sz w:val="20"/>
      <w:szCs w:val="20"/>
    </w:rPr>
  </w:style>
  <w:style w:type="character" w:customStyle="1" w:styleId="CommentTextChar">
    <w:name w:val="Comment Text Char"/>
    <w:basedOn w:val="DefaultParagraphFont"/>
    <w:link w:val="CommentText"/>
    <w:rsid w:val="004B6A32"/>
  </w:style>
  <w:style w:type="character" w:customStyle="1" w:styleId="Heading2Char">
    <w:name w:val="Heading 2 Char"/>
    <w:basedOn w:val="DefaultParagraphFont"/>
    <w:link w:val="Heading2"/>
    <w:rsid w:val="00501AE2"/>
    <w:rPr>
      <w:rFonts w:ascii="Arial" w:hAnsi="Arial" w:cs="Arial"/>
      <w:b/>
      <w:bCs/>
      <w:i/>
      <w:iCs/>
      <w:sz w:val="28"/>
      <w:szCs w:val="28"/>
    </w:rPr>
  </w:style>
  <w:style w:type="paragraph" w:customStyle="1" w:styleId="Reminders">
    <w:name w:val="Reminders"/>
    <w:basedOn w:val="Normal"/>
    <w:link w:val="RemindersChar"/>
    <w:rsid w:val="007E41BB"/>
    <w:pPr>
      <w:numPr>
        <w:numId w:val="24"/>
      </w:numPr>
      <w:spacing w:before="40" w:after="40"/>
    </w:pPr>
    <w:rPr>
      <w:rFonts w:ascii="Trebuchet MS" w:hAnsi="Trebuchet MS"/>
      <w:i/>
      <w:color w:val="FF0000"/>
    </w:rPr>
  </w:style>
  <w:style w:type="character" w:customStyle="1" w:styleId="RemindersChar">
    <w:name w:val="Reminders Char"/>
    <w:basedOn w:val="DefaultParagraphFont"/>
    <w:link w:val="Reminders"/>
    <w:rsid w:val="007E41BB"/>
    <w:rPr>
      <w:rFonts w:ascii="Trebuchet MS" w:hAnsi="Trebuchet MS"/>
      <w:i/>
      <w:color w:val="FF0000"/>
      <w:sz w:val="24"/>
      <w:szCs w:val="24"/>
    </w:rPr>
  </w:style>
  <w:style w:type="paragraph" w:styleId="ListParagraph">
    <w:name w:val="List Paragraph"/>
    <w:basedOn w:val="Normal"/>
    <w:uiPriority w:val="34"/>
    <w:qFormat/>
    <w:rsid w:val="00DF0821"/>
    <w:pPr>
      <w:ind w:left="720"/>
      <w:contextualSpacing/>
    </w:pPr>
  </w:style>
</w:styles>
</file>

<file path=word/webSettings.xml><?xml version="1.0" encoding="utf-8"?>
<w:webSettings xmlns:r="http://schemas.openxmlformats.org/officeDocument/2006/relationships" xmlns:w="http://schemas.openxmlformats.org/wordprocessingml/2006/main">
  <w:divs>
    <w:div w:id="57022327">
      <w:bodyDiv w:val="1"/>
      <w:marLeft w:val="0"/>
      <w:marRight w:val="0"/>
      <w:marTop w:val="0"/>
      <w:marBottom w:val="0"/>
      <w:divBdr>
        <w:top w:val="none" w:sz="0" w:space="0" w:color="auto"/>
        <w:left w:val="none" w:sz="0" w:space="0" w:color="auto"/>
        <w:bottom w:val="none" w:sz="0" w:space="0" w:color="auto"/>
        <w:right w:val="none" w:sz="0" w:space="0" w:color="auto"/>
      </w:divBdr>
    </w:div>
    <w:div w:id="86116060">
      <w:bodyDiv w:val="1"/>
      <w:marLeft w:val="0"/>
      <w:marRight w:val="0"/>
      <w:marTop w:val="0"/>
      <w:marBottom w:val="0"/>
      <w:divBdr>
        <w:top w:val="none" w:sz="0" w:space="0" w:color="auto"/>
        <w:left w:val="none" w:sz="0" w:space="0" w:color="auto"/>
        <w:bottom w:val="none" w:sz="0" w:space="0" w:color="auto"/>
        <w:right w:val="none" w:sz="0" w:space="0" w:color="auto"/>
      </w:divBdr>
    </w:div>
    <w:div w:id="86930996">
      <w:bodyDiv w:val="1"/>
      <w:marLeft w:val="0"/>
      <w:marRight w:val="0"/>
      <w:marTop w:val="0"/>
      <w:marBottom w:val="0"/>
      <w:divBdr>
        <w:top w:val="none" w:sz="0" w:space="0" w:color="auto"/>
        <w:left w:val="none" w:sz="0" w:space="0" w:color="auto"/>
        <w:bottom w:val="none" w:sz="0" w:space="0" w:color="auto"/>
        <w:right w:val="none" w:sz="0" w:space="0" w:color="auto"/>
      </w:divBdr>
    </w:div>
    <w:div w:id="98069978">
      <w:bodyDiv w:val="1"/>
      <w:marLeft w:val="0"/>
      <w:marRight w:val="0"/>
      <w:marTop w:val="0"/>
      <w:marBottom w:val="0"/>
      <w:divBdr>
        <w:top w:val="none" w:sz="0" w:space="0" w:color="auto"/>
        <w:left w:val="none" w:sz="0" w:space="0" w:color="auto"/>
        <w:bottom w:val="none" w:sz="0" w:space="0" w:color="auto"/>
        <w:right w:val="none" w:sz="0" w:space="0" w:color="auto"/>
      </w:divBdr>
    </w:div>
    <w:div w:id="118183865">
      <w:bodyDiv w:val="1"/>
      <w:marLeft w:val="0"/>
      <w:marRight w:val="0"/>
      <w:marTop w:val="0"/>
      <w:marBottom w:val="0"/>
      <w:divBdr>
        <w:top w:val="none" w:sz="0" w:space="0" w:color="auto"/>
        <w:left w:val="none" w:sz="0" w:space="0" w:color="auto"/>
        <w:bottom w:val="none" w:sz="0" w:space="0" w:color="auto"/>
        <w:right w:val="none" w:sz="0" w:space="0" w:color="auto"/>
      </w:divBdr>
    </w:div>
    <w:div w:id="134688980">
      <w:bodyDiv w:val="1"/>
      <w:marLeft w:val="0"/>
      <w:marRight w:val="0"/>
      <w:marTop w:val="0"/>
      <w:marBottom w:val="0"/>
      <w:divBdr>
        <w:top w:val="none" w:sz="0" w:space="0" w:color="auto"/>
        <w:left w:val="none" w:sz="0" w:space="0" w:color="auto"/>
        <w:bottom w:val="none" w:sz="0" w:space="0" w:color="auto"/>
        <w:right w:val="none" w:sz="0" w:space="0" w:color="auto"/>
      </w:divBdr>
    </w:div>
    <w:div w:id="189145589">
      <w:bodyDiv w:val="1"/>
      <w:marLeft w:val="0"/>
      <w:marRight w:val="0"/>
      <w:marTop w:val="0"/>
      <w:marBottom w:val="0"/>
      <w:divBdr>
        <w:top w:val="none" w:sz="0" w:space="0" w:color="auto"/>
        <w:left w:val="none" w:sz="0" w:space="0" w:color="auto"/>
        <w:bottom w:val="none" w:sz="0" w:space="0" w:color="auto"/>
        <w:right w:val="none" w:sz="0" w:space="0" w:color="auto"/>
      </w:divBdr>
    </w:div>
    <w:div w:id="190188947">
      <w:bodyDiv w:val="1"/>
      <w:marLeft w:val="0"/>
      <w:marRight w:val="0"/>
      <w:marTop w:val="0"/>
      <w:marBottom w:val="0"/>
      <w:divBdr>
        <w:top w:val="none" w:sz="0" w:space="0" w:color="auto"/>
        <w:left w:val="none" w:sz="0" w:space="0" w:color="auto"/>
        <w:bottom w:val="none" w:sz="0" w:space="0" w:color="auto"/>
        <w:right w:val="none" w:sz="0" w:space="0" w:color="auto"/>
      </w:divBdr>
    </w:div>
    <w:div w:id="298153703">
      <w:bodyDiv w:val="1"/>
      <w:marLeft w:val="0"/>
      <w:marRight w:val="0"/>
      <w:marTop w:val="0"/>
      <w:marBottom w:val="0"/>
      <w:divBdr>
        <w:top w:val="none" w:sz="0" w:space="0" w:color="auto"/>
        <w:left w:val="none" w:sz="0" w:space="0" w:color="auto"/>
        <w:bottom w:val="none" w:sz="0" w:space="0" w:color="auto"/>
        <w:right w:val="none" w:sz="0" w:space="0" w:color="auto"/>
      </w:divBdr>
    </w:div>
    <w:div w:id="321545885">
      <w:bodyDiv w:val="1"/>
      <w:marLeft w:val="0"/>
      <w:marRight w:val="0"/>
      <w:marTop w:val="0"/>
      <w:marBottom w:val="0"/>
      <w:divBdr>
        <w:top w:val="none" w:sz="0" w:space="0" w:color="auto"/>
        <w:left w:val="none" w:sz="0" w:space="0" w:color="auto"/>
        <w:bottom w:val="none" w:sz="0" w:space="0" w:color="auto"/>
        <w:right w:val="none" w:sz="0" w:space="0" w:color="auto"/>
      </w:divBdr>
    </w:div>
    <w:div w:id="378289569">
      <w:bodyDiv w:val="1"/>
      <w:marLeft w:val="0"/>
      <w:marRight w:val="0"/>
      <w:marTop w:val="0"/>
      <w:marBottom w:val="0"/>
      <w:divBdr>
        <w:top w:val="none" w:sz="0" w:space="0" w:color="auto"/>
        <w:left w:val="none" w:sz="0" w:space="0" w:color="auto"/>
        <w:bottom w:val="none" w:sz="0" w:space="0" w:color="auto"/>
        <w:right w:val="none" w:sz="0" w:space="0" w:color="auto"/>
      </w:divBdr>
    </w:div>
    <w:div w:id="411509156">
      <w:bodyDiv w:val="1"/>
      <w:marLeft w:val="0"/>
      <w:marRight w:val="0"/>
      <w:marTop w:val="0"/>
      <w:marBottom w:val="0"/>
      <w:divBdr>
        <w:top w:val="none" w:sz="0" w:space="0" w:color="auto"/>
        <w:left w:val="none" w:sz="0" w:space="0" w:color="auto"/>
        <w:bottom w:val="none" w:sz="0" w:space="0" w:color="auto"/>
        <w:right w:val="none" w:sz="0" w:space="0" w:color="auto"/>
      </w:divBdr>
    </w:div>
    <w:div w:id="454174799">
      <w:bodyDiv w:val="1"/>
      <w:marLeft w:val="0"/>
      <w:marRight w:val="0"/>
      <w:marTop w:val="0"/>
      <w:marBottom w:val="0"/>
      <w:divBdr>
        <w:top w:val="none" w:sz="0" w:space="0" w:color="auto"/>
        <w:left w:val="none" w:sz="0" w:space="0" w:color="auto"/>
        <w:bottom w:val="none" w:sz="0" w:space="0" w:color="auto"/>
        <w:right w:val="none" w:sz="0" w:space="0" w:color="auto"/>
      </w:divBdr>
    </w:div>
    <w:div w:id="471824197">
      <w:bodyDiv w:val="1"/>
      <w:marLeft w:val="0"/>
      <w:marRight w:val="0"/>
      <w:marTop w:val="0"/>
      <w:marBottom w:val="0"/>
      <w:divBdr>
        <w:top w:val="none" w:sz="0" w:space="0" w:color="auto"/>
        <w:left w:val="none" w:sz="0" w:space="0" w:color="auto"/>
        <w:bottom w:val="none" w:sz="0" w:space="0" w:color="auto"/>
        <w:right w:val="none" w:sz="0" w:space="0" w:color="auto"/>
      </w:divBdr>
    </w:div>
    <w:div w:id="494759675">
      <w:bodyDiv w:val="1"/>
      <w:marLeft w:val="0"/>
      <w:marRight w:val="0"/>
      <w:marTop w:val="0"/>
      <w:marBottom w:val="0"/>
      <w:divBdr>
        <w:top w:val="none" w:sz="0" w:space="0" w:color="auto"/>
        <w:left w:val="none" w:sz="0" w:space="0" w:color="auto"/>
        <w:bottom w:val="none" w:sz="0" w:space="0" w:color="auto"/>
        <w:right w:val="none" w:sz="0" w:space="0" w:color="auto"/>
      </w:divBdr>
    </w:div>
    <w:div w:id="541989629">
      <w:bodyDiv w:val="1"/>
      <w:marLeft w:val="0"/>
      <w:marRight w:val="0"/>
      <w:marTop w:val="0"/>
      <w:marBottom w:val="0"/>
      <w:divBdr>
        <w:top w:val="none" w:sz="0" w:space="0" w:color="auto"/>
        <w:left w:val="none" w:sz="0" w:space="0" w:color="auto"/>
        <w:bottom w:val="none" w:sz="0" w:space="0" w:color="auto"/>
        <w:right w:val="none" w:sz="0" w:space="0" w:color="auto"/>
      </w:divBdr>
    </w:div>
    <w:div w:id="672339108">
      <w:bodyDiv w:val="1"/>
      <w:marLeft w:val="0"/>
      <w:marRight w:val="0"/>
      <w:marTop w:val="0"/>
      <w:marBottom w:val="0"/>
      <w:divBdr>
        <w:top w:val="none" w:sz="0" w:space="0" w:color="auto"/>
        <w:left w:val="none" w:sz="0" w:space="0" w:color="auto"/>
        <w:bottom w:val="none" w:sz="0" w:space="0" w:color="auto"/>
        <w:right w:val="none" w:sz="0" w:space="0" w:color="auto"/>
      </w:divBdr>
    </w:div>
    <w:div w:id="702363932">
      <w:bodyDiv w:val="1"/>
      <w:marLeft w:val="0"/>
      <w:marRight w:val="0"/>
      <w:marTop w:val="0"/>
      <w:marBottom w:val="0"/>
      <w:divBdr>
        <w:top w:val="none" w:sz="0" w:space="0" w:color="auto"/>
        <w:left w:val="none" w:sz="0" w:space="0" w:color="auto"/>
        <w:bottom w:val="none" w:sz="0" w:space="0" w:color="auto"/>
        <w:right w:val="none" w:sz="0" w:space="0" w:color="auto"/>
      </w:divBdr>
    </w:div>
    <w:div w:id="738987099">
      <w:bodyDiv w:val="1"/>
      <w:marLeft w:val="0"/>
      <w:marRight w:val="0"/>
      <w:marTop w:val="0"/>
      <w:marBottom w:val="0"/>
      <w:divBdr>
        <w:top w:val="none" w:sz="0" w:space="0" w:color="auto"/>
        <w:left w:val="none" w:sz="0" w:space="0" w:color="auto"/>
        <w:bottom w:val="none" w:sz="0" w:space="0" w:color="auto"/>
        <w:right w:val="none" w:sz="0" w:space="0" w:color="auto"/>
      </w:divBdr>
    </w:div>
    <w:div w:id="808597724">
      <w:bodyDiv w:val="1"/>
      <w:marLeft w:val="0"/>
      <w:marRight w:val="0"/>
      <w:marTop w:val="0"/>
      <w:marBottom w:val="0"/>
      <w:divBdr>
        <w:top w:val="none" w:sz="0" w:space="0" w:color="auto"/>
        <w:left w:val="none" w:sz="0" w:space="0" w:color="auto"/>
        <w:bottom w:val="none" w:sz="0" w:space="0" w:color="auto"/>
        <w:right w:val="none" w:sz="0" w:space="0" w:color="auto"/>
      </w:divBdr>
    </w:div>
    <w:div w:id="829175267">
      <w:bodyDiv w:val="1"/>
      <w:marLeft w:val="0"/>
      <w:marRight w:val="0"/>
      <w:marTop w:val="0"/>
      <w:marBottom w:val="0"/>
      <w:divBdr>
        <w:top w:val="none" w:sz="0" w:space="0" w:color="auto"/>
        <w:left w:val="none" w:sz="0" w:space="0" w:color="auto"/>
        <w:bottom w:val="none" w:sz="0" w:space="0" w:color="auto"/>
        <w:right w:val="none" w:sz="0" w:space="0" w:color="auto"/>
      </w:divBdr>
    </w:div>
    <w:div w:id="834808661">
      <w:bodyDiv w:val="1"/>
      <w:marLeft w:val="0"/>
      <w:marRight w:val="0"/>
      <w:marTop w:val="0"/>
      <w:marBottom w:val="0"/>
      <w:divBdr>
        <w:top w:val="none" w:sz="0" w:space="0" w:color="auto"/>
        <w:left w:val="none" w:sz="0" w:space="0" w:color="auto"/>
        <w:bottom w:val="none" w:sz="0" w:space="0" w:color="auto"/>
        <w:right w:val="none" w:sz="0" w:space="0" w:color="auto"/>
      </w:divBdr>
    </w:div>
    <w:div w:id="837187275">
      <w:bodyDiv w:val="1"/>
      <w:marLeft w:val="0"/>
      <w:marRight w:val="0"/>
      <w:marTop w:val="0"/>
      <w:marBottom w:val="0"/>
      <w:divBdr>
        <w:top w:val="none" w:sz="0" w:space="0" w:color="auto"/>
        <w:left w:val="none" w:sz="0" w:space="0" w:color="auto"/>
        <w:bottom w:val="none" w:sz="0" w:space="0" w:color="auto"/>
        <w:right w:val="none" w:sz="0" w:space="0" w:color="auto"/>
      </w:divBdr>
    </w:div>
    <w:div w:id="897135121">
      <w:bodyDiv w:val="1"/>
      <w:marLeft w:val="0"/>
      <w:marRight w:val="0"/>
      <w:marTop w:val="0"/>
      <w:marBottom w:val="0"/>
      <w:divBdr>
        <w:top w:val="none" w:sz="0" w:space="0" w:color="auto"/>
        <w:left w:val="none" w:sz="0" w:space="0" w:color="auto"/>
        <w:bottom w:val="none" w:sz="0" w:space="0" w:color="auto"/>
        <w:right w:val="none" w:sz="0" w:space="0" w:color="auto"/>
      </w:divBdr>
    </w:div>
    <w:div w:id="910114332">
      <w:bodyDiv w:val="1"/>
      <w:marLeft w:val="0"/>
      <w:marRight w:val="0"/>
      <w:marTop w:val="0"/>
      <w:marBottom w:val="0"/>
      <w:divBdr>
        <w:top w:val="none" w:sz="0" w:space="0" w:color="auto"/>
        <w:left w:val="none" w:sz="0" w:space="0" w:color="auto"/>
        <w:bottom w:val="none" w:sz="0" w:space="0" w:color="auto"/>
        <w:right w:val="none" w:sz="0" w:space="0" w:color="auto"/>
      </w:divBdr>
    </w:div>
    <w:div w:id="966934988">
      <w:bodyDiv w:val="1"/>
      <w:marLeft w:val="0"/>
      <w:marRight w:val="0"/>
      <w:marTop w:val="0"/>
      <w:marBottom w:val="0"/>
      <w:divBdr>
        <w:top w:val="none" w:sz="0" w:space="0" w:color="auto"/>
        <w:left w:val="none" w:sz="0" w:space="0" w:color="auto"/>
        <w:bottom w:val="none" w:sz="0" w:space="0" w:color="auto"/>
        <w:right w:val="none" w:sz="0" w:space="0" w:color="auto"/>
      </w:divBdr>
    </w:div>
    <w:div w:id="1025054188">
      <w:bodyDiv w:val="1"/>
      <w:marLeft w:val="0"/>
      <w:marRight w:val="0"/>
      <w:marTop w:val="0"/>
      <w:marBottom w:val="0"/>
      <w:divBdr>
        <w:top w:val="none" w:sz="0" w:space="0" w:color="auto"/>
        <w:left w:val="none" w:sz="0" w:space="0" w:color="auto"/>
        <w:bottom w:val="none" w:sz="0" w:space="0" w:color="auto"/>
        <w:right w:val="none" w:sz="0" w:space="0" w:color="auto"/>
      </w:divBdr>
    </w:div>
    <w:div w:id="1057434741">
      <w:bodyDiv w:val="1"/>
      <w:marLeft w:val="0"/>
      <w:marRight w:val="0"/>
      <w:marTop w:val="0"/>
      <w:marBottom w:val="0"/>
      <w:divBdr>
        <w:top w:val="none" w:sz="0" w:space="0" w:color="auto"/>
        <w:left w:val="none" w:sz="0" w:space="0" w:color="auto"/>
        <w:bottom w:val="none" w:sz="0" w:space="0" w:color="auto"/>
        <w:right w:val="none" w:sz="0" w:space="0" w:color="auto"/>
      </w:divBdr>
    </w:div>
    <w:div w:id="1066031247">
      <w:bodyDiv w:val="1"/>
      <w:marLeft w:val="0"/>
      <w:marRight w:val="0"/>
      <w:marTop w:val="0"/>
      <w:marBottom w:val="0"/>
      <w:divBdr>
        <w:top w:val="none" w:sz="0" w:space="0" w:color="auto"/>
        <w:left w:val="none" w:sz="0" w:space="0" w:color="auto"/>
        <w:bottom w:val="none" w:sz="0" w:space="0" w:color="auto"/>
        <w:right w:val="none" w:sz="0" w:space="0" w:color="auto"/>
      </w:divBdr>
    </w:div>
    <w:div w:id="1072502551">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137722608">
      <w:bodyDiv w:val="1"/>
      <w:marLeft w:val="0"/>
      <w:marRight w:val="0"/>
      <w:marTop w:val="0"/>
      <w:marBottom w:val="0"/>
      <w:divBdr>
        <w:top w:val="none" w:sz="0" w:space="0" w:color="auto"/>
        <w:left w:val="none" w:sz="0" w:space="0" w:color="auto"/>
        <w:bottom w:val="none" w:sz="0" w:space="0" w:color="auto"/>
        <w:right w:val="none" w:sz="0" w:space="0" w:color="auto"/>
      </w:divBdr>
    </w:div>
    <w:div w:id="1144002519">
      <w:bodyDiv w:val="1"/>
      <w:marLeft w:val="0"/>
      <w:marRight w:val="0"/>
      <w:marTop w:val="0"/>
      <w:marBottom w:val="0"/>
      <w:divBdr>
        <w:top w:val="none" w:sz="0" w:space="0" w:color="auto"/>
        <w:left w:val="none" w:sz="0" w:space="0" w:color="auto"/>
        <w:bottom w:val="none" w:sz="0" w:space="0" w:color="auto"/>
        <w:right w:val="none" w:sz="0" w:space="0" w:color="auto"/>
      </w:divBdr>
    </w:div>
    <w:div w:id="1164929287">
      <w:bodyDiv w:val="1"/>
      <w:marLeft w:val="0"/>
      <w:marRight w:val="0"/>
      <w:marTop w:val="0"/>
      <w:marBottom w:val="0"/>
      <w:divBdr>
        <w:top w:val="none" w:sz="0" w:space="0" w:color="auto"/>
        <w:left w:val="none" w:sz="0" w:space="0" w:color="auto"/>
        <w:bottom w:val="none" w:sz="0" w:space="0" w:color="auto"/>
        <w:right w:val="none" w:sz="0" w:space="0" w:color="auto"/>
      </w:divBdr>
    </w:div>
    <w:div w:id="1291596929">
      <w:bodyDiv w:val="1"/>
      <w:marLeft w:val="0"/>
      <w:marRight w:val="0"/>
      <w:marTop w:val="0"/>
      <w:marBottom w:val="0"/>
      <w:divBdr>
        <w:top w:val="none" w:sz="0" w:space="0" w:color="auto"/>
        <w:left w:val="none" w:sz="0" w:space="0" w:color="auto"/>
        <w:bottom w:val="none" w:sz="0" w:space="0" w:color="auto"/>
        <w:right w:val="none" w:sz="0" w:space="0" w:color="auto"/>
      </w:divBdr>
    </w:div>
    <w:div w:id="1310480452">
      <w:bodyDiv w:val="1"/>
      <w:marLeft w:val="0"/>
      <w:marRight w:val="0"/>
      <w:marTop w:val="0"/>
      <w:marBottom w:val="0"/>
      <w:divBdr>
        <w:top w:val="none" w:sz="0" w:space="0" w:color="auto"/>
        <w:left w:val="none" w:sz="0" w:space="0" w:color="auto"/>
        <w:bottom w:val="none" w:sz="0" w:space="0" w:color="auto"/>
        <w:right w:val="none" w:sz="0" w:space="0" w:color="auto"/>
      </w:divBdr>
    </w:div>
    <w:div w:id="1313674371">
      <w:bodyDiv w:val="1"/>
      <w:marLeft w:val="0"/>
      <w:marRight w:val="0"/>
      <w:marTop w:val="0"/>
      <w:marBottom w:val="0"/>
      <w:divBdr>
        <w:top w:val="none" w:sz="0" w:space="0" w:color="auto"/>
        <w:left w:val="none" w:sz="0" w:space="0" w:color="auto"/>
        <w:bottom w:val="none" w:sz="0" w:space="0" w:color="auto"/>
        <w:right w:val="none" w:sz="0" w:space="0" w:color="auto"/>
      </w:divBdr>
    </w:div>
    <w:div w:id="1317030536">
      <w:bodyDiv w:val="1"/>
      <w:marLeft w:val="0"/>
      <w:marRight w:val="0"/>
      <w:marTop w:val="0"/>
      <w:marBottom w:val="0"/>
      <w:divBdr>
        <w:top w:val="none" w:sz="0" w:space="0" w:color="auto"/>
        <w:left w:val="none" w:sz="0" w:space="0" w:color="auto"/>
        <w:bottom w:val="none" w:sz="0" w:space="0" w:color="auto"/>
        <w:right w:val="none" w:sz="0" w:space="0" w:color="auto"/>
      </w:divBdr>
    </w:div>
    <w:div w:id="1342465636">
      <w:bodyDiv w:val="1"/>
      <w:marLeft w:val="0"/>
      <w:marRight w:val="0"/>
      <w:marTop w:val="0"/>
      <w:marBottom w:val="0"/>
      <w:divBdr>
        <w:top w:val="none" w:sz="0" w:space="0" w:color="auto"/>
        <w:left w:val="none" w:sz="0" w:space="0" w:color="auto"/>
        <w:bottom w:val="none" w:sz="0" w:space="0" w:color="auto"/>
        <w:right w:val="none" w:sz="0" w:space="0" w:color="auto"/>
      </w:divBdr>
    </w:div>
    <w:div w:id="1475948915">
      <w:bodyDiv w:val="1"/>
      <w:marLeft w:val="0"/>
      <w:marRight w:val="0"/>
      <w:marTop w:val="0"/>
      <w:marBottom w:val="0"/>
      <w:divBdr>
        <w:top w:val="none" w:sz="0" w:space="0" w:color="auto"/>
        <w:left w:val="none" w:sz="0" w:space="0" w:color="auto"/>
        <w:bottom w:val="none" w:sz="0" w:space="0" w:color="auto"/>
        <w:right w:val="none" w:sz="0" w:space="0" w:color="auto"/>
      </w:divBdr>
    </w:div>
    <w:div w:id="1554078750">
      <w:bodyDiv w:val="1"/>
      <w:marLeft w:val="0"/>
      <w:marRight w:val="0"/>
      <w:marTop w:val="0"/>
      <w:marBottom w:val="0"/>
      <w:divBdr>
        <w:top w:val="none" w:sz="0" w:space="0" w:color="auto"/>
        <w:left w:val="none" w:sz="0" w:space="0" w:color="auto"/>
        <w:bottom w:val="none" w:sz="0" w:space="0" w:color="auto"/>
        <w:right w:val="none" w:sz="0" w:space="0" w:color="auto"/>
      </w:divBdr>
    </w:div>
    <w:div w:id="1686587465">
      <w:bodyDiv w:val="1"/>
      <w:marLeft w:val="0"/>
      <w:marRight w:val="0"/>
      <w:marTop w:val="0"/>
      <w:marBottom w:val="0"/>
      <w:divBdr>
        <w:top w:val="none" w:sz="0" w:space="0" w:color="auto"/>
        <w:left w:val="none" w:sz="0" w:space="0" w:color="auto"/>
        <w:bottom w:val="none" w:sz="0" w:space="0" w:color="auto"/>
        <w:right w:val="none" w:sz="0" w:space="0" w:color="auto"/>
      </w:divBdr>
    </w:div>
    <w:div w:id="1708336427">
      <w:bodyDiv w:val="1"/>
      <w:marLeft w:val="0"/>
      <w:marRight w:val="0"/>
      <w:marTop w:val="0"/>
      <w:marBottom w:val="0"/>
      <w:divBdr>
        <w:top w:val="none" w:sz="0" w:space="0" w:color="auto"/>
        <w:left w:val="none" w:sz="0" w:space="0" w:color="auto"/>
        <w:bottom w:val="none" w:sz="0" w:space="0" w:color="auto"/>
        <w:right w:val="none" w:sz="0" w:space="0" w:color="auto"/>
      </w:divBdr>
    </w:div>
    <w:div w:id="1738897964">
      <w:bodyDiv w:val="1"/>
      <w:marLeft w:val="0"/>
      <w:marRight w:val="0"/>
      <w:marTop w:val="0"/>
      <w:marBottom w:val="0"/>
      <w:divBdr>
        <w:top w:val="none" w:sz="0" w:space="0" w:color="auto"/>
        <w:left w:val="none" w:sz="0" w:space="0" w:color="auto"/>
        <w:bottom w:val="none" w:sz="0" w:space="0" w:color="auto"/>
        <w:right w:val="none" w:sz="0" w:space="0" w:color="auto"/>
      </w:divBdr>
    </w:div>
    <w:div w:id="1739598271">
      <w:bodyDiv w:val="1"/>
      <w:marLeft w:val="0"/>
      <w:marRight w:val="0"/>
      <w:marTop w:val="0"/>
      <w:marBottom w:val="0"/>
      <w:divBdr>
        <w:top w:val="none" w:sz="0" w:space="0" w:color="auto"/>
        <w:left w:val="none" w:sz="0" w:space="0" w:color="auto"/>
        <w:bottom w:val="none" w:sz="0" w:space="0" w:color="auto"/>
        <w:right w:val="none" w:sz="0" w:space="0" w:color="auto"/>
      </w:divBdr>
    </w:div>
    <w:div w:id="1755781746">
      <w:bodyDiv w:val="1"/>
      <w:marLeft w:val="0"/>
      <w:marRight w:val="0"/>
      <w:marTop w:val="0"/>
      <w:marBottom w:val="0"/>
      <w:divBdr>
        <w:top w:val="none" w:sz="0" w:space="0" w:color="auto"/>
        <w:left w:val="none" w:sz="0" w:space="0" w:color="auto"/>
        <w:bottom w:val="none" w:sz="0" w:space="0" w:color="auto"/>
        <w:right w:val="none" w:sz="0" w:space="0" w:color="auto"/>
      </w:divBdr>
    </w:div>
    <w:div w:id="1767725314">
      <w:bodyDiv w:val="1"/>
      <w:marLeft w:val="0"/>
      <w:marRight w:val="0"/>
      <w:marTop w:val="0"/>
      <w:marBottom w:val="0"/>
      <w:divBdr>
        <w:top w:val="none" w:sz="0" w:space="0" w:color="auto"/>
        <w:left w:val="none" w:sz="0" w:space="0" w:color="auto"/>
        <w:bottom w:val="none" w:sz="0" w:space="0" w:color="auto"/>
        <w:right w:val="none" w:sz="0" w:space="0" w:color="auto"/>
      </w:divBdr>
    </w:div>
    <w:div w:id="1842308941">
      <w:bodyDiv w:val="1"/>
      <w:marLeft w:val="0"/>
      <w:marRight w:val="0"/>
      <w:marTop w:val="0"/>
      <w:marBottom w:val="0"/>
      <w:divBdr>
        <w:top w:val="none" w:sz="0" w:space="0" w:color="auto"/>
        <w:left w:val="none" w:sz="0" w:space="0" w:color="auto"/>
        <w:bottom w:val="none" w:sz="0" w:space="0" w:color="auto"/>
        <w:right w:val="none" w:sz="0" w:space="0" w:color="auto"/>
      </w:divBdr>
    </w:div>
    <w:div w:id="2036032877">
      <w:bodyDiv w:val="1"/>
      <w:marLeft w:val="0"/>
      <w:marRight w:val="0"/>
      <w:marTop w:val="0"/>
      <w:marBottom w:val="0"/>
      <w:divBdr>
        <w:top w:val="none" w:sz="0" w:space="0" w:color="auto"/>
        <w:left w:val="none" w:sz="0" w:space="0" w:color="auto"/>
        <w:bottom w:val="none" w:sz="0" w:space="0" w:color="auto"/>
        <w:right w:val="none" w:sz="0" w:space="0" w:color="auto"/>
      </w:divBdr>
    </w:div>
    <w:div w:id="2066952979">
      <w:bodyDiv w:val="1"/>
      <w:marLeft w:val="0"/>
      <w:marRight w:val="0"/>
      <w:marTop w:val="0"/>
      <w:marBottom w:val="0"/>
      <w:divBdr>
        <w:top w:val="none" w:sz="0" w:space="0" w:color="auto"/>
        <w:left w:val="none" w:sz="0" w:space="0" w:color="auto"/>
        <w:bottom w:val="none" w:sz="0" w:space="0" w:color="auto"/>
        <w:right w:val="none" w:sz="0" w:space="0" w:color="auto"/>
      </w:divBdr>
    </w:div>
    <w:div w:id="2125348844">
      <w:bodyDiv w:val="1"/>
      <w:marLeft w:val="0"/>
      <w:marRight w:val="0"/>
      <w:marTop w:val="0"/>
      <w:marBottom w:val="0"/>
      <w:divBdr>
        <w:top w:val="none" w:sz="0" w:space="0" w:color="auto"/>
        <w:left w:val="none" w:sz="0" w:space="0" w:color="auto"/>
        <w:bottom w:val="none" w:sz="0" w:space="0" w:color="auto"/>
        <w:right w:val="none" w:sz="0" w:space="0" w:color="auto"/>
      </w:divBdr>
    </w:div>
    <w:div w:id="21370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image" Target="media/image8.emf"/><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Microsoft_Office_Excel_97-2003_Worksheet1.xls"/><Relationship Id="rId1" Type="http://schemas.openxmlformats.org/officeDocument/2006/relationships/image" Target="media/image1.emf"/><Relationship Id="rId6" Type="http://schemas.openxmlformats.org/officeDocument/2006/relationships/package" Target="embeddings/Microsoft_Office_Excel_Worksheet1.xlsx"/><Relationship Id="rId5" Type="http://schemas.openxmlformats.org/officeDocument/2006/relationships/image" Target="media/image5.emf"/><Relationship Id="rId4" Type="http://schemas.openxmlformats.org/officeDocument/2006/relationships/oleObject" Target="embeddings/Microsoft_Office_Excel_97-2003_Worksheet2.xls"/></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v1\Desktop\07-06-26%20Full%20Work%20Paper%20Task\Resources%20from%20Leonel\SCE%20Work%20Paper%20Template%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93B68-2DE0-46C4-AFAE-05304A0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EAE28A-0445-4627-8F14-01D6F55225EA}">
  <ds:schemaRefs>
    <ds:schemaRef ds:uri="http://schemas.microsoft.com/sharepoint/v3/contenttype/forms"/>
  </ds:schemaRefs>
</ds:datastoreItem>
</file>

<file path=customXml/itemProps3.xml><?xml version="1.0" encoding="utf-8"?>
<ds:datastoreItem xmlns:ds="http://schemas.openxmlformats.org/officeDocument/2006/customXml" ds:itemID="{CFF0BB08-E5B3-4F1B-A1DD-41E587987619}">
  <ds:schemaRefs>
    <ds:schemaRef ds:uri="http://schemas.microsoft.com/office/2006/metadata/properties"/>
  </ds:schemaRefs>
</ds:datastoreItem>
</file>

<file path=customXml/itemProps4.xml><?xml version="1.0" encoding="utf-8"?>
<ds:datastoreItem xmlns:ds="http://schemas.openxmlformats.org/officeDocument/2006/customXml" ds:itemID="{B216F101-3726-4241-9745-2476CCCD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SCE Work Paper Template - Final.dot</Template>
  <TotalTime>29</TotalTime>
  <Pages>15</Pages>
  <Words>3140</Words>
  <Characters>19304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At a Glance Summary</vt:lpstr>
    </vt:vector>
  </TitlesOfParts>
  <Company>SCE</Company>
  <LinksUpToDate>false</LinksUpToDate>
  <CharactersWithSpaces>22400</CharactersWithSpaces>
  <SharedDoc>false</SharedDoc>
  <HLinks>
    <vt:vector size="144" baseType="variant">
      <vt:variant>
        <vt:i4>1900604</vt:i4>
      </vt:variant>
      <vt:variant>
        <vt:i4>140</vt:i4>
      </vt:variant>
      <vt:variant>
        <vt:i4>0</vt:i4>
      </vt:variant>
      <vt:variant>
        <vt:i4>5</vt:i4>
      </vt:variant>
      <vt:variant>
        <vt:lpwstr/>
      </vt:variant>
      <vt:variant>
        <vt:lpwstr>_Toc180494429</vt:lpwstr>
      </vt:variant>
      <vt:variant>
        <vt:i4>1900604</vt:i4>
      </vt:variant>
      <vt:variant>
        <vt:i4>134</vt:i4>
      </vt:variant>
      <vt:variant>
        <vt:i4>0</vt:i4>
      </vt:variant>
      <vt:variant>
        <vt:i4>5</vt:i4>
      </vt:variant>
      <vt:variant>
        <vt:lpwstr/>
      </vt:variant>
      <vt:variant>
        <vt:lpwstr>_Toc180494428</vt:lpwstr>
      </vt:variant>
      <vt:variant>
        <vt:i4>1900604</vt:i4>
      </vt:variant>
      <vt:variant>
        <vt:i4>128</vt:i4>
      </vt:variant>
      <vt:variant>
        <vt:i4>0</vt:i4>
      </vt:variant>
      <vt:variant>
        <vt:i4>5</vt:i4>
      </vt:variant>
      <vt:variant>
        <vt:lpwstr/>
      </vt:variant>
      <vt:variant>
        <vt:lpwstr>_Toc180494427</vt:lpwstr>
      </vt:variant>
      <vt:variant>
        <vt:i4>1900604</vt:i4>
      </vt:variant>
      <vt:variant>
        <vt:i4>122</vt:i4>
      </vt:variant>
      <vt:variant>
        <vt:i4>0</vt:i4>
      </vt:variant>
      <vt:variant>
        <vt:i4>5</vt:i4>
      </vt:variant>
      <vt:variant>
        <vt:lpwstr/>
      </vt:variant>
      <vt:variant>
        <vt:lpwstr>_Toc180494426</vt:lpwstr>
      </vt:variant>
      <vt:variant>
        <vt:i4>1900604</vt:i4>
      </vt:variant>
      <vt:variant>
        <vt:i4>116</vt:i4>
      </vt:variant>
      <vt:variant>
        <vt:i4>0</vt:i4>
      </vt:variant>
      <vt:variant>
        <vt:i4>5</vt:i4>
      </vt:variant>
      <vt:variant>
        <vt:lpwstr/>
      </vt:variant>
      <vt:variant>
        <vt:lpwstr>_Toc180494425</vt:lpwstr>
      </vt:variant>
      <vt:variant>
        <vt:i4>1900604</vt:i4>
      </vt:variant>
      <vt:variant>
        <vt:i4>110</vt:i4>
      </vt:variant>
      <vt:variant>
        <vt:i4>0</vt:i4>
      </vt:variant>
      <vt:variant>
        <vt:i4>5</vt:i4>
      </vt:variant>
      <vt:variant>
        <vt:lpwstr/>
      </vt:variant>
      <vt:variant>
        <vt:lpwstr>_Toc180494424</vt:lpwstr>
      </vt:variant>
      <vt:variant>
        <vt:i4>1900604</vt:i4>
      </vt:variant>
      <vt:variant>
        <vt:i4>104</vt:i4>
      </vt:variant>
      <vt:variant>
        <vt:i4>0</vt:i4>
      </vt:variant>
      <vt:variant>
        <vt:i4>5</vt:i4>
      </vt:variant>
      <vt:variant>
        <vt:lpwstr/>
      </vt:variant>
      <vt:variant>
        <vt:lpwstr>_Toc180494423</vt:lpwstr>
      </vt:variant>
      <vt:variant>
        <vt:i4>1900604</vt:i4>
      </vt:variant>
      <vt:variant>
        <vt:i4>98</vt:i4>
      </vt:variant>
      <vt:variant>
        <vt:i4>0</vt:i4>
      </vt:variant>
      <vt:variant>
        <vt:i4>5</vt:i4>
      </vt:variant>
      <vt:variant>
        <vt:lpwstr/>
      </vt:variant>
      <vt:variant>
        <vt:lpwstr>_Toc180494422</vt:lpwstr>
      </vt:variant>
      <vt:variant>
        <vt:i4>1900604</vt:i4>
      </vt:variant>
      <vt:variant>
        <vt:i4>92</vt:i4>
      </vt:variant>
      <vt:variant>
        <vt:i4>0</vt:i4>
      </vt:variant>
      <vt:variant>
        <vt:i4>5</vt:i4>
      </vt:variant>
      <vt:variant>
        <vt:lpwstr/>
      </vt:variant>
      <vt:variant>
        <vt:lpwstr>_Toc180494421</vt:lpwstr>
      </vt:variant>
      <vt:variant>
        <vt:i4>1900604</vt:i4>
      </vt:variant>
      <vt:variant>
        <vt:i4>86</vt:i4>
      </vt:variant>
      <vt:variant>
        <vt:i4>0</vt:i4>
      </vt:variant>
      <vt:variant>
        <vt:i4>5</vt:i4>
      </vt:variant>
      <vt:variant>
        <vt:lpwstr/>
      </vt:variant>
      <vt:variant>
        <vt:lpwstr>_Toc180494420</vt:lpwstr>
      </vt:variant>
      <vt:variant>
        <vt:i4>1966140</vt:i4>
      </vt:variant>
      <vt:variant>
        <vt:i4>80</vt:i4>
      </vt:variant>
      <vt:variant>
        <vt:i4>0</vt:i4>
      </vt:variant>
      <vt:variant>
        <vt:i4>5</vt:i4>
      </vt:variant>
      <vt:variant>
        <vt:lpwstr/>
      </vt:variant>
      <vt:variant>
        <vt:lpwstr>_Toc180494419</vt:lpwstr>
      </vt:variant>
      <vt:variant>
        <vt:i4>1966140</vt:i4>
      </vt:variant>
      <vt:variant>
        <vt:i4>74</vt:i4>
      </vt:variant>
      <vt:variant>
        <vt:i4>0</vt:i4>
      </vt:variant>
      <vt:variant>
        <vt:i4>5</vt:i4>
      </vt:variant>
      <vt:variant>
        <vt:lpwstr/>
      </vt:variant>
      <vt:variant>
        <vt:lpwstr>_Toc180494418</vt:lpwstr>
      </vt:variant>
      <vt:variant>
        <vt:i4>1966140</vt:i4>
      </vt:variant>
      <vt:variant>
        <vt:i4>68</vt:i4>
      </vt:variant>
      <vt:variant>
        <vt:i4>0</vt:i4>
      </vt:variant>
      <vt:variant>
        <vt:i4>5</vt:i4>
      </vt:variant>
      <vt:variant>
        <vt:lpwstr/>
      </vt:variant>
      <vt:variant>
        <vt:lpwstr>_Toc180494417</vt:lpwstr>
      </vt:variant>
      <vt:variant>
        <vt:i4>1966140</vt:i4>
      </vt:variant>
      <vt:variant>
        <vt:i4>62</vt:i4>
      </vt:variant>
      <vt:variant>
        <vt:i4>0</vt:i4>
      </vt:variant>
      <vt:variant>
        <vt:i4>5</vt:i4>
      </vt:variant>
      <vt:variant>
        <vt:lpwstr/>
      </vt:variant>
      <vt:variant>
        <vt:lpwstr>_Toc180494416</vt:lpwstr>
      </vt:variant>
      <vt:variant>
        <vt:i4>1966140</vt:i4>
      </vt:variant>
      <vt:variant>
        <vt:i4>56</vt:i4>
      </vt:variant>
      <vt:variant>
        <vt:i4>0</vt:i4>
      </vt:variant>
      <vt:variant>
        <vt:i4>5</vt:i4>
      </vt:variant>
      <vt:variant>
        <vt:lpwstr/>
      </vt:variant>
      <vt:variant>
        <vt:lpwstr>_Toc180494415</vt:lpwstr>
      </vt:variant>
      <vt:variant>
        <vt:i4>1966140</vt:i4>
      </vt:variant>
      <vt:variant>
        <vt:i4>50</vt:i4>
      </vt:variant>
      <vt:variant>
        <vt:i4>0</vt:i4>
      </vt:variant>
      <vt:variant>
        <vt:i4>5</vt:i4>
      </vt:variant>
      <vt:variant>
        <vt:lpwstr/>
      </vt:variant>
      <vt:variant>
        <vt:lpwstr>_Toc180494414</vt:lpwstr>
      </vt:variant>
      <vt:variant>
        <vt:i4>1966140</vt:i4>
      </vt:variant>
      <vt:variant>
        <vt:i4>44</vt:i4>
      </vt:variant>
      <vt:variant>
        <vt:i4>0</vt:i4>
      </vt:variant>
      <vt:variant>
        <vt:i4>5</vt:i4>
      </vt:variant>
      <vt:variant>
        <vt:lpwstr/>
      </vt:variant>
      <vt:variant>
        <vt:lpwstr>_Toc180494413</vt:lpwstr>
      </vt:variant>
      <vt:variant>
        <vt:i4>1966140</vt:i4>
      </vt:variant>
      <vt:variant>
        <vt:i4>38</vt:i4>
      </vt:variant>
      <vt:variant>
        <vt:i4>0</vt:i4>
      </vt:variant>
      <vt:variant>
        <vt:i4>5</vt:i4>
      </vt:variant>
      <vt:variant>
        <vt:lpwstr/>
      </vt:variant>
      <vt:variant>
        <vt:lpwstr>_Toc180494412</vt:lpwstr>
      </vt:variant>
      <vt:variant>
        <vt:i4>1966140</vt:i4>
      </vt:variant>
      <vt:variant>
        <vt:i4>32</vt:i4>
      </vt:variant>
      <vt:variant>
        <vt:i4>0</vt:i4>
      </vt:variant>
      <vt:variant>
        <vt:i4>5</vt:i4>
      </vt:variant>
      <vt:variant>
        <vt:lpwstr/>
      </vt:variant>
      <vt:variant>
        <vt:lpwstr>_Toc180494411</vt:lpwstr>
      </vt:variant>
      <vt:variant>
        <vt:i4>1966140</vt:i4>
      </vt:variant>
      <vt:variant>
        <vt:i4>26</vt:i4>
      </vt:variant>
      <vt:variant>
        <vt:i4>0</vt:i4>
      </vt:variant>
      <vt:variant>
        <vt:i4>5</vt:i4>
      </vt:variant>
      <vt:variant>
        <vt:lpwstr/>
      </vt:variant>
      <vt:variant>
        <vt:lpwstr>_Toc180494410</vt:lpwstr>
      </vt:variant>
      <vt:variant>
        <vt:i4>2031676</vt:i4>
      </vt:variant>
      <vt:variant>
        <vt:i4>20</vt:i4>
      </vt:variant>
      <vt:variant>
        <vt:i4>0</vt:i4>
      </vt:variant>
      <vt:variant>
        <vt:i4>5</vt:i4>
      </vt:variant>
      <vt:variant>
        <vt:lpwstr/>
      </vt:variant>
      <vt:variant>
        <vt:lpwstr>_Toc180494409</vt:lpwstr>
      </vt:variant>
      <vt:variant>
        <vt:i4>2031676</vt:i4>
      </vt:variant>
      <vt:variant>
        <vt:i4>14</vt:i4>
      </vt:variant>
      <vt:variant>
        <vt:i4>0</vt:i4>
      </vt:variant>
      <vt:variant>
        <vt:i4>5</vt:i4>
      </vt:variant>
      <vt:variant>
        <vt:lpwstr/>
      </vt:variant>
      <vt:variant>
        <vt:lpwstr>_Toc180494408</vt:lpwstr>
      </vt:variant>
      <vt:variant>
        <vt:i4>2031676</vt:i4>
      </vt:variant>
      <vt:variant>
        <vt:i4>8</vt:i4>
      </vt:variant>
      <vt:variant>
        <vt:i4>0</vt:i4>
      </vt:variant>
      <vt:variant>
        <vt:i4>5</vt:i4>
      </vt:variant>
      <vt:variant>
        <vt:lpwstr/>
      </vt:variant>
      <vt:variant>
        <vt:lpwstr>_Toc180494407</vt:lpwstr>
      </vt:variant>
      <vt:variant>
        <vt:i4>2031676</vt:i4>
      </vt:variant>
      <vt:variant>
        <vt:i4>2</vt:i4>
      </vt:variant>
      <vt:variant>
        <vt:i4>0</vt:i4>
      </vt:variant>
      <vt:variant>
        <vt:i4>5</vt:i4>
      </vt:variant>
      <vt:variant>
        <vt:lpwstr/>
      </vt:variant>
      <vt:variant>
        <vt:lpwstr>_Toc180494406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 Glance Summary</dc:title>
  <dc:subject/>
  <dc:creator>Vireak Ly</dc:creator>
  <cp:keywords/>
  <dc:description/>
  <cp:lastModifiedBy>PFord</cp:lastModifiedBy>
  <cp:revision>6</cp:revision>
  <cp:lastPrinted>2012-06-05T16:58:00Z</cp:lastPrinted>
  <dcterms:created xsi:type="dcterms:W3CDTF">2012-06-08T18:01:00Z</dcterms:created>
  <dcterms:modified xsi:type="dcterms:W3CDTF">2012-06-26T22:12:00Z</dcterms:modified>
</cp:coreProperties>
</file>