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B5E" w:rsidRDefault="003129E8" w:rsidP="00DD6B5E">
      <w:pPr>
        <w:jc w:val="right"/>
        <w:rPr>
          <w:rFonts w:ascii="Arial" w:hAnsi="Arial" w:cs="Arial"/>
          <w:b/>
          <w:color w:val="FF0000"/>
          <w:sz w:val="48"/>
          <w:szCs w:val="48"/>
        </w:rPr>
      </w:pPr>
      <w:bookmarkStart w:id="0" w:name="_Toc153189646"/>
      <w:r w:rsidRPr="002E0043">
        <w:rPr>
          <w:rFonts w:ascii="Arial" w:hAnsi="Arial" w:cs="Arial"/>
          <w:b/>
          <w:sz w:val="48"/>
          <w:szCs w:val="48"/>
        </w:rPr>
        <w:t xml:space="preserve">Work Paper </w:t>
      </w:r>
      <w:bookmarkEnd w:id="0"/>
      <w:r w:rsidR="00DF6A27">
        <w:rPr>
          <w:rFonts w:ascii="Arial" w:hAnsi="Arial" w:cs="Arial"/>
          <w:b/>
          <w:sz w:val="48"/>
          <w:szCs w:val="48"/>
        </w:rPr>
        <w:t>WP</w:t>
      </w:r>
      <w:r w:rsidR="00D12313">
        <w:rPr>
          <w:rFonts w:ascii="Arial" w:hAnsi="Arial" w:cs="Arial"/>
          <w:b/>
          <w:sz w:val="48"/>
          <w:szCs w:val="48"/>
        </w:rPr>
        <w:t>SDGENR</w:t>
      </w:r>
      <w:r w:rsidR="007B7326">
        <w:rPr>
          <w:rFonts w:ascii="Arial" w:hAnsi="Arial" w:cs="Arial"/>
          <w:b/>
          <w:sz w:val="48"/>
          <w:szCs w:val="48"/>
        </w:rPr>
        <w:t>L</w:t>
      </w:r>
      <w:r w:rsidR="002F4E43">
        <w:rPr>
          <w:rFonts w:ascii="Arial" w:hAnsi="Arial" w:cs="Arial"/>
          <w:b/>
          <w:sz w:val="48"/>
          <w:szCs w:val="48"/>
        </w:rPr>
        <w:t>G</w:t>
      </w:r>
      <w:r w:rsidR="007B7326">
        <w:rPr>
          <w:rFonts w:ascii="Arial" w:hAnsi="Arial" w:cs="Arial"/>
          <w:b/>
          <w:sz w:val="48"/>
          <w:szCs w:val="48"/>
        </w:rPr>
        <w:t>00</w:t>
      </w:r>
      <w:r w:rsidR="00BA621E">
        <w:rPr>
          <w:rFonts w:ascii="Arial" w:hAnsi="Arial" w:cs="Arial"/>
          <w:b/>
          <w:sz w:val="48"/>
          <w:szCs w:val="48"/>
        </w:rPr>
        <w:t>02</w:t>
      </w:r>
    </w:p>
    <w:p w:rsidR="00A167EC" w:rsidRPr="000A29EB" w:rsidRDefault="00F10A99" w:rsidP="00407BEF">
      <w:pPr>
        <w:jc w:val="right"/>
        <w:rPr>
          <w:rFonts w:ascii="Arial" w:hAnsi="Arial" w:cs="Arial"/>
          <w:b/>
          <w:sz w:val="48"/>
          <w:szCs w:val="48"/>
        </w:rPr>
      </w:pPr>
      <w:r>
        <w:rPr>
          <w:rFonts w:ascii="Arial" w:hAnsi="Arial" w:cs="Arial"/>
          <w:b/>
          <w:color w:val="FF0000"/>
          <w:sz w:val="48"/>
          <w:szCs w:val="48"/>
        </w:rPr>
        <w:t xml:space="preserve"> </w:t>
      </w:r>
      <w:r w:rsidR="00407BEF">
        <w:rPr>
          <w:rFonts w:ascii="Arial" w:hAnsi="Arial" w:cs="Arial"/>
          <w:b/>
          <w:sz w:val="48"/>
          <w:szCs w:val="48"/>
        </w:rPr>
        <w:t>Interior Induction</w:t>
      </w:r>
      <w:r w:rsidR="006C5A50" w:rsidRPr="000A29EB">
        <w:rPr>
          <w:rFonts w:ascii="Arial" w:hAnsi="Arial" w:cs="Arial"/>
          <w:b/>
          <w:sz w:val="48"/>
          <w:szCs w:val="48"/>
        </w:rPr>
        <w:t xml:space="preserve"> Fixtures</w:t>
      </w:r>
    </w:p>
    <w:p w:rsidR="003129E8" w:rsidRPr="002E0043" w:rsidRDefault="003129E8" w:rsidP="002E0043">
      <w:pPr>
        <w:jc w:val="right"/>
        <w:rPr>
          <w:rFonts w:ascii="Arial" w:hAnsi="Arial" w:cs="Arial"/>
          <w:b/>
          <w:sz w:val="48"/>
          <w:szCs w:val="48"/>
        </w:rPr>
      </w:pPr>
      <w:bookmarkStart w:id="1" w:name="_Toc153189647"/>
      <w:r w:rsidRPr="002E0043">
        <w:rPr>
          <w:rFonts w:ascii="Arial" w:hAnsi="Arial" w:cs="Arial"/>
          <w:b/>
          <w:sz w:val="48"/>
          <w:szCs w:val="48"/>
        </w:rPr>
        <w:t>Revision #</w:t>
      </w:r>
      <w:bookmarkEnd w:id="1"/>
      <w:r w:rsidR="00D7047A">
        <w:rPr>
          <w:rFonts w:ascii="Arial" w:hAnsi="Arial" w:cs="Arial"/>
          <w:b/>
          <w:sz w:val="48"/>
          <w:szCs w:val="48"/>
        </w:rPr>
        <w:t xml:space="preserve"> </w:t>
      </w:r>
      <w:r w:rsidR="009548C2">
        <w:rPr>
          <w:rFonts w:ascii="Arial" w:hAnsi="Arial" w:cs="Arial"/>
          <w:b/>
          <w:sz w:val="48"/>
          <w:szCs w:val="48"/>
        </w:rPr>
        <w:t>3</w:t>
      </w:r>
    </w:p>
    <w:p w:rsidR="003129E8" w:rsidRDefault="003129E8" w:rsidP="003129E8"/>
    <w:p w:rsidR="003129E8" w:rsidRDefault="003129E8" w:rsidP="003129E8"/>
    <w:p w:rsidR="00D7047A" w:rsidRPr="002E0043" w:rsidRDefault="00D12313" w:rsidP="00D7047A">
      <w:pPr>
        <w:pBdr>
          <w:bottom w:val="single" w:sz="4" w:space="1" w:color="auto"/>
        </w:pBdr>
        <w:rPr>
          <w:rFonts w:ascii="Arial" w:hAnsi="Arial" w:cs="Arial"/>
          <w:b/>
          <w:sz w:val="36"/>
          <w:szCs w:val="36"/>
        </w:rPr>
      </w:pPr>
      <w:smartTag w:uri="urn:schemas-microsoft-com:office:smarttags" w:element="City">
        <w:smartTag w:uri="urn:schemas-microsoft-com:office:smarttags" w:element="place">
          <w:r>
            <w:rPr>
              <w:rFonts w:ascii="Arial" w:hAnsi="Arial" w:cs="Arial"/>
              <w:b/>
              <w:sz w:val="36"/>
              <w:szCs w:val="36"/>
            </w:rPr>
            <w:t>San Diego</w:t>
          </w:r>
        </w:smartTag>
      </w:smartTag>
      <w:r w:rsidR="00DD6B5E">
        <w:rPr>
          <w:rFonts w:ascii="Arial" w:hAnsi="Arial" w:cs="Arial"/>
          <w:b/>
          <w:sz w:val="36"/>
          <w:szCs w:val="36"/>
        </w:rPr>
        <w:t xml:space="preserve"> Gas &amp; Electric</w:t>
      </w:r>
      <w:r w:rsidR="00DF21B8">
        <w:rPr>
          <w:rFonts w:ascii="Arial" w:hAnsi="Arial" w:cs="Arial"/>
          <w:b/>
          <w:sz w:val="36"/>
          <w:szCs w:val="36"/>
        </w:rPr>
        <w:t xml:space="preserve"> </w:t>
      </w:r>
    </w:p>
    <w:p w:rsidR="005A5C69" w:rsidRPr="002E0043" w:rsidRDefault="00BE2A2B" w:rsidP="005A5C69">
      <w:pPr>
        <w:rPr>
          <w:rFonts w:ascii="Arial" w:hAnsi="Arial" w:cs="Arial"/>
          <w:b/>
          <w:sz w:val="32"/>
          <w:szCs w:val="32"/>
        </w:rPr>
      </w:pPr>
      <w:r>
        <w:rPr>
          <w:rFonts w:ascii="Arial" w:hAnsi="Arial" w:cs="Arial"/>
          <w:b/>
          <w:sz w:val="32"/>
          <w:szCs w:val="32"/>
        </w:rPr>
        <w:t>Energy Efficiency Engineering</w:t>
      </w:r>
    </w:p>
    <w:p w:rsidR="00155846" w:rsidRDefault="00155846" w:rsidP="00A167EC">
      <w:pPr>
        <w:ind w:right="-720"/>
        <w:rPr>
          <w:rFonts w:ascii="Arial" w:hAnsi="Arial" w:cs="Arial"/>
          <w:b/>
          <w:color w:val="FF0000"/>
          <w:sz w:val="72"/>
          <w:szCs w:val="72"/>
        </w:rPr>
      </w:pPr>
    </w:p>
    <w:p w:rsidR="00155846" w:rsidRDefault="00155846" w:rsidP="00A167EC">
      <w:pPr>
        <w:ind w:right="-720"/>
        <w:rPr>
          <w:rFonts w:ascii="Arial" w:hAnsi="Arial" w:cs="Arial"/>
          <w:b/>
          <w:color w:val="FF0000"/>
          <w:sz w:val="72"/>
          <w:szCs w:val="72"/>
        </w:rPr>
      </w:pPr>
    </w:p>
    <w:p w:rsidR="00216EC2" w:rsidRDefault="00216EC2" w:rsidP="00A167EC">
      <w:pPr>
        <w:ind w:right="-720"/>
        <w:rPr>
          <w:rFonts w:ascii="Arial" w:hAnsi="Arial" w:cs="Arial"/>
          <w:b/>
          <w:color w:val="FF0000"/>
          <w:sz w:val="72"/>
          <w:szCs w:val="72"/>
        </w:rPr>
      </w:pPr>
    </w:p>
    <w:p w:rsidR="00763555" w:rsidRDefault="00763555" w:rsidP="00A167EC">
      <w:pPr>
        <w:ind w:right="-720"/>
        <w:rPr>
          <w:rFonts w:ascii="Arial" w:hAnsi="Arial" w:cs="Arial"/>
          <w:b/>
          <w:color w:val="FF0000"/>
          <w:sz w:val="72"/>
          <w:szCs w:val="72"/>
        </w:rPr>
      </w:pPr>
    </w:p>
    <w:p w:rsidR="00324D0F" w:rsidRPr="00155846" w:rsidRDefault="00407BEF" w:rsidP="00407BEF">
      <w:pPr>
        <w:ind w:right="-720"/>
        <w:rPr>
          <w:rFonts w:ascii="Arial" w:hAnsi="Arial" w:cs="Arial"/>
          <w:b/>
        </w:rPr>
      </w:pPr>
      <w:r>
        <w:rPr>
          <w:rFonts w:ascii="Arial" w:hAnsi="Arial" w:cs="Arial"/>
          <w:b/>
          <w:sz w:val="72"/>
          <w:szCs w:val="72"/>
        </w:rPr>
        <w:t>Interior Induction F</w:t>
      </w:r>
      <w:r w:rsidR="00155846" w:rsidRPr="00155846">
        <w:rPr>
          <w:rFonts w:ascii="Arial" w:hAnsi="Arial" w:cs="Arial"/>
          <w:b/>
          <w:sz w:val="72"/>
          <w:szCs w:val="72"/>
        </w:rPr>
        <w:t>ixtures</w:t>
      </w:r>
      <w:r w:rsidR="00735CB1" w:rsidRPr="00155846">
        <w:rPr>
          <w:rFonts w:ascii="Arial" w:hAnsi="Arial" w:cs="Arial"/>
          <w:b/>
          <w:sz w:val="72"/>
          <w:szCs w:val="72"/>
        </w:rPr>
        <w:t xml:space="preserve"> </w:t>
      </w:r>
    </w:p>
    <w:p w:rsidR="006C5A50" w:rsidRPr="00155846" w:rsidRDefault="00A167EC" w:rsidP="00407BEF">
      <w:pPr>
        <w:ind w:right="-720"/>
        <w:rPr>
          <w:rFonts w:ascii="Arial" w:hAnsi="Arial" w:cs="Arial"/>
          <w:b/>
        </w:rPr>
      </w:pPr>
      <w:r w:rsidRPr="00155846">
        <w:rPr>
          <w:rFonts w:ascii="Arial" w:hAnsi="Arial" w:cs="Arial"/>
          <w:b/>
        </w:rPr>
        <w:t xml:space="preserve">Measure Codes </w:t>
      </w:r>
      <w:r w:rsidR="00D12313">
        <w:rPr>
          <w:rFonts w:ascii="Arial" w:hAnsi="Arial" w:cs="Arial"/>
          <w:b/>
        </w:rPr>
        <w:t>L-D</w:t>
      </w:r>
      <w:r w:rsidR="0092237B">
        <w:rPr>
          <w:rFonts w:ascii="Arial" w:hAnsi="Arial" w:cs="Arial"/>
          <w:b/>
        </w:rPr>
        <w:t>1</w:t>
      </w:r>
      <w:r w:rsidR="00D12313">
        <w:rPr>
          <w:rFonts w:ascii="Arial" w:hAnsi="Arial" w:cs="Arial"/>
          <w:b/>
        </w:rPr>
        <w:t>1-</w:t>
      </w:r>
      <w:r w:rsidR="006D3E1F">
        <w:rPr>
          <w:rFonts w:ascii="Arial" w:hAnsi="Arial" w:cs="Arial"/>
          <w:b/>
        </w:rPr>
        <w:t>5</w:t>
      </w:r>
      <w:r w:rsidR="0092237B">
        <w:rPr>
          <w:rFonts w:ascii="Arial" w:hAnsi="Arial" w:cs="Arial"/>
          <w:b/>
        </w:rPr>
        <w:t>1</w:t>
      </w:r>
    </w:p>
    <w:p w:rsidR="00E84DBD" w:rsidRPr="00B421F2" w:rsidRDefault="00E84DBD" w:rsidP="00844B27">
      <w:pPr>
        <w:rPr>
          <w:rFonts w:ascii="Arial" w:hAnsi="Arial" w:cs="Arial"/>
          <w:b/>
        </w:rPr>
        <w:sectPr w:rsidR="00E84DBD" w:rsidRPr="00B421F2" w:rsidSect="00E03431">
          <w:headerReference w:type="even" r:id="rId10"/>
          <w:headerReference w:type="default" r:id="rId11"/>
          <w:footerReference w:type="even" r:id="rId12"/>
          <w:footerReference w:type="default" r:id="rId13"/>
          <w:footerReference w:type="first" r:id="rId14"/>
          <w:endnotePr>
            <w:numFmt w:val="decimal"/>
          </w:endnotePr>
          <w:pgSz w:w="12240" w:h="15840" w:code="1"/>
          <w:pgMar w:top="1440" w:right="1800" w:bottom="1440" w:left="1800" w:header="720" w:footer="720" w:gutter="0"/>
          <w:pgNumType w:fmt="lowerRoman"/>
          <w:cols w:space="720"/>
          <w:titlePg/>
          <w:docGrid w:linePitch="360"/>
        </w:sectPr>
      </w:pPr>
    </w:p>
    <w:p w:rsidR="006D3E1F" w:rsidRDefault="006D3E1F" w:rsidP="006D3E1F">
      <w:pPr>
        <w:pStyle w:val="Heading1"/>
      </w:pPr>
      <w:bookmarkStart w:id="2" w:name="_Toc174189524"/>
      <w:bookmarkStart w:id="3" w:name="_Toc328480026"/>
      <w:r>
        <w:lastRenderedPageBreak/>
        <w:t>Work Paper Approvals</w:t>
      </w:r>
      <w:bookmarkEnd w:id="2"/>
      <w:bookmarkEnd w:id="3"/>
    </w:p>
    <w:p w:rsidR="006D3E1F" w:rsidRDefault="006D3E1F" w:rsidP="006D3E1F"/>
    <w:tbl>
      <w:tblPr>
        <w:tblW w:w="5000" w:type="pct"/>
        <w:tblLook w:val="0000"/>
      </w:tblPr>
      <w:tblGrid>
        <w:gridCol w:w="5868"/>
        <w:gridCol w:w="3708"/>
      </w:tblGrid>
      <w:tr w:rsidR="00532828" w:rsidTr="00C05076">
        <w:tc>
          <w:tcPr>
            <w:tcW w:w="3064" w:type="pct"/>
          </w:tcPr>
          <w:p w:rsidR="00532828" w:rsidRDefault="00532828" w:rsidP="00E01DA0"/>
          <w:p w:rsidR="00532828" w:rsidRDefault="00532828" w:rsidP="00E01DA0"/>
          <w:p w:rsidR="00532828" w:rsidRDefault="00532828" w:rsidP="00E01DA0"/>
          <w:p w:rsidR="00532828" w:rsidRDefault="00532828" w:rsidP="00E01DA0"/>
          <w:p w:rsidR="00532828" w:rsidRDefault="00532828" w:rsidP="00E01DA0"/>
          <w:p w:rsidR="00532828" w:rsidRDefault="00532828" w:rsidP="00E01DA0">
            <w:pPr>
              <w:pBdr>
                <w:bottom w:val="single" w:sz="12" w:space="1" w:color="auto"/>
              </w:pBdr>
            </w:pPr>
          </w:p>
          <w:p w:rsidR="00532828" w:rsidRDefault="00532828" w:rsidP="00E01DA0">
            <w:pPr>
              <w:rPr>
                <w:b/>
              </w:rPr>
            </w:pPr>
            <w:r>
              <w:rPr>
                <w:b/>
              </w:rPr>
              <w:t>Charles Harmstead</w:t>
            </w:r>
          </w:p>
          <w:p w:rsidR="00532828" w:rsidRDefault="00532828" w:rsidP="00E01DA0">
            <w:r>
              <w:t>Supervisor, Energy Efficiency Engineering</w:t>
            </w:r>
          </w:p>
        </w:tc>
        <w:tc>
          <w:tcPr>
            <w:tcW w:w="1936" w:type="pct"/>
          </w:tcPr>
          <w:p w:rsidR="00532828" w:rsidRDefault="00532828" w:rsidP="00E01DA0"/>
          <w:p w:rsidR="00532828" w:rsidRDefault="00532828" w:rsidP="00E01DA0"/>
          <w:p w:rsidR="00532828" w:rsidRDefault="00532828" w:rsidP="00E01DA0"/>
          <w:p w:rsidR="00532828" w:rsidRDefault="00532828" w:rsidP="00E01DA0">
            <w:pPr>
              <w:pBdr>
                <w:bottom w:val="single" w:sz="12" w:space="1" w:color="auto"/>
              </w:pBdr>
            </w:pPr>
          </w:p>
          <w:p w:rsidR="00532828" w:rsidRDefault="00532828" w:rsidP="00E01DA0">
            <w:pPr>
              <w:pBdr>
                <w:bottom w:val="single" w:sz="12" w:space="1" w:color="auto"/>
              </w:pBdr>
            </w:pPr>
          </w:p>
          <w:p w:rsidR="00532828" w:rsidRDefault="00532828" w:rsidP="00E01DA0">
            <w:pPr>
              <w:pBdr>
                <w:bottom w:val="single" w:sz="12" w:space="1" w:color="auto"/>
              </w:pBdr>
            </w:pPr>
          </w:p>
          <w:p w:rsidR="00532828" w:rsidRDefault="00532828" w:rsidP="00E01DA0">
            <w:r>
              <w:t>Date</w:t>
            </w:r>
          </w:p>
        </w:tc>
      </w:tr>
      <w:tr w:rsidR="00532828" w:rsidTr="00C05076">
        <w:tc>
          <w:tcPr>
            <w:tcW w:w="3064" w:type="pct"/>
          </w:tcPr>
          <w:p w:rsidR="00532828" w:rsidRDefault="00532828" w:rsidP="00E01DA0"/>
          <w:p w:rsidR="00532828" w:rsidRDefault="00532828" w:rsidP="00E01DA0"/>
          <w:p w:rsidR="00532828" w:rsidRDefault="00532828" w:rsidP="00E01DA0">
            <w:pPr>
              <w:ind w:firstLine="720"/>
            </w:pPr>
          </w:p>
          <w:p w:rsidR="00532828" w:rsidRDefault="00532828" w:rsidP="00E01DA0"/>
          <w:p w:rsidR="00532828" w:rsidRDefault="00532828" w:rsidP="00E01DA0"/>
          <w:p w:rsidR="00532828" w:rsidRDefault="00532828" w:rsidP="00E01DA0">
            <w:pPr>
              <w:pBdr>
                <w:bottom w:val="single" w:sz="12" w:space="1" w:color="auto"/>
              </w:pBdr>
              <w:rPr>
                <w:color w:val="FF0000"/>
              </w:rPr>
            </w:pPr>
          </w:p>
          <w:p w:rsidR="00532828" w:rsidRDefault="00532828" w:rsidP="00E01DA0">
            <w:pPr>
              <w:rPr>
                <w:b/>
              </w:rPr>
            </w:pPr>
            <w:r>
              <w:rPr>
                <w:b/>
              </w:rPr>
              <w:t>Peter Ford</w:t>
            </w:r>
          </w:p>
          <w:p w:rsidR="00532828" w:rsidRDefault="00532828" w:rsidP="00E01DA0">
            <w:r>
              <w:t xml:space="preserve">Manager, Energy Efficiency Engineering </w:t>
            </w:r>
          </w:p>
          <w:p w:rsidR="00532828" w:rsidRDefault="00532828" w:rsidP="00E01DA0"/>
        </w:tc>
        <w:tc>
          <w:tcPr>
            <w:tcW w:w="1936" w:type="pct"/>
          </w:tcPr>
          <w:p w:rsidR="00532828" w:rsidRDefault="00532828" w:rsidP="00E01DA0"/>
          <w:p w:rsidR="00532828" w:rsidRDefault="00532828" w:rsidP="00E01DA0"/>
          <w:p w:rsidR="00532828" w:rsidRDefault="00532828" w:rsidP="00E01DA0">
            <w:pPr>
              <w:pBdr>
                <w:bottom w:val="single" w:sz="12" w:space="1" w:color="auto"/>
              </w:pBdr>
            </w:pPr>
          </w:p>
          <w:p w:rsidR="00532828" w:rsidRDefault="00532828" w:rsidP="00E01DA0">
            <w:pPr>
              <w:pBdr>
                <w:bottom w:val="single" w:sz="12" w:space="1" w:color="auto"/>
              </w:pBdr>
            </w:pPr>
          </w:p>
          <w:p w:rsidR="00532828" w:rsidRDefault="00532828" w:rsidP="00E01DA0">
            <w:pPr>
              <w:pBdr>
                <w:bottom w:val="single" w:sz="12" w:space="1" w:color="auto"/>
              </w:pBdr>
            </w:pPr>
          </w:p>
          <w:p w:rsidR="00532828" w:rsidRDefault="00532828" w:rsidP="00E01DA0">
            <w:pPr>
              <w:pBdr>
                <w:bottom w:val="single" w:sz="12" w:space="1" w:color="auto"/>
              </w:pBdr>
            </w:pPr>
          </w:p>
          <w:p w:rsidR="00532828" w:rsidRDefault="00532828" w:rsidP="00E01DA0">
            <w:r>
              <w:t>Date</w:t>
            </w:r>
          </w:p>
          <w:p w:rsidR="00532828" w:rsidRPr="00302B74" w:rsidRDefault="00532828" w:rsidP="00E01DA0">
            <w:pPr>
              <w:rPr>
                <w:color w:val="FF0000"/>
              </w:rPr>
            </w:pPr>
          </w:p>
        </w:tc>
      </w:tr>
    </w:tbl>
    <w:p w:rsidR="006D3E1F" w:rsidRPr="00EE7092" w:rsidRDefault="006D3E1F" w:rsidP="006D3E1F"/>
    <w:p w:rsidR="006D3E1F" w:rsidRDefault="006D3E1F" w:rsidP="00E34D7E"/>
    <w:p w:rsidR="006D3E1F" w:rsidRDefault="006D3E1F" w:rsidP="006D3E1F"/>
    <w:p w:rsidR="006D3E1F" w:rsidRDefault="006D3E1F" w:rsidP="006D3E1F"/>
    <w:p w:rsidR="006D3E1F" w:rsidRDefault="006D3E1F" w:rsidP="006D3E1F"/>
    <w:p w:rsidR="006D3E1F" w:rsidRDefault="006D3E1F" w:rsidP="006D3E1F"/>
    <w:p w:rsidR="006D3E1F" w:rsidRDefault="006D3E1F" w:rsidP="006D3E1F"/>
    <w:p w:rsidR="006D3E1F" w:rsidRDefault="006D3E1F" w:rsidP="006D3E1F"/>
    <w:p w:rsidR="006D3E1F" w:rsidRDefault="006D3E1F" w:rsidP="006D3E1F"/>
    <w:p w:rsidR="006D3E1F" w:rsidRDefault="006D3E1F" w:rsidP="006D3E1F"/>
    <w:p w:rsidR="006D3E1F" w:rsidRDefault="006D3E1F" w:rsidP="006D3E1F"/>
    <w:p w:rsidR="006D3E1F" w:rsidRDefault="006D3E1F" w:rsidP="006D3E1F"/>
    <w:p w:rsidR="006D3E1F" w:rsidRDefault="006D3E1F" w:rsidP="006D3E1F"/>
    <w:p w:rsidR="006D3E1F" w:rsidRDefault="006D3E1F" w:rsidP="006D3E1F"/>
    <w:p w:rsidR="006D3E1F" w:rsidRDefault="006D3E1F" w:rsidP="006D3E1F"/>
    <w:p w:rsidR="006D3E1F" w:rsidRDefault="006D3E1F" w:rsidP="006D3E1F"/>
    <w:p w:rsidR="003A4F9F" w:rsidRDefault="003A4F9F" w:rsidP="006D3E1F"/>
    <w:p w:rsidR="00E34D7E" w:rsidRDefault="00E34D7E" w:rsidP="006D3E1F"/>
    <w:p w:rsidR="003A4F9F" w:rsidRDefault="003A4F9F" w:rsidP="006D3E1F"/>
    <w:p w:rsidR="003A4F9F" w:rsidRPr="006D3E1F" w:rsidRDefault="003A4F9F" w:rsidP="006D3E1F"/>
    <w:p w:rsidR="00BF3CB4" w:rsidRDefault="00BF3CB4" w:rsidP="003A4F9F">
      <w:pPr>
        <w:pStyle w:val="Caption"/>
        <w:rPr>
          <w:sz w:val="32"/>
          <w:highlight w:val="yellow"/>
        </w:rPr>
      </w:pPr>
    </w:p>
    <w:p w:rsidR="003A4F9F" w:rsidRPr="004B1427" w:rsidRDefault="003A4F9F" w:rsidP="003A4F9F">
      <w:pPr>
        <w:pStyle w:val="Caption"/>
        <w:rPr>
          <w:sz w:val="32"/>
        </w:rPr>
      </w:pPr>
      <w:r w:rsidRPr="00FE600A">
        <w:rPr>
          <w:sz w:val="32"/>
        </w:rPr>
        <w:t>Document Revision History</w:t>
      </w:r>
    </w:p>
    <w:p w:rsidR="003A4F9F" w:rsidRDefault="003A4F9F" w:rsidP="003A4F9F">
      <w:r>
        <w:t xml:space="preserve">     Revision #</w:t>
      </w:r>
      <w:r w:rsidRPr="00E91C15">
        <w:t xml:space="preserve"> </w:t>
      </w:r>
      <w:r>
        <w:tab/>
      </w:r>
      <w:r>
        <w:tab/>
        <w:t>Date</w:t>
      </w:r>
      <w:r w:rsidRPr="00E91C15">
        <w:t xml:space="preserve"> </w:t>
      </w:r>
      <w:r>
        <w:tab/>
      </w:r>
      <w:r>
        <w:tab/>
        <w:t xml:space="preserve">         Description</w:t>
      </w:r>
      <w:r>
        <w:tab/>
      </w:r>
      <w:r>
        <w:tab/>
        <w:t xml:space="preserve">         Author (Company)</w:t>
      </w:r>
    </w:p>
    <w:tbl>
      <w:tblPr>
        <w:tblW w:w="4840" w:type="pct"/>
        <w:tblInd w:w="108" w:type="dxa"/>
        <w:tblBorders>
          <w:insideH w:val="single" w:sz="18" w:space="0" w:color="FFFFFF"/>
          <w:insideV w:val="single" w:sz="18" w:space="0" w:color="FFFFFF"/>
        </w:tblBorders>
        <w:tblLook w:val="01E0"/>
      </w:tblPr>
      <w:tblGrid>
        <w:gridCol w:w="1440"/>
        <w:gridCol w:w="1261"/>
        <w:gridCol w:w="3206"/>
        <w:gridCol w:w="3363"/>
      </w:tblGrid>
      <w:tr w:rsidR="003A4F9F" w:rsidRPr="00D05CA7" w:rsidTr="00C05076">
        <w:trPr>
          <w:trHeight w:val="464"/>
        </w:trPr>
        <w:tc>
          <w:tcPr>
            <w:tcW w:w="777" w:type="pct"/>
            <w:shd w:val="pct20" w:color="000000" w:fill="FFFFFF"/>
          </w:tcPr>
          <w:p w:rsidR="003A4F9F" w:rsidRPr="00D05CA7" w:rsidRDefault="003A4F9F" w:rsidP="00C05076">
            <w:pPr>
              <w:rPr>
                <w:b/>
                <w:bCs/>
              </w:rPr>
            </w:pPr>
            <w:r w:rsidRPr="00073638">
              <w:rPr>
                <w:b/>
                <w:bCs/>
                <w:sz w:val="20"/>
              </w:rPr>
              <w:t xml:space="preserve">Revision </w:t>
            </w:r>
            <w:r>
              <w:rPr>
                <w:b/>
                <w:bCs/>
                <w:sz w:val="20"/>
              </w:rPr>
              <w:t>0</w:t>
            </w:r>
          </w:p>
        </w:tc>
        <w:tc>
          <w:tcPr>
            <w:tcW w:w="680" w:type="pct"/>
            <w:shd w:val="pct20" w:color="000000" w:fill="FFFFFF"/>
          </w:tcPr>
          <w:p w:rsidR="003A4F9F" w:rsidRPr="00D05CA7" w:rsidRDefault="003A4F9F" w:rsidP="00C05076">
            <w:pPr>
              <w:rPr>
                <w:b/>
                <w:bCs/>
                <w:sz w:val="20"/>
                <w:szCs w:val="20"/>
                <w:highlight w:val="yellow"/>
              </w:rPr>
            </w:pPr>
            <w:r>
              <w:rPr>
                <w:b/>
                <w:bCs/>
                <w:sz w:val="20"/>
                <w:szCs w:val="20"/>
              </w:rPr>
              <w:t>09/11</w:t>
            </w:r>
            <w:r w:rsidRPr="001D554B">
              <w:rPr>
                <w:b/>
                <w:bCs/>
                <w:sz w:val="20"/>
                <w:szCs w:val="20"/>
              </w:rPr>
              <w:t>/2008</w:t>
            </w:r>
          </w:p>
        </w:tc>
        <w:tc>
          <w:tcPr>
            <w:tcW w:w="1729" w:type="pct"/>
            <w:shd w:val="pct20" w:color="000000" w:fill="FFFFFF"/>
          </w:tcPr>
          <w:p w:rsidR="003A4F9F" w:rsidRPr="00D05CA7" w:rsidRDefault="00D12624" w:rsidP="00C05076">
            <w:pPr>
              <w:rPr>
                <w:b/>
                <w:bCs/>
                <w:sz w:val="20"/>
                <w:szCs w:val="20"/>
              </w:rPr>
            </w:pPr>
            <w:r>
              <w:rPr>
                <w:b/>
                <w:bCs/>
                <w:sz w:val="20"/>
                <w:szCs w:val="20"/>
              </w:rPr>
              <w:t>Work paper short version with limited base cases and  wattage ranges</w:t>
            </w:r>
          </w:p>
        </w:tc>
        <w:tc>
          <w:tcPr>
            <w:tcW w:w="1814" w:type="pct"/>
            <w:shd w:val="pct20" w:color="000000" w:fill="FFFFFF"/>
          </w:tcPr>
          <w:p w:rsidR="003A4F9F" w:rsidRPr="00D05CA7" w:rsidRDefault="00D12624" w:rsidP="00EF1E6E">
            <w:pPr>
              <w:jc w:val="center"/>
              <w:rPr>
                <w:b/>
                <w:bCs/>
                <w:sz w:val="20"/>
                <w:szCs w:val="20"/>
              </w:rPr>
            </w:pPr>
            <w:r>
              <w:rPr>
                <w:b/>
                <w:bCs/>
                <w:sz w:val="20"/>
                <w:szCs w:val="20"/>
              </w:rPr>
              <w:t>Unknown, PGE</w:t>
            </w:r>
          </w:p>
        </w:tc>
      </w:tr>
      <w:tr w:rsidR="003A4F9F" w:rsidRPr="00D05CA7" w:rsidTr="00C05076">
        <w:trPr>
          <w:trHeight w:val="464"/>
        </w:trPr>
        <w:tc>
          <w:tcPr>
            <w:tcW w:w="777" w:type="pct"/>
            <w:shd w:val="pct5" w:color="000000" w:fill="FFFFFF"/>
          </w:tcPr>
          <w:p w:rsidR="003A4F9F" w:rsidRPr="00FE600A" w:rsidRDefault="003A4F9F" w:rsidP="00C05076">
            <w:pPr>
              <w:rPr>
                <w:b/>
                <w:bCs/>
              </w:rPr>
            </w:pPr>
            <w:r w:rsidRPr="00FE600A">
              <w:rPr>
                <w:b/>
                <w:bCs/>
              </w:rPr>
              <w:lastRenderedPageBreak/>
              <w:t>Revision 1</w:t>
            </w:r>
          </w:p>
        </w:tc>
        <w:tc>
          <w:tcPr>
            <w:tcW w:w="680" w:type="pct"/>
            <w:shd w:val="pct5" w:color="000000" w:fill="FFFFFF"/>
          </w:tcPr>
          <w:p w:rsidR="003A4F9F" w:rsidRPr="00FE600A" w:rsidRDefault="00D12624" w:rsidP="0092237B">
            <w:pPr>
              <w:rPr>
                <w:b/>
                <w:bCs/>
                <w:sz w:val="20"/>
                <w:szCs w:val="20"/>
              </w:rPr>
            </w:pPr>
            <w:r w:rsidRPr="00FE600A">
              <w:rPr>
                <w:b/>
                <w:bCs/>
                <w:sz w:val="20"/>
                <w:szCs w:val="20"/>
              </w:rPr>
              <w:t>11/12/</w:t>
            </w:r>
            <w:r>
              <w:rPr>
                <w:b/>
                <w:bCs/>
                <w:sz w:val="20"/>
                <w:szCs w:val="20"/>
              </w:rPr>
              <w:t>2</w:t>
            </w:r>
            <w:r w:rsidRPr="00FE600A">
              <w:rPr>
                <w:b/>
                <w:bCs/>
                <w:sz w:val="20"/>
                <w:szCs w:val="20"/>
              </w:rPr>
              <w:t>009</w:t>
            </w:r>
          </w:p>
        </w:tc>
        <w:tc>
          <w:tcPr>
            <w:tcW w:w="1729" w:type="pct"/>
            <w:shd w:val="pct5" w:color="000000" w:fill="FFFFFF"/>
          </w:tcPr>
          <w:p w:rsidR="00D12624" w:rsidRDefault="00D12624" w:rsidP="00D12624">
            <w:pPr>
              <w:rPr>
                <w:b/>
                <w:bCs/>
                <w:sz w:val="20"/>
                <w:szCs w:val="20"/>
              </w:rPr>
            </w:pPr>
            <w:r>
              <w:rPr>
                <w:b/>
                <w:bCs/>
                <w:sz w:val="20"/>
                <w:szCs w:val="20"/>
              </w:rPr>
              <w:t>Interior Induction Fixtures</w:t>
            </w:r>
          </w:p>
          <w:p w:rsidR="00EF1E6E" w:rsidRPr="00FE600A" w:rsidRDefault="00D12624" w:rsidP="00D12624">
            <w:pPr>
              <w:ind w:left="720"/>
              <w:rPr>
                <w:b/>
                <w:bCs/>
                <w:sz w:val="20"/>
                <w:szCs w:val="20"/>
              </w:rPr>
            </w:pPr>
            <w:r>
              <w:rPr>
                <w:b/>
                <w:sz w:val="20"/>
                <w:szCs w:val="20"/>
              </w:rPr>
              <w:t xml:space="preserve">Adopted form </w:t>
            </w:r>
            <w:r w:rsidRPr="00607663">
              <w:rPr>
                <w:b/>
                <w:sz w:val="20"/>
                <w:szCs w:val="20"/>
              </w:rPr>
              <w:t>PGECOLTG</w:t>
            </w:r>
            <w:r>
              <w:rPr>
                <w:b/>
                <w:sz w:val="20"/>
                <w:szCs w:val="20"/>
              </w:rPr>
              <w:t>113R0, Revision0</w:t>
            </w:r>
          </w:p>
        </w:tc>
        <w:tc>
          <w:tcPr>
            <w:tcW w:w="1814" w:type="pct"/>
            <w:shd w:val="pct5" w:color="000000" w:fill="FFFFFF"/>
          </w:tcPr>
          <w:p w:rsidR="003A4F9F" w:rsidRPr="00E34D7E" w:rsidRDefault="00D12624" w:rsidP="00D12624">
            <w:pPr>
              <w:jc w:val="center"/>
              <w:rPr>
                <w:b/>
                <w:bCs/>
                <w:sz w:val="20"/>
                <w:szCs w:val="20"/>
                <w:highlight w:val="yellow"/>
              </w:rPr>
            </w:pPr>
            <w:r w:rsidRPr="00D12624">
              <w:rPr>
                <w:b/>
                <w:bCs/>
                <w:sz w:val="20"/>
                <w:szCs w:val="20"/>
              </w:rPr>
              <w:t>Unknown PGE</w:t>
            </w:r>
          </w:p>
        </w:tc>
      </w:tr>
      <w:tr w:rsidR="00D12624" w:rsidRPr="00D05CA7" w:rsidTr="00C05076">
        <w:trPr>
          <w:trHeight w:val="464"/>
        </w:trPr>
        <w:tc>
          <w:tcPr>
            <w:tcW w:w="777" w:type="pct"/>
            <w:shd w:val="pct20" w:color="000000" w:fill="FFFFFF"/>
          </w:tcPr>
          <w:p w:rsidR="00D12624" w:rsidRPr="00D05CA7" w:rsidRDefault="00D12624" w:rsidP="00C05076">
            <w:pPr>
              <w:rPr>
                <w:b/>
              </w:rPr>
            </w:pPr>
            <w:r>
              <w:rPr>
                <w:b/>
              </w:rPr>
              <w:t>Revision 2</w:t>
            </w:r>
          </w:p>
        </w:tc>
        <w:tc>
          <w:tcPr>
            <w:tcW w:w="680" w:type="pct"/>
            <w:shd w:val="pct20" w:color="000000" w:fill="FFFFFF"/>
          </w:tcPr>
          <w:p w:rsidR="00D12624" w:rsidRPr="00FE600A" w:rsidRDefault="00F2480D" w:rsidP="00F2480D">
            <w:pPr>
              <w:rPr>
                <w:b/>
                <w:bCs/>
                <w:sz w:val="20"/>
                <w:szCs w:val="20"/>
              </w:rPr>
            </w:pPr>
            <w:r w:rsidRPr="00FE600A">
              <w:rPr>
                <w:b/>
                <w:bCs/>
                <w:sz w:val="20"/>
                <w:szCs w:val="20"/>
              </w:rPr>
              <w:t>11/1</w:t>
            </w:r>
            <w:r>
              <w:rPr>
                <w:b/>
                <w:bCs/>
                <w:sz w:val="20"/>
                <w:szCs w:val="20"/>
              </w:rPr>
              <w:t>9</w:t>
            </w:r>
            <w:r w:rsidRPr="00FE600A">
              <w:rPr>
                <w:b/>
                <w:bCs/>
                <w:sz w:val="20"/>
                <w:szCs w:val="20"/>
              </w:rPr>
              <w:t>/</w:t>
            </w:r>
            <w:r>
              <w:rPr>
                <w:b/>
                <w:bCs/>
                <w:sz w:val="20"/>
                <w:szCs w:val="20"/>
              </w:rPr>
              <w:t>2</w:t>
            </w:r>
            <w:r w:rsidRPr="00FE600A">
              <w:rPr>
                <w:b/>
                <w:bCs/>
                <w:sz w:val="20"/>
                <w:szCs w:val="20"/>
              </w:rPr>
              <w:t>009</w:t>
            </w:r>
          </w:p>
        </w:tc>
        <w:tc>
          <w:tcPr>
            <w:tcW w:w="1729" w:type="pct"/>
            <w:shd w:val="pct20" w:color="000000" w:fill="FFFFFF"/>
          </w:tcPr>
          <w:p w:rsidR="00D12624" w:rsidRDefault="00D12624" w:rsidP="00DF6A27">
            <w:pPr>
              <w:numPr>
                <w:ilvl w:val="0"/>
                <w:numId w:val="12"/>
              </w:numPr>
              <w:ind w:left="251" w:hanging="270"/>
              <w:rPr>
                <w:b/>
                <w:bCs/>
                <w:sz w:val="20"/>
                <w:szCs w:val="20"/>
              </w:rPr>
            </w:pPr>
            <w:r w:rsidRPr="00FE600A">
              <w:rPr>
                <w:b/>
                <w:bCs/>
                <w:sz w:val="20"/>
                <w:szCs w:val="20"/>
              </w:rPr>
              <w:t>Updated NTG to reflect Deer 2008 changes</w:t>
            </w:r>
          </w:p>
          <w:p w:rsidR="00D12624" w:rsidRPr="00FE600A" w:rsidRDefault="00D12624" w:rsidP="00DF6A27">
            <w:pPr>
              <w:numPr>
                <w:ilvl w:val="0"/>
                <w:numId w:val="12"/>
              </w:numPr>
              <w:ind w:left="251" w:hanging="251"/>
              <w:rPr>
                <w:b/>
                <w:bCs/>
                <w:sz w:val="20"/>
                <w:szCs w:val="20"/>
              </w:rPr>
            </w:pPr>
            <w:r>
              <w:rPr>
                <w:b/>
                <w:bCs/>
                <w:sz w:val="20"/>
                <w:szCs w:val="20"/>
              </w:rPr>
              <w:t>Saving Calculation was redone to reflect SDGE weighted Service Territory data and climate zone data</w:t>
            </w:r>
          </w:p>
        </w:tc>
        <w:tc>
          <w:tcPr>
            <w:tcW w:w="1814" w:type="pct"/>
            <w:shd w:val="pct20" w:color="000000" w:fill="FFFFFF"/>
          </w:tcPr>
          <w:p w:rsidR="00D12624" w:rsidRPr="00E34D7E" w:rsidRDefault="00D12624" w:rsidP="00D12624">
            <w:pPr>
              <w:jc w:val="center"/>
              <w:rPr>
                <w:b/>
                <w:bCs/>
                <w:sz w:val="20"/>
                <w:szCs w:val="20"/>
                <w:highlight w:val="yellow"/>
              </w:rPr>
            </w:pPr>
            <w:r w:rsidRPr="00D12624">
              <w:rPr>
                <w:b/>
                <w:bCs/>
                <w:sz w:val="20"/>
                <w:szCs w:val="20"/>
              </w:rPr>
              <w:t>Lucie Sidibe, SDGE</w:t>
            </w:r>
          </w:p>
        </w:tc>
      </w:tr>
      <w:tr w:rsidR="009548C2" w:rsidRPr="00D05CA7" w:rsidTr="00C05076">
        <w:trPr>
          <w:trHeight w:val="464"/>
        </w:trPr>
        <w:tc>
          <w:tcPr>
            <w:tcW w:w="777" w:type="pct"/>
            <w:shd w:val="pct20" w:color="000000" w:fill="FFFFFF"/>
          </w:tcPr>
          <w:p w:rsidR="009548C2" w:rsidRDefault="009548C2" w:rsidP="009548C2">
            <w:pPr>
              <w:rPr>
                <w:b/>
              </w:rPr>
            </w:pPr>
            <w:r>
              <w:rPr>
                <w:b/>
              </w:rPr>
              <w:t>Revision 3</w:t>
            </w:r>
          </w:p>
        </w:tc>
        <w:tc>
          <w:tcPr>
            <w:tcW w:w="680" w:type="pct"/>
            <w:shd w:val="pct20" w:color="000000" w:fill="FFFFFF"/>
          </w:tcPr>
          <w:p w:rsidR="009548C2" w:rsidRPr="00FE600A" w:rsidRDefault="009548C2" w:rsidP="00F2480D">
            <w:pPr>
              <w:rPr>
                <w:b/>
                <w:bCs/>
                <w:sz w:val="20"/>
                <w:szCs w:val="20"/>
              </w:rPr>
            </w:pPr>
            <w:r>
              <w:rPr>
                <w:b/>
                <w:bCs/>
                <w:sz w:val="20"/>
                <w:szCs w:val="20"/>
              </w:rPr>
              <w:t>6/15/12</w:t>
            </w:r>
          </w:p>
        </w:tc>
        <w:tc>
          <w:tcPr>
            <w:tcW w:w="1729" w:type="pct"/>
            <w:shd w:val="pct20" w:color="000000" w:fill="FFFFFF"/>
          </w:tcPr>
          <w:p w:rsidR="009548C2" w:rsidRPr="00FE600A" w:rsidRDefault="00E50576" w:rsidP="00DF6A27">
            <w:pPr>
              <w:rPr>
                <w:b/>
                <w:bCs/>
                <w:sz w:val="20"/>
                <w:szCs w:val="20"/>
              </w:rPr>
            </w:pPr>
            <w:r>
              <w:rPr>
                <w:b/>
                <w:bCs/>
                <w:sz w:val="20"/>
                <w:szCs w:val="20"/>
              </w:rPr>
              <w:t>Updated</w:t>
            </w:r>
            <w:r w:rsidR="009548C2">
              <w:rPr>
                <w:b/>
                <w:bCs/>
                <w:sz w:val="20"/>
                <w:szCs w:val="20"/>
              </w:rPr>
              <w:t xml:space="preserve"> NTGRs for DEER 2011</w:t>
            </w:r>
            <w:r>
              <w:rPr>
                <w:b/>
                <w:bCs/>
                <w:sz w:val="20"/>
                <w:szCs w:val="20"/>
              </w:rPr>
              <w:t xml:space="preserve">(Removed hours of operation table as document references </w:t>
            </w:r>
            <w:r w:rsidRPr="00E50576">
              <w:rPr>
                <w:b/>
                <w:bCs/>
                <w:sz w:val="20"/>
                <w:szCs w:val="20"/>
              </w:rPr>
              <w:t>WPSDGENRLG0999</w:t>
            </w:r>
            <w:r>
              <w:rPr>
                <w:b/>
                <w:bCs/>
                <w:sz w:val="20"/>
                <w:szCs w:val="20"/>
              </w:rPr>
              <w:t>, updated August 28, 2012)</w:t>
            </w:r>
          </w:p>
        </w:tc>
        <w:tc>
          <w:tcPr>
            <w:tcW w:w="1814" w:type="pct"/>
            <w:shd w:val="pct20" w:color="000000" w:fill="FFFFFF"/>
          </w:tcPr>
          <w:p w:rsidR="009548C2" w:rsidRPr="00D12624" w:rsidRDefault="009548C2" w:rsidP="00D12624">
            <w:pPr>
              <w:jc w:val="center"/>
              <w:rPr>
                <w:b/>
                <w:bCs/>
                <w:sz w:val="20"/>
                <w:szCs w:val="20"/>
              </w:rPr>
            </w:pPr>
            <w:r>
              <w:rPr>
                <w:b/>
                <w:bCs/>
                <w:sz w:val="20"/>
                <w:szCs w:val="20"/>
              </w:rPr>
              <w:t>Charles harmstead (SDGE)</w:t>
            </w:r>
          </w:p>
        </w:tc>
      </w:tr>
    </w:tbl>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Default="00E34D7E" w:rsidP="00E34D7E"/>
    <w:p w:rsidR="00E34D7E" w:rsidRPr="00E34D7E" w:rsidRDefault="00E34D7E" w:rsidP="00E34D7E"/>
    <w:p w:rsidR="00A37154" w:rsidRDefault="00A37154" w:rsidP="00E34D7E">
      <w:pPr>
        <w:pStyle w:val="Caption"/>
        <w:rPr>
          <w:sz w:val="28"/>
          <w:szCs w:val="28"/>
        </w:rPr>
      </w:pPr>
      <w:bookmarkStart w:id="4" w:name="_Toc186621650"/>
    </w:p>
    <w:p w:rsidR="00E34D7E" w:rsidRPr="00E34D7E" w:rsidRDefault="00E34D7E" w:rsidP="00E34D7E">
      <w:pPr>
        <w:pStyle w:val="Caption"/>
        <w:rPr>
          <w:sz w:val="28"/>
          <w:szCs w:val="28"/>
        </w:rPr>
      </w:pPr>
      <w:r w:rsidRPr="00E34D7E">
        <w:rPr>
          <w:sz w:val="28"/>
          <w:szCs w:val="28"/>
        </w:rPr>
        <w:t>Table of Contents</w:t>
      </w:r>
      <w:bookmarkEnd w:id="4"/>
    </w:p>
    <w:p w:rsidR="00DF6A27" w:rsidRPr="00DF6A27" w:rsidRDefault="000E5CA3">
      <w:pPr>
        <w:pStyle w:val="TOC1"/>
        <w:tabs>
          <w:tab w:val="right" w:leader="dot" w:pos="9350"/>
        </w:tabs>
        <w:rPr>
          <w:rFonts w:asciiTheme="minorHAnsi" w:eastAsiaTheme="minorEastAsia" w:hAnsiTheme="minorHAnsi" w:cstheme="minorBidi"/>
          <w:noProof/>
          <w:sz w:val="22"/>
          <w:szCs w:val="22"/>
        </w:rPr>
      </w:pPr>
      <w:r w:rsidRPr="000E5CA3">
        <w:rPr>
          <w:b/>
          <w:bCs/>
        </w:rPr>
        <w:fldChar w:fldCharType="begin"/>
      </w:r>
      <w:r w:rsidR="00E34D7E">
        <w:rPr>
          <w:b/>
          <w:bCs/>
        </w:rPr>
        <w:instrText xml:space="preserve"> TOC \o "1-3" \h \z \u </w:instrText>
      </w:r>
      <w:r w:rsidRPr="000E5CA3">
        <w:rPr>
          <w:b/>
          <w:bCs/>
        </w:rPr>
        <w:fldChar w:fldCharType="separate"/>
      </w:r>
      <w:hyperlink w:anchor="_Toc328480026" w:history="1">
        <w:r w:rsidR="00DF6A27" w:rsidRPr="00DF6A27">
          <w:rPr>
            <w:rStyle w:val="Hyperlink"/>
            <w:noProof/>
          </w:rPr>
          <w:t>Work Paper Approvals</w:t>
        </w:r>
        <w:r w:rsidR="00DF6A27" w:rsidRPr="00DF6A27">
          <w:rPr>
            <w:noProof/>
            <w:webHidden/>
          </w:rPr>
          <w:tab/>
        </w:r>
        <w:r w:rsidRPr="00DF6A27">
          <w:rPr>
            <w:noProof/>
            <w:webHidden/>
          </w:rPr>
          <w:fldChar w:fldCharType="begin"/>
        </w:r>
        <w:r w:rsidR="00DF6A27" w:rsidRPr="00DF6A27">
          <w:rPr>
            <w:noProof/>
            <w:webHidden/>
          </w:rPr>
          <w:instrText xml:space="preserve"> PAGEREF _Toc328480026 \h </w:instrText>
        </w:r>
        <w:r w:rsidRPr="00DF6A27">
          <w:rPr>
            <w:noProof/>
            <w:webHidden/>
          </w:rPr>
        </w:r>
        <w:r w:rsidRPr="00DF6A27">
          <w:rPr>
            <w:noProof/>
            <w:webHidden/>
          </w:rPr>
          <w:fldChar w:fldCharType="separate"/>
        </w:r>
        <w:r w:rsidR="00DF6A27" w:rsidRPr="00DF6A27">
          <w:rPr>
            <w:noProof/>
            <w:webHidden/>
          </w:rPr>
          <w:t>i</w:t>
        </w:r>
        <w:r w:rsidRPr="00DF6A27">
          <w:rPr>
            <w:noProof/>
            <w:webHidden/>
          </w:rPr>
          <w:fldChar w:fldCharType="end"/>
        </w:r>
      </w:hyperlink>
    </w:p>
    <w:p w:rsidR="00DF6A27" w:rsidRPr="00DF6A27" w:rsidRDefault="000E5CA3">
      <w:pPr>
        <w:pStyle w:val="TOC1"/>
        <w:tabs>
          <w:tab w:val="right" w:leader="dot" w:pos="9350"/>
        </w:tabs>
        <w:rPr>
          <w:rFonts w:asciiTheme="minorHAnsi" w:eastAsiaTheme="minorEastAsia" w:hAnsiTheme="minorHAnsi" w:cstheme="minorBidi"/>
          <w:noProof/>
          <w:sz w:val="22"/>
          <w:szCs w:val="22"/>
        </w:rPr>
      </w:pPr>
      <w:hyperlink w:anchor="_Toc328480027" w:history="1">
        <w:r w:rsidR="00DF6A27" w:rsidRPr="00DF6A27">
          <w:rPr>
            <w:rStyle w:val="Hyperlink"/>
            <w:noProof/>
          </w:rPr>
          <w:t>At-a-Glance Summary</w:t>
        </w:r>
        <w:r w:rsidR="00DF6A27" w:rsidRPr="00DF6A27">
          <w:rPr>
            <w:noProof/>
            <w:webHidden/>
          </w:rPr>
          <w:tab/>
        </w:r>
        <w:r w:rsidRPr="00DF6A27">
          <w:rPr>
            <w:noProof/>
            <w:webHidden/>
          </w:rPr>
          <w:fldChar w:fldCharType="begin"/>
        </w:r>
        <w:r w:rsidR="00DF6A27" w:rsidRPr="00DF6A27">
          <w:rPr>
            <w:noProof/>
            <w:webHidden/>
          </w:rPr>
          <w:instrText xml:space="preserve"> PAGEREF _Toc328480027 \h </w:instrText>
        </w:r>
        <w:r w:rsidRPr="00DF6A27">
          <w:rPr>
            <w:noProof/>
            <w:webHidden/>
          </w:rPr>
        </w:r>
        <w:r w:rsidRPr="00DF6A27">
          <w:rPr>
            <w:noProof/>
            <w:webHidden/>
          </w:rPr>
          <w:fldChar w:fldCharType="separate"/>
        </w:r>
        <w:r w:rsidR="00DF6A27" w:rsidRPr="00DF6A27">
          <w:rPr>
            <w:noProof/>
            <w:webHidden/>
          </w:rPr>
          <w:t>iv</w:t>
        </w:r>
        <w:r w:rsidRPr="00DF6A27">
          <w:rPr>
            <w:noProof/>
            <w:webHidden/>
          </w:rPr>
          <w:fldChar w:fldCharType="end"/>
        </w:r>
      </w:hyperlink>
    </w:p>
    <w:p w:rsidR="00DF6A27" w:rsidRPr="00DF6A27" w:rsidRDefault="000E5CA3">
      <w:pPr>
        <w:pStyle w:val="TOC1"/>
        <w:tabs>
          <w:tab w:val="right" w:leader="dot" w:pos="9350"/>
        </w:tabs>
        <w:rPr>
          <w:rFonts w:asciiTheme="minorHAnsi" w:eastAsiaTheme="minorEastAsia" w:hAnsiTheme="minorHAnsi" w:cstheme="minorBidi"/>
          <w:noProof/>
          <w:sz w:val="22"/>
          <w:szCs w:val="22"/>
        </w:rPr>
      </w:pPr>
      <w:hyperlink w:anchor="_Toc328480028" w:history="1">
        <w:r w:rsidR="00DF6A27" w:rsidRPr="00DF6A27">
          <w:rPr>
            <w:rStyle w:val="Hyperlink"/>
            <w:noProof/>
          </w:rPr>
          <w:t>Section 1. General Measure &amp; Baseline Data</w:t>
        </w:r>
        <w:r w:rsidR="00DF6A27" w:rsidRPr="00DF6A27">
          <w:rPr>
            <w:noProof/>
            <w:webHidden/>
          </w:rPr>
          <w:tab/>
        </w:r>
        <w:r w:rsidRPr="00DF6A27">
          <w:rPr>
            <w:noProof/>
            <w:webHidden/>
          </w:rPr>
          <w:fldChar w:fldCharType="begin"/>
        </w:r>
        <w:r w:rsidR="00DF6A27" w:rsidRPr="00DF6A27">
          <w:rPr>
            <w:noProof/>
            <w:webHidden/>
          </w:rPr>
          <w:instrText xml:space="preserve"> PAGEREF _Toc328480028 \h </w:instrText>
        </w:r>
        <w:r w:rsidRPr="00DF6A27">
          <w:rPr>
            <w:noProof/>
            <w:webHidden/>
          </w:rPr>
        </w:r>
        <w:r w:rsidRPr="00DF6A27">
          <w:rPr>
            <w:noProof/>
            <w:webHidden/>
          </w:rPr>
          <w:fldChar w:fldCharType="separate"/>
        </w:r>
        <w:r w:rsidR="00DF6A27" w:rsidRPr="00DF6A27">
          <w:rPr>
            <w:noProof/>
            <w:webHidden/>
          </w:rPr>
          <w:t>5</w:t>
        </w:r>
        <w:r w:rsidRPr="00DF6A27">
          <w:rPr>
            <w:noProof/>
            <w:webHidden/>
          </w:rPr>
          <w:fldChar w:fldCharType="end"/>
        </w:r>
      </w:hyperlink>
    </w:p>
    <w:p w:rsidR="00DF6A27" w:rsidRPr="00DF6A27" w:rsidRDefault="000E5CA3">
      <w:pPr>
        <w:pStyle w:val="TOC2"/>
        <w:tabs>
          <w:tab w:val="right" w:leader="dot" w:pos="9350"/>
        </w:tabs>
        <w:rPr>
          <w:rFonts w:asciiTheme="minorHAnsi" w:eastAsiaTheme="minorEastAsia" w:hAnsiTheme="minorHAnsi" w:cstheme="minorBidi"/>
          <w:noProof/>
          <w:sz w:val="22"/>
          <w:szCs w:val="22"/>
        </w:rPr>
      </w:pPr>
      <w:hyperlink w:anchor="_Toc328480029" w:history="1">
        <w:r w:rsidR="00DF6A27" w:rsidRPr="00DF6A27">
          <w:rPr>
            <w:rStyle w:val="Hyperlink"/>
            <w:noProof/>
          </w:rPr>
          <w:t>1.1 Measure Description &amp; Background</w:t>
        </w:r>
        <w:r w:rsidR="00DF6A27" w:rsidRPr="00DF6A27">
          <w:rPr>
            <w:noProof/>
            <w:webHidden/>
          </w:rPr>
          <w:tab/>
        </w:r>
        <w:r w:rsidRPr="00DF6A27">
          <w:rPr>
            <w:noProof/>
            <w:webHidden/>
          </w:rPr>
          <w:fldChar w:fldCharType="begin"/>
        </w:r>
        <w:r w:rsidR="00DF6A27" w:rsidRPr="00DF6A27">
          <w:rPr>
            <w:noProof/>
            <w:webHidden/>
          </w:rPr>
          <w:instrText xml:space="preserve"> PAGEREF _Toc328480029 \h </w:instrText>
        </w:r>
        <w:r w:rsidRPr="00DF6A27">
          <w:rPr>
            <w:noProof/>
            <w:webHidden/>
          </w:rPr>
        </w:r>
        <w:r w:rsidRPr="00DF6A27">
          <w:rPr>
            <w:noProof/>
            <w:webHidden/>
          </w:rPr>
          <w:fldChar w:fldCharType="separate"/>
        </w:r>
        <w:r w:rsidR="00DF6A27" w:rsidRPr="00DF6A27">
          <w:rPr>
            <w:noProof/>
            <w:webHidden/>
          </w:rPr>
          <w:t>5</w:t>
        </w:r>
        <w:r w:rsidRPr="00DF6A27">
          <w:rPr>
            <w:noProof/>
            <w:webHidden/>
          </w:rPr>
          <w:fldChar w:fldCharType="end"/>
        </w:r>
      </w:hyperlink>
    </w:p>
    <w:p w:rsidR="00DF6A27" w:rsidRPr="00DF6A27" w:rsidRDefault="000E5CA3">
      <w:pPr>
        <w:pStyle w:val="TOC2"/>
        <w:tabs>
          <w:tab w:val="right" w:leader="dot" w:pos="9350"/>
        </w:tabs>
        <w:rPr>
          <w:rFonts w:asciiTheme="minorHAnsi" w:eastAsiaTheme="minorEastAsia" w:hAnsiTheme="minorHAnsi" w:cstheme="minorBidi"/>
          <w:noProof/>
          <w:sz w:val="22"/>
          <w:szCs w:val="22"/>
        </w:rPr>
      </w:pPr>
      <w:hyperlink w:anchor="_Toc328480030" w:history="1">
        <w:r w:rsidR="00DF6A27" w:rsidRPr="00DF6A27">
          <w:rPr>
            <w:rStyle w:val="Hyperlink"/>
            <w:noProof/>
          </w:rPr>
          <w:t>1.2 DEER Differences Analysis</w:t>
        </w:r>
        <w:r w:rsidR="00DF6A27" w:rsidRPr="00DF6A27">
          <w:rPr>
            <w:noProof/>
            <w:webHidden/>
          </w:rPr>
          <w:tab/>
        </w:r>
        <w:r w:rsidRPr="00DF6A27">
          <w:rPr>
            <w:noProof/>
            <w:webHidden/>
          </w:rPr>
          <w:fldChar w:fldCharType="begin"/>
        </w:r>
        <w:r w:rsidR="00DF6A27" w:rsidRPr="00DF6A27">
          <w:rPr>
            <w:noProof/>
            <w:webHidden/>
          </w:rPr>
          <w:instrText xml:space="preserve"> PAGEREF _Toc328480030 \h </w:instrText>
        </w:r>
        <w:r w:rsidRPr="00DF6A27">
          <w:rPr>
            <w:noProof/>
            <w:webHidden/>
          </w:rPr>
        </w:r>
        <w:r w:rsidRPr="00DF6A27">
          <w:rPr>
            <w:noProof/>
            <w:webHidden/>
          </w:rPr>
          <w:fldChar w:fldCharType="separate"/>
        </w:r>
        <w:r w:rsidR="00DF6A27" w:rsidRPr="00DF6A27">
          <w:rPr>
            <w:noProof/>
            <w:webHidden/>
          </w:rPr>
          <w:t>6</w:t>
        </w:r>
        <w:r w:rsidRPr="00DF6A27">
          <w:rPr>
            <w:noProof/>
            <w:webHidden/>
          </w:rPr>
          <w:fldChar w:fldCharType="end"/>
        </w:r>
      </w:hyperlink>
    </w:p>
    <w:p w:rsidR="00DF6A27" w:rsidRPr="00DF6A27" w:rsidRDefault="000E5CA3">
      <w:pPr>
        <w:pStyle w:val="TOC2"/>
        <w:tabs>
          <w:tab w:val="right" w:leader="dot" w:pos="9350"/>
        </w:tabs>
        <w:rPr>
          <w:rFonts w:asciiTheme="minorHAnsi" w:eastAsiaTheme="minorEastAsia" w:hAnsiTheme="minorHAnsi" w:cstheme="minorBidi"/>
          <w:noProof/>
          <w:sz w:val="22"/>
          <w:szCs w:val="22"/>
        </w:rPr>
      </w:pPr>
      <w:hyperlink w:anchor="_Toc328480031" w:history="1">
        <w:r w:rsidR="00DF6A27" w:rsidRPr="00DF6A27">
          <w:rPr>
            <w:rStyle w:val="Hyperlink"/>
            <w:noProof/>
          </w:rPr>
          <w:t>1.3 Codes &amp; Standards Requirements Analysis</w:t>
        </w:r>
        <w:r w:rsidR="00DF6A27" w:rsidRPr="00DF6A27">
          <w:rPr>
            <w:noProof/>
            <w:webHidden/>
          </w:rPr>
          <w:tab/>
        </w:r>
        <w:r w:rsidRPr="00DF6A27">
          <w:rPr>
            <w:noProof/>
            <w:webHidden/>
          </w:rPr>
          <w:fldChar w:fldCharType="begin"/>
        </w:r>
        <w:r w:rsidR="00DF6A27" w:rsidRPr="00DF6A27">
          <w:rPr>
            <w:noProof/>
            <w:webHidden/>
          </w:rPr>
          <w:instrText xml:space="preserve"> PAGEREF _Toc328480031 \h </w:instrText>
        </w:r>
        <w:r w:rsidRPr="00DF6A27">
          <w:rPr>
            <w:noProof/>
            <w:webHidden/>
          </w:rPr>
        </w:r>
        <w:r w:rsidRPr="00DF6A27">
          <w:rPr>
            <w:noProof/>
            <w:webHidden/>
          </w:rPr>
          <w:fldChar w:fldCharType="separate"/>
        </w:r>
        <w:r w:rsidR="00DF6A27" w:rsidRPr="00DF6A27">
          <w:rPr>
            <w:noProof/>
            <w:webHidden/>
          </w:rPr>
          <w:t>7</w:t>
        </w:r>
        <w:r w:rsidRPr="00DF6A27">
          <w:rPr>
            <w:noProof/>
            <w:webHidden/>
          </w:rPr>
          <w:fldChar w:fldCharType="end"/>
        </w:r>
      </w:hyperlink>
    </w:p>
    <w:p w:rsidR="00DF6A27" w:rsidRPr="00DF6A27" w:rsidRDefault="000E5CA3">
      <w:pPr>
        <w:pStyle w:val="TOC2"/>
        <w:tabs>
          <w:tab w:val="right" w:leader="dot" w:pos="9350"/>
        </w:tabs>
        <w:rPr>
          <w:rFonts w:asciiTheme="minorHAnsi" w:eastAsiaTheme="minorEastAsia" w:hAnsiTheme="minorHAnsi" w:cstheme="minorBidi"/>
          <w:noProof/>
          <w:sz w:val="22"/>
          <w:szCs w:val="22"/>
        </w:rPr>
      </w:pPr>
      <w:hyperlink w:anchor="_Toc328480032" w:history="1">
        <w:r w:rsidR="00DF6A27" w:rsidRPr="00DF6A27">
          <w:rPr>
            <w:rStyle w:val="Hyperlink"/>
            <w:noProof/>
          </w:rPr>
          <w:t>1.4 EM&amp;V, Market Potential, and Other Studies</w:t>
        </w:r>
        <w:r w:rsidR="00DF6A27" w:rsidRPr="00DF6A27">
          <w:rPr>
            <w:noProof/>
            <w:webHidden/>
          </w:rPr>
          <w:tab/>
        </w:r>
        <w:r w:rsidRPr="00DF6A27">
          <w:rPr>
            <w:noProof/>
            <w:webHidden/>
          </w:rPr>
          <w:fldChar w:fldCharType="begin"/>
        </w:r>
        <w:r w:rsidR="00DF6A27" w:rsidRPr="00DF6A27">
          <w:rPr>
            <w:noProof/>
            <w:webHidden/>
          </w:rPr>
          <w:instrText xml:space="preserve"> PAGEREF _Toc328480032 \h </w:instrText>
        </w:r>
        <w:r w:rsidRPr="00DF6A27">
          <w:rPr>
            <w:noProof/>
            <w:webHidden/>
          </w:rPr>
        </w:r>
        <w:r w:rsidRPr="00DF6A27">
          <w:rPr>
            <w:noProof/>
            <w:webHidden/>
          </w:rPr>
          <w:fldChar w:fldCharType="separate"/>
        </w:r>
        <w:r w:rsidR="00DF6A27" w:rsidRPr="00DF6A27">
          <w:rPr>
            <w:noProof/>
            <w:webHidden/>
          </w:rPr>
          <w:t>8</w:t>
        </w:r>
        <w:r w:rsidRPr="00DF6A27">
          <w:rPr>
            <w:noProof/>
            <w:webHidden/>
          </w:rPr>
          <w:fldChar w:fldCharType="end"/>
        </w:r>
      </w:hyperlink>
    </w:p>
    <w:p w:rsidR="00DF6A27" w:rsidRPr="00DF6A27" w:rsidRDefault="000E5CA3">
      <w:pPr>
        <w:pStyle w:val="TOC2"/>
        <w:tabs>
          <w:tab w:val="right" w:leader="dot" w:pos="9350"/>
        </w:tabs>
        <w:rPr>
          <w:rFonts w:asciiTheme="minorHAnsi" w:eastAsiaTheme="minorEastAsia" w:hAnsiTheme="minorHAnsi" w:cstheme="minorBidi"/>
          <w:noProof/>
          <w:sz w:val="22"/>
          <w:szCs w:val="22"/>
        </w:rPr>
      </w:pPr>
      <w:hyperlink w:anchor="_Toc328480033" w:history="1">
        <w:r w:rsidR="00DF6A27" w:rsidRPr="00DF6A27">
          <w:rPr>
            <w:rStyle w:val="Hyperlink"/>
            <w:noProof/>
          </w:rPr>
          <w:t>1.5 Base Cases for Savings Estimates: Existing &amp; Above Code</w:t>
        </w:r>
        <w:r w:rsidR="00DF6A27" w:rsidRPr="00DF6A27">
          <w:rPr>
            <w:noProof/>
            <w:webHidden/>
          </w:rPr>
          <w:tab/>
        </w:r>
        <w:r w:rsidRPr="00DF6A27">
          <w:rPr>
            <w:noProof/>
            <w:webHidden/>
          </w:rPr>
          <w:fldChar w:fldCharType="begin"/>
        </w:r>
        <w:r w:rsidR="00DF6A27" w:rsidRPr="00DF6A27">
          <w:rPr>
            <w:noProof/>
            <w:webHidden/>
          </w:rPr>
          <w:instrText xml:space="preserve"> PAGEREF _Toc328480033 \h </w:instrText>
        </w:r>
        <w:r w:rsidRPr="00DF6A27">
          <w:rPr>
            <w:noProof/>
            <w:webHidden/>
          </w:rPr>
        </w:r>
        <w:r w:rsidRPr="00DF6A27">
          <w:rPr>
            <w:noProof/>
            <w:webHidden/>
          </w:rPr>
          <w:fldChar w:fldCharType="separate"/>
        </w:r>
        <w:r w:rsidR="00DF6A27" w:rsidRPr="00DF6A27">
          <w:rPr>
            <w:noProof/>
            <w:webHidden/>
          </w:rPr>
          <w:t>10</w:t>
        </w:r>
        <w:r w:rsidRPr="00DF6A27">
          <w:rPr>
            <w:noProof/>
            <w:webHidden/>
          </w:rPr>
          <w:fldChar w:fldCharType="end"/>
        </w:r>
      </w:hyperlink>
    </w:p>
    <w:p w:rsidR="00DF6A27" w:rsidRPr="00DF6A27" w:rsidRDefault="000E5CA3">
      <w:pPr>
        <w:pStyle w:val="TOC2"/>
        <w:tabs>
          <w:tab w:val="right" w:leader="dot" w:pos="9350"/>
        </w:tabs>
        <w:rPr>
          <w:rFonts w:asciiTheme="minorHAnsi" w:eastAsiaTheme="minorEastAsia" w:hAnsiTheme="minorHAnsi" w:cstheme="minorBidi"/>
          <w:noProof/>
          <w:sz w:val="22"/>
          <w:szCs w:val="22"/>
        </w:rPr>
      </w:pPr>
      <w:hyperlink w:anchor="_Toc328480034" w:history="1">
        <w:r w:rsidR="00DF6A27" w:rsidRPr="00DF6A27">
          <w:rPr>
            <w:rStyle w:val="Hyperlink"/>
            <w:noProof/>
          </w:rPr>
          <w:t>1.6 Measure Effective Useful Lives</w:t>
        </w:r>
        <w:r w:rsidR="00DF6A27" w:rsidRPr="00DF6A27">
          <w:rPr>
            <w:noProof/>
            <w:webHidden/>
          </w:rPr>
          <w:tab/>
        </w:r>
        <w:r w:rsidRPr="00DF6A27">
          <w:rPr>
            <w:noProof/>
            <w:webHidden/>
          </w:rPr>
          <w:fldChar w:fldCharType="begin"/>
        </w:r>
        <w:r w:rsidR="00DF6A27" w:rsidRPr="00DF6A27">
          <w:rPr>
            <w:noProof/>
            <w:webHidden/>
          </w:rPr>
          <w:instrText xml:space="preserve"> PAGEREF _Toc328480034 \h </w:instrText>
        </w:r>
        <w:r w:rsidRPr="00DF6A27">
          <w:rPr>
            <w:noProof/>
            <w:webHidden/>
          </w:rPr>
        </w:r>
        <w:r w:rsidRPr="00DF6A27">
          <w:rPr>
            <w:noProof/>
            <w:webHidden/>
          </w:rPr>
          <w:fldChar w:fldCharType="separate"/>
        </w:r>
        <w:r w:rsidR="00DF6A27" w:rsidRPr="00DF6A27">
          <w:rPr>
            <w:noProof/>
            <w:webHidden/>
          </w:rPr>
          <w:t>10</w:t>
        </w:r>
        <w:r w:rsidRPr="00DF6A27">
          <w:rPr>
            <w:noProof/>
            <w:webHidden/>
          </w:rPr>
          <w:fldChar w:fldCharType="end"/>
        </w:r>
      </w:hyperlink>
    </w:p>
    <w:p w:rsidR="00DF6A27" w:rsidRPr="00DF6A27" w:rsidRDefault="000E5CA3">
      <w:pPr>
        <w:pStyle w:val="TOC2"/>
        <w:tabs>
          <w:tab w:val="right" w:leader="dot" w:pos="9350"/>
        </w:tabs>
        <w:rPr>
          <w:rFonts w:asciiTheme="minorHAnsi" w:eastAsiaTheme="minorEastAsia" w:hAnsiTheme="minorHAnsi" w:cstheme="minorBidi"/>
          <w:noProof/>
          <w:sz w:val="22"/>
          <w:szCs w:val="22"/>
        </w:rPr>
      </w:pPr>
      <w:hyperlink w:anchor="_Toc328480035" w:history="1">
        <w:r w:rsidR="00DF6A27" w:rsidRPr="00DF6A27">
          <w:rPr>
            <w:rStyle w:val="Hyperlink"/>
            <w:noProof/>
          </w:rPr>
          <w:t>1.7 Net-to-Gross Ratios for Different Program Strategies</w:t>
        </w:r>
        <w:r w:rsidR="00DF6A27" w:rsidRPr="00DF6A27">
          <w:rPr>
            <w:noProof/>
            <w:webHidden/>
          </w:rPr>
          <w:tab/>
        </w:r>
        <w:r w:rsidRPr="00DF6A27">
          <w:rPr>
            <w:noProof/>
            <w:webHidden/>
          </w:rPr>
          <w:fldChar w:fldCharType="begin"/>
        </w:r>
        <w:r w:rsidR="00DF6A27" w:rsidRPr="00DF6A27">
          <w:rPr>
            <w:noProof/>
            <w:webHidden/>
          </w:rPr>
          <w:instrText xml:space="preserve"> PAGEREF _Toc328480035 \h </w:instrText>
        </w:r>
        <w:r w:rsidRPr="00DF6A27">
          <w:rPr>
            <w:noProof/>
            <w:webHidden/>
          </w:rPr>
        </w:r>
        <w:r w:rsidRPr="00DF6A27">
          <w:rPr>
            <w:noProof/>
            <w:webHidden/>
          </w:rPr>
          <w:fldChar w:fldCharType="separate"/>
        </w:r>
        <w:r w:rsidR="00DF6A27" w:rsidRPr="00DF6A27">
          <w:rPr>
            <w:noProof/>
            <w:webHidden/>
          </w:rPr>
          <w:t>11</w:t>
        </w:r>
        <w:r w:rsidRPr="00DF6A27">
          <w:rPr>
            <w:noProof/>
            <w:webHidden/>
          </w:rPr>
          <w:fldChar w:fldCharType="end"/>
        </w:r>
      </w:hyperlink>
    </w:p>
    <w:p w:rsidR="00DF6A27" w:rsidRPr="00DF6A27" w:rsidRDefault="000E5CA3">
      <w:pPr>
        <w:pStyle w:val="TOC1"/>
        <w:tabs>
          <w:tab w:val="right" w:leader="dot" w:pos="9350"/>
        </w:tabs>
        <w:rPr>
          <w:rFonts w:asciiTheme="minorHAnsi" w:eastAsiaTheme="minorEastAsia" w:hAnsiTheme="minorHAnsi" w:cstheme="minorBidi"/>
          <w:noProof/>
          <w:sz w:val="22"/>
          <w:szCs w:val="22"/>
        </w:rPr>
      </w:pPr>
      <w:hyperlink w:anchor="_Toc328480036" w:history="1">
        <w:r w:rsidR="00DF6A27" w:rsidRPr="00DF6A27">
          <w:rPr>
            <w:rStyle w:val="Hyperlink"/>
            <w:noProof/>
          </w:rPr>
          <w:t>Section 2. Calculation Methods</w:t>
        </w:r>
        <w:r w:rsidR="00DF6A27" w:rsidRPr="00DF6A27">
          <w:rPr>
            <w:noProof/>
            <w:webHidden/>
          </w:rPr>
          <w:tab/>
        </w:r>
        <w:r w:rsidRPr="00DF6A27">
          <w:rPr>
            <w:noProof/>
            <w:webHidden/>
          </w:rPr>
          <w:fldChar w:fldCharType="begin"/>
        </w:r>
        <w:r w:rsidR="00DF6A27" w:rsidRPr="00DF6A27">
          <w:rPr>
            <w:noProof/>
            <w:webHidden/>
          </w:rPr>
          <w:instrText xml:space="preserve"> PAGEREF _Toc328480036 \h </w:instrText>
        </w:r>
        <w:r w:rsidRPr="00DF6A27">
          <w:rPr>
            <w:noProof/>
            <w:webHidden/>
          </w:rPr>
        </w:r>
        <w:r w:rsidRPr="00DF6A27">
          <w:rPr>
            <w:noProof/>
            <w:webHidden/>
          </w:rPr>
          <w:fldChar w:fldCharType="separate"/>
        </w:r>
        <w:r w:rsidR="00DF6A27" w:rsidRPr="00DF6A27">
          <w:rPr>
            <w:noProof/>
            <w:webHidden/>
          </w:rPr>
          <w:t>11</w:t>
        </w:r>
        <w:r w:rsidRPr="00DF6A27">
          <w:rPr>
            <w:noProof/>
            <w:webHidden/>
          </w:rPr>
          <w:fldChar w:fldCharType="end"/>
        </w:r>
      </w:hyperlink>
    </w:p>
    <w:p w:rsidR="00DF6A27" w:rsidRPr="00DF6A27" w:rsidRDefault="000E5CA3">
      <w:pPr>
        <w:pStyle w:val="TOC2"/>
        <w:tabs>
          <w:tab w:val="right" w:leader="dot" w:pos="9350"/>
        </w:tabs>
        <w:rPr>
          <w:rFonts w:asciiTheme="minorHAnsi" w:eastAsiaTheme="minorEastAsia" w:hAnsiTheme="minorHAnsi" w:cstheme="minorBidi"/>
          <w:noProof/>
          <w:sz w:val="22"/>
          <w:szCs w:val="22"/>
        </w:rPr>
      </w:pPr>
      <w:hyperlink w:anchor="_Toc328480037" w:history="1">
        <w:r w:rsidR="00DF6A27" w:rsidRPr="00DF6A27">
          <w:rPr>
            <w:rStyle w:val="Hyperlink"/>
            <w:noProof/>
          </w:rPr>
          <w:t>2.1 Electric Energy Savings Estimation Methodologies</w:t>
        </w:r>
        <w:r w:rsidR="00DF6A27" w:rsidRPr="00DF6A27">
          <w:rPr>
            <w:noProof/>
            <w:webHidden/>
          </w:rPr>
          <w:tab/>
        </w:r>
        <w:r w:rsidRPr="00DF6A27">
          <w:rPr>
            <w:noProof/>
            <w:webHidden/>
          </w:rPr>
          <w:fldChar w:fldCharType="begin"/>
        </w:r>
        <w:r w:rsidR="00DF6A27" w:rsidRPr="00DF6A27">
          <w:rPr>
            <w:noProof/>
            <w:webHidden/>
          </w:rPr>
          <w:instrText xml:space="preserve"> PAGEREF _Toc328480037 \h </w:instrText>
        </w:r>
        <w:r w:rsidRPr="00DF6A27">
          <w:rPr>
            <w:noProof/>
            <w:webHidden/>
          </w:rPr>
        </w:r>
        <w:r w:rsidRPr="00DF6A27">
          <w:rPr>
            <w:noProof/>
            <w:webHidden/>
          </w:rPr>
          <w:fldChar w:fldCharType="separate"/>
        </w:r>
        <w:r w:rsidR="00DF6A27" w:rsidRPr="00DF6A27">
          <w:rPr>
            <w:noProof/>
            <w:webHidden/>
          </w:rPr>
          <w:t>11</w:t>
        </w:r>
        <w:r w:rsidRPr="00DF6A27">
          <w:rPr>
            <w:noProof/>
            <w:webHidden/>
          </w:rPr>
          <w:fldChar w:fldCharType="end"/>
        </w:r>
      </w:hyperlink>
    </w:p>
    <w:p w:rsidR="00DF6A27" w:rsidRPr="00DF6A27" w:rsidRDefault="000E5CA3">
      <w:pPr>
        <w:pStyle w:val="TOC2"/>
        <w:tabs>
          <w:tab w:val="right" w:leader="dot" w:pos="9350"/>
        </w:tabs>
        <w:rPr>
          <w:rFonts w:asciiTheme="minorHAnsi" w:eastAsiaTheme="minorEastAsia" w:hAnsiTheme="minorHAnsi" w:cstheme="minorBidi"/>
          <w:noProof/>
          <w:sz w:val="22"/>
          <w:szCs w:val="22"/>
        </w:rPr>
      </w:pPr>
      <w:hyperlink w:anchor="_Toc328480038" w:history="1">
        <w:r w:rsidR="00DF6A27" w:rsidRPr="00DF6A27">
          <w:rPr>
            <w:rStyle w:val="Hyperlink"/>
            <w:noProof/>
          </w:rPr>
          <w:t>2.2. Demand Reduction Estimation Methodologies</w:t>
        </w:r>
        <w:r w:rsidR="00DF6A27" w:rsidRPr="00DF6A27">
          <w:rPr>
            <w:noProof/>
            <w:webHidden/>
          </w:rPr>
          <w:tab/>
        </w:r>
        <w:r w:rsidRPr="00DF6A27">
          <w:rPr>
            <w:noProof/>
            <w:webHidden/>
          </w:rPr>
          <w:fldChar w:fldCharType="begin"/>
        </w:r>
        <w:r w:rsidR="00DF6A27" w:rsidRPr="00DF6A27">
          <w:rPr>
            <w:noProof/>
            <w:webHidden/>
          </w:rPr>
          <w:instrText xml:space="preserve"> PAGEREF _Toc328480038 \h </w:instrText>
        </w:r>
        <w:r w:rsidRPr="00DF6A27">
          <w:rPr>
            <w:noProof/>
            <w:webHidden/>
          </w:rPr>
        </w:r>
        <w:r w:rsidRPr="00DF6A27">
          <w:rPr>
            <w:noProof/>
            <w:webHidden/>
          </w:rPr>
          <w:fldChar w:fldCharType="separate"/>
        </w:r>
        <w:r w:rsidR="00DF6A27" w:rsidRPr="00DF6A27">
          <w:rPr>
            <w:noProof/>
            <w:webHidden/>
          </w:rPr>
          <w:t>12</w:t>
        </w:r>
        <w:r w:rsidRPr="00DF6A27">
          <w:rPr>
            <w:noProof/>
            <w:webHidden/>
          </w:rPr>
          <w:fldChar w:fldCharType="end"/>
        </w:r>
      </w:hyperlink>
    </w:p>
    <w:p w:rsidR="00DF6A27" w:rsidRPr="00DF6A27" w:rsidRDefault="000E5CA3">
      <w:pPr>
        <w:pStyle w:val="TOC1"/>
        <w:tabs>
          <w:tab w:val="right" w:leader="dot" w:pos="9350"/>
        </w:tabs>
        <w:rPr>
          <w:rFonts w:asciiTheme="minorHAnsi" w:eastAsiaTheme="minorEastAsia" w:hAnsiTheme="minorHAnsi" w:cstheme="minorBidi"/>
          <w:noProof/>
          <w:sz w:val="22"/>
          <w:szCs w:val="22"/>
        </w:rPr>
      </w:pPr>
      <w:hyperlink w:anchor="_Toc328480039" w:history="1">
        <w:r w:rsidR="00DF6A27" w:rsidRPr="00DF6A27">
          <w:rPr>
            <w:rStyle w:val="Hyperlink"/>
            <w:noProof/>
          </w:rPr>
          <w:t>2.3 Gas Energy Saving Estimation</w:t>
        </w:r>
        <w:r w:rsidR="00DF6A27" w:rsidRPr="00DF6A27">
          <w:rPr>
            <w:noProof/>
            <w:webHidden/>
          </w:rPr>
          <w:tab/>
        </w:r>
        <w:r w:rsidRPr="00DF6A27">
          <w:rPr>
            <w:noProof/>
            <w:webHidden/>
          </w:rPr>
          <w:fldChar w:fldCharType="begin"/>
        </w:r>
        <w:r w:rsidR="00DF6A27" w:rsidRPr="00DF6A27">
          <w:rPr>
            <w:noProof/>
            <w:webHidden/>
          </w:rPr>
          <w:instrText xml:space="preserve"> PAGEREF _Toc328480039 \h </w:instrText>
        </w:r>
        <w:r w:rsidRPr="00DF6A27">
          <w:rPr>
            <w:noProof/>
            <w:webHidden/>
          </w:rPr>
        </w:r>
        <w:r w:rsidRPr="00DF6A27">
          <w:rPr>
            <w:noProof/>
            <w:webHidden/>
          </w:rPr>
          <w:fldChar w:fldCharType="separate"/>
        </w:r>
        <w:r w:rsidR="00DF6A27" w:rsidRPr="00DF6A27">
          <w:rPr>
            <w:noProof/>
            <w:webHidden/>
          </w:rPr>
          <w:t>12</w:t>
        </w:r>
        <w:r w:rsidRPr="00DF6A27">
          <w:rPr>
            <w:noProof/>
            <w:webHidden/>
          </w:rPr>
          <w:fldChar w:fldCharType="end"/>
        </w:r>
      </w:hyperlink>
    </w:p>
    <w:p w:rsidR="00DF6A27" w:rsidRPr="00DF6A27" w:rsidRDefault="000E5CA3">
      <w:pPr>
        <w:pStyle w:val="TOC1"/>
        <w:tabs>
          <w:tab w:val="right" w:leader="dot" w:pos="9350"/>
        </w:tabs>
        <w:rPr>
          <w:rFonts w:asciiTheme="minorHAnsi" w:eastAsiaTheme="minorEastAsia" w:hAnsiTheme="minorHAnsi" w:cstheme="minorBidi"/>
          <w:noProof/>
          <w:sz w:val="22"/>
          <w:szCs w:val="22"/>
        </w:rPr>
      </w:pPr>
      <w:hyperlink w:anchor="_Toc328480040" w:history="1">
        <w:r w:rsidR="00DF6A27" w:rsidRPr="00DF6A27">
          <w:rPr>
            <w:rStyle w:val="Hyperlink"/>
            <w:noProof/>
          </w:rPr>
          <w:t>For a summary of savings values, refer to embedded excel calculation sheet.</w:t>
        </w:r>
        <w:r w:rsidR="00DF6A27" w:rsidRPr="00DF6A27">
          <w:rPr>
            <w:noProof/>
            <w:webHidden/>
          </w:rPr>
          <w:tab/>
        </w:r>
        <w:r w:rsidRPr="00DF6A27">
          <w:rPr>
            <w:noProof/>
            <w:webHidden/>
          </w:rPr>
          <w:fldChar w:fldCharType="begin"/>
        </w:r>
        <w:r w:rsidR="00DF6A27" w:rsidRPr="00DF6A27">
          <w:rPr>
            <w:noProof/>
            <w:webHidden/>
          </w:rPr>
          <w:instrText xml:space="preserve"> PAGEREF _Toc328480040 \h </w:instrText>
        </w:r>
        <w:r w:rsidRPr="00DF6A27">
          <w:rPr>
            <w:noProof/>
            <w:webHidden/>
          </w:rPr>
        </w:r>
        <w:r w:rsidRPr="00DF6A27">
          <w:rPr>
            <w:noProof/>
            <w:webHidden/>
          </w:rPr>
          <w:fldChar w:fldCharType="separate"/>
        </w:r>
        <w:r w:rsidR="00DF6A27" w:rsidRPr="00DF6A27">
          <w:rPr>
            <w:noProof/>
            <w:webHidden/>
          </w:rPr>
          <w:t>12</w:t>
        </w:r>
        <w:r w:rsidRPr="00DF6A27">
          <w:rPr>
            <w:noProof/>
            <w:webHidden/>
          </w:rPr>
          <w:fldChar w:fldCharType="end"/>
        </w:r>
      </w:hyperlink>
    </w:p>
    <w:p w:rsidR="00DF6A27" w:rsidRPr="00DF6A27" w:rsidRDefault="000E5CA3">
      <w:pPr>
        <w:pStyle w:val="TOC1"/>
        <w:tabs>
          <w:tab w:val="right" w:leader="dot" w:pos="9350"/>
        </w:tabs>
        <w:rPr>
          <w:rFonts w:asciiTheme="minorHAnsi" w:eastAsiaTheme="minorEastAsia" w:hAnsiTheme="minorHAnsi" w:cstheme="minorBidi"/>
          <w:noProof/>
          <w:sz w:val="22"/>
          <w:szCs w:val="22"/>
        </w:rPr>
      </w:pPr>
      <w:hyperlink w:anchor="_Toc328480041" w:history="1">
        <w:r w:rsidR="00DF6A27" w:rsidRPr="00DF6A27">
          <w:rPr>
            <w:rStyle w:val="Hyperlink"/>
            <w:noProof/>
          </w:rPr>
          <w:t>Section 3. Load Shapes</w:t>
        </w:r>
        <w:r w:rsidR="00DF6A27" w:rsidRPr="00DF6A27">
          <w:rPr>
            <w:noProof/>
            <w:webHidden/>
          </w:rPr>
          <w:tab/>
        </w:r>
        <w:r w:rsidRPr="00DF6A27">
          <w:rPr>
            <w:noProof/>
            <w:webHidden/>
          </w:rPr>
          <w:fldChar w:fldCharType="begin"/>
        </w:r>
        <w:r w:rsidR="00DF6A27" w:rsidRPr="00DF6A27">
          <w:rPr>
            <w:noProof/>
            <w:webHidden/>
          </w:rPr>
          <w:instrText xml:space="preserve"> PAGEREF _Toc328480041 \h </w:instrText>
        </w:r>
        <w:r w:rsidRPr="00DF6A27">
          <w:rPr>
            <w:noProof/>
            <w:webHidden/>
          </w:rPr>
        </w:r>
        <w:r w:rsidRPr="00DF6A27">
          <w:rPr>
            <w:noProof/>
            <w:webHidden/>
          </w:rPr>
          <w:fldChar w:fldCharType="separate"/>
        </w:r>
        <w:r w:rsidR="00DF6A27" w:rsidRPr="00DF6A27">
          <w:rPr>
            <w:noProof/>
            <w:webHidden/>
          </w:rPr>
          <w:t>12</w:t>
        </w:r>
        <w:r w:rsidRPr="00DF6A27">
          <w:rPr>
            <w:noProof/>
            <w:webHidden/>
          </w:rPr>
          <w:fldChar w:fldCharType="end"/>
        </w:r>
      </w:hyperlink>
    </w:p>
    <w:p w:rsidR="00DF6A27" w:rsidRPr="00DF6A27" w:rsidRDefault="000E5CA3" w:rsidP="00DF6A27">
      <w:pPr>
        <w:pStyle w:val="TOC2"/>
        <w:tabs>
          <w:tab w:val="right" w:leader="dot" w:pos="9350"/>
        </w:tabs>
        <w:rPr>
          <w:rStyle w:val="Hyperlink"/>
        </w:rPr>
      </w:pPr>
      <w:hyperlink w:anchor="_Toc328480042" w:history="1">
        <w:r w:rsidR="00DF6A27" w:rsidRPr="00DF6A27">
          <w:rPr>
            <w:rStyle w:val="Hyperlink"/>
            <w:noProof/>
          </w:rPr>
          <w:t>3.1 Base Case Load Shapes</w:t>
        </w:r>
        <w:r w:rsidR="00DF6A27" w:rsidRPr="00DF6A27">
          <w:rPr>
            <w:rStyle w:val="Hyperlink"/>
            <w:webHidden/>
          </w:rPr>
          <w:tab/>
        </w:r>
        <w:r w:rsidRPr="00DF6A27">
          <w:rPr>
            <w:rStyle w:val="Hyperlink"/>
            <w:webHidden/>
          </w:rPr>
          <w:fldChar w:fldCharType="begin"/>
        </w:r>
        <w:r w:rsidR="00DF6A27" w:rsidRPr="00DF6A27">
          <w:rPr>
            <w:rStyle w:val="Hyperlink"/>
            <w:webHidden/>
          </w:rPr>
          <w:instrText xml:space="preserve"> PAGEREF _Toc328480042 \h </w:instrText>
        </w:r>
        <w:r w:rsidRPr="00DF6A27">
          <w:rPr>
            <w:rStyle w:val="Hyperlink"/>
            <w:webHidden/>
          </w:rPr>
        </w:r>
        <w:r w:rsidRPr="00DF6A27">
          <w:rPr>
            <w:rStyle w:val="Hyperlink"/>
            <w:webHidden/>
          </w:rPr>
          <w:fldChar w:fldCharType="separate"/>
        </w:r>
        <w:r w:rsidR="00DF6A27" w:rsidRPr="00DF6A27">
          <w:rPr>
            <w:rStyle w:val="Hyperlink"/>
            <w:webHidden/>
          </w:rPr>
          <w:t>13</w:t>
        </w:r>
        <w:r w:rsidRPr="00DF6A27">
          <w:rPr>
            <w:rStyle w:val="Hyperlink"/>
            <w:webHidden/>
          </w:rPr>
          <w:fldChar w:fldCharType="end"/>
        </w:r>
      </w:hyperlink>
    </w:p>
    <w:p w:rsidR="00DF6A27" w:rsidRPr="00DF6A27" w:rsidRDefault="000E5CA3" w:rsidP="00DF6A27">
      <w:pPr>
        <w:pStyle w:val="TOC2"/>
        <w:tabs>
          <w:tab w:val="right" w:leader="dot" w:pos="9350"/>
        </w:tabs>
        <w:rPr>
          <w:rStyle w:val="Hyperlink"/>
        </w:rPr>
      </w:pPr>
      <w:hyperlink w:anchor="_Toc328480043" w:history="1">
        <w:r w:rsidR="00DF6A27" w:rsidRPr="00DF6A27">
          <w:rPr>
            <w:rStyle w:val="Hyperlink"/>
            <w:noProof/>
          </w:rPr>
          <w:t>3.2 Measure Load Shapes</w:t>
        </w:r>
        <w:r w:rsidR="00DF6A27" w:rsidRPr="00DF6A27">
          <w:rPr>
            <w:rStyle w:val="Hyperlink"/>
            <w:webHidden/>
          </w:rPr>
          <w:tab/>
        </w:r>
        <w:r w:rsidRPr="00DF6A27">
          <w:rPr>
            <w:rStyle w:val="Hyperlink"/>
            <w:webHidden/>
          </w:rPr>
          <w:fldChar w:fldCharType="begin"/>
        </w:r>
        <w:r w:rsidR="00DF6A27" w:rsidRPr="00DF6A27">
          <w:rPr>
            <w:rStyle w:val="Hyperlink"/>
            <w:webHidden/>
          </w:rPr>
          <w:instrText xml:space="preserve"> PAGEREF _Toc328480043 \h </w:instrText>
        </w:r>
        <w:r w:rsidRPr="00DF6A27">
          <w:rPr>
            <w:rStyle w:val="Hyperlink"/>
            <w:webHidden/>
          </w:rPr>
        </w:r>
        <w:r w:rsidRPr="00DF6A27">
          <w:rPr>
            <w:rStyle w:val="Hyperlink"/>
            <w:webHidden/>
          </w:rPr>
          <w:fldChar w:fldCharType="separate"/>
        </w:r>
        <w:r w:rsidR="00DF6A27" w:rsidRPr="00DF6A27">
          <w:rPr>
            <w:rStyle w:val="Hyperlink"/>
            <w:webHidden/>
          </w:rPr>
          <w:t>13</w:t>
        </w:r>
        <w:r w:rsidRPr="00DF6A27">
          <w:rPr>
            <w:rStyle w:val="Hyperlink"/>
            <w:webHidden/>
          </w:rPr>
          <w:fldChar w:fldCharType="end"/>
        </w:r>
      </w:hyperlink>
    </w:p>
    <w:p w:rsidR="00DF6A27" w:rsidRPr="00DF6A27" w:rsidRDefault="000E5CA3">
      <w:pPr>
        <w:pStyle w:val="TOC1"/>
        <w:tabs>
          <w:tab w:val="right" w:leader="dot" w:pos="9350"/>
        </w:tabs>
        <w:rPr>
          <w:rFonts w:asciiTheme="minorHAnsi" w:eastAsiaTheme="minorEastAsia" w:hAnsiTheme="minorHAnsi" w:cstheme="minorBidi"/>
          <w:noProof/>
          <w:sz w:val="22"/>
          <w:szCs w:val="22"/>
        </w:rPr>
      </w:pPr>
      <w:hyperlink w:anchor="_Toc328480044" w:history="1">
        <w:r w:rsidR="00DF6A27" w:rsidRPr="00DF6A27">
          <w:rPr>
            <w:rStyle w:val="Hyperlink"/>
            <w:noProof/>
          </w:rPr>
          <w:t>Section 4. Base Case &amp; Measure Costs</w:t>
        </w:r>
        <w:r w:rsidR="00DF6A27" w:rsidRPr="00DF6A27">
          <w:rPr>
            <w:noProof/>
            <w:webHidden/>
          </w:rPr>
          <w:tab/>
        </w:r>
        <w:r w:rsidRPr="00DF6A27">
          <w:rPr>
            <w:noProof/>
            <w:webHidden/>
          </w:rPr>
          <w:fldChar w:fldCharType="begin"/>
        </w:r>
        <w:r w:rsidR="00DF6A27" w:rsidRPr="00DF6A27">
          <w:rPr>
            <w:noProof/>
            <w:webHidden/>
          </w:rPr>
          <w:instrText xml:space="preserve"> PAGEREF _Toc328480044 \h </w:instrText>
        </w:r>
        <w:r w:rsidRPr="00DF6A27">
          <w:rPr>
            <w:noProof/>
            <w:webHidden/>
          </w:rPr>
        </w:r>
        <w:r w:rsidRPr="00DF6A27">
          <w:rPr>
            <w:noProof/>
            <w:webHidden/>
          </w:rPr>
          <w:fldChar w:fldCharType="separate"/>
        </w:r>
        <w:r w:rsidR="00DF6A27" w:rsidRPr="00DF6A27">
          <w:rPr>
            <w:noProof/>
            <w:webHidden/>
          </w:rPr>
          <w:t>13</w:t>
        </w:r>
        <w:r w:rsidRPr="00DF6A27">
          <w:rPr>
            <w:noProof/>
            <w:webHidden/>
          </w:rPr>
          <w:fldChar w:fldCharType="end"/>
        </w:r>
      </w:hyperlink>
    </w:p>
    <w:p w:rsidR="00DF6A27" w:rsidRPr="00DF6A27" w:rsidRDefault="000E5CA3">
      <w:pPr>
        <w:pStyle w:val="TOC2"/>
        <w:tabs>
          <w:tab w:val="right" w:leader="dot" w:pos="9350"/>
        </w:tabs>
        <w:rPr>
          <w:rFonts w:asciiTheme="minorHAnsi" w:eastAsiaTheme="minorEastAsia" w:hAnsiTheme="minorHAnsi" w:cstheme="minorBidi"/>
          <w:noProof/>
          <w:sz w:val="22"/>
          <w:szCs w:val="22"/>
        </w:rPr>
      </w:pPr>
      <w:hyperlink w:anchor="_Toc328480045" w:history="1">
        <w:r w:rsidR="00DF6A27" w:rsidRPr="00DF6A27">
          <w:rPr>
            <w:rStyle w:val="Hyperlink"/>
            <w:noProof/>
          </w:rPr>
          <w:t>4.1 Base Case(s) Costs</w:t>
        </w:r>
        <w:r w:rsidR="00DF6A27" w:rsidRPr="00DF6A27">
          <w:rPr>
            <w:noProof/>
            <w:webHidden/>
          </w:rPr>
          <w:tab/>
        </w:r>
        <w:r w:rsidRPr="00DF6A27">
          <w:rPr>
            <w:noProof/>
            <w:webHidden/>
          </w:rPr>
          <w:fldChar w:fldCharType="begin"/>
        </w:r>
        <w:r w:rsidR="00DF6A27" w:rsidRPr="00DF6A27">
          <w:rPr>
            <w:noProof/>
            <w:webHidden/>
          </w:rPr>
          <w:instrText xml:space="preserve"> PAGEREF _Toc328480045 \h </w:instrText>
        </w:r>
        <w:r w:rsidRPr="00DF6A27">
          <w:rPr>
            <w:noProof/>
            <w:webHidden/>
          </w:rPr>
        </w:r>
        <w:r w:rsidRPr="00DF6A27">
          <w:rPr>
            <w:noProof/>
            <w:webHidden/>
          </w:rPr>
          <w:fldChar w:fldCharType="separate"/>
        </w:r>
        <w:r w:rsidR="00DF6A27" w:rsidRPr="00DF6A27">
          <w:rPr>
            <w:noProof/>
            <w:webHidden/>
          </w:rPr>
          <w:t>13</w:t>
        </w:r>
        <w:r w:rsidRPr="00DF6A27">
          <w:rPr>
            <w:noProof/>
            <w:webHidden/>
          </w:rPr>
          <w:fldChar w:fldCharType="end"/>
        </w:r>
      </w:hyperlink>
    </w:p>
    <w:p w:rsidR="00DF6A27" w:rsidRPr="00DF6A27" w:rsidRDefault="000E5CA3">
      <w:pPr>
        <w:pStyle w:val="TOC2"/>
        <w:tabs>
          <w:tab w:val="right" w:leader="dot" w:pos="9350"/>
        </w:tabs>
        <w:rPr>
          <w:rFonts w:asciiTheme="minorHAnsi" w:eastAsiaTheme="minorEastAsia" w:hAnsiTheme="minorHAnsi" w:cstheme="minorBidi"/>
          <w:noProof/>
          <w:sz w:val="22"/>
          <w:szCs w:val="22"/>
        </w:rPr>
      </w:pPr>
      <w:hyperlink w:anchor="_Toc328480046" w:history="1">
        <w:r w:rsidR="00DF6A27" w:rsidRPr="00DF6A27">
          <w:rPr>
            <w:rStyle w:val="Hyperlink"/>
            <w:noProof/>
          </w:rPr>
          <w:t>4.2 Measure Costs</w:t>
        </w:r>
        <w:r w:rsidR="00DF6A27" w:rsidRPr="00DF6A27">
          <w:rPr>
            <w:noProof/>
            <w:webHidden/>
          </w:rPr>
          <w:tab/>
        </w:r>
        <w:r w:rsidRPr="00DF6A27">
          <w:rPr>
            <w:noProof/>
            <w:webHidden/>
          </w:rPr>
          <w:fldChar w:fldCharType="begin"/>
        </w:r>
        <w:r w:rsidR="00DF6A27" w:rsidRPr="00DF6A27">
          <w:rPr>
            <w:noProof/>
            <w:webHidden/>
          </w:rPr>
          <w:instrText xml:space="preserve"> PAGEREF _Toc328480046 \h </w:instrText>
        </w:r>
        <w:r w:rsidRPr="00DF6A27">
          <w:rPr>
            <w:noProof/>
            <w:webHidden/>
          </w:rPr>
        </w:r>
        <w:r w:rsidRPr="00DF6A27">
          <w:rPr>
            <w:noProof/>
            <w:webHidden/>
          </w:rPr>
          <w:fldChar w:fldCharType="separate"/>
        </w:r>
        <w:r w:rsidR="00DF6A27" w:rsidRPr="00DF6A27">
          <w:rPr>
            <w:noProof/>
            <w:webHidden/>
          </w:rPr>
          <w:t>13</w:t>
        </w:r>
        <w:r w:rsidRPr="00DF6A27">
          <w:rPr>
            <w:noProof/>
            <w:webHidden/>
          </w:rPr>
          <w:fldChar w:fldCharType="end"/>
        </w:r>
      </w:hyperlink>
    </w:p>
    <w:p w:rsidR="00DF6A27" w:rsidRPr="00DF6A27" w:rsidRDefault="000E5CA3">
      <w:pPr>
        <w:pStyle w:val="TOC2"/>
        <w:tabs>
          <w:tab w:val="right" w:leader="dot" w:pos="9350"/>
        </w:tabs>
        <w:rPr>
          <w:rFonts w:asciiTheme="minorHAnsi" w:eastAsiaTheme="minorEastAsia" w:hAnsiTheme="minorHAnsi" w:cstheme="minorBidi"/>
          <w:noProof/>
          <w:sz w:val="22"/>
          <w:szCs w:val="22"/>
        </w:rPr>
      </w:pPr>
      <w:hyperlink w:anchor="_Toc328480047" w:history="1">
        <w:r w:rsidR="00DF6A27" w:rsidRPr="00DF6A27">
          <w:rPr>
            <w:rStyle w:val="Hyperlink"/>
            <w:noProof/>
          </w:rPr>
          <w:t>4.3 Incremental &amp; Full Measure Costs</w:t>
        </w:r>
        <w:r w:rsidR="00DF6A27" w:rsidRPr="00DF6A27">
          <w:rPr>
            <w:noProof/>
            <w:webHidden/>
          </w:rPr>
          <w:tab/>
        </w:r>
        <w:r w:rsidRPr="00DF6A27">
          <w:rPr>
            <w:noProof/>
            <w:webHidden/>
          </w:rPr>
          <w:fldChar w:fldCharType="begin"/>
        </w:r>
        <w:r w:rsidR="00DF6A27" w:rsidRPr="00DF6A27">
          <w:rPr>
            <w:noProof/>
            <w:webHidden/>
          </w:rPr>
          <w:instrText xml:space="preserve"> PAGEREF _Toc328480047 \h </w:instrText>
        </w:r>
        <w:r w:rsidRPr="00DF6A27">
          <w:rPr>
            <w:noProof/>
            <w:webHidden/>
          </w:rPr>
        </w:r>
        <w:r w:rsidRPr="00DF6A27">
          <w:rPr>
            <w:noProof/>
            <w:webHidden/>
          </w:rPr>
          <w:fldChar w:fldCharType="separate"/>
        </w:r>
        <w:r w:rsidR="00DF6A27" w:rsidRPr="00DF6A27">
          <w:rPr>
            <w:noProof/>
            <w:webHidden/>
          </w:rPr>
          <w:t>13</w:t>
        </w:r>
        <w:r w:rsidRPr="00DF6A27">
          <w:rPr>
            <w:noProof/>
            <w:webHidden/>
          </w:rPr>
          <w:fldChar w:fldCharType="end"/>
        </w:r>
      </w:hyperlink>
    </w:p>
    <w:p w:rsidR="00DF6A27" w:rsidRPr="00DF6A27" w:rsidRDefault="000E5CA3">
      <w:pPr>
        <w:pStyle w:val="TOC1"/>
        <w:tabs>
          <w:tab w:val="right" w:leader="dot" w:pos="9350"/>
        </w:tabs>
        <w:rPr>
          <w:rFonts w:asciiTheme="minorHAnsi" w:eastAsiaTheme="minorEastAsia" w:hAnsiTheme="minorHAnsi" w:cstheme="minorBidi"/>
          <w:noProof/>
          <w:sz w:val="22"/>
          <w:szCs w:val="22"/>
        </w:rPr>
      </w:pPr>
      <w:hyperlink w:anchor="_Toc328480048" w:history="1">
        <w:r w:rsidR="00DF6A27" w:rsidRPr="00DF6A27">
          <w:rPr>
            <w:rStyle w:val="Hyperlink"/>
            <w:noProof/>
          </w:rPr>
          <w:t>Attachments</w:t>
        </w:r>
        <w:r w:rsidR="00DF6A27" w:rsidRPr="00DF6A27">
          <w:rPr>
            <w:noProof/>
            <w:webHidden/>
          </w:rPr>
          <w:tab/>
        </w:r>
        <w:r w:rsidRPr="00DF6A27">
          <w:rPr>
            <w:noProof/>
            <w:webHidden/>
          </w:rPr>
          <w:fldChar w:fldCharType="begin"/>
        </w:r>
        <w:r w:rsidR="00DF6A27" w:rsidRPr="00DF6A27">
          <w:rPr>
            <w:noProof/>
            <w:webHidden/>
          </w:rPr>
          <w:instrText xml:space="preserve"> PAGEREF _Toc328480048 \h </w:instrText>
        </w:r>
        <w:r w:rsidRPr="00DF6A27">
          <w:rPr>
            <w:noProof/>
            <w:webHidden/>
          </w:rPr>
        </w:r>
        <w:r w:rsidRPr="00DF6A27">
          <w:rPr>
            <w:noProof/>
            <w:webHidden/>
          </w:rPr>
          <w:fldChar w:fldCharType="separate"/>
        </w:r>
        <w:r w:rsidR="00DF6A27" w:rsidRPr="00DF6A27">
          <w:rPr>
            <w:noProof/>
            <w:webHidden/>
          </w:rPr>
          <w:t>14</w:t>
        </w:r>
        <w:r w:rsidRPr="00DF6A27">
          <w:rPr>
            <w:noProof/>
            <w:webHidden/>
          </w:rPr>
          <w:fldChar w:fldCharType="end"/>
        </w:r>
      </w:hyperlink>
    </w:p>
    <w:p w:rsidR="00DF6A27" w:rsidRDefault="000E5CA3">
      <w:pPr>
        <w:pStyle w:val="TOC1"/>
        <w:tabs>
          <w:tab w:val="right" w:leader="dot" w:pos="9350"/>
        </w:tabs>
        <w:rPr>
          <w:rFonts w:asciiTheme="minorHAnsi" w:eastAsiaTheme="minorEastAsia" w:hAnsiTheme="minorHAnsi" w:cstheme="minorBidi"/>
          <w:noProof/>
          <w:sz w:val="22"/>
          <w:szCs w:val="22"/>
        </w:rPr>
      </w:pPr>
      <w:hyperlink w:anchor="_Toc328480049" w:history="1">
        <w:r w:rsidR="00DF6A27" w:rsidRPr="00DF6A27">
          <w:rPr>
            <w:rStyle w:val="Hyperlink"/>
            <w:noProof/>
          </w:rPr>
          <w:t>References</w:t>
        </w:r>
        <w:r w:rsidR="00DF6A27" w:rsidRPr="00DF6A27">
          <w:rPr>
            <w:noProof/>
            <w:webHidden/>
          </w:rPr>
          <w:tab/>
        </w:r>
        <w:r w:rsidRPr="00DF6A27">
          <w:rPr>
            <w:noProof/>
            <w:webHidden/>
          </w:rPr>
          <w:fldChar w:fldCharType="begin"/>
        </w:r>
        <w:r w:rsidR="00DF6A27" w:rsidRPr="00DF6A27">
          <w:rPr>
            <w:noProof/>
            <w:webHidden/>
          </w:rPr>
          <w:instrText xml:space="preserve"> PAGEREF _Toc328480049 \h </w:instrText>
        </w:r>
        <w:r w:rsidRPr="00DF6A27">
          <w:rPr>
            <w:noProof/>
            <w:webHidden/>
          </w:rPr>
        </w:r>
        <w:r w:rsidRPr="00DF6A27">
          <w:rPr>
            <w:noProof/>
            <w:webHidden/>
          </w:rPr>
          <w:fldChar w:fldCharType="separate"/>
        </w:r>
        <w:r w:rsidR="00DF6A27" w:rsidRPr="00DF6A27">
          <w:rPr>
            <w:noProof/>
            <w:webHidden/>
          </w:rPr>
          <w:t>14</w:t>
        </w:r>
        <w:r w:rsidRPr="00DF6A27">
          <w:rPr>
            <w:noProof/>
            <w:webHidden/>
          </w:rPr>
          <w:fldChar w:fldCharType="end"/>
        </w:r>
      </w:hyperlink>
    </w:p>
    <w:p w:rsidR="00E71EF1" w:rsidRDefault="000E5CA3" w:rsidP="00E34D7E">
      <w:pPr>
        <w:pStyle w:val="Heading1"/>
      </w:pPr>
      <w:r>
        <w:rPr>
          <w:rFonts w:ascii="Times New Roman" w:hAnsi="Times New Roman" w:cs="Times New Roman"/>
          <w:b w:val="0"/>
          <w:bCs w:val="0"/>
          <w:kern w:val="0"/>
          <w:sz w:val="24"/>
          <w:szCs w:val="24"/>
        </w:rPr>
        <w:fldChar w:fldCharType="end"/>
      </w:r>
      <w:r w:rsidR="003A4F9F" w:rsidRPr="006832A4">
        <w:br w:type="page"/>
      </w:r>
      <w:bookmarkStart w:id="5" w:name="_Toc328480027"/>
      <w:r w:rsidR="00E731C6">
        <w:lastRenderedPageBreak/>
        <w:t>At-</w:t>
      </w:r>
      <w:r w:rsidR="00E71EF1">
        <w:t>a</w:t>
      </w:r>
      <w:r w:rsidR="00E731C6">
        <w:t>-</w:t>
      </w:r>
      <w:r w:rsidR="00E71EF1">
        <w:t>Glance Summary</w:t>
      </w:r>
      <w:bookmarkEnd w:id="5"/>
    </w:p>
    <w:tbl>
      <w:tblPr>
        <w:tblW w:w="9648" w:type="dxa"/>
        <w:tblBorders>
          <w:insideH w:val="single" w:sz="18" w:space="0" w:color="FFFFFF"/>
          <w:insideV w:val="single" w:sz="18" w:space="0" w:color="FFFFFF"/>
        </w:tblBorders>
        <w:tblLook w:val="01E0"/>
      </w:tblPr>
      <w:tblGrid>
        <w:gridCol w:w="4161"/>
        <w:gridCol w:w="5487"/>
      </w:tblGrid>
      <w:tr w:rsidR="00721C75" w:rsidRPr="00D05CA7">
        <w:trPr>
          <w:trHeight w:val="465"/>
        </w:trPr>
        <w:tc>
          <w:tcPr>
            <w:tcW w:w="4161" w:type="dxa"/>
            <w:shd w:val="pct20" w:color="000000" w:fill="FFFFFF"/>
          </w:tcPr>
          <w:p w:rsidR="00721C75" w:rsidRPr="00D05CA7" w:rsidRDefault="00721C75" w:rsidP="0028709C">
            <w:pPr>
              <w:rPr>
                <w:b/>
                <w:bCs/>
              </w:rPr>
            </w:pPr>
            <w:r w:rsidRPr="00D05CA7">
              <w:rPr>
                <w:b/>
                <w:bCs/>
              </w:rPr>
              <w:t>Applicable Measure Codes:</w:t>
            </w:r>
          </w:p>
        </w:tc>
        <w:tc>
          <w:tcPr>
            <w:tcW w:w="5487" w:type="dxa"/>
            <w:shd w:val="pct20" w:color="000000" w:fill="FFFFFF"/>
          </w:tcPr>
          <w:p w:rsidR="00721C75" w:rsidRPr="00D05CA7" w:rsidRDefault="00732157" w:rsidP="002D690B">
            <w:pPr>
              <w:rPr>
                <w:b/>
                <w:bCs/>
                <w:sz w:val="20"/>
                <w:szCs w:val="20"/>
              </w:rPr>
            </w:pPr>
            <w:r>
              <w:rPr>
                <w:b/>
                <w:bCs/>
                <w:sz w:val="20"/>
                <w:szCs w:val="20"/>
              </w:rPr>
              <w:t>LD</w:t>
            </w:r>
            <w:r w:rsidR="0092237B">
              <w:rPr>
                <w:b/>
                <w:bCs/>
                <w:sz w:val="20"/>
                <w:szCs w:val="20"/>
              </w:rPr>
              <w:t>1</w:t>
            </w:r>
            <w:r>
              <w:rPr>
                <w:b/>
                <w:bCs/>
                <w:sz w:val="20"/>
                <w:szCs w:val="20"/>
              </w:rPr>
              <w:t>1-</w:t>
            </w:r>
            <w:r w:rsidR="006D3E1F">
              <w:rPr>
                <w:b/>
                <w:bCs/>
                <w:sz w:val="20"/>
                <w:szCs w:val="20"/>
              </w:rPr>
              <w:t>5</w:t>
            </w:r>
            <w:r w:rsidR="0092237B">
              <w:rPr>
                <w:b/>
                <w:bCs/>
                <w:sz w:val="20"/>
                <w:szCs w:val="20"/>
              </w:rPr>
              <w:t>1</w:t>
            </w:r>
          </w:p>
        </w:tc>
      </w:tr>
      <w:tr w:rsidR="000571F6" w:rsidRPr="00D05CA7">
        <w:trPr>
          <w:trHeight w:val="465"/>
        </w:trPr>
        <w:tc>
          <w:tcPr>
            <w:tcW w:w="4161" w:type="dxa"/>
            <w:shd w:val="pct5" w:color="000000" w:fill="FFFFFF"/>
          </w:tcPr>
          <w:p w:rsidR="000571F6" w:rsidRPr="00D05CA7" w:rsidRDefault="00C63D95" w:rsidP="0028709C">
            <w:pPr>
              <w:rPr>
                <w:b/>
              </w:rPr>
            </w:pPr>
            <w:r w:rsidRPr="00D05CA7">
              <w:rPr>
                <w:b/>
              </w:rPr>
              <w:t>Measure Description</w:t>
            </w:r>
            <w:r w:rsidR="000571F6" w:rsidRPr="00D05CA7">
              <w:rPr>
                <w:b/>
              </w:rPr>
              <w:t xml:space="preserve">: </w:t>
            </w:r>
          </w:p>
        </w:tc>
        <w:tc>
          <w:tcPr>
            <w:tcW w:w="5487" w:type="dxa"/>
            <w:shd w:val="pct5" w:color="000000" w:fill="FFFFFF"/>
          </w:tcPr>
          <w:p w:rsidR="000571F6" w:rsidRPr="00D05CA7" w:rsidRDefault="003A374C" w:rsidP="0028709C">
            <w:pPr>
              <w:rPr>
                <w:sz w:val="20"/>
                <w:szCs w:val="20"/>
              </w:rPr>
            </w:pPr>
            <w:r>
              <w:rPr>
                <w:sz w:val="20"/>
                <w:szCs w:val="20"/>
              </w:rPr>
              <w:t>Interior Induction</w:t>
            </w:r>
            <w:r w:rsidR="00763555" w:rsidRPr="00D05CA7">
              <w:rPr>
                <w:sz w:val="20"/>
                <w:szCs w:val="20"/>
              </w:rPr>
              <w:t xml:space="preserve"> Fixtures.</w:t>
            </w:r>
          </w:p>
        </w:tc>
      </w:tr>
      <w:tr w:rsidR="000571F6" w:rsidRPr="00D05CA7">
        <w:trPr>
          <w:trHeight w:val="465"/>
        </w:trPr>
        <w:tc>
          <w:tcPr>
            <w:tcW w:w="4161" w:type="dxa"/>
            <w:shd w:val="pct20" w:color="000000" w:fill="FFFFFF"/>
          </w:tcPr>
          <w:p w:rsidR="000571F6" w:rsidRPr="00D05CA7" w:rsidRDefault="00721C75" w:rsidP="0028709C">
            <w:pPr>
              <w:rPr>
                <w:b/>
              </w:rPr>
            </w:pPr>
            <w:r w:rsidRPr="00D05CA7">
              <w:rPr>
                <w:b/>
              </w:rPr>
              <w:t>Energy Impact</w:t>
            </w:r>
            <w:r w:rsidR="000571F6" w:rsidRPr="00D05CA7">
              <w:rPr>
                <w:b/>
              </w:rPr>
              <w:t xml:space="preserve"> Common Units: </w:t>
            </w:r>
          </w:p>
        </w:tc>
        <w:tc>
          <w:tcPr>
            <w:tcW w:w="5487" w:type="dxa"/>
            <w:shd w:val="pct20" w:color="000000" w:fill="FFFFFF"/>
          </w:tcPr>
          <w:p w:rsidR="000571F6" w:rsidRPr="00D05CA7" w:rsidRDefault="000A29EB" w:rsidP="0028709C">
            <w:pPr>
              <w:rPr>
                <w:sz w:val="20"/>
                <w:szCs w:val="20"/>
              </w:rPr>
            </w:pPr>
            <w:r w:rsidRPr="00D05CA7">
              <w:rPr>
                <w:sz w:val="20"/>
                <w:szCs w:val="20"/>
              </w:rPr>
              <w:t xml:space="preserve">Per </w:t>
            </w:r>
            <w:r w:rsidR="00E97CE5" w:rsidRPr="00D05CA7">
              <w:rPr>
                <w:sz w:val="20"/>
                <w:szCs w:val="20"/>
              </w:rPr>
              <w:t>Fixture</w:t>
            </w:r>
          </w:p>
        </w:tc>
      </w:tr>
      <w:tr w:rsidR="000571F6" w:rsidRPr="00D05CA7">
        <w:trPr>
          <w:trHeight w:val="465"/>
        </w:trPr>
        <w:tc>
          <w:tcPr>
            <w:tcW w:w="4161" w:type="dxa"/>
            <w:shd w:val="pct5" w:color="000000" w:fill="FFFFFF"/>
          </w:tcPr>
          <w:p w:rsidR="000571F6" w:rsidRPr="00D05CA7" w:rsidRDefault="00EB367C" w:rsidP="0028709C">
            <w:pPr>
              <w:rPr>
                <w:b/>
              </w:rPr>
            </w:pPr>
            <w:r w:rsidRPr="00D05CA7">
              <w:rPr>
                <w:b/>
              </w:rPr>
              <w:t>Base Case Description:</w:t>
            </w:r>
          </w:p>
        </w:tc>
        <w:tc>
          <w:tcPr>
            <w:tcW w:w="5487" w:type="dxa"/>
            <w:shd w:val="pct5" w:color="000000" w:fill="FFFFFF"/>
          </w:tcPr>
          <w:p w:rsidR="005F57B5" w:rsidRPr="00D05CA7" w:rsidRDefault="009A0E6E" w:rsidP="0028709C">
            <w:pPr>
              <w:rPr>
                <w:sz w:val="20"/>
                <w:szCs w:val="20"/>
              </w:rPr>
            </w:pPr>
            <w:r w:rsidRPr="00D05CA7">
              <w:rPr>
                <w:sz w:val="20"/>
                <w:szCs w:val="20"/>
              </w:rPr>
              <w:t>No lighting (new installation) or ex</w:t>
            </w:r>
            <w:r w:rsidR="00E97CE5" w:rsidRPr="00D05CA7">
              <w:rPr>
                <w:sz w:val="20"/>
                <w:szCs w:val="20"/>
              </w:rPr>
              <w:t>isting Mercury Vapor, T-12 High/ Very High Output Fluore</w:t>
            </w:r>
            <w:r w:rsidRPr="00D05CA7">
              <w:rPr>
                <w:sz w:val="20"/>
                <w:szCs w:val="20"/>
              </w:rPr>
              <w:t>scent, Standard Metal Halide,</w:t>
            </w:r>
            <w:r w:rsidR="00E97CE5" w:rsidRPr="00D05CA7">
              <w:rPr>
                <w:sz w:val="20"/>
                <w:szCs w:val="20"/>
              </w:rPr>
              <w:t xml:space="preserve"> High Pressure Sodium fixtures</w:t>
            </w:r>
            <w:r w:rsidRPr="00D05CA7">
              <w:rPr>
                <w:sz w:val="20"/>
                <w:szCs w:val="20"/>
              </w:rPr>
              <w:t xml:space="preserve"> in interior installations</w:t>
            </w:r>
            <w:r w:rsidR="00E97CE5" w:rsidRPr="00D05CA7">
              <w:rPr>
                <w:sz w:val="20"/>
                <w:szCs w:val="20"/>
              </w:rPr>
              <w:t>. Lamp Wattage must be greater than 175W.</w:t>
            </w:r>
          </w:p>
        </w:tc>
      </w:tr>
      <w:tr w:rsidR="000571F6" w:rsidRPr="00D05CA7">
        <w:trPr>
          <w:trHeight w:val="465"/>
        </w:trPr>
        <w:tc>
          <w:tcPr>
            <w:tcW w:w="4161" w:type="dxa"/>
            <w:shd w:val="pct20" w:color="000000" w:fill="FFFFFF"/>
          </w:tcPr>
          <w:p w:rsidR="000571F6" w:rsidRPr="00D05CA7" w:rsidRDefault="00EE4094" w:rsidP="0028709C">
            <w:pPr>
              <w:rPr>
                <w:b/>
              </w:rPr>
            </w:pPr>
            <w:r w:rsidRPr="00D05CA7">
              <w:rPr>
                <w:b/>
              </w:rPr>
              <w:t xml:space="preserve">Base Case </w:t>
            </w:r>
            <w:r w:rsidR="00EB367C" w:rsidRPr="00D05CA7">
              <w:rPr>
                <w:b/>
              </w:rPr>
              <w:t>Energy Consumption</w:t>
            </w:r>
            <w:r w:rsidR="000571F6" w:rsidRPr="00D05CA7">
              <w:rPr>
                <w:b/>
              </w:rPr>
              <w:t xml:space="preserve">: </w:t>
            </w:r>
          </w:p>
        </w:tc>
        <w:tc>
          <w:tcPr>
            <w:tcW w:w="5487" w:type="dxa"/>
            <w:shd w:val="pct20" w:color="000000" w:fill="FFFFFF"/>
          </w:tcPr>
          <w:p w:rsidR="000571F6" w:rsidRPr="00D05CA7" w:rsidRDefault="00EF746C" w:rsidP="0028709C">
            <w:pPr>
              <w:rPr>
                <w:sz w:val="20"/>
                <w:szCs w:val="20"/>
              </w:rPr>
            </w:pPr>
            <w:r w:rsidRPr="00D05CA7">
              <w:rPr>
                <w:sz w:val="20"/>
                <w:szCs w:val="20"/>
              </w:rPr>
              <w:t>Varies (dep</w:t>
            </w:r>
            <w:r w:rsidR="00844D95">
              <w:rPr>
                <w:sz w:val="20"/>
                <w:szCs w:val="20"/>
              </w:rPr>
              <w:t>ends on the existing fixture</w:t>
            </w:r>
            <w:r w:rsidRPr="00D05CA7">
              <w:rPr>
                <w:sz w:val="20"/>
                <w:szCs w:val="20"/>
              </w:rPr>
              <w:t xml:space="preserve">) </w:t>
            </w:r>
          </w:p>
        </w:tc>
      </w:tr>
      <w:tr w:rsidR="002C4F1C" w:rsidRPr="00D05CA7">
        <w:trPr>
          <w:trHeight w:val="465"/>
        </w:trPr>
        <w:tc>
          <w:tcPr>
            <w:tcW w:w="4161" w:type="dxa"/>
            <w:shd w:val="pct5" w:color="000000" w:fill="FFFFFF"/>
          </w:tcPr>
          <w:p w:rsidR="002C4F1C" w:rsidRPr="00D05CA7" w:rsidRDefault="002C4F1C" w:rsidP="0028709C">
            <w:pPr>
              <w:rPr>
                <w:b/>
              </w:rPr>
            </w:pPr>
            <w:r w:rsidRPr="00D05CA7">
              <w:rPr>
                <w:b/>
              </w:rPr>
              <w:t>Measure Energy Consumption:</w:t>
            </w:r>
          </w:p>
        </w:tc>
        <w:tc>
          <w:tcPr>
            <w:tcW w:w="5487" w:type="dxa"/>
            <w:shd w:val="pct5" w:color="000000" w:fill="FFFFFF"/>
          </w:tcPr>
          <w:p w:rsidR="002C4F1C" w:rsidRPr="00D05CA7" w:rsidRDefault="002170C8" w:rsidP="0028709C">
            <w:pPr>
              <w:rPr>
                <w:sz w:val="20"/>
                <w:szCs w:val="20"/>
              </w:rPr>
            </w:pPr>
            <w:r w:rsidRPr="00D05CA7">
              <w:rPr>
                <w:sz w:val="20"/>
                <w:szCs w:val="20"/>
              </w:rPr>
              <w:t>kWh</w:t>
            </w:r>
          </w:p>
        </w:tc>
      </w:tr>
      <w:tr w:rsidR="002C4F1C" w:rsidRPr="00D05CA7">
        <w:trPr>
          <w:trHeight w:val="465"/>
        </w:trPr>
        <w:tc>
          <w:tcPr>
            <w:tcW w:w="4161" w:type="dxa"/>
            <w:shd w:val="pct20" w:color="000000" w:fill="FFFFFF"/>
          </w:tcPr>
          <w:p w:rsidR="002C4F1C" w:rsidRPr="00D05CA7" w:rsidRDefault="002C4F1C" w:rsidP="0028709C">
            <w:pPr>
              <w:rPr>
                <w:b/>
              </w:rPr>
            </w:pPr>
            <w:r w:rsidRPr="00D05CA7">
              <w:rPr>
                <w:b/>
              </w:rPr>
              <w:t>Energy Savings (Base Case – Measure)</w:t>
            </w:r>
          </w:p>
        </w:tc>
        <w:tc>
          <w:tcPr>
            <w:tcW w:w="5487" w:type="dxa"/>
            <w:shd w:val="pct20" w:color="000000" w:fill="FFFFFF"/>
          </w:tcPr>
          <w:p w:rsidR="002C4F1C" w:rsidRPr="00D05CA7" w:rsidRDefault="00EF746C" w:rsidP="00200359">
            <w:pPr>
              <w:rPr>
                <w:sz w:val="20"/>
                <w:szCs w:val="20"/>
              </w:rPr>
            </w:pPr>
            <w:r w:rsidRPr="00D05CA7">
              <w:rPr>
                <w:sz w:val="20"/>
                <w:szCs w:val="20"/>
              </w:rPr>
              <w:t>Varies (dep</w:t>
            </w:r>
            <w:r w:rsidR="00121AB4" w:rsidRPr="00D05CA7">
              <w:rPr>
                <w:sz w:val="20"/>
                <w:szCs w:val="20"/>
              </w:rPr>
              <w:t>end</w:t>
            </w:r>
            <w:r w:rsidR="00200359">
              <w:rPr>
                <w:sz w:val="20"/>
                <w:szCs w:val="20"/>
              </w:rPr>
              <w:t>s on the measure</w:t>
            </w:r>
            <w:r w:rsidRPr="00D05CA7">
              <w:rPr>
                <w:sz w:val="20"/>
                <w:szCs w:val="20"/>
              </w:rPr>
              <w:t>)</w:t>
            </w:r>
          </w:p>
        </w:tc>
      </w:tr>
      <w:tr w:rsidR="000571F6" w:rsidRPr="00D05CA7">
        <w:trPr>
          <w:trHeight w:val="465"/>
        </w:trPr>
        <w:tc>
          <w:tcPr>
            <w:tcW w:w="4161" w:type="dxa"/>
            <w:shd w:val="pct5" w:color="000000" w:fill="FFFFFF"/>
          </w:tcPr>
          <w:p w:rsidR="000571F6" w:rsidRPr="00D05CA7" w:rsidRDefault="000571F6" w:rsidP="0028709C">
            <w:pPr>
              <w:rPr>
                <w:b/>
              </w:rPr>
            </w:pPr>
            <w:r w:rsidRPr="00D05CA7">
              <w:rPr>
                <w:b/>
              </w:rPr>
              <w:t xml:space="preserve">Costs Common Units: </w:t>
            </w:r>
          </w:p>
        </w:tc>
        <w:tc>
          <w:tcPr>
            <w:tcW w:w="5487" w:type="dxa"/>
            <w:shd w:val="pct5" w:color="000000" w:fill="FFFFFF"/>
          </w:tcPr>
          <w:p w:rsidR="000571F6" w:rsidRPr="00D05CA7" w:rsidRDefault="00EF746C" w:rsidP="0028709C">
            <w:pPr>
              <w:rPr>
                <w:sz w:val="20"/>
                <w:szCs w:val="20"/>
              </w:rPr>
            </w:pPr>
            <w:r w:rsidRPr="00D05CA7">
              <w:rPr>
                <w:sz w:val="20"/>
                <w:szCs w:val="20"/>
              </w:rPr>
              <w:t>$ per fixture</w:t>
            </w:r>
          </w:p>
        </w:tc>
      </w:tr>
      <w:tr w:rsidR="007B44FB" w:rsidRPr="00D05CA7">
        <w:trPr>
          <w:trHeight w:val="465"/>
        </w:trPr>
        <w:tc>
          <w:tcPr>
            <w:tcW w:w="4161" w:type="dxa"/>
            <w:shd w:val="pct20" w:color="000000" w:fill="FFFFFF"/>
          </w:tcPr>
          <w:p w:rsidR="007B44FB" w:rsidRPr="00D05CA7" w:rsidRDefault="007B44FB" w:rsidP="0028709C">
            <w:pPr>
              <w:rPr>
                <w:b/>
              </w:rPr>
            </w:pPr>
            <w:r w:rsidRPr="00D05CA7">
              <w:rPr>
                <w:b/>
              </w:rPr>
              <w:t>Base Case Equipment Cost ($/unit):</w:t>
            </w:r>
          </w:p>
        </w:tc>
        <w:tc>
          <w:tcPr>
            <w:tcW w:w="5487" w:type="dxa"/>
            <w:shd w:val="pct20" w:color="000000" w:fill="FFFFFF"/>
          </w:tcPr>
          <w:p w:rsidR="007B44FB" w:rsidRPr="00D05CA7" w:rsidRDefault="00200359" w:rsidP="00200359">
            <w:pPr>
              <w:rPr>
                <w:sz w:val="20"/>
                <w:szCs w:val="20"/>
              </w:rPr>
            </w:pPr>
            <w:r>
              <w:rPr>
                <w:sz w:val="20"/>
                <w:szCs w:val="20"/>
              </w:rPr>
              <w:t>Varies (depends</w:t>
            </w:r>
            <w:r w:rsidR="00121AB4" w:rsidRPr="00D05CA7">
              <w:rPr>
                <w:sz w:val="20"/>
                <w:szCs w:val="20"/>
              </w:rPr>
              <w:t xml:space="preserve"> on </w:t>
            </w:r>
            <w:r>
              <w:rPr>
                <w:sz w:val="20"/>
                <w:szCs w:val="20"/>
              </w:rPr>
              <w:t>the type of measure</w:t>
            </w:r>
            <w:r w:rsidR="00121AB4" w:rsidRPr="00D05CA7">
              <w:rPr>
                <w:sz w:val="20"/>
                <w:szCs w:val="20"/>
              </w:rPr>
              <w:t>)</w:t>
            </w:r>
          </w:p>
        </w:tc>
      </w:tr>
      <w:tr w:rsidR="000571F6" w:rsidRPr="00D05CA7">
        <w:trPr>
          <w:trHeight w:val="495"/>
        </w:trPr>
        <w:tc>
          <w:tcPr>
            <w:tcW w:w="4161" w:type="dxa"/>
            <w:shd w:val="pct5" w:color="000000" w:fill="FFFFFF"/>
          </w:tcPr>
          <w:p w:rsidR="000571F6" w:rsidRPr="00D05CA7" w:rsidRDefault="000571F6" w:rsidP="0028709C">
            <w:pPr>
              <w:rPr>
                <w:b/>
              </w:rPr>
            </w:pPr>
            <w:r w:rsidRPr="00D05CA7">
              <w:rPr>
                <w:b/>
              </w:rPr>
              <w:t xml:space="preserve">Measure Equipment Cost ($/unit): </w:t>
            </w:r>
          </w:p>
        </w:tc>
        <w:tc>
          <w:tcPr>
            <w:tcW w:w="5487" w:type="dxa"/>
            <w:shd w:val="pct5" w:color="000000" w:fill="FFFFFF"/>
          </w:tcPr>
          <w:p w:rsidR="000571F6" w:rsidRPr="00D05CA7" w:rsidRDefault="00121AB4" w:rsidP="00200359">
            <w:pPr>
              <w:rPr>
                <w:sz w:val="20"/>
                <w:szCs w:val="20"/>
              </w:rPr>
            </w:pPr>
            <w:r w:rsidRPr="00D05CA7">
              <w:rPr>
                <w:sz w:val="20"/>
                <w:szCs w:val="20"/>
              </w:rPr>
              <w:t>Varies (depend</w:t>
            </w:r>
            <w:r w:rsidR="00200359">
              <w:rPr>
                <w:sz w:val="20"/>
                <w:szCs w:val="20"/>
              </w:rPr>
              <w:t>s on the type of measure</w:t>
            </w:r>
            <w:r w:rsidRPr="00D05CA7">
              <w:rPr>
                <w:sz w:val="20"/>
                <w:szCs w:val="20"/>
              </w:rPr>
              <w:t>)</w:t>
            </w:r>
          </w:p>
        </w:tc>
      </w:tr>
      <w:tr w:rsidR="000571F6" w:rsidRPr="00D05CA7">
        <w:trPr>
          <w:trHeight w:val="465"/>
        </w:trPr>
        <w:tc>
          <w:tcPr>
            <w:tcW w:w="4161" w:type="dxa"/>
            <w:shd w:val="pct20" w:color="000000" w:fill="FFFFFF"/>
          </w:tcPr>
          <w:p w:rsidR="000571F6" w:rsidRPr="00D05CA7" w:rsidRDefault="000571F6" w:rsidP="0028709C">
            <w:pPr>
              <w:rPr>
                <w:b/>
              </w:rPr>
            </w:pPr>
            <w:bookmarkStart w:id="6" w:name="OLE_LINK1"/>
            <w:r w:rsidRPr="00D05CA7">
              <w:rPr>
                <w:b/>
              </w:rPr>
              <w:t xml:space="preserve">Measure Incremental Cost ($/unit): </w:t>
            </w:r>
            <w:bookmarkEnd w:id="6"/>
          </w:p>
        </w:tc>
        <w:tc>
          <w:tcPr>
            <w:tcW w:w="5487" w:type="dxa"/>
            <w:shd w:val="pct20" w:color="000000" w:fill="FFFFFF"/>
          </w:tcPr>
          <w:p w:rsidR="000571F6" w:rsidRPr="00D05CA7" w:rsidRDefault="008A0C54" w:rsidP="00200359">
            <w:pPr>
              <w:rPr>
                <w:sz w:val="20"/>
                <w:szCs w:val="20"/>
              </w:rPr>
            </w:pPr>
            <w:r w:rsidRPr="00D05CA7">
              <w:rPr>
                <w:sz w:val="20"/>
                <w:szCs w:val="20"/>
              </w:rPr>
              <w:t>Varies (depend</w:t>
            </w:r>
            <w:r w:rsidR="00200359">
              <w:rPr>
                <w:sz w:val="20"/>
                <w:szCs w:val="20"/>
              </w:rPr>
              <w:t>s on the type of measure</w:t>
            </w:r>
            <w:r w:rsidRPr="00D05CA7">
              <w:rPr>
                <w:sz w:val="20"/>
                <w:szCs w:val="20"/>
              </w:rPr>
              <w:t>)</w:t>
            </w:r>
          </w:p>
        </w:tc>
      </w:tr>
      <w:tr w:rsidR="000571F6" w:rsidRPr="00D05CA7">
        <w:trPr>
          <w:trHeight w:val="465"/>
        </w:trPr>
        <w:tc>
          <w:tcPr>
            <w:tcW w:w="4161" w:type="dxa"/>
            <w:shd w:val="pct5" w:color="000000" w:fill="FFFFFF"/>
          </w:tcPr>
          <w:p w:rsidR="000571F6" w:rsidRPr="00D05CA7" w:rsidRDefault="000571F6" w:rsidP="0028709C">
            <w:pPr>
              <w:rPr>
                <w:b/>
              </w:rPr>
            </w:pPr>
            <w:r w:rsidRPr="00D05CA7">
              <w:rPr>
                <w:b/>
              </w:rPr>
              <w:t xml:space="preserve">Effective Useful Life (years): </w:t>
            </w:r>
          </w:p>
        </w:tc>
        <w:tc>
          <w:tcPr>
            <w:tcW w:w="5487" w:type="dxa"/>
            <w:shd w:val="pct5" w:color="000000" w:fill="FFFFFF"/>
          </w:tcPr>
          <w:p w:rsidR="000571F6" w:rsidRPr="00D05CA7" w:rsidRDefault="00E26033" w:rsidP="00C14A32">
            <w:pPr>
              <w:rPr>
                <w:sz w:val="20"/>
                <w:szCs w:val="20"/>
              </w:rPr>
            </w:pPr>
            <w:r w:rsidRPr="00D05CA7">
              <w:rPr>
                <w:sz w:val="20"/>
                <w:szCs w:val="20"/>
              </w:rPr>
              <w:t>1</w:t>
            </w:r>
            <w:r w:rsidR="00C14A32">
              <w:rPr>
                <w:sz w:val="20"/>
                <w:szCs w:val="20"/>
              </w:rPr>
              <w:t>5</w:t>
            </w:r>
            <w:r w:rsidRPr="00D05CA7">
              <w:rPr>
                <w:sz w:val="20"/>
                <w:szCs w:val="20"/>
              </w:rPr>
              <w:t xml:space="preserve"> years</w:t>
            </w:r>
          </w:p>
        </w:tc>
      </w:tr>
      <w:tr w:rsidR="00530B04" w:rsidRPr="00D05CA7">
        <w:trPr>
          <w:trHeight w:val="465"/>
        </w:trPr>
        <w:tc>
          <w:tcPr>
            <w:tcW w:w="4161" w:type="dxa"/>
            <w:shd w:val="pct20" w:color="000000" w:fill="FFFFFF"/>
          </w:tcPr>
          <w:p w:rsidR="00530B04" w:rsidRPr="00D05CA7" w:rsidRDefault="00695ED2" w:rsidP="0028709C">
            <w:pPr>
              <w:rPr>
                <w:b/>
              </w:rPr>
            </w:pPr>
            <w:r w:rsidRPr="00D05CA7">
              <w:rPr>
                <w:b/>
              </w:rPr>
              <w:t>Program Type:</w:t>
            </w:r>
          </w:p>
        </w:tc>
        <w:tc>
          <w:tcPr>
            <w:tcW w:w="5487" w:type="dxa"/>
            <w:shd w:val="pct20" w:color="000000" w:fill="FFFFFF"/>
          </w:tcPr>
          <w:p w:rsidR="00530B04" w:rsidRPr="00D05CA7" w:rsidRDefault="005B2D45" w:rsidP="0028709C">
            <w:pPr>
              <w:rPr>
                <w:sz w:val="20"/>
                <w:szCs w:val="20"/>
              </w:rPr>
            </w:pPr>
            <w:r w:rsidRPr="00D05CA7">
              <w:rPr>
                <w:sz w:val="20"/>
                <w:szCs w:val="20"/>
              </w:rPr>
              <w:t>Retrofit or New</w:t>
            </w:r>
          </w:p>
        </w:tc>
      </w:tr>
      <w:tr w:rsidR="000571F6" w:rsidRPr="00D05CA7">
        <w:trPr>
          <w:trHeight w:val="465"/>
        </w:trPr>
        <w:tc>
          <w:tcPr>
            <w:tcW w:w="4161" w:type="dxa"/>
            <w:shd w:val="pct5" w:color="000000" w:fill="FFFFFF"/>
          </w:tcPr>
          <w:p w:rsidR="000571F6" w:rsidRPr="00D05CA7" w:rsidRDefault="000571F6" w:rsidP="0028709C">
            <w:pPr>
              <w:rPr>
                <w:b/>
              </w:rPr>
            </w:pPr>
            <w:r w:rsidRPr="000176AD">
              <w:rPr>
                <w:b/>
              </w:rPr>
              <w:t>Net-to-Gross Ratios:</w:t>
            </w:r>
            <w:r w:rsidRPr="00D05CA7">
              <w:rPr>
                <w:b/>
              </w:rPr>
              <w:t xml:space="preserve"> </w:t>
            </w:r>
          </w:p>
        </w:tc>
        <w:tc>
          <w:tcPr>
            <w:tcW w:w="5487" w:type="dxa"/>
            <w:shd w:val="pct5" w:color="000000" w:fill="FFFFFF"/>
          </w:tcPr>
          <w:p w:rsidR="000571F6" w:rsidRPr="00D05CA7" w:rsidRDefault="009548C2" w:rsidP="00FE600A">
            <w:pPr>
              <w:rPr>
                <w:sz w:val="20"/>
                <w:szCs w:val="20"/>
              </w:rPr>
            </w:pPr>
            <w:r>
              <w:rPr>
                <w:sz w:val="20"/>
                <w:szCs w:val="20"/>
              </w:rPr>
              <w:t>.70 and .89</w:t>
            </w:r>
          </w:p>
        </w:tc>
      </w:tr>
      <w:tr w:rsidR="00127CC8" w:rsidRPr="00D05CA7">
        <w:trPr>
          <w:trHeight w:val="465"/>
        </w:trPr>
        <w:tc>
          <w:tcPr>
            <w:tcW w:w="4161" w:type="dxa"/>
            <w:shd w:val="pct20" w:color="000000" w:fill="FFFFFF"/>
          </w:tcPr>
          <w:p w:rsidR="00127CC8" w:rsidRPr="00D05CA7" w:rsidRDefault="00127CC8" w:rsidP="0028709C">
            <w:pPr>
              <w:rPr>
                <w:b/>
              </w:rPr>
            </w:pPr>
            <w:r w:rsidRPr="00D05CA7">
              <w:rPr>
                <w:b/>
              </w:rPr>
              <w:t>Important Comments:</w:t>
            </w:r>
          </w:p>
        </w:tc>
        <w:tc>
          <w:tcPr>
            <w:tcW w:w="5487" w:type="dxa"/>
            <w:shd w:val="pct20" w:color="000000" w:fill="FFFFFF"/>
          </w:tcPr>
          <w:p w:rsidR="00CD6046" w:rsidRPr="00D05CA7" w:rsidRDefault="007B7326" w:rsidP="0028709C">
            <w:pPr>
              <w:rPr>
                <w:sz w:val="20"/>
                <w:szCs w:val="20"/>
              </w:rPr>
            </w:pPr>
            <w:r>
              <w:rPr>
                <w:sz w:val="20"/>
                <w:szCs w:val="20"/>
              </w:rPr>
              <w:t>N/A</w:t>
            </w:r>
          </w:p>
        </w:tc>
      </w:tr>
    </w:tbl>
    <w:p w:rsidR="006D2EBA" w:rsidRDefault="006D2EBA" w:rsidP="006D2EBA">
      <w:pPr>
        <w:pStyle w:val="Caption"/>
        <w:rPr>
          <w:sz w:val="32"/>
          <w:highlight w:val="yellow"/>
        </w:rPr>
      </w:pPr>
      <w:bookmarkStart w:id="7" w:name="_Toc184543613"/>
      <w:bookmarkStart w:id="8" w:name="_Toc184544710"/>
      <w:bookmarkStart w:id="9" w:name="_Toc186621645"/>
    </w:p>
    <w:bookmarkEnd w:id="7"/>
    <w:bookmarkEnd w:id="8"/>
    <w:bookmarkEnd w:id="9"/>
    <w:p w:rsidR="005F19E0" w:rsidRPr="005F19E0" w:rsidRDefault="006F0139" w:rsidP="0006490F">
      <w:pPr>
        <w:rPr>
          <w:rFonts w:ascii="Arial" w:hAnsi="Arial" w:cs="Arial"/>
          <w:b/>
          <w:color w:val="FF0000"/>
          <w:sz w:val="20"/>
          <w:szCs w:val="20"/>
        </w:rPr>
        <w:sectPr w:rsidR="005F19E0" w:rsidRPr="005F19E0" w:rsidSect="00DF6A27">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1440" w:right="1440" w:bottom="1440" w:left="1440" w:header="720" w:footer="720" w:gutter="0"/>
          <w:pgNumType w:fmt="lowerRoman" w:start="1"/>
          <w:cols w:space="720"/>
          <w:docGrid w:linePitch="360"/>
        </w:sectPr>
      </w:pPr>
      <w:r w:rsidRPr="006F0139">
        <w:rPr>
          <w:rFonts w:ascii="Arial" w:hAnsi="Arial" w:cs="Arial"/>
          <w:b/>
          <w:i/>
          <w:color w:val="FF0000"/>
          <w:sz w:val="20"/>
          <w:szCs w:val="20"/>
          <w:highlight w:val="cyan"/>
        </w:rPr>
        <w:t xml:space="preserve"> </w:t>
      </w:r>
    </w:p>
    <w:p w:rsidR="00ED21EE" w:rsidRDefault="00ED21EE" w:rsidP="00ED21EE">
      <w:pPr>
        <w:pStyle w:val="Heading1"/>
      </w:pPr>
      <w:bookmarkStart w:id="10" w:name="_Toc328480028"/>
      <w:bookmarkStart w:id="11" w:name="_Toc172205732"/>
      <w:proofErr w:type="gramStart"/>
      <w:r>
        <w:lastRenderedPageBreak/>
        <w:t>Section 1.</w:t>
      </w:r>
      <w:proofErr w:type="gramEnd"/>
      <w:r>
        <w:t xml:space="preserve"> General Measure &amp; Baseline Data</w:t>
      </w:r>
      <w:bookmarkEnd w:id="10"/>
    </w:p>
    <w:p w:rsidR="00E71EF1" w:rsidRDefault="001248A3" w:rsidP="001248A3">
      <w:pPr>
        <w:pStyle w:val="Heading2"/>
      </w:pPr>
      <w:bookmarkStart w:id="12" w:name="_Toc328480029"/>
      <w:bookmarkEnd w:id="11"/>
      <w:r>
        <w:t xml:space="preserve">1.1 </w:t>
      </w:r>
      <w:r w:rsidR="00E71EF1" w:rsidRPr="001248A3">
        <w:t>Measure Description &amp; Background</w:t>
      </w:r>
      <w:bookmarkEnd w:id="12"/>
    </w:p>
    <w:p w:rsidR="00521920" w:rsidRPr="000176AD" w:rsidRDefault="00521920" w:rsidP="00872913">
      <w:pPr>
        <w:rPr>
          <w:rFonts w:ascii="Arial" w:hAnsi="Arial" w:cs="Arial"/>
          <w:b/>
          <w:i/>
          <w:color w:val="FF0000"/>
        </w:rPr>
      </w:pPr>
      <w:r w:rsidRPr="000176AD">
        <w:rPr>
          <w:rFonts w:ascii="Arial" w:hAnsi="Arial" w:cs="Arial"/>
          <w:b/>
          <w:i/>
        </w:rPr>
        <w:t>Catalog Description</w:t>
      </w:r>
      <w:r w:rsidR="00E840FE" w:rsidRPr="000176AD">
        <w:rPr>
          <w:rFonts w:ascii="Arial" w:hAnsi="Arial" w:cs="Arial"/>
          <w:b/>
          <w:i/>
          <w:color w:val="FF0000"/>
        </w:rPr>
        <w:t xml:space="preserve"> </w:t>
      </w:r>
    </w:p>
    <w:p w:rsidR="00984E64" w:rsidRPr="00874A13" w:rsidRDefault="002319D8" w:rsidP="00984E64">
      <w:pPr>
        <w:pStyle w:val="BasicText"/>
        <w:ind w:left="0"/>
        <w:rPr>
          <w:i/>
          <w:color w:val="FF0000"/>
          <w:highlight w:val="yellow"/>
        </w:rPr>
      </w:pPr>
      <w:r w:rsidRPr="000C3CEA">
        <w:t xml:space="preserve">Only </w:t>
      </w:r>
      <w:r w:rsidR="000A3155" w:rsidRPr="00984E64">
        <w:rPr>
          <w:color w:val="auto"/>
        </w:rPr>
        <w:t xml:space="preserve">Complete new </w:t>
      </w:r>
      <w:r w:rsidR="00984E64" w:rsidRPr="00984E64">
        <w:rPr>
          <w:color w:val="auto"/>
        </w:rPr>
        <w:t>induction fixtures</w:t>
      </w:r>
      <w:r w:rsidR="000A3155" w:rsidRPr="00984E64">
        <w:rPr>
          <w:color w:val="auto"/>
        </w:rPr>
        <w:t xml:space="preserve"> qualify as replacements. </w:t>
      </w:r>
      <w:r w:rsidR="00984E64">
        <w:rPr>
          <w:color w:val="auto"/>
        </w:rPr>
        <w:t>New fixtures must not exceed the maximum Wattage listed in the table below for each range of lamp Wattage being replaced and must have a lower Wattage than the fixture being replaced. Fixtures must be equipped with Induction lamps and drivers. New fixtures must replace, one for one, existing Incandescent, Mercury Vapor, T12/High Output Fluorescent, T12/Very High Output Fluorescent, Standard Metal Halide</w:t>
      </w:r>
      <w:r w:rsidR="002777FF">
        <w:rPr>
          <w:color w:val="auto"/>
        </w:rPr>
        <w:t xml:space="preserve"> (HID)</w:t>
      </w:r>
      <w:r w:rsidR="00984E64">
        <w:rPr>
          <w:color w:val="auto"/>
        </w:rPr>
        <w:t>, High Pressure Sodium</w:t>
      </w:r>
      <w:r w:rsidR="00874A13">
        <w:rPr>
          <w:color w:val="auto"/>
        </w:rPr>
        <w:t>, or Cold Cathode,</w:t>
      </w:r>
      <w:r w:rsidR="00984E64">
        <w:rPr>
          <w:color w:val="auto"/>
        </w:rPr>
        <w:t xml:space="preserve"> fixtures in interior installations. Existing Pulse Start Metal Halide installations do not qualify. Exterior installations do not qualify. All fixtures must be hardwired. Fixtures may qualify for an occupancy sensor rebate under the Occupancy Sensor category, provided all requirements are met. To qualify for the 400 Watt category, fixtures must be installed at a height over 12’ above the finished floor.</w:t>
      </w:r>
    </w:p>
    <w:p w:rsidR="003D51E0" w:rsidRDefault="003D51E0" w:rsidP="003D51E0">
      <w:pPr>
        <w:pStyle w:val="BasicText"/>
        <w:ind w:left="0"/>
        <w:jc w:val="both"/>
        <w:rPr>
          <w:color w:val="auto"/>
        </w:rPr>
      </w:pPr>
    </w:p>
    <w:p w:rsidR="009E08B3" w:rsidRPr="0052038D" w:rsidRDefault="009E08B3" w:rsidP="009E08B3">
      <w:pPr>
        <w:pStyle w:val="Caption"/>
        <w:keepNext/>
        <w:jc w:val="center"/>
        <w:rPr>
          <w:sz w:val="24"/>
          <w:szCs w:val="24"/>
        </w:rPr>
      </w:pPr>
      <w:bookmarkStart w:id="13" w:name="_Ref190080013"/>
      <w:bookmarkStart w:id="14" w:name="_Toc190665225"/>
      <w:r w:rsidRPr="0052038D">
        <w:rPr>
          <w:sz w:val="24"/>
          <w:szCs w:val="24"/>
        </w:rPr>
        <w:t xml:space="preserve">Table </w:t>
      </w:r>
      <w:r w:rsidR="000E5CA3" w:rsidRPr="0052038D">
        <w:rPr>
          <w:sz w:val="24"/>
          <w:szCs w:val="24"/>
        </w:rPr>
        <w:fldChar w:fldCharType="begin"/>
      </w:r>
      <w:r w:rsidRPr="0052038D">
        <w:rPr>
          <w:sz w:val="24"/>
          <w:szCs w:val="24"/>
        </w:rPr>
        <w:instrText xml:space="preserve"> SEQ Table \* ARABIC </w:instrText>
      </w:r>
      <w:r w:rsidR="000E5CA3" w:rsidRPr="0052038D">
        <w:rPr>
          <w:sz w:val="24"/>
          <w:szCs w:val="24"/>
        </w:rPr>
        <w:fldChar w:fldCharType="separate"/>
      </w:r>
      <w:r w:rsidR="008F0D36">
        <w:rPr>
          <w:noProof/>
          <w:sz w:val="24"/>
          <w:szCs w:val="24"/>
        </w:rPr>
        <w:t>1</w:t>
      </w:r>
      <w:r w:rsidR="000E5CA3" w:rsidRPr="0052038D">
        <w:rPr>
          <w:sz w:val="24"/>
          <w:szCs w:val="24"/>
        </w:rPr>
        <w:fldChar w:fldCharType="end"/>
      </w:r>
      <w:r w:rsidRPr="0052038D">
        <w:rPr>
          <w:sz w:val="24"/>
          <w:szCs w:val="24"/>
        </w:rPr>
        <w:t xml:space="preserve"> Ranges of maximum Lamp Wattage</w:t>
      </w:r>
      <w:r w:rsidR="0052038D" w:rsidRPr="0052038D">
        <w:rPr>
          <w:sz w:val="24"/>
          <w:szCs w:val="24"/>
        </w:rPr>
        <w:t xml:space="preserve"> identified for replacement</w:t>
      </w:r>
      <w:bookmarkEnd w:id="13"/>
      <w:r w:rsidR="00F85551">
        <w:rPr>
          <w:sz w:val="24"/>
          <w:szCs w:val="24"/>
        </w:rPr>
        <w:t>:</w:t>
      </w:r>
      <w:bookmarkEnd w:id="14"/>
      <w:r w:rsidRPr="0052038D">
        <w:rPr>
          <w:sz w:val="24"/>
          <w:szCs w:val="24"/>
        </w:rPr>
        <w:t xml:space="preserve"> </w:t>
      </w:r>
    </w:p>
    <w:tbl>
      <w:tblPr>
        <w:tblW w:w="7488" w:type="dxa"/>
        <w:tblInd w:w="945" w:type="dxa"/>
        <w:tblBorders>
          <w:insideH w:val="single" w:sz="18" w:space="0" w:color="FFFFFF"/>
          <w:insideV w:val="single" w:sz="18" w:space="0" w:color="FFFFFF"/>
        </w:tblBorders>
        <w:tblLook w:val="01E0"/>
      </w:tblPr>
      <w:tblGrid>
        <w:gridCol w:w="1165"/>
        <w:gridCol w:w="6323"/>
      </w:tblGrid>
      <w:tr w:rsidR="00BC24DD" w:rsidRPr="003C335F" w:rsidTr="00BC24DD">
        <w:trPr>
          <w:trHeight w:val="541"/>
        </w:trPr>
        <w:tc>
          <w:tcPr>
            <w:tcW w:w="1165" w:type="dxa"/>
            <w:shd w:val="pct20" w:color="000000" w:fill="FFFFFF"/>
          </w:tcPr>
          <w:p w:rsidR="00BC24DD" w:rsidRPr="0092237B" w:rsidRDefault="00BC24DD" w:rsidP="00D05CA7">
            <w:pPr>
              <w:jc w:val="center"/>
              <w:rPr>
                <w:b/>
                <w:bCs/>
              </w:rPr>
            </w:pPr>
            <w:r w:rsidRPr="0092237B">
              <w:rPr>
                <w:b/>
                <w:bCs/>
              </w:rPr>
              <w:t>Product Code</w:t>
            </w:r>
          </w:p>
        </w:tc>
        <w:tc>
          <w:tcPr>
            <w:tcW w:w="6323" w:type="dxa"/>
            <w:shd w:val="pct20" w:color="000000" w:fill="FFFFFF"/>
          </w:tcPr>
          <w:p w:rsidR="00BC24DD" w:rsidRPr="003C335F" w:rsidRDefault="00BC24DD" w:rsidP="00D05CA7">
            <w:pPr>
              <w:jc w:val="center"/>
              <w:rPr>
                <w:b/>
                <w:bCs/>
                <w:highlight w:val="yellow"/>
              </w:rPr>
            </w:pPr>
            <w:r w:rsidRPr="0092237B">
              <w:rPr>
                <w:b/>
                <w:bCs/>
              </w:rPr>
              <w:t>Description</w:t>
            </w:r>
          </w:p>
        </w:tc>
      </w:tr>
      <w:tr w:rsidR="0028793C" w:rsidRPr="003C335F" w:rsidTr="00BC24DD">
        <w:trPr>
          <w:trHeight w:val="205"/>
        </w:trPr>
        <w:tc>
          <w:tcPr>
            <w:tcW w:w="1165" w:type="dxa"/>
            <w:shd w:val="pct5" w:color="000000" w:fill="FFFFFF"/>
            <w:vAlign w:val="bottom"/>
          </w:tcPr>
          <w:p w:rsidR="0028793C" w:rsidRPr="0092237B" w:rsidRDefault="0028793C" w:rsidP="0092237B">
            <w:pPr>
              <w:jc w:val="center"/>
              <w:rPr>
                <w:rFonts w:ascii="Arial" w:hAnsi="Arial" w:cs="Arial"/>
                <w:color w:val="000000"/>
                <w:sz w:val="18"/>
                <w:szCs w:val="18"/>
              </w:rPr>
            </w:pPr>
            <w:r w:rsidRPr="0092237B">
              <w:rPr>
                <w:rFonts w:ascii="Arial" w:hAnsi="Arial" w:cs="Arial"/>
                <w:color w:val="000000"/>
                <w:sz w:val="18"/>
                <w:szCs w:val="18"/>
              </w:rPr>
              <w:t>L-D</w:t>
            </w:r>
            <w:r w:rsidR="0092237B" w:rsidRPr="0092237B">
              <w:rPr>
                <w:rFonts w:ascii="Arial" w:hAnsi="Arial" w:cs="Arial"/>
                <w:color w:val="000000"/>
                <w:sz w:val="18"/>
                <w:szCs w:val="18"/>
              </w:rPr>
              <w:t>11</w:t>
            </w:r>
          </w:p>
        </w:tc>
        <w:tc>
          <w:tcPr>
            <w:tcW w:w="6323" w:type="dxa"/>
            <w:shd w:val="pct5" w:color="000000" w:fill="FFFFFF"/>
            <w:vAlign w:val="bottom"/>
          </w:tcPr>
          <w:p w:rsidR="0028793C" w:rsidRPr="0092237B" w:rsidRDefault="0028793C" w:rsidP="00BF3CB4">
            <w:pPr>
              <w:rPr>
                <w:rFonts w:ascii="Arial" w:hAnsi="Arial" w:cs="Arial"/>
                <w:color w:val="000000"/>
                <w:sz w:val="18"/>
                <w:szCs w:val="18"/>
              </w:rPr>
            </w:pPr>
            <w:r w:rsidRPr="0092237B">
              <w:rPr>
                <w:rFonts w:ascii="Arial" w:hAnsi="Arial" w:cs="Arial"/>
                <w:color w:val="000000"/>
                <w:sz w:val="18"/>
                <w:szCs w:val="18"/>
              </w:rPr>
              <w:t xml:space="preserve">100 Watt lamp </w:t>
            </w:r>
            <w:proofErr w:type="spellStart"/>
            <w:r w:rsidRPr="0092237B">
              <w:rPr>
                <w:rFonts w:ascii="Arial" w:hAnsi="Arial" w:cs="Arial"/>
                <w:color w:val="000000"/>
                <w:sz w:val="18"/>
                <w:szCs w:val="18"/>
              </w:rPr>
              <w:t>basecase</w:t>
            </w:r>
            <w:proofErr w:type="spellEnd"/>
            <w:r w:rsidRPr="0092237B">
              <w:rPr>
                <w:rFonts w:ascii="Arial" w:hAnsi="Arial" w:cs="Arial"/>
                <w:color w:val="000000"/>
                <w:sz w:val="18"/>
                <w:szCs w:val="18"/>
              </w:rPr>
              <w:t xml:space="preserve">, up to </w:t>
            </w:r>
            <w:r w:rsidR="00BF3CB4">
              <w:rPr>
                <w:rFonts w:ascii="Arial" w:hAnsi="Arial" w:cs="Arial"/>
                <w:color w:val="000000"/>
                <w:sz w:val="18"/>
                <w:szCs w:val="18"/>
              </w:rPr>
              <w:t>70</w:t>
            </w:r>
            <w:r w:rsidRPr="0092237B">
              <w:rPr>
                <w:rFonts w:ascii="Arial" w:hAnsi="Arial" w:cs="Arial"/>
                <w:color w:val="000000"/>
                <w:sz w:val="18"/>
                <w:szCs w:val="18"/>
              </w:rPr>
              <w:t>Watt replacement fixture</w:t>
            </w:r>
            <w:r w:rsidRPr="0092237B">
              <w:rPr>
                <w:rFonts w:ascii="Arial" w:hAnsi="Arial" w:cs="Arial"/>
                <w:color w:val="FF0000"/>
                <w:sz w:val="18"/>
                <w:szCs w:val="18"/>
              </w:rPr>
              <w:t xml:space="preserve"> </w:t>
            </w:r>
          </w:p>
        </w:tc>
      </w:tr>
      <w:tr w:rsidR="0028793C" w:rsidRPr="003C335F" w:rsidTr="0028793C">
        <w:trPr>
          <w:trHeight w:val="205"/>
        </w:trPr>
        <w:tc>
          <w:tcPr>
            <w:tcW w:w="1165" w:type="dxa"/>
            <w:shd w:val="pct5" w:color="000000" w:fill="FFFFFF"/>
            <w:vAlign w:val="bottom"/>
          </w:tcPr>
          <w:p w:rsidR="0028793C" w:rsidRPr="0092237B" w:rsidRDefault="0028793C" w:rsidP="00BF3CB4">
            <w:pPr>
              <w:jc w:val="center"/>
              <w:rPr>
                <w:rFonts w:ascii="Arial" w:hAnsi="Arial" w:cs="Arial"/>
                <w:sz w:val="18"/>
                <w:szCs w:val="18"/>
              </w:rPr>
            </w:pPr>
            <w:r w:rsidRPr="0092237B">
              <w:rPr>
                <w:rFonts w:ascii="Arial" w:hAnsi="Arial" w:cs="Arial"/>
                <w:sz w:val="18"/>
                <w:szCs w:val="18"/>
              </w:rPr>
              <w:t>L-D</w:t>
            </w:r>
            <w:r w:rsidR="00BF3CB4">
              <w:rPr>
                <w:rFonts w:ascii="Arial" w:hAnsi="Arial" w:cs="Arial"/>
                <w:sz w:val="18"/>
                <w:szCs w:val="18"/>
              </w:rPr>
              <w:t>3</w:t>
            </w:r>
            <w:r w:rsidR="0092237B" w:rsidRPr="0092237B">
              <w:rPr>
                <w:rFonts w:ascii="Arial" w:hAnsi="Arial" w:cs="Arial"/>
                <w:sz w:val="18"/>
                <w:szCs w:val="18"/>
              </w:rPr>
              <w:t>1</w:t>
            </w:r>
          </w:p>
        </w:tc>
        <w:tc>
          <w:tcPr>
            <w:tcW w:w="6323" w:type="dxa"/>
            <w:shd w:val="pct20" w:color="000000" w:fill="FFFFFF"/>
            <w:vAlign w:val="bottom"/>
          </w:tcPr>
          <w:p w:rsidR="0028793C" w:rsidRPr="0092237B" w:rsidRDefault="0028793C" w:rsidP="008652B3">
            <w:pPr>
              <w:rPr>
                <w:rFonts w:ascii="Arial" w:hAnsi="Arial" w:cs="Arial"/>
                <w:sz w:val="18"/>
                <w:szCs w:val="18"/>
              </w:rPr>
            </w:pPr>
            <w:r w:rsidRPr="0092237B">
              <w:rPr>
                <w:rFonts w:ascii="Arial" w:hAnsi="Arial" w:cs="Arial"/>
                <w:sz w:val="18"/>
                <w:szCs w:val="18"/>
              </w:rPr>
              <w:t xml:space="preserve">176-399 Watt lamp </w:t>
            </w:r>
            <w:proofErr w:type="spellStart"/>
            <w:r w:rsidRPr="0092237B">
              <w:rPr>
                <w:rFonts w:ascii="Arial" w:hAnsi="Arial" w:cs="Arial"/>
                <w:sz w:val="18"/>
                <w:szCs w:val="18"/>
              </w:rPr>
              <w:t>basecase</w:t>
            </w:r>
            <w:proofErr w:type="spellEnd"/>
            <w:r w:rsidRPr="0092237B">
              <w:rPr>
                <w:rFonts w:ascii="Arial" w:hAnsi="Arial" w:cs="Arial"/>
                <w:color w:val="000000"/>
                <w:sz w:val="18"/>
                <w:szCs w:val="18"/>
              </w:rPr>
              <w:t>, up to 180 Watt replacement fixture</w:t>
            </w:r>
          </w:p>
        </w:tc>
      </w:tr>
      <w:tr w:rsidR="0028793C" w:rsidRPr="003C335F" w:rsidTr="00BC24DD">
        <w:trPr>
          <w:trHeight w:val="205"/>
        </w:trPr>
        <w:tc>
          <w:tcPr>
            <w:tcW w:w="1165" w:type="dxa"/>
            <w:shd w:val="pct5" w:color="000000" w:fill="FFFFFF"/>
            <w:vAlign w:val="bottom"/>
          </w:tcPr>
          <w:p w:rsidR="0028793C" w:rsidRPr="0092237B" w:rsidRDefault="003C335F" w:rsidP="00BF3CB4">
            <w:pPr>
              <w:jc w:val="center"/>
              <w:rPr>
                <w:rFonts w:ascii="Arial" w:hAnsi="Arial" w:cs="Arial"/>
                <w:color w:val="000000"/>
                <w:sz w:val="18"/>
                <w:szCs w:val="18"/>
              </w:rPr>
            </w:pPr>
            <w:r w:rsidRPr="0092237B">
              <w:rPr>
                <w:rFonts w:ascii="Arial" w:hAnsi="Arial" w:cs="Arial"/>
                <w:sz w:val="18"/>
                <w:szCs w:val="18"/>
              </w:rPr>
              <w:t>L-D</w:t>
            </w:r>
            <w:r w:rsidR="00BF3CB4">
              <w:rPr>
                <w:rFonts w:ascii="Arial" w:hAnsi="Arial" w:cs="Arial"/>
                <w:sz w:val="18"/>
                <w:szCs w:val="18"/>
              </w:rPr>
              <w:t>2</w:t>
            </w:r>
            <w:r w:rsidR="0092237B" w:rsidRPr="0092237B">
              <w:rPr>
                <w:rFonts w:ascii="Arial" w:hAnsi="Arial" w:cs="Arial"/>
                <w:sz w:val="18"/>
                <w:szCs w:val="18"/>
              </w:rPr>
              <w:t>1</w:t>
            </w:r>
          </w:p>
        </w:tc>
        <w:tc>
          <w:tcPr>
            <w:tcW w:w="6323" w:type="dxa"/>
            <w:shd w:val="pct5" w:color="000000" w:fill="FFFFFF"/>
            <w:vAlign w:val="bottom"/>
          </w:tcPr>
          <w:p w:rsidR="0028793C" w:rsidRPr="0092237B" w:rsidRDefault="0028793C" w:rsidP="00BF3CB4">
            <w:pPr>
              <w:rPr>
                <w:rFonts w:ascii="Arial" w:hAnsi="Arial" w:cs="Arial"/>
                <w:color w:val="FF0000"/>
                <w:sz w:val="18"/>
                <w:szCs w:val="18"/>
              </w:rPr>
            </w:pPr>
            <w:r w:rsidRPr="0092237B">
              <w:rPr>
                <w:rFonts w:ascii="Arial" w:hAnsi="Arial" w:cs="Arial"/>
                <w:color w:val="000000"/>
                <w:sz w:val="18"/>
                <w:szCs w:val="18"/>
              </w:rPr>
              <w:t>101-175 Watt lamp base case, up to 1</w:t>
            </w:r>
            <w:r w:rsidR="00BF3CB4">
              <w:rPr>
                <w:rFonts w:ascii="Arial" w:hAnsi="Arial" w:cs="Arial"/>
                <w:color w:val="000000"/>
                <w:sz w:val="18"/>
                <w:szCs w:val="18"/>
              </w:rPr>
              <w:t>2</w:t>
            </w:r>
            <w:r w:rsidRPr="0092237B">
              <w:rPr>
                <w:rFonts w:ascii="Arial" w:hAnsi="Arial" w:cs="Arial"/>
                <w:color w:val="000000"/>
                <w:sz w:val="18"/>
                <w:szCs w:val="18"/>
              </w:rPr>
              <w:t xml:space="preserve">0 Watt replacement fixture </w:t>
            </w:r>
          </w:p>
        </w:tc>
      </w:tr>
      <w:tr w:rsidR="0028793C" w:rsidTr="0092237B">
        <w:trPr>
          <w:trHeight w:val="297"/>
        </w:trPr>
        <w:tc>
          <w:tcPr>
            <w:tcW w:w="1165" w:type="dxa"/>
            <w:tcBorders>
              <w:top w:val="single" w:sz="18" w:space="0" w:color="FFFFFF"/>
              <w:bottom w:val="single" w:sz="18" w:space="0" w:color="FFFFFF"/>
              <w:right w:val="single" w:sz="18" w:space="0" w:color="FFFFFF"/>
            </w:tcBorders>
            <w:vAlign w:val="bottom"/>
          </w:tcPr>
          <w:p w:rsidR="0028793C" w:rsidRPr="0092237B" w:rsidRDefault="0028793C" w:rsidP="00CB5CC7">
            <w:pPr>
              <w:jc w:val="center"/>
              <w:rPr>
                <w:rFonts w:ascii="Arial" w:hAnsi="Arial" w:cs="Arial"/>
                <w:color w:val="000000"/>
                <w:sz w:val="18"/>
                <w:szCs w:val="18"/>
              </w:rPr>
            </w:pPr>
            <w:r w:rsidRPr="0092237B">
              <w:rPr>
                <w:rFonts w:ascii="Arial" w:hAnsi="Arial" w:cs="Arial"/>
                <w:color w:val="000000"/>
                <w:sz w:val="18"/>
                <w:szCs w:val="18"/>
              </w:rPr>
              <w:t>L-D</w:t>
            </w:r>
            <w:r w:rsidR="007B7326" w:rsidRPr="0092237B">
              <w:rPr>
                <w:rFonts w:ascii="Arial" w:hAnsi="Arial" w:cs="Arial"/>
                <w:color w:val="000000"/>
                <w:sz w:val="18"/>
                <w:szCs w:val="18"/>
              </w:rPr>
              <w:t>4</w:t>
            </w:r>
            <w:r w:rsidR="0092237B" w:rsidRPr="0092237B">
              <w:rPr>
                <w:rFonts w:ascii="Arial" w:hAnsi="Arial" w:cs="Arial"/>
                <w:color w:val="000000"/>
                <w:sz w:val="18"/>
                <w:szCs w:val="18"/>
              </w:rPr>
              <w:t>1</w:t>
            </w:r>
          </w:p>
        </w:tc>
        <w:tc>
          <w:tcPr>
            <w:tcW w:w="6323" w:type="dxa"/>
            <w:tcBorders>
              <w:top w:val="single" w:sz="18" w:space="0" w:color="FFFFFF"/>
              <w:left w:val="single" w:sz="18" w:space="0" w:color="FFFFFF"/>
              <w:bottom w:val="single" w:sz="18" w:space="0" w:color="FFFFFF"/>
            </w:tcBorders>
            <w:shd w:val="pct20" w:color="000000" w:fill="FFFFFF"/>
            <w:vAlign w:val="bottom"/>
          </w:tcPr>
          <w:p w:rsidR="0028793C" w:rsidRPr="0092237B" w:rsidRDefault="0028793C" w:rsidP="0092237B">
            <w:pPr>
              <w:rPr>
                <w:rFonts w:ascii="Arial" w:hAnsi="Arial" w:cs="Arial"/>
                <w:color w:val="000000"/>
                <w:sz w:val="18"/>
                <w:szCs w:val="18"/>
              </w:rPr>
            </w:pPr>
            <w:r w:rsidRPr="0092237B">
              <w:rPr>
                <w:rFonts w:ascii="Arial" w:hAnsi="Arial" w:cs="Arial"/>
                <w:color w:val="000000"/>
                <w:sz w:val="18"/>
                <w:szCs w:val="18"/>
              </w:rPr>
              <w:t xml:space="preserve">400 Watt lamp </w:t>
            </w:r>
            <w:r w:rsidR="0092237B" w:rsidRPr="0092237B">
              <w:rPr>
                <w:rFonts w:ascii="Arial" w:hAnsi="Arial" w:cs="Arial"/>
                <w:color w:val="000000"/>
                <w:sz w:val="18"/>
                <w:szCs w:val="18"/>
              </w:rPr>
              <w:t>base case</w:t>
            </w:r>
            <w:r w:rsidRPr="0092237B">
              <w:rPr>
                <w:rFonts w:ascii="Arial" w:hAnsi="Arial" w:cs="Arial"/>
                <w:color w:val="000000"/>
                <w:sz w:val="18"/>
                <w:szCs w:val="18"/>
              </w:rPr>
              <w:t xml:space="preserve">, up to </w:t>
            </w:r>
            <w:r w:rsidR="0092237B" w:rsidRPr="0092237B">
              <w:rPr>
                <w:rFonts w:ascii="Arial" w:hAnsi="Arial" w:cs="Arial"/>
                <w:color w:val="000000"/>
                <w:sz w:val="18"/>
                <w:szCs w:val="18"/>
              </w:rPr>
              <w:t xml:space="preserve">250 </w:t>
            </w:r>
            <w:r w:rsidRPr="0092237B">
              <w:rPr>
                <w:rFonts w:ascii="Arial" w:hAnsi="Arial" w:cs="Arial"/>
                <w:color w:val="000000"/>
                <w:sz w:val="18"/>
                <w:szCs w:val="18"/>
              </w:rPr>
              <w:t xml:space="preserve">Watt replacement fixture </w:t>
            </w:r>
            <w:r w:rsidR="00BF3CB4">
              <w:rPr>
                <w:rFonts w:ascii="Arial" w:hAnsi="Arial" w:cs="Arial"/>
                <w:color w:val="000000"/>
                <w:sz w:val="18"/>
                <w:szCs w:val="18"/>
              </w:rPr>
              <w:t>(Tier I)</w:t>
            </w:r>
          </w:p>
        </w:tc>
      </w:tr>
      <w:tr w:rsidR="0092237B" w:rsidTr="0092237B">
        <w:trPr>
          <w:trHeight w:val="205"/>
        </w:trPr>
        <w:tc>
          <w:tcPr>
            <w:tcW w:w="1165" w:type="dxa"/>
            <w:tcBorders>
              <w:top w:val="single" w:sz="18" w:space="0" w:color="FFFFFF"/>
              <w:bottom w:val="single" w:sz="18" w:space="0" w:color="FFFFFF"/>
              <w:right w:val="single" w:sz="18" w:space="0" w:color="FFFFFF"/>
            </w:tcBorders>
            <w:vAlign w:val="bottom"/>
          </w:tcPr>
          <w:p w:rsidR="0092237B" w:rsidRPr="0092237B" w:rsidRDefault="0092237B" w:rsidP="0092237B">
            <w:pPr>
              <w:jc w:val="center"/>
              <w:rPr>
                <w:rFonts w:ascii="Arial" w:hAnsi="Arial" w:cs="Arial"/>
                <w:color w:val="000000"/>
                <w:sz w:val="18"/>
                <w:szCs w:val="18"/>
              </w:rPr>
            </w:pPr>
            <w:r w:rsidRPr="0092237B">
              <w:rPr>
                <w:rFonts w:ascii="Arial" w:hAnsi="Arial" w:cs="Arial"/>
                <w:color w:val="000000"/>
                <w:sz w:val="18"/>
                <w:szCs w:val="18"/>
              </w:rPr>
              <w:t>L-D51</w:t>
            </w:r>
          </w:p>
        </w:tc>
        <w:tc>
          <w:tcPr>
            <w:tcW w:w="6323" w:type="dxa"/>
            <w:tcBorders>
              <w:top w:val="single" w:sz="18" w:space="0" w:color="FFFFFF"/>
              <w:left w:val="single" w:sz="18" w:space="0" w:color="FFFFFF"/>
              <w:bottom w:val="single" w:sz="18" w:space="0" w:color="FFFFFF"/>
            </w:tcBorders>
            <w:shd w:val="pct20" w:color="000000" w:fill="FFFFFF"/>
            <w:vAlign w:val="bottom"/>
          </w:tcPr>
          <w:p w:rsidR="0092237B" w:rsidRPr="0092237B" w:rsidRDefault="0092237B" w:rsidP="00CB5CC7">
            <w:pPr>
              <w:rPr>
                <w:rFonts w:ascii="Arial" w:hAnsi="Arial" w:cs="Arial"/>
                <w:color w:val="000000"/>
                <w:sz w:val="18"/>
                <w:szCs w:val="18"/>
              </w:rPr>
            </w:pPr>
            <w:r w:rsidRPr="0092237B">
              <w:rPr>
                <w:rFonts w:ascii="Arial" w:hAnsi="Arial" w:cs="Arial"/>
                <w:color w:val="000000"/>
                <w:sz w:val="18"/>
                <w:szCs w:val="18"/>
              </w:rPr>
              <w:t>400 Watt lamp base case, up to 360 Watt replacement fixture</w:t>
            </w:r>
            <w:r w:rsidR="00BF3CB4">
              <w:rPr>
                <w:rFonts w:ascii="Arial" w:hAnsi="Arial" w:cs="Arial"/>
                <w:color w:val="000000"/>
                <w:sz w:val="18"/>
                <w:szCs w:val="18"/>
              </w:rPr>
              <w:t xml:space="preserve"> (Tier II)</w:t>
            </w:r>
          </w:p>
        </w:tc>
      </w:tr>
    </w:tbl>
    <w:p w:rsidR="007F2ECC" w:rsidRDefault="007F2ECC" w:rsidP="00521920">
      <w:pPr>
        <w:ind w:left="720"/>
        <w:rPr>
          <w:rFonts w:ascii="Arial" w:hAnsi="Arial" w:cs="Arial"/>
          <w:b/>
          <w:i/>
          <w:sz w:val="20"/>
          <w:szCs w:val="20"/>
        </w:rPr>
      </w:pPr>
    </w:p>
    <w:p w:rsidR="00874A13" w:rsidRDefault="00874A13" w:rsidP="00874A13">
      <w:pPr>
        <w:rPr>
          <w:rFonts w:ascii="Arial" w:hAnsi="Arial" w:cs="Arial"/>
          <w:b/>
          <w:i/>
        </w:rPr>
      </w:pPr>
      <w:r w:rsidRPr="0060322D">
        <w:rPr>
          <w:rFonts w:ascii="Arial" w:hAnsi="Arial" w:cs="Arial"/>
          <w:b/>
          <w:i/>
        </w:rPr>
        <w:t>Program Restrictions and Guidelines</w:t>
      </w:r>
    </w:p>
    <w:p w:rsidR="0060322D" w:rsidRPr="000176AD" w:rsidRDefault="0060322D" w:rsidP="0060322D">
      <w:pPr>
        <w:ind w:left="720"/>
        <w:rPr>
          <w:rFonts w:ascii="Arial" w:hAnsi="Arial" w:cs="Arial"/>
          <w:b/>
          <w:i/>
          <w:sz w:val="20"/>
          <w:szCs w:val="20"/>
        </w:rPr>
      </w:pPr>
      <w:r w:rsidRPr="000176AD">
        <w:rPr>
          <w:rFonts w:ascii="Arial" w:hAnsi="Arial" w:cs="Arial"/>
          <w:b/>
          <w:i/>
          <w:sz w:val="20"/>
          <w:szCs w:val="20"/>
        </w:rPr>
        <w:t>Terms and Conditions</w:t>
      </w:r>
      <w:r>
        <w:rPr>
          <w:rFonts w:ascii="Arial" w:hAnsi="Arial" w:cs="Arial"/>
          <w:b/>
          <w:i/>
          <w:sz w:val="20"/>
          <w:szCs w:val="20"/>
        </w:rPr>
        <w:t>:</w:t>
      </w:r>
    </w:p>
    <w:p w:rsidR="00874A13" w:rsidRDefault="00874A13" w:rsidP="0060322D">
      <w:pPr>
        <w:rPr>
          <w:rFonts w:ascii="Arial" w:hAnsi="Arial" w:cs="Arial"/>
          <w:b/>
          <w:i/>
          <w:sz w:val="20"/>
          <w:szCs w:val="20"/>
        </w:rPr>
      </w:pPr>
      <w:r w:rsidRPr="0060322D">
        <w:t xml:space="preserve">The current work paper documents the energy savings that could be achieved by the replacement of the existing interior lighting fixtures to induction fixtures. </w:t>
      </w:r>
      <w:r w:rsidR="0060322D" w:rsidRPr="0060322D">
        <w:t xml:space="preserve">Only </w:t>
      </w:r>
      <w:r w:rsidRPr="0060322D">
        <w:t>Complete new induction fixtures qualify as replacements. All installations for this measure are for interior applications only. Exterior Installations do not qualify.</w:t>
      </w:r>
    </w:p>
    <w:p w:rsidR="00467567" w:rsidRPr="000176AD" w:rsidRDefault="00467567" w:rsidP="00521920">
      <w:pPr>
        <w:ind w:left="720"/>
        <w:rPr>
          <w:rFonts w:ascii="Arial" w:hAnsi="Arial" w:cs="Arial"/>
          <w:b/>
          <w:i/>
          <w:sz w:val="20"/>
          <w:szCs w:val="20"/>
        </w:rPr>
      </w:pPr>
    </w:p>
    <w:p w:rsidR="00A649B6" w:rsidRDefault="00A649B6" w:rsidP="00A649B6">
      <w:pPr>
        <w:ind w:left="720"/>
        <w:rPr>
          <w:rFonts w:ascii="Arial" w:hAnsi="Arial" w:cs="Arial"/>
          <w:b/>
          <w:i/>
          <w:sz w:val="20"/>
          <w:szCs w:val="20"/>
        </w:rPr>
      </w:pPr>
      <w:r w:rsidRPr="000176AD">
        <w:rPr>
          <w:rFonts w:ascii="Arial" w:hAnsi="Arial" w:cs="Arial"/>
          <w:b/>
          <w:i/>
          <w:sz w:val="20"/>
          <w:szCs w:val="20"/>
        </w:rPr>
        <w:t>Market Applicability</w:t>
      </w:r>
      <w:r w:rsidR="0060322D">
        <w:rPr>
          <w:rFonts w:ascii="Arial" w:hAnsi="Arial" w:cs="Arial"/>
          <w:b/>
          <w:i/>
          <w:sz w:val="20"/>
          <w:szCs w:val="20"/>
        </w:rPr>
        <w:t>:</w:t>
      </w:r>
    </w:p>
    <w:p w:rsidR="0060322D" w:rsidRPr="000176AD" w:rsidRDefault="0060322D" w:rsidP="00A649B6">
      <w:pPr>
        <w:ind w:left="720"/>
        <w:rPr>
          <w:rFonts w:ascii="Arial" w:hAnsi="Arial" w:cs="Arial"/>
          <w:b/>
          <w:i/>
          <w:sz w:val="20"/>
          <w:szCs w:val="20"/>
        </w:rPr>
      </w:pPr>
    </w:p>
    <w:p w:rsidR="00EF3D70" w:rsidRPr="00BC1C09" w:rsidRDefault="00A649B6" w:rsidP="00A649B6">
      <w:pPr>
        <w:ind w:left="720"/>
      </w:pPr>
      <w:r w:rsidRPr="00BC1C09">
        <w:t>The measures discussed in this work paper is applicable to Commercial market sectors</w:t>
      </w:r>
    </w:p>
    <w:p w:rsidR="00521920" w:rsidRPr="00521920" w:rsidRDefault="00521920" w:rsidP="00521920">
      <w:pPr>
        <w:ind w:left="720"/>
        <w:rPr>
          <w:rFonts w:ascii="Arial" w:hAnsi="Arial" w:cs="Arial"/>
          <w:b/>
          <w:i/>
          <w:sz w:val="20"/>
          <w:szCs w:val="20"/>
        </w:rPr>
      </w:pPr>
      <w:r>
        <w:rPr>
          <w:rFonts w:ascii="Arial" w:hAnsi="Arial" w:cs="Arial"/>
          <w:b/>
          <w:i/>
          <w:sz w:val="20"/>
          <w:szCs w:val="20"/>
        </w:rPr>
        <w:t xml:space="preserve"> </w:t>
      </w:r>
    </w:p>
    <w:p w:rsidR="00521920" w:rsidRDefault="00521920" w:rsidP="00872913">
      <w:pPr>
        <w:rPr>
          <w:rFonts w:ascii="Arial" w:hAnsi="Arial" w:cs="Arial"/>
          <w:b/>
          <w:i/>
        </w:rPr>
      </w:pPr>
      <w:r>
        <w:rPr>
          <w:rFonts w:ascii="Arial" w:hAnsi="Arial" w:cs="Arial"/>
          <w:b/>
          <w:i/>
        </w:rPr>
        <w:t>Technical Description</w:t>
      </w:r>
    </w:p>
    <w:p w:rsidR="00E55A5C" w:rsidRDefault="005353AB" w:rsidP="002847C4">
      <w:pPr>
        <w:jc w:val="both"/>
      </w:pPr>
      <w:r>
        <w:t>Metal Halide Lamps generally offer higher efficiency than mercury vapor lamps and better light quality than either mercury vapor or sodium lamps.</w:t>
      </w:r>
      <w:r w:rsidR="00D47E5F">
        <w:t xml:space="preserve"> A Pulse Start Metal Halide Lamp offers longer life and more stable operation due to the elimination of the starter probe and bimetal strip which often causes the standard metal halide lamps to fail</w:t>
      </w:r>
      <w:r w:rsidR="00833593">
        <w:rPr>
          <w:rStyle w:val="EndnoteReference"/>
        </w:rPr>
        <w:endnoteReference w:id="1"/>
      </w:r>
      <w:r w:rsidR="00D47E5F">
        <w:t xml:space="preserve">. </w:t>
      </w:r>
      <w:r w:rsidR="0052038D">
        <w:t xml:space="preserve">This work paper focuses on </w:t>
      </w:r>
      <w:r w:rsidR="00833593">
        <w:t xml:space="preserve">the assumption of </w:t>
      </w:r>
      <w:r w:rsidR="0052038D">
        <w:t xml:space="preserve">replacing </w:t>
      </w:r>
      <w:r w:rsidR="00840683">
        <w:t xml:space="preserve">the </w:t>
      </w:r>
      <w:r w:rsidR="0052038D">
        <w:t xml:space="preserve">existing Standard Metal Halide fixtures. </w:t>
      </w:r>
      <w:r w:rsidR="00833593">
        <w:t xml:space="preserve">All existing fixtures (Incandescent, Mercury Vapor, T12/High Output (HO) Fluorescent, T12/Very High Output (VHO) Fluorescent, Standard Metal </w:t>
      </w:r>
      <w:r w:rsidR="002777FF">
        <w:t xml:space="preserve">Halide (HID), Cold Cathode </w:t>
      </w:r>
      <w:r w:rsidR="00833593">
        <w:t xml:space="preserve">or High Pressure Sodium Fixtures) considered for replacement with a Pulse Start Metal Halide are assumed to </w:t>
      </w:r>
      <w:r w:rsidR="00C43787">
        <w:t>be of Standard Metal Halide Fixtures type.</w:t>
      </w:r>
      <w:r w:rsidR="00833593">
        <w:t xml:space="preserve"> </w:t>
      </w:r>
      <w:r w:rsidR="0052038D">
        <w:t xml:space="preserve">Lamp Wattages below 175W do not qualify under this category. Existing Incandescent, Mercury Vapor, T12 HO, T12 VHO, and High Pressure Sodium </w:t>
      </w:r>
      <w:r w:rsidR="000B3D50">
        <w:lastRenderedPageBreak/>
        <w:t xml:space="preserve">(HPS) </w:t>
      </w:r>
      <w:r w:rsidR="0052038D">
        <w:t xml:space="preserve">fixtures with at least the same wattage as the assumed existing Standard Metal Halide </w:t>
      </w:r>
      <w:r w:rsidR="00341840">
        <w:t xml:space="preserve">fixture also qualify. Savings for each wattage range listed in this work paper are based on the most applicable </w:t>
      </w:r>
      <w:r w:rsidR="00C6201A">
        <w:t xml:space="preserve">induction fixture to achieve similar output as the assumed existing standard fixture. To qualify, induction fixtures must have a maximum wattage as stipulated in the table below and less than the fixture being replaced and must be hardwired. </w:t>
      </w:r>
    </w:p>
    <w:p w:rsidR="00E55A5C" w:rsidRDefault="00E55A5C" w:rsidP="00872913"/>
    <w:p w:rsidR="00E55A5C" w:rsidRPr="00D47E5F" w:rsidRDefault="0052038D" w:rsidP="00872913">
      <w:r>
        <w:t xml:space="preserve"> </w:t>
      </w:r>
    </w:p>
    <w:p w:rsidR="00A13D03" w:rsidRDefault="00A13D03" w:rsidP="00A13D03">
      <w:pPr>
        <w:pStyle w:val="Caption"/>
        <w:keepNext/>
        <w:jc w:val="center"/>
        <w:rPr>
          <w:sz w:val="24"/>
        </w:rPr>
      </w:pPr>
      <w:bookmarkStart w:id="15" w:name="_Ref190226572"/>
      <w:bookmarkStart w:id="16" w:name="_Toc190665226"/>
      <w:r w:rsidRPr="00A13D03">
        <w:rPr>
          <w:sz w:val="24"/>
        </w:rPr>
        <w:t xml:space="preserve">Table </w:t>
      </w:r>
      <w:r w:rsidR="000E5CA3" w:rsidRPr="00A13D03">
        <w:rPr>
          <w:sz w:val="24"/>
        </w:rPr>
        <w:fldChar w:fldCharType="begin"/>
      </w:r>
      <w:r w:rsidRPr="00A13D03">
        <w:rPr>
          <w:sz w:val="24"/>
        </w:rPr>
        <w:instrText xml:space="preserve"> SEQ Table \* ARABIC </w:instrText>
      </w:r>
      <w:r w:rsidR="000E5CA3" w:rsidRPr="00A13D03">
        <w:rPr>
          <w:sz w:val="24"/>
        </w:rPr>
        <w:fldChar w:fldCharType="separate"/>
      </w:r>
      <w:r w:rsidR="008F0D36">
        <w:rPr>
          <w:noProof/>
          <w:sz w:val="24"/>
        </w:rPr>
        <w:t>2</w:t>
      </w:r>
      <w:r w:rsidR="000E5CA3" w:rsidRPr="00A13D03">
        <w:rPr>
          <w:sz w:val="24"/>
        </w:rPr>
        <w:fldChar w:fldCharType="end"/>
      </w:r>
      <w:bookmarkEnd w:id="15"/>
      <w:r w:rsidRPr="00A13D03">
        <w:rPr>
          <w:sz w:val="24"/>
        </w:rPr>
        <w:t xml:space="preserve"> Maximum Wattage of Replacement fixture allowed for the five measures</w:t>
      </w:r>
      <w:bookmarkEnd w:id="16"/>
    </w:p>
    <w:p w:rsidR="00A13D03" w:rsidRPr="00A13D03" w:rsidRDefault="00A13D03" w:rsidP="00A13D03"/>
    <w:tbl>
      <w:tblPr>
        <w:tblW w:w="0" w:type="auto"/>
        <w:tblBorders>
          <w:insideH w:val="single" w:sz="18" w:space="0" w:color="FFFFFF"/>
          <w:insideV w:val="single" w:sz="18" w:space="0" w:color="FFFFFF"/>
        </w:tblBorders>
        <w:tblLook w:val="04A0"/>
      </w:tblPr>
      <w:tblGrid>
        <w:gridCol w:w="2872"/>
        <w:gridCol w:w="3274"/>
        <w:gridCol w:w="3430"/>
      </w:tblGrid>
      <w:tr w:rsidR="00800BFA">
        <w:tc>
          <w:tcPr>
            <w:tcW w:w="2872" w:type="dxa"/>
            <w:shd w:val="pct20" w:color="000000" w:fill="FFFFFF"/>
          </w:tcPr>
          <w:p w:rsidR="00800BFA" w:rsidRPr="00D05CA7" w:rsidRDefault="00800BFA" w:rsidP="00D05CA7">
            <w:pPr>
              <w:jc w:val="center"/>
              <w:rPr>
                <w:b/>
                <w:bCs/>
              </w:rPr>
            </w:pPr>
          </w:p>
          <w:p w:rsidR="00800BFA" w:rsidRPr="00D05CA7" w:rsidRDefault="00800BFA" w:rsidP="00D05CA7">
            <w:pPr>
              <w:jc w:val="center"/>
              <w:rPr>
                <w:b/>
                <w:bCs/>
              </w:rPr>
            </w:pPr>
            <w:r w:rsidRPr="00D05CA7">
              <w:rPr>
                <w:b/>
                <w:bCs/>
              </w:rPr>
              <w:t>Product Code</w:t>
            </w:r>
          </w:p>
        </w:tc>
        <w:tc>
          <w:tcPr>
            <w:tcW w:w="3274" w:type="dxa"/>
            <w:shd w:val="pct20" w:color="000000" w:fill="FFFFFF"/>
          </w:tcPr>
          <w:p w:rsidR="00800BFA" w:rsidRPr="00D05CA7" w:rsidRDefault="00800BFA" w:rsidP="00D05CA7">
            <w:pPr>
              <w:jc w:val="center"/>
              <w:rPr>
                <w:b/>
                <w:bCs/>
              </w:rPr>
            </w:pPr>
            <w:r w:rsidRPr="00D05CA7">
              <w:rPr>
                <w:b/>
                <w:bCs/>
              </w:rPr>
              <w:t xml:space="preserve">Existing Standard MH (or HPS, </w:t>
            </w:r>
            <w:proofErr w:type="spellStart"/>
            <w:r w:rsidRPr="00D05CA7">
              <w:rPr>
                <w:b/>
                <w:bCs/>
              </w:rPr>
              <w:t>Merc</w:t>
            </w:r>
            <w:proofErr w:type="spellEnd"/>
            <w:r w:rsidRPr="00D05CA7">
              <w:rPr>
                <w:b/>
                <w:bCs/>
              </w:rPr>
              <w:t>, T12 HO, T12 VHO or Inc)</w:t>
            </w:r>
          </w:p>
        </w:tc>
        <w:tc>
          <w:tcPr>
            <w:tcW w:w="3430" w:type="dxa"/>
            <w:shd w:val="pct20" w:color="000000" w:fill="FFFFFF"/>
          </w:tcPr>
          <w:p w:rsidR="00800BFA" w:rsidRPr="00D05CA7" w:rsidRDefault="00800BFA" w:rsidP="00D05CA7">
            <w:pPr>
              <w:jc w:val="center"/>
              <w:rPr>
                <w:b/>
                <w:bCs/>
              </w:rPr>
            </w:pPr>
            <w:r w:rsidRPr="00D05CA7">
              <w:rPr>
                <w:b/>
                <w:bCs/>
              </w:rPr>
              <w:t xml:space="preserve">Maximum Wattage of Replacement </w:t>
            </w:r>
            <w:r w:rsidR="00A96E96">
              <w:rPr>
                <w:b/>
                <w:bCs/>
              </w:rPr>
              <w:t>Induction</w:t>
            </w:r>
            <w:r w:rsidRPr="00D05CA7">
              <w:rPr>
                <w:b/>
                <w:bCs/>
              </w:rPr>
              <w:t>, Including Ballast (W)</w:t>
            </w:r>
          </w:p>
        </w:tc>
      </w:tr>
      <w:tr w:rsidR="00A07688">
        <w:tc>
          <w:tcPr>
            <w:tcW w:w="2872" w:type="dxa"/>
            <w:vMerge w:val="restart"/>
            <w:shd w:val="pct5" w:color="000000" w:fill="FFFFFF"/>
            <w:vAlign w:val="bottom"/>
          </w:tcPr>
          <w:p w:rsidR="00A07688" w:rsidRDefault="00A07688" w:rsidP="00A96E96">
            <w:pPr>
              <w:jc w:val="center"/>
              <w:rPr>
                <w:rFonts w:ascii="Arial" w:hAnsi="Arial" w:cs="Arial"/>
                <w:sz w:val="18"/>
                <w:szCs w:val="18"/>
              </w:rPr>
            </w:pPr>
            <w:r>
              <w:rPr>
                <w:rFonts w:ascii="Arial" w:hAnsi="Arial" w:cs="Arial"/>
                <w:sz w:val="18"/>
                <w:szCs w:val="18"/>
              </w:rPr>
              <w:t>L-D</w:t>
            </w:r>
            <w:r w:rsidR="0092237B">
              <w:rPr>
                <w:rFonts w:ascii="Arial" w:hAnsi="Arial" w:cs="Arial"/>
                <w:sz w:val="18"/>
                <w:szCs w:val="18"/>
              </w:rPr>
              <w:t>1</w:t>
            </w:r>
            <w:r>
              <w:rPr>
                <w:rFonts w:ascii="Arial" w:hAnsi="Arial" w:cs="Arial"/>
                <w:sz w:val="18"/>
                <w:szCs w:val="18"/>
              </w:rPr>
              <w:t>1-</w:t>
            </w:r>
            <w:r w:rsidR="0092237B">
              <w:rPr>
                <w:rFonts w:ascii="Arial" w:hAnsi="Arial" w:cs="Arial"/>
                <w:sz w:val="18"/>
                <w:szCs w:val="18"/>
              </w:rPr>
              <w:t>51</w:t>
            </w:r>
          </w:p>
          <w:p w:rsidR="00A07688" w:rsidRDefault="00A07688" w:rsidP="00A96E96">
            <w:pPr>
              <w:jc w:val="center"/>
              <w:rPr>
                <w:rFonts w:ascii="Arial" w:hAnsi="Arial" w:cs="Arial"/>
                <w:sz w:val="18"/>
                <w:szCs w:val="18"/>
              </w:rPr>
            </w:pPr>
          </w:p>
          <w:p w:rsidR="00A07688" w:rsidRDefault="00A07688" w:rsidP="00A96E96">
            <w:pPr>
              <w:jc w:val="center"/>
              <w:rPr>
                <w:rFonts w:ascii="Arial" w:hAnsi="Arial" w:cs="Arial"/>
                <w:sz w:val="18"/>
                <w:szCs w:val="18"/>
              </w:rPr>
            </w:pPr>
          </w:p>
          <w:p w:rsidR="00A07688" w:rsidRDefault="00A07688" w:rsidP="00A96E96">
            <w:pPr>
              <w:jc w:val="center"/>
              <w:rPr>
                <w:rFonts w:ascii="Arial" w:hAnsi="Arial" w:cs="Arial"/>
                <w:sz w:val="18"/>
                <w:szCs w:val="18"/>
              </w:rPr>
            </w:pPr>
          </w:p>
        </w:tc>
        <w:tc>
          <w:tcPr>
            <w:tcW w:w="3274" w:type="dxa"/>
            <w:shd w:val="pct5" w:color="000000" w:fill="FFFFFF"/>
          </w:tcPr>
          <w:p w:rsidR="00A07688" w:rsidRPr="00840683" w:rsidRDefault="00A07688" w:rsidP="00D05CA7">
            <w:pPr>
              <w:jc w:val="center"/>
              <w:rPr>
                <w:sz w:val="22"/>
              </w:rPr>
            </w:pPr>
            <w:r w:rsidRPr="00840683">
              <w:rPr>
                <w:sz w:val="22"/>
              </w:rPr>
              <w:t xml:space="preserve"> 400W</w:t>
            </w:r>
          </w:p>
        </w:tc>
        <w:tc>
          <w:tcPr>
            <w:tcW w:w="3430" w:type="dxa"/>
            <w:shd w:val="pct5" w:color="000000" w:fill="FFFFFF"/>
          </w:tcPr>
          <w:p w:rsidR="00A07688" w:rsidRPr="00840683" w:rsidRDefault="00A07688" w:rsidP="00D05CA7">
            <w:pPr>
              <w:jc w:val="center"/>
              <w:rPr>
                <w:sz w:val="22"/>
              </w:rPr>
            </w:pPr>
            <w:r>
              <w:rPr>
                <w:sz w:val="22"/>
              </w:rPr>
              <w:t>360</w:t>
            </w:r>
            <w:r w:rsidRPr="00840683">
              <w:rPr>
                <w:sz w:val="22"/>
              </w:rPr>
              <w:t>W</w:t>
            </w:r>
          </w:p>
        </w:tc>
      </w:tr>
      <w:tr w:rsidR="0092237B">
        <w:tc>
          <w:tcPr>
            <w:tcW w:w="2872" w:type="dxa"/>
            <w:vMerge/>
            <w:shd w:val="pct5" w:color="000000" w:fill="FFFFFF"/>
            <w:vAlign w:val="bottom"/>
          </w:tcPr>
          <w:p w:rsidR="0092237B" w:rsidRDefault="0092237B" w:rsidP="00A96E96">
            <w:pPr>
              <w:jc w:val="center"/>
              <w:rPr>
                <w:rFonts w:ascii="Arial" w:hAnsi="Arial" w:cs="Arial"/>
                <w:sz w:val="18"/>
                <w:szCs w:val="18"/>
              </w:rPr>
            </w:pPr>
          </w:p>
        </w:tc>
        <w:tc>
          <w:tcPr>
            <w:tcW w:w="3274" w:type="dxa"/>
            <w:shd w:val="pct5" w:color="000000" w:fill="FFFFFF"/>
          </w:tcPr>
          <w:p w:rsidR="0092237B" w:rsidRPr="00840683" w:rsidRDefault="0092237B" w:rsidP="00D05CA7">
            <w:pPr>
              <w:jc w:val="center"/>
              <w:rPr>
                <w:sz w:val="22"/>
              </w:rPr>
            </w:pPr>
            <w:r>
              <w:rPr>
                <w:sz w:val="22"/>
              </w:rPr>
              <w:t>400 W</w:t>
            </w:r>
          </w:p>
        </w:tc>
        <w:tc>
          <w:tcPr>
            <w:tcW w:w="3430" w:type="dxa"/>
            <w:shd w:val="pct5" w:color="000000" w:fill="FFFFFF"/>
          </w:tcPr>
          <w:p w:rsidR="0092237B" w:rsidRDefault="0092237B" w:rsidP="00D05CA7">
            <w:pPr>
              <w:jc w:val="center"/>
              <w:rPr>
                <w:sz w:val="22"/>
              </w:rPr>
            </w:pPr>
            <w:r>
              <w:rPr>
                <w:sz w:val="22"/>
              </w:rPr>
              <w:t>250W</w:t>
            </w:r>
          </w:p>
        </w:tc>
      </w:tr>
      <w:tr w:rsidR="00A07688">
        <w:tc>
          <w:tcPr>
            <w:tcW w:w="2872" w:type="dxa"/>
            <w:vMerge/>
            <w:shd w:val="pct20" w:color="000000" w:fill="FFFFFF"/>
            <w:vAlign w:val="bottom"/>
          </w:tcPr>
          <w:p w:rsidR="00A07688" w:rsidRDefault="00A07688" w:rsidP="00A96E96">
            <w:pPr>
              <w:jc w:val="center"/>
              <w:rPr>
                <w:rFonts w:ascii="Arial" w:hAnsi="Arial" w:cs="Arial"/>
                <w:sz w:val="18"/>
                <w:szCs w:val="18"/>
              </w:rPr>
            </w:pPr>
          </w:p>
        </w:tc>
        <w:tc>
          <w:tcPr>
            <w:tcW w:w="3274" w:type="dxa"/>
            <w:shd w:val="pct20" w:color="000000" w:fill="FFFFFF"/>
          </w:tcPr>
          <w:p w:rsidR="00A07688" w:rsidRPr="00840683" w:rsidRDefault="00A07688" w:rsidP="00D05CA7">
            <w:pPr>
              <w:jc w:val="center"/>
              <w:rPr>
                <w:sz w:val="22"/>
              </w:rPr>
            </w:pPr>
            <w:r w:rsidRPr="00840683">
              <w:rPr>
                <w:sz w:val="22"/>
              </w:rPr>
              <w:t>176-399W</w:t>
            </w:r>
          </w:p>
        </w:tc>
        <w:tc>
          <w:tcPr>
            <w:tcW w:w="3430" w:type="dxa"/>
            <w:shd w:val="pct20" w:color="000000" w:fill="FFFFFF"/>
          </w:tcPr>
          <w:p w:rsidR="00A07688" w:rsidRPr="00840683" w:rsidRDefault="00A07688" w:rsidP="00D05CA7">
            <w:pPr>
              <w:jc w:val="center"/>
              <w:rPr>
                <w:sz w:val="22"/>
              </w:rPr>
            </w:pPr>
            <w:r>
              <w:rPr>
                <w:sz w:val="22"/>
              </w:rPr>
              <w:t>180</w:t>
            </w:r>
            <w:r w:rsidRPr="00840683">
              <w:rPr>
                <w:sz w:val="22"/>
              </w:rPr>
              <w:t>W</w:t>
            </w:r>
          </w:p>
        </w:tc>
      </w:tr>
      <w:tr w:rsidR="00A07688">
        <w:tc>
          <w:tcPr>
            <w:tcW w:w="2872" w:type="dxa"/>
            <w:vMerge/>
            <w:shd w:val="pct5" w:color="000000" w:fill="FFFFFF"/>
            <w:vAlign w:val="bottom"/>
          </w:tcPr>
          <w:p w:rsidR="00A07688" w:rsidRPr="00E94131" w:rsidRDefault="00A07688" w:rsidP="00A96E96">
            <w:pPr>
              <w:jc w:val="center"/>
              <w:rPr>
                <w:rFonts w:ascii="Arial" w:hAnsi="Arial" w:cs="Arial"/>
                <w:color w:val="000000"/>
                <w:sz w:val="18"/>
                <w:szCs w:val="18"/>
              </w:rPr>
            </w:pPr>
          </w:p>
        </w:tc>
        <w:tc>
          <w:tcPr>
            <w:tcW w:w="3274" w:type="dxa"/>
            <w:shd w:val="pct5" w:color="000000" w:fill="FFFFFF"/>
          </w:tcPr>
          <w:p w:rsidR="00A07688" w:rsidRPr="00840683" w:rsidRDefault="00A07688" w:rsidP="00D05CA7">
            <w:pPr>
              <w:jc w:val="center"/>
              <w:rPr>
                <w:sz w:val="22"/>
              </w:rPr>
            </w:pPr>
            <w:r w:rsidRPr="00840683">
              <w:rPr>
                <w:sz w:val="22"/>
              </w:rPr>
              <w:t>1</w:t>
            </w:r>
            <w:r>
              <w:rPr>
                <w:sz w:val="22"/>
              </w:rPr>
              <w:t>01</w:t>
            </w:r>
            <w:r w:rsidRPr="00840683">
              <w:rPr>
                <w:sz w:val="22"/>
              </w:rPr>
              <w:t>-</w:t>
            </w:r>
            <w:r>
              <w:rPr>
                <w:sz w:val="22"/>
              </w:rPr>
              <w:t>175</w:t>
            </w:r>
            <w:r w:rsidRPr="00840683">
              <w:rPr>
                <w:sz w:val="22"/>
              </w:rPr>
              <w:t>W</w:t>
            </w:r>
          </w:p>
        </w:tc>
        <w:tc>
          <w:tcPr>
            <w:tcW w:w="3430" w:type="dxa"/>
            <w:shd w:val="pct5" w:color="000000" w:fill="FFFFFF"/>
          </w:tcPr>
          <w:p w:rsidR="00A07688" w:rsidRPr="00840683" w:rsidRDefault="00A07688" w:rsidP="00BF3CB4">
            <w:pPr>
              <w:jc w:val="center"/>
              <w:rPr>
                <w:sz w:val="22"/>
              </w:rPr>
            </w:pPr>
            <w:r>
              <w:rPr>
                <w:sz w:val="22"/>
              </w:rPr>
              <w:t>1</w:t>
            </w:r>
            <w:r w:rsidR="00BF3CB4">
              <w:rPr>
                <w:sz w:val="22"/>
              </w:rPr>
              <w:t>2</w:t>
            </w:r>
            <w:r>
              <w:rPr>
                <w:sz w:val="22"/>
              </w:rPr>
              <w:t>0</w:t>
            </w:r>
            <w:r w:rsidRPr="00840683">
              <w:rPr>
                <w:sz w:val="22"/>
              </w:rPr>
              <w:t>W</w:t>
            </w:r>
          </w:p>
        </w:tc>
      </w:tr>
      <w:tr w:rsidR="00A07688">
        <w:tc>
          <w:tcPr>
            <w:tcW w:w="2872" w:type="dxa"/>
            <w:vMerge/>
            <w:shd w:val="pct20" w:color="000000" w:fill="FFFFFF"/>
            <w:vAlign w:val="bottom"/>
          </w:tcPr>
          <w:p w:rsidR="00A07688" w:rsidRPr="00E94131" w:rsidRDefault="00A07688" w:rsidP="00A96E96">
            <w:pPr>
              <w:jc w:val="center"/>
              <w:rPr>
                <w:rFonts w:ascii="Arial" w:hAnsi="Arial" w:cs="Arial"/>
                <w:color w:val="000000"/>
                <w:sz w:val="18"/>
                <w:szCs w:val="18"/>
              </w:rPr>
            </w:pPr>
          </w:p>
        </w:tc>
        <w:tc>
          <w:tcPr>
            <w:tcW w:w="3274" w:type="dxa"/>
            <w:shd w:val="pct20" w:color="000000" w:fill="FFFFFF"/>
          </w:tcPr>
          <w:p w:rsidR="00A07688" w:rsidRPr="00840683" w:rsidRDefault="00A07688" w:rsidP="00D05CA7">
            <w:pPr>
              <w:jc w:val="center"/>
              <w:rPr>
                <w:sz w:val="22"/>
              </w:rPr>
            </w:pPr>
            <w:r>
              <w:rPr>
                <w:sz w:val="22"/>
              </w:rPr>
              <w:t>100</w:t>
            </w:r>
            <w:r w:rsidRPr="00840683">
              <w:rPr>
                <w:sz w:val="22"/>
              </w:rPr>
              <w:t>W</w:t>
            </w:r>
          </w:p>
        </w:tc>
        <w:tc>
          <w:tcPr>
            <w:tcW w:w="3430" w:type="dxa"/>
            <w:shd w:val="pct20" w:color="000000" w:fill="FFFFFF"/>
          </w:tcPr>
          <w:p w:rsidR="00A07688" w:rsidRPr="00840683" w:rsidRDefault="00BF3CB4" w:rsidP="00D05CA7">
            <w:pPr>
              <w:jc w:val="center"/>
              <w:rPr>
                <w:sz w:val="22"/>
              </w:rPr>
            </w:pPr>
            <w:r>
              <w:rPr>
                <w:sz w:val="22"/>
              </w:rPr>
              <w:t>70</w:t>
            </w:r>
            <w:r w:rsidR="00A07688" w:rsidRPr="00840683">
              <w:rPr>
                <w:sz w:val="22"/>
              </w:rPr>
              <w:t>W</w:t>
            </w:r>
          </w:p>
        </w:tc>
      </w:tr>
    </w:tbl>
    <w:p w:rsidR="003D51E0" w:rsidRPr="00D47E5F" w:rsidRDefault="003D51E0" w:rsidP="00872913"/>
    <w:p w:rsidR="00E71EF1" w:rsidRDefault="001248A3" w:rsidP="001248A3">
      <w:pPr>
        <w:pStyle w:val="Heading2"/>
      </w:pPr>
      <w:bookmarkStart w:id="17" w:name="_Toc328480030"/>
      <w:r w:rsidRPr="00A07688">
        <w:t xml:space="preserve">1.2 </w:t>
      </w:r>
      <w:r w:rsidR="00C069A2" w:rsidRPr="00A07688">
        <w:t xml:space="preserve">DEER Differences </w:t>
      </w:r>
      <w:r w:rsidR="00E71EF1" w:rsidRPr="00A07688">
        <w:t>Analysis</w:t>
      </w:r>
      <w:bookmarkEnd w:id="17"/>
    </w:p>
    <w:p w:rsidR="00CF59E3" w:rsidRDefault="00CF59E3" w:rsidP="00CF59E3">
      <w:pPr>
        <w:jc w:val="both"/>
      </w:pPr>
      <w:r w:rsidRPr="00357EBF">
        <w:t xml:space="preserve">This </w:t>
      </w:r>
      <w:r>
        <w:t xml:space="preserve">work paper contains </w:t>
      </w:r>
      <w:r w:rsidR="00DF6A27">
        <w:t>five</w:t>
      </w:r>
      <w:r>
        <w:t xml:space="preserve"> different measures. None of these measures appear in the 2004-05 Database for Energy Efficient Resources (DEER).</w:t>
      </w:r>
      <w:bookmarkStart w:id="18" w:name="_Ref190160886"/>
      <w:r>
        <w:rPr>
          <w:rStyle w:val="EndnoteReference"/>
        </w:rPr>
        <w:endnoteReference w:id="2"/>
      </w:r>
      <w:bookmarkEnd w:id="18"/>
      <w:r>
        <w:t xml:space="preserve">  However, the DEER lists one similar measure for an exterior lighting system with measure ID D03-847. This measure has a 250W Standard Metal Halide exterior lighting fixture as its base case and is being replaced by a 175W Pulse Start Metal Halide fixture. Other DEER measures similar to the ones being reported here include D03-848 and D03-849 where the base cases are 500W Incandescent and 400W Mercury Vapor respectively which are being replaced by 175W and 250W Pulse Start Metal Halide fixtures. The energy savings reported by these DEER measures</w:t>
      </w:r>
      <w:fldSimple w:instr=" NOTEREF _Ref190160886 \h  \* MERGEFORMAT ">
        <w:r w:rsidR="008F0D36">
          <w:rPr>
            <w:vertAlign w:val="superscript"/>
          </w:rPr>
          <w:t>2</w:t>
        </w:r>
      </w:fldSimple>
      <w:r>
        <w:t xml:space="preserve"> are specified in </w:t>
      </w:r>
      <w:r w:rsidR="000E5CA3">
        <w:fldChar w:fldCharType="begin"/>
      </w:r>
      <w:r>
        <w:instrText xml:space="preserve"> REF _Ref190226551 \h </w:instrText>
      </w:r>
      <w:r w:rsidR="000E5CA3">
        <w:fldChar w:fldCharType="separate"/>
      </w:r>
      <w:r w:rsidR="008F0D36" w:rsidRPr="003E56DD">
        <w:t xml:space="preserve">Table </w:t>
      </w:r>
      <w:r w:rsidR="008F0D36">
        <w:rPr>
          <w:noProof/>
        </w:rPr>
        <w:t>3</w:t>
      </w:r>
      <w:r w:rsidR="000E5CA3">
        <w:fldChar w:fldCharType="end"/>
      </w:r>
      <w:r>
        <w:t xml:space="preserve"> below.</w:t>
      </w:r>
    </w:p>
    <w:p w:rsidR="00325DC5" w:rsidRDefault="00420720" w:rsidP="00CF59E3">
      <w:pPr>
        <w:jc w:val="both"/>
      </w:pPr>
      <w:r>
        <w:t xml:space="preserve">These are shown in the </w:t>
      </w:r>
      <w:r w:rsidR="000E5CA3">
        <w:fldChar w:fldCharType="begin"/>
      </w:r>
      <w:r>
        <w:instrText xml:space="preserve"> REF _Ref190226551 \h </w:instrText>
      </w:r>
      <w:r w:rsidR="000E5CA3">
        <w:fldChar w:fldCharType="separate"/>
      </w:r>
      <w:r w:rsidR="008F0D36" w:rsidRPr="003E56DD">
        <w:t xml:space="preserve">Table </w:t>
      </w:r>
      <w:r w:rsidR="008F0D36">
        <w:rPr>
          <w:noProof/>
        </w:rPr>
        <w:t>3</w:t>
      </w:r>
      <w:r w:rsidR="000E5CA3">
        <w:fldChar w:fldCharType="end"/>
      </w:r>
      <w:r>
        <w:rPr>
          <w:noProof/>
          <w:sz w:val="22"/>
        </w:rPr>
        <w:t xml:space="preserve"> </w:t>
      </w:r>
      <w:r>
        <w:t xml:space="preserve">below. </w:t>
      </w:r>
    </w:p>
    <w:p w:rsidR="00325DC5" w:rsidRDefault="00325DC5" w:rsidP="009F7164"/>
    <w:p w:rsidR="00325DC5" w:rsidRPr="003E56DD" w:rsidRDefault="00325DC5" w:rsidP="00325DC5">
      <w:pPr>
        <w:pStyle w:val="Caption"/>
        <w:keepNext/>
        <w:jc w:val="center"/>
        <w:rPr>
          <w:sz w:val="24"/>
        </w:rPr>
      </w:pPr>
      <w:bookmarkStart w:id="19" w:name="_Ref190226551"/>
      <w:bookmarkStart w:id="20" w:name="_Ref190160721"/>
      <w:bookmarkStart w:id="21" w:name="_Toc190665227"/>
      <w:r w:rsidRPr="003E56DD">
        <w:rPr>
          <w:sz w:val="24"/>
        </w:rPr>
        <w:t xml:space="preserve">Table </w:t>
      </w:r>
      <w:r w:rsidR="000E5CA3" w:rsidRPr="003E56DD">
        <w:rPr>
          <w:sz w:val="24"/>
        </w:rPr>
        <w:fldChar w:fldCharType="begin"/>
      </w:r>
      <w:r w:rsidRPr="003E56DD">
        <w:rPr>
          <w:sz w:val="24"/>
        </w:rPr>
        <w:instrText xml:space="preserve"> SEQ Table \* ARABIC </w:instrText>
      </w:r>
      <w:r w:rsidR="000E5CA3" w:rsidRPr="003E56DD">
        <w:rPr>
          <w:sz w:val="24"/>
        </w:rPr>
        <w:fldChar w:fldCharType="separate"/>
      </w:r>
      <w:r w:rsidR="008F0D36">
        <w:rPr>
          <w:noProof/>
          <w:sz w:val="24"/>
        </w:rPr>
        <w:t>3</w:t>
      </w:r>
      <w:r w:rsidR="000E5CA3" w:rsidRPr="003E56DD">
        <w:rPr>
          <w:sz w:val="24"/>
        </w:rPr>
        <w:fldChar w:fldCharType="end"/>
      </w:r>
      <w:bookmarkEnd w:id="19"/>
      <w:r w:rsidRPr="003E56DD">
        <w:rPr>
          <w:sz w:val="24"/>
        </w:rPr>
        <w:t xml:space="preserve"> Existing DEER measures for </w:t>
      </w:r>
      <w:r w:rsidR="00420720">
        <w:rPr>
          <w:sz w:val="24"/>
        </w:rPr>
        <w:t xml:space="preserve">Exterior </w:t>
      </w:r>
      <w:r w:rsidRPr="003E56DD">
        <w:rPr>
          <w:sz w:val="24"/>
        </w:rPr>
        <w:t>Pulse Metal Halide fixtures replacement</w:t>
      </w:r>
      <w:bookmarkEnd w:id="20"/>
      <w:bookmarkEnd w:id="21"/>
    </w:p>
    <w:tbl>
      <w:tblPr>
        <w:tblW w:w="4900" w:type="pct"/>
        <w:jc w:val="center"/>
        <w:tblBorders>
          <w:insideH w:val="single" w:sz="18" w:space="0" w:color="FFFFFF"/>
          <w:insideV w:val="single" w:sz="18" w:space="0" w:color="FFFFFF"/>
        </w:tblBorders>
        <w:tblLook w:val="01E0"/>
      </w:tblPr>
      <w:tblGrid>
        <w:gridCol w:w="1183"/>
        <w:gridCol w:w="1960"/>
        <w:gridCol w:w="1560"/>
        <w:gridCol w:w="1016"/>
        <w:gridCol w:w="1105"/>
        <w:gridCol w:w="628"/>
        <w:gridCol w:w="966"/>
        <w:gridCol w:w="966"/>
      </w:tblGrid>
      <w:tr w:rsidR="00325DC5" w:rsidRPr="00196D7C">
        <w:trPr>
          <w:trHeight w:val="275"/>
          <w:jc w:val="center"/>
        </w:trPr>
        <w:tc>
          <w:tcPr>
            <w:tcW w:w="630" w:type="pct"/>
            <w:shd w:val="pct20" w:color="000000" w:fill="FFFFFF"/>
          </w:tcPr>
          <w:p w:rsidR="00325DC5" w:rsidRPr="00D05CA7" w:rsidRDefault="00325DC5" w:rsidP="00D05CA7">
            <w:pPr>
              <w:jc w:val="center"/>
              <w:rPr>
                <w:b/>
                <w:bCs/>
                <w:color w:val="000000"/>
                <w:sz w:val="20"/>
                <w:szCs w:val="20"/>
              </w:rPr>
            </w:pPr>
            <w:proofErr w:type="spellStart"/>
            <w:r w:rsidRPr="00D05CA7">
              <w:rPr>
                <w:b/>
                <w:bCs/>
                <w:color w:val="000000"/>
                <w:sz w:val="20"/>
                <w:szCs w:val="20"/>
              </w:rPr>
              <w:t>MeasureID</w:t>
            </w:r>
            <w:proofErr w:type="spellEnd"/>
          </w:p>
        </w:tc>
        <w:tc>
          <w:tcPr>
            <w:tcW w:w="1099" w:type="pct"/>
            <w:shd w:val="pct20" w:color="000000" w:fill="FFFFFF"/>
          </w:tcPr>
          <w:p w:rsidR="00325DC5" w:rsidRPr="00D05CA7" w:rsidRDefault="00325DC5" w:rsidP="00D05CA7">
            <w:pPr>
              <w:jc w:val="center"/>
              <w:rPr>
                <w:b/>
                <w:bCs/>
                <w:color w:val="000000"/>
                <w:sz w:val="20"/>
                <w:szCs w:val="20"/>
              </w:rPr>
            </w:pPr>
            <w:r w:rsidRPr="00D05CA7">
              <w:rPr>
                <w:b/>
                <w:bCs/>
                <w:color w:val="000000"/>
                <w:sz w:val="20"/>
                <w:szCs w:val="20"/>
              </w:rPr>
              <w:t>Measure</w:t>
            </w:r>
          </w:p>
          <w:p w:rsidR="00325DC5" w:rsidRPr="00D05CA7" w:rsidRDefault="00325DC5" w:rsidP="00D05CA7">
            <w:pPr>
              <w:jc w:val="center"/>
              <w:rPr>
                <w:b/>
                <w:bCs/>
                <w:color w:val="000000"/>
                <w:sz w:val="20"/>
                <w:szCs w:val="20"/>
              </w:rPr>
            </w:pPr>
            <w:r w:rsidRPr="00D05CA7">
              <w:rPr>
                <w:b/>
                <w:bCs/>
                <w:color w:val="000000"/>
                <w:sz w:val="20"/>
                <w:szCs w:val="20"/>
              </w:rPr>
              <w:t>Description</w:t>
            </w:r>
          </w:p>
        </w:tc>
        <w:tc>
          <w:tcPr>
            <w:tcW w:w="885" w:type="pct"/>
            <w:shd w:val="pct20" w:color="000000" w:fill="FFFFFF"/>
          </w:tcPr>
          <w:p w:rsidR="00325DC5" w:rsidRPr="00D05CA7" w:rsidRDefault="00325DC5" w:rsidP="00D05CA7">
            <w:pPr>
              <w:jc w:val="center"/>
              <w:rPr>
                <w:b/>
                <w:bCs/>
                <w:color w:val="000000"/>
                <w:sz w:val="20"/>
                <w:szCs w:val="20"/>
              </w:rPr>
            </w:pPr>
            <w:r w:rsidRPr="00D05CA7">
              <w:rPr>
                <w:b/>
                <w:bCs/>
                <w:color w:val="000000"/>
                <w:sz w:val="20"/>
                <w:szCs w:val="20"/>
              </w:rPr>
              <w:t>Base</w:t>
            </w:r>
          </w:p>
          <w:p w:rsidR="00325DC5" w:rsidRPr="00D05CA7" w:rsidRDefault="00325DC5" w:rsidP="00D05CA7">
            <w:pPr>
              <w:jc w:val="center"/>
              <w:rPr>
                <w:b/>
                <w:bCs/>
                <w:color w:val="000000"/>
                <w:sz w:val="20"/>
                <w:szCs w:val="20"/>
              </w:rPr>
            </w:pPr>
            <w:r w:rsidRPr="00D05CA7">
              <w:rPr>
                <w:b/>
                <w:bCs/>
                <w:color w:val="000000"/>
                <w:sz w:val="20"/>
                <w:szCs w:val="20"/>
              </w:rPr>
              <w:t>Description</w:t>
            </w:r>
          </w:p>
        </w:tc>
        <w:tc>
          <w:tcPr>
            <w:tcW w:w="541" w:type="pct"/>
            <w:shd w:val="pct20" w:color="000000" w:fill="FFFFFF"/>
          </w:tcPr>
          <w:p w:rsidR="00325DC5" w:rsidRPr="00D05CA7" w:rsidRDefault="00325DC5" w:rsidP="00D05CA7">
            <w:pPr>
              <w:jc w:val="center"/>
              <w:rPr>
                <w:b/>
                <w:bCs/>
                <w:color w:val="000000"/>
                <w:sz w:val="20"/>
                <w:szCs w:val="20"/>
              </w:rPr>
            </w:pPr>
            <w:r w:rsidRPr="00D05CA7">
              <w:rPr>
                <w:b/>
                <w:bCs/>
                <w:color w:val="000000"/>
                <w:sz w:val="20"/>
                <w:szCs w:val="20"/>
              </w:rPr>
              <w:t>Energy Savings (kWh/yr)</w:t>
            </w:r>
          </w:p>
        </w:tc>
        <w:tc>
          <w:tcPr>
            <w:tcW w:w="589" w:type="pct"/>
            <w:shd w:val="pct20" w:color="000000" w:fill="FFFFFF"/>
          </w:tcPr>
          <w:p w:rsidR="00325DC5" w:rsidRPr="00D05CA7" w:rsidRDefault="00325DC5" w:rsidP="00D05CA7">
            <w:pPr>
              <w:jc w:val="center"/>
              <w:rPr>
                <w:b/>
                <w:bCs/>
                <w:color w:val="000000"/>
                <w:sz w:val="20"/>
                <w:szCs w:val="20"/>
              </w:rPr>
            </w:pPr>
            <w:r w:rsidRPr="00D05CA7">
              <w:rPr>
                <w:b/>
                <w:bCs/>
                <w:color w:val="000000"/>
                <w:sz w:val="20"/>
                <w:szCs w:val="20"/>
              </w:rPr>
              <w:t>Demand Savings (Watts/yr)</w:t>
            </w:r>
          </w:p>
        </w:tc>
        <w:tc>
          <w:tcPr>
            <w:tcW w:w="335" w:type="pct"/>
            <w:shd w:val="pct20" w:color="000000" w:fill="FFFFFF"/>
          </w:tcPr>
          <w:p w:rsidR="00325DC5" w:rsidRPr="00D05CA7" w:rsidRDefault="00325DC5" w:rsidP="00D05CA7">
            <w:pPr>
              <w:jc w:val="center"/>
              <w:rPr>
                <w:b/>
                <w:bCs/>
                <w:color w:val="000000"/>
                <w:sz w:val="20"/>
                <w:szCs w:val="20"/>
              </w:rPr>
            </w:pPr>
            <w:r w:rsidRPr="00D05CA7">
              <w:rPr>
                <w:b/>
                <w:bCs/>
                <w:color w:val="000000"/>
                <w:sz w:val="20"/>
                <w:szCs w:val="20"/>
              </w:rPr>
              <w:t>EUL (yr)</w:t>
            </w:r>
          </w:p>
        </w:tc>
        <w:tc>
          <w:tcPr>
            <w:tcW w:w="512" w:type="pct"/>
            <w:shd w:val="pct20" w:color="000000" w:fill="FFFFFF"/>
          </w:tcPr>
          <w:p w:rsidR="00325DC5" w:rsidRPr="00D05CA7" w:rsidRDefault="00325DC5" w:rsidP="00D05CA7">
            <w:pPr>
              <w:jc w:val="center"/>
              <w:rPr>
                <w:b/>
                <w:bCs/>
                <w:color w:val="000000"/>
                <w:sz w:val="20"/>
                <w:szCs w:val="20"/>
              </w:rPr>
            </w:pPr>
            <w:r w:rsidRPr="00D05CA7">
              <w:rPr>
                <w:b/>
                <w:bCs/>
                <w:color w:val="000000"/>
                <w:sz w:val="20"/>
                <w:szCs w:val="20"/>
              </w:rPr>
              <w:t>Measure</w:t>
            </w:r>
          </w:p>
          <w:p w:rsidR="00325DC5" w:rsidRPr="00D05CA7" w:rsidRDefault="00325DC5" w:rsidP="00D05CA7">
            <w:pPr>
              <w:jc w:val="center"/>
              <w:rPr>
                <w:b/>
                <w:bCs/>
                <w:color w:val="000000"/>
                <w:sz w:val="20"/>
                <w:szCs w:val="20"/>
              </w:rPr>
            </w:pPr>
            <w:r w:rsidRPr="00D05CA7">
              <w:rPr>
                <w:b/>
                <w:bCs/>
                <w:color w:val="000000"/>
                <w:sz w:val="20"/>
                <w:szCs w:val="20"/>
              </w:rPr>
              <w:t>Cost</w:t>
            </w:r>
          </w:p>
          <w:p w:rsidR="00325DC5" w:rsidRPr="00D05CA7" w:rsidRDefault="00325DC5" w:rsidP="00D05CA7">
            <w:pPr>
              <w:jc w:val="center"/>
              <w:rPr>
                <w:b/>
                <w:bCs/>
                <w:color w:val="000000"/>
                <w:sz w:val="20"/>
                <w:szCs w:val="20"/>
              </w:rPr>
            </w:pPr>
            <w:r w:rsidRPr="00D05CA7">
              <w:rPr>
                <w:b/>
                <w:bCs/>
                <w:color w:val="000000"/>
                <w:sz w:val="20"/>
                <w:szCs w:val="20"/>
              </w:rPr>
              <w:t>($)</w:t>
            </w:r>
          </w:p>
        </w:tc>
        <w:tc>
          <w:tcPr>
            <w:tcW w:w="408" w:type="pct"/>
            <w:shd w:val="pct20" w:color="000000" w:fill="FFFFFF"/>
          </w:tcPr>
          <w:p w:rsidR="00325DC5" w:rsidRPr="00D05CA7" w:rsidRDefault="00325DC5" w:rsidP="00D05CA7">
            <w:pPr>
              <w:jc w:val="center"/>
              <w:rPr>
                <w:b/>
                <w:bCs/>
                <w:color w:val="000000"/>
                <w:sz w:val="20"/>
                <w:szCs w:val="20"/>
              </w:rPr>
            </w:pPr>
            <w:r w:rsidRPr="00D05CA7">
              <w:rPr>
                <w:b/>
                <w:bCs/>
                <w:color w:val="000000"/>
                <w:sz w:val="20"/>
                <w:szCs w:val="20"/>
              </w:rPr>
              <w:t>Base Cost ($)</w:t>
            </w:r>
          </w:p>
        </w:tc>
      </w:tr>
      <w:tr w:rsidR="00325DC5" w:rsidRPr="00196D7C">
        <w:trPr>
          <w:trHeight w:val="550"/>
          <w:jc w:val="center"/>
        </w:trPr>
        <w:tc>
          <w:tcPr>
            <w:tcW w:w="630" w:type="pct"/>
            <w:shd w:val="pct5" w:color="000000" w:fill="FFFFFF"/>
          </w:tcPr>
          <w:p w:rsidR="00325DC5" w:rsidRPr="00D05CA7" w:rsidRDefault="00B81CC5" w:rsidP="00D05CA7">
            <w:pPr>
              <w:jc w:val="center"/>
              <w:rPr>
                <w:color w:val="000000"/>
                <w:sz w:val="20"/>
                <w:szCs w:val="20"/>
              </w:rPr>
            </w:pPr>
            <w:r w:rsidRPr="00D05CA7">
              <w:rPr>
                <w:color w:val="000000"/>
                <w:sz w:val="20"/>
                <w:szCs w:val="20"/>
              </w:rPr>
              <w:t>D03-847</w:t>
            </w:r>
          </w:p>
        </w:tc>
        <w:tc>
          <w:tcPr>
            <w:tcW w:w="1099" w:type="pct"/>
            <w:shd w:val="pct5" w:color="000000" w:fill="FFFFFF"/>
          </w:tcPr>
          <w:p w:rsidR="00325DC5" w:rsidRPr="00D05CA7" w:rsidRDefault="00B81CC5" w:rsidP="00D05CA7">
            <w:pPr>
              <w:jc w:val="center"/>
              <w:rPr>
                <w:color w:val="000000"/>
                <w:sz w:val="20"/>
                <w:szCs w:val="20"/>
              </w:rPr>
            </w:pPr>
            <w:r w:rsidRPr="00D05CA7">
              <w:rPr>
                <w:color w:val="000000"/>
                <w:sz w:val="20"/>
                <w:szCs w:val="20"/>
              </w:rPr>
              <w:t>175W PS Metal Halide</w:t>
            </w:r>
          </w:p>
        </w:tc>
        <w:tc>
          <w:tcPr>
            <w:tcW w:w="885" w:type="pct"/>
            <w:shd w:val="pct5" w:color="000000" w:fill="FFFFFF"/>
          </w:tcPr>
          <w:p w:rsidR="00325DC5" w:rsidRPr="00D05CA7" w:rsidRDefault="00B81CC5" w:rsidP="00D05CA7">
            <w:pPr>
              <w:jc w:val="center"/>
              <w:rPr>
                <w:color w:val="000000"/>
                <w:sz w:val="20"/>
                <w:szCs w:val="20"/>
              </w:rPr>
            </w:pPr>
            <w:r w:rsidRPr="00D05CA7">
              <w:rPr>
                <w:color w:val="000000"/>
                <w:sz w:val="20"/>
                <w:szCs w:val="20"/>
              </w:rPr>
              <w:t>250W Standard Metal Halide</w:t>
            </w:r>
          </w:p>
        </w:tc>
        <w:tc>
          <w:tcPr>
            <w:tcW w:w="541" w:type="pct"/>
            <w:shd w:val="pct5" w:color="000000" w:fill="FFFFFF"/>
          </w:tcPr>
          <w:p w:rsidR="00325DC5" w:rsidRPr="00D05CA7" w:rsidRDefault="00B81CC5" w:rsidP="00D05CA7">
            <w:pPr>
              <w:jc w:val="center"/>
              <w:rPr>
                <w:color w:val="000000"/>
                <w:sz w:val="20"/>
                <w:szCs w:val="20"/>
              </w:rPr>
            </w:pPr>
            <w:r w:rsidRPr="00D05CA7">
              <w:rPr>
                <w:color w:val="000000"/>
                <w:sz w:val="20"/>
                <w:szCs w:val="20"/>
              </w:rPr>
              <w:t>348.5</w:t>
            </w:r>
          </w:p>
        </w:tc>
        <w:tc>
          <w:tcPr>
            <w:tcW w:w="589" w:type="pct"/>
            <w:shd w:val="pct5" w:color="000000" w:fill="FFFFFF"/>
          </w:tcPr>
          <w:p w:rsidR="00325DC5" w:rsidRPr="00D05CA7" w:rsidRDefault="00E24D3A" w:rsidP="00D05CA7">
            <w:pPr>
              <w:jc w:val="center"/>
              <w:rPr>
                <w:color w:val="000000"/>
                <w:sz w:val="20"/>
                <w:szCs w:val="20"/>
              </w:rPr>
            </w:pPr>
            <w:r w:rsidRPr="00D05CA7">
              <w:rPr>
                <w:color w:val="000000"/>
                <w:sz w:val="20"/>
                <w:szCs w:val="20"/>
              </w:rPr>
              <w:t>0</w:t>
            </w:r>
          </w:p>
        </w:tc>
        <w:tc>
          <w:tcPr>
            <w:tcW w:w="335" w:type="pct"/>
            <w:shd w:val="pct5" w:color="000000" w:fill="FFFFFF"/>
          </w:tcPr>
          <w:p w:rsidR="00325DC5" w:rsidRPr="00D05CA7" w:rsidRDefault="003264FB" w:rsidP="00D05CA7">
            <w:pPr>
              <w:jc w:val="center"/>
              <w:rPr>
                <w:color w:val="000000"/>
                <w:sz w:val="20"/>
                <w:szCs w:val="20"/>
              </w:rPr>
            </w:pPr>
            <w:r w:rsidRPr="00D05CA7">
              <w:rPr>
                <w:color w:val="000000"/>
                <w:sz w:val="20"/>
                <w:szCs w:val="20"/>
              </w:rPr>
              <w:t>16</w:t>
            </w:r>
          </w:p>
        </w:tc>
        <w:tc>
          <w:tcPr>
            <w:tcW w:w="512" w:type="pct"/>
            <w:shd w:val="pct5" w:color="000000" w:fill="FFFFFF"/>
          </w:tcPr>
          <w:p w:rsidR="00325DC5" w:rsidRPr="00D05CA7" w:rsidRDefault="00B81CC5" w:rsidP="00D05CA7">
            <w:pPr>
              <w:jc w:val="center"/>
              <w:rPr>
                <w:color w:val="000000"/>
                <w:sz w:val="20"/>
                <w:szCs w:val="20"/>
              </w:rPr>
            </w:pPr>
            <w:r w:rsidRPr="00D05CA7">
              <w:rPr>
                <w:color w:val="000000"/>
                <w:sz w:val="20"/>
                <w:szCs w:val="20"/>
              </w:rPr>
              <w:t>$196.855</w:t>
            </w:r>
          </w:p>
        </w:tc>
        <w:tc>
          <w:tcPr>
            <w:tcW w:w="408" w:type="pct"/>
            <w:shd w:val="pct5" w:color="000000" w:fill="FFFFFF"/>
          </w:tcPr>
          <w:p w:rsidR="00325DC5" w:rsidRPr="00D05CA7" w:rsidRDefault="003264FB" w:rsidP="00D05CA7">
            <w:pPr>
              <w:jc w:val="center"/>
              <w:rPr>
                <w:color w:val="000000"/>
                <w:sz w:val="20"/>
                <w:szCs w:val="20"/>
              </w:rPr>
            </w:pPr>
            <w:r w:rsidRPr="00D05CA7">
              <w:rPr>
                <w:color w:val="000000"/>
                <w:sz w:val="20"/>
                <w:szCs w:val="20"/>
              </w:rPr>
              <w:t>$196.855</w:t>
            </w:r>
          </w:p>
        </w:tc>
      </w:tr>
      <w:tr w:rsidR="00E24D3A" w:rsidRPr="00196D7C">
        <w:trPr>
          <w:trHeight w:val="550"/>
          <w:jc w:val="center"/>
        </w:trPr>
        <w:tc>
          <w:tcPr>
            <w:tcW w:w="630" w:type="pct"/>
            <w:shd w:val="pct20" w:color="000000" w:fill="FFFFFF"/>
          </w:tcPr>
          <w:p w:rsidR="00325DC5" w:rsidRPr="00D05CA7" w:rsidRDefault="00B81CC5" w:rsidP="00D05CA7">
            <w:pPr>
              <w:jc w:val="center"/>
              <w:rPr>
                <w:color w:val="000000"/>
                <w:sz w:val="20"/>
                <w:szCs w:val="20"/>
              </w:rPr>
            </w:pPr>
            <w:r w:rsidRPr="00D05CA7">
              <w:rPr>
                <w:color w:val="000000"/>
                <w:sz w:val="20"/>
                <w:szCs w:val="20"/>
              </w:rPr>
              <w:t>D03-848</w:t>
            </w:r>
          </w:p>
        </w:tc>
        <w:tc>
          <w:tcPr>
            <w:tcW w:w="1099" w:type="pct"/>
            <w:shd w:val="pct20" w:color="000000" w:fill="FFFFFF"/>
          </w:tcPr>
          <w:p w:rsidR="00325DC5" w:rsidRPr="00D05CA7" w:rsidRDefault="00E24D3A" w:rsidP="00D05CA7">
            <w:pPr>
              <w:jc w:val="center"/>
              <w:rPr>
                <w:color w:val="000000"/>
                <w:sz w:val="20"/>
                <w:szCs w:val="20"/>
              </w:rPr>
            </w:pPr>
            <w:r w:rsidRPr="00D05CA7">
              <w:rPr>
                <w:color w:val="000000"/>
                <w:sz w:val="20"/>
                <w:szCs w:val="20"/>
              </w:rPr>
              <w:t>175W PS Metal Halide</w:t>
            </w:r>
          </w:p>
        </w:tc>
        <w:tc>
          <w:tcPr>
            <w:tcW w:w="885" w:type="pct"/>
            <w:shd w:val="pct20" w:color="000000" w:fill="FFFFFF"/>
          </w:tcPr>
          <w:p w:rsidR="00325DC5" w:rsidRPr="00D05CA7" w:rsidRDefault="00E24D3A" w:rsidP="00D05CA7">
            <w:pPr>
              <w:jc w:val="center"/>
              <w:rPr>
                <w:color w:val="000000"/>
                <w:sz w:val="20"/>
                <w:szCs w:val="20"/>
              </w:rPr>
            </w:pPr>
            <w:r w:rsidRPr="00D05CA7">
              <w:rPr>
                <w:color w:val="000000"/>
                <w:sz w:val="20"/>
                <w:szCs w:val="20"/>
              </w:rPr>
              <w:t>500W Incandescent</w:t>
            </w:r>
          </w:p>
        </w:tc>
        <w:tc>
          <w:tcPr>
            <w:tcW w:w="541" w:type="pct"/>
            <w:shd w:val="pct20" w:color="000000" w:fill="FFFFFF"/>
          </w:tcPr>
          <w:p w:rsidR="00325DC5" w:rsidRPr="00D05CA7" w:rsidRDefault="00E24D3A" w:rsidP="00D05CA7">
            <w:pPr>
              <w:jc w:val="center"/>
              <w:rPr>
                <w:color w:val="000000"/>
                <w:sz w:val="20"/>
                <w:szCs w:val="20"/>
              </w:rPr>
            </w:pPr>
            <w:r w:rsidRPr="00D05CA7">
              <w:rPr>
                <w:color w:val="000000"/>
                <w:sz w:val="20"/>
                <w:szCs w:val="20"/>
              </w:rPr>
              <w:t>1,189</w:t>
            </w:r>
          </w:p>
        </w:tc>
        <w:tc>
          <w:tcPr>
            <w:tcW w:w="589" w:type="pct"/>
            <w:shd w:val="pct20" w:color="000000" w:fill="FFFFFF"/>
          </w:tcPr>
          <w:p w:rsidR="00325DC5" w:rsidRPr="00D05CA7" w:rsidRDefault="00E24D3A" w:rsidP="00D05CA7">
            <w:pPr>
              <w:jc w:val="center"/>
              <w:rPr>
                <w:color w:val="000000"/>
                <w:sz w:val="20"/>
                <w:szCs w:val="20"/>
              </w:rPr>
            </w:pPr>
            <w:r w:rsidRPr="00D05CA7">
              <w:rPr>
                <w:color w:val="000000"/>
                <w:sz w:val="20"/>
                <w:szCs w:val="20"/>
              </w:rPr>
              <w:t>0</w:t>
            </w:r>
          </w:p>
        </w:tc>
        <w:tc>
          <w:tcPr>
            <w:tcW w:w="335" w:type="pct"/>
            <w:shd w:val="pct20" w:color="000000" w:fill="FFFFFF"/>
          </w:tcPr>
          <w:p w:rsidR="00325DC5" w:rsidRPr="00D05CA7" w:rsidRDefault="00E24D3A" w:rsidP="00D05CA7">
            <w:pPr>
              <w:jc w:val="center"/>
              <w:rPr>
                <w:color w:val="000000"/>
                <w:sz w:val="20"/>
                <w:szCs w:val="20"/>
              </w:rPr>
            </w:pPr>
            <w:r w:rsidRPr="00D05CA7">
              <w:rPr>
                <w:color w:val="000000"/>
                <w:sz w:val="20"/>
                <w:szCs w:val="20"/>
              </w:rPr>
              <w:t>16</w:t>
            </w:r>
          </w:p>
        </w:tc>
        <w:tc>
          <w:tcPr>
            <w:tcW w:w="512" w:type="pct"/>
            <w:shd w:val="pct20" w:color="000000" w:fill="FFFFFF"/>
          </w:tcPr>
          <w:p w:rsidR="00325DC5" w:rsidRPr="00D05CA7" w:rsidRDefault="00E24D3A" w:rsidP="00D05CA7">
            <w:pPr>
              <w:jc w:val="center"/>
              <w:rPr>
                <w:color w:val="000000"/>
                <w:sz w:val="20"/>
                <w:szCs w:val="20"/>
              </w:rPr>
            </w:pPr>
            <w:r w:rsidRPr="00D05CA7">
              <w:rPr>
                <w:color w:val="000000"/>
                <w:sz w:val="20"/>
                <w:szCs w:val="20"/>
              </w:rPr>
              <w:t>$196.855</w:t>
            </w:r>
          </w:p>
        </w:tc>
        <w:tc>
          <w:tcPr>
            <w:tcW w:w="408" w:type="pct"/>
            <w:shd w:val="pct20" w:color="000000" w:fill="FFFFFF"/>
          </w:tcPr>
          <w:p w:rsidR="00325DC5" w:rsidRPr="00D05CA7" w:rsidRDefault="00E24D3A" w:rsidP="00D05CA7">
            <w:pPr>
              <w:jc w:val="center"/>
              <w:rPr>
                <w:color w:val="000000"/>
                <w:sz w:val="20"/>
                <w:szCs w:val="20"/>
              </w:rPr>
            </w:pPr>
            <w:r w:rsidRPr="00D05CA7">
              <w:rPr>
                <w:color w:val="000000"/>
                <w:sz w:val="20"/>
                <w:szCs w:val="20"/>
              </w:rPr>
              <w:t>$196.855</w:t>
            </w:r>
          </w:p>
        </w:tc>
      </w:tr>
      <w:tr w:rsidR="00B81CC5" w:rsidRPr="00196D7C">
        <w:trPr>
          <w:trHeight w:val="550"/>
          <w:jc w:val="center"/>
        </w:trPr>
        <w:tc>
          <w:tcPr>
            <w:tcW w:w="630" w:type="pct"/>
            <w:shd w:val="pct5" w:color="000000" w:fill="FFFFFF"/>
          </w:tcPr>
          <w:p w:rsidR="00B81CC5" w:rsidRPr="00D05CA7" w:rsidRDefault="00B81CC5" w:rsidP="00D05CA7">
            <w:pPr>
              <w:jc w:val="center"/>
              <w:rPr>
                <w:color w:val="000000"/>
                <w:sz w:val="20"/>
                <w:szCs w:val="20"/>
              </w:rPr>
            </w:pPr>
            <w:r w:rsidRPr="00D05CA7">
              <w:rPr>
                <w:color w:val="000000"/>
                <w:sz w:val="20"/>
                <w:szCs w:val="20"/>
              </w:rPr>
              <w:t>D03-849</w:t>
            </w:r>
          </w:p>
        </w:tc>
        <w:tc>
          <w:tcPr>
            <w:tcW w:w="1099" w:type="pct"/>
            <w:shd w:val="pct5" w:color="000000" w:fill="FFFFFF"/>
          </w:tcPr>
          <w:p w:rsidR="00B81CC5" w:rsidRPr="00D05CA7" w:rsidRDefault="00E24D3A" w:rsidP="00D05CA7">
            <w:pPr>
              <w:jc w:val="center"/>
              <w:rPr>
                <w:color w:val="000000"/>
                <w:sz w:val="20"/>
                <w:szCs w:val="20"/>
              </w:rPr>
            </w:pPr>
            <w:r w:rsidRPr="00D05CA7">
              <w:rPr>
                <w:color w:val="000000"/>
                <w:sz w:val="20"/>
                <w:szCs w:val="20"/>
              </w:rPr>
              <w:t>250W PS Metal Halide</w:t>
            </w:r>
          </w:p>
        </w:tc>
        <w:tc>
          <w:tcPr>
            <w:tcW w:w="885" w:type="pct"/>
            <w:shd w:val="pct5" w:color="000000" w:fill="FFFFFF"/>
          </w:tcPr>
          <w:p w:rsidR="00B81CC5" w:rsidRPr="00D05CA7" w:rsidRDefault="00E24D3A" w:rsidP="00D05CA7">
            <w:pPr>
              <w:jc w:val="center"/>
              <w:rPr>
                <w:color w:val="000000"/>
                <w:sz w:val="20"/>
                <w:szCs w:val="20"/>
              </w:rPr>
            </w:pPr>
            <w:r w:rsidRPr="00D05CA7">
              <w:rPr>
                <w:color w:val="000000"/>
                <w:sz w:val="20"/>
                <w:szCs w:val="20"/>
              </w:rPr>
              <w:t xml:space="preserve">400W Mercury Vapor </w:t>
            </w:r>
          </w:p>
        </w:tc>
        <w:tc>
          <w:tcPr>
            <w:tcW w:w="541" w:type="pct"/>
            <w:shd w:val="pct5" w:color="000000" w:fill="FFFFFF"/>
          </w:tcPr>
          <w:p w:rsidR="00B81CC5" w:rsidRPr="00D05CA7" w:rsidRDefault="00E24D3A" w:rsidP="00D05CA7">
            <w:pPr>
              <w:jc w:val="center"/>
              <w:rPr>
                <w:color w:val="000000"/>
                <w:sz w:val="20"/>
                <w:szCs w:val="20"/>
              </w:rPr>
            </w:pPr>
            <w:r w:rsidRPr="00D05CA7">
              <w:rPr>
                <w:color w:val="000000"/>
                <w:sz w:val="20"/>
                <w:szCs w:val="20"/>
              </w:rPr>
              <w:t>651.9</w:t>
            </w:r>
          </w:p>
        </w:tc>
        <w:tc>
          <w:tcPr>
            <w:tcW w:w="589" w:type="pct"/>
            <w:shd w:val="pct5" w:color="000000" w:fill="FFFFFF"/>
          </w:tcPr>
          <w:p w:rsidR="00B81CC5" w:rsidRPr="00D05CA7" w:rsidRDefault="00E24D3A" w:rsidP="00D05CA7">
            <w:pPr>
              <w:jc w:val="center"/>
              <w:rPr>
                <w:color w:val="000000"/>
                <w:sz w:val="20"/>
                <w:szCs w:val="20"/>
              </w:rPr>
            </w:pPr>
            <w:r w:rsidRPr="00D05CA7">
              <w:rPr>
                <w:color w:val="000000"/>
                <w:sz w:val="20"/>
                <w:szCs w:val="20"/>
              </w:rPr>
              <w:t>0</w:t>
            </w:r>
          </w:p>
        </w:tc>
        <w:tc>
          <w:tcPr>
            <w:tcW w:w="335" w:type="pct"/>
            <w:shd w:val="pct5" w:color="000000" w:fill="FFFFFF"/>
          </w:tcPr>
          <w:p w:rsidR="00B81CC5" w:rsidRPr="00D05CA7" w:rsidRDefault="00E24D3A" w:rsidP="00D05CA7">
            <w:pPr>
              <w:jc w:val="center"/>
              <w:rPr>
                <w:color w:val="000000"/>
                <w:sz w:val="20"/>
                <w:szCs w:val="20"/>
              </w:rPr>
            </w:pPr>
            <w:r w:rsidRPr="00D05CA7">
              <w:rPr>
                <w:color w:val="000000"/>
                <w:sz w:val="20"/>
                <w:szCs w:val="20"/>
              </w:rPr>
              <w:t>16</w:t>
            </w:r>
          </w:p>
        </w:tc>
        <w:tc>
          <w:tcPr>
            <w:tcW w:w="512" w:type="pct"/>
            <w:shd w:val="pct5" w:color="000000" w:fill="FFFFFF"/>
          </w:tcPr>
          <w:p w:rsidR="00B81CC5" w:rsidRPr="00D05CA7" w:rsidRDefault="00E24D3A" w:rsidP="00D05CA7">
            <w:pPr>
              <w:jc w:val="center"/>
              <w:rPr>
                <w:color w:val="000000"/>
                <w:sz w:val="20"/>
                <w:szCs w:val="20"/>
              </w:rPr>
            </w:pPr>
            <w:r w:rsidRPr="00D05CA7">
              <w:rPr>
                <w:color w:val="000000"/>
                <w:sz w:val="20"/>
                <w:szCs w:val="20"/>
              </w:rPr>
              <w:t>$219.919</w:t>
            </w:r>
          </w:p>
        </w:tc>
        <w:tc>
          <w:tcPr>
            <w:tcW w:w="408" w:type="pct"/>
            <w:shd w:val="pct5" w:color="000000" w:fill="FFFFFF"/>
          </w:tcPr>
          <w:p w:rsidR="00B81CC5" w:rsidRPr="00D05CA7" w:rsidRDefault="00E24D3A" w:rsidP="00D05CA7">
            <w:pPr>
              <w:jc w:val="center"/>
              <w:rPr>
                <w:color w:val="000000"/>
                <w:sz w:val="20"/>
                <w:szCs w:val="20"/>
              </w:rPr>
            </w:pPr>
            <w:r w:rsidRPr="00D05CA7">
              <w:rPr>
                <w:color w:val="000000"/>
                <w:sz w:val="20"/>
                <w:szCs w:val="20"/>
              </w:rPr>
              <w:t>$219.919</w:t>
            </w:r>
          </w:p>
        </w:tc>
      </w:tr>
    </w:tbl>
    <w:p w:rsidR="001A4516" w:rsidRDefault="00357EBF" w:rsidP="009F7164">
      <w:r>
        <w:t xml:space="preserve">   </w:t>
      </w:r>
    </w:p>
    <w:p w:rsidR="00CF59E3" w:rsidRPr="00357EBF" w:rsidRDefault="00CF59E3" w:rsidP="00C125EF">
      <w:pPr>
        <w:jc w:val="both"/>
      </w:pPr>
      <w:r>
        <w:t>The main differences between the measures discussed in the current work paper and the DEER measures listed in the above table is that all the measures here apply to interior lighting fixtures whereas the above DEER measures are applicable only to exterior lighting fixtures, also the proposed replacement considered in this paper is for induction lighting while the DEER measures consider PS MH lighting</w:t>
      </w:r>
      <w:r w:rsidR="00C125EF">
        <w:t>. It is due to these</w:t>
      </w:r>
      <w:r>
        <w:t xml:space="preserve"> reason</w:t>
      </w:r>
      <w:r w:rsidR="00C125EF">
        <w:t>s</w:t>
      </w:r>
      <w:r>
        <w:t xml:space="preserve"> that the Peak Demand Savings </w:t>
      </w:r>
      <w:r>
        <w:lastRenderedPageBreak/>
        <w:t>prescribed by the three DEER measures are zero as the co-incident diversity factor for exterior lighting applications is zero.</w:t>
      </w:r>
      <w:r>
        <w:rPr>
          <w:rStyle w:val="EndnoteReference"/>
        </w:rPr>
        <w:endnoteReference w:id="3"/>
      </w:r>
      <w:r>
        <w:t xml:space="preserve"> Another difference is that this work paper targets at replacing all types of existing fixtures </w:t>
      </w:r>
      <w:r w:rsidR="00C125EF">
        <w:t>which are greater than 100</w:t>
      </w:r>
      <w:r>
        <w:t xml:space="preserve">W instead of just a single type fixture as suggested by the above DEER measures.    </w:t>
      </w:r>
    </w:p>
    <w:p w:rsidR="00420720" w:rsidRDefault="00420720" w:rsidP="00420720">
      <w:pPr>
        <w:jc w:val="both"/>
      </w:pPr>
    </w:p>
    <w:p w:rsidR="002E0043" w:rsidRPr="002E0043" w:rsidRDefault="001248A3" w:rsidP="002E0043">
      <w:pPr>
        <w:pStyle w:val="Heading2"/>
      </w:pPr>
      <w:bookmarkStart w:id="22" w:name="_Toc328480031"/>
      <w:r w:rsidRPr="000176AD">
        <w:t xml:space="preserve">1.3 </w:t>
      </w:r>
      <w:r w:rsidR="00E71EF1" w:rsidRPr="000176AD">
        <w:t>Codes &amp; Standards Requirements Analysis</w:t>
      </w:r>
      <w:bookmarkEnd w:id="22"/>
    </w:p>
    <w:p w:rsidR="00D11867" w:rsidRDefault="00D11867" w:rsidP="002E0043">
      <w:pPr>
        <w:rPr>
          <w:rFonts w:ascii="Arial" w:hAnsi="Arial" w:cs="Arial"/>
          <w:b/>
          <w:i/>
          <w:highlight w:val="yellow"/>
        </w:rPr>
      </w:pPr>
    </w:p>
    <w:p w:rsidR="00753379" w:rsidRPr="00753379" w:rsidRDefault="00753379" w:rsidP="00D52A5E">
      <w:r w:rsidRPr="001A363C">
        <w:rPr>
          <w:rFonts w:ascii="Arial" w:hAnsi="Arial" w:cs="Arial"/>
          <w:b/>
          <w:i/>
        </w:rPr>
        <w:t>Title 20:</w:t>
      </w:r>
      <w:r>
        <w:rPr>
          <w:rFonts w:ascii="Arial" w:hAnsi="Arial" w:cs="Arial"/>
          <w:bCs/>
          <w:iCs/>
        </w:rPr>
        <w:t xml:space="preserve">  </w:t>
      </w:r>
      <w:r w:rsidRPr="00753379">
        <w:t xml:space="preserve">This </w:t>
      </w:r>
      <w:r>
        <w:t xml:space="preserve">measure is not governed by Title 20, </w:t>
      </w:r>
      <w:r w:rsidR="00D52A5E">
        <w:t>Public Utilities and Energy, of the California Code of Regulations.</w:t>
      </w:r>
    </w:p>
    <w:p w:rsidR="00753379" w:rsidRDefault="00753379" w:rsidP="007D2FF3">
      <w:pPr>
        <w:jc w:val="both"/>
        <w:rPr>
          <w:rFonts w:ascii="Arial" w:hAnsi="Arial" w:cs="Arial"/>
          <w:b/>
          <w:i/>
        </w:rPr>
      </w:pPr>
    </w:p>
    <w:p w:rsidR="00683C46" w:rsidRDefault="00EE53FF" w:rsidP="00A13A06">
      <w:pPr>
        <w:jc w:val="both"/>
      </w:pPr>
      <w:r w:rsidRPr="004A72A7">
        <w:rPr>
          <w:rFonts w:ascii="Arial" w:hAnsi="Arial" w:cs="Arial"/>
          <w:b/>
          <w:i/>
        </w:rPr>
        <w:t>Title 24:</w:t>
      </w:r>
      <w:r w:rsidRPr="004A72A7">
        <w:t xml:space="preserve"> </w:t>
      </w:r>
      <w:r w:rsidR="007D2FF3" w:rsidRPr="008E2D8F">
        <w:t xml:space="preserve">This </w:t>
      </w:r>
      <w:r w:rsidR="007D2FF3">
        <w:t>specific category</w:t>
      </w:r>
      <w:r w:rsidR="007D2FF3" w:rsidRPr="008E2D8F">
        <w:t xml:space="preserve"> includes </w:t>
      </w:r>
      <w:r w:rsidR="007D2FF3">
        <w:t xml:space="preserve">the </w:t>
      </w:r>
      <w:r w:rsidR="007D2FF3" w:rsidRPr="008E2D8F">
        <w:t xml:space="preserve">installation of </w:t>
      </w:r>
      <w:r w:rsidR="00603634">
        <w:t>induction</w:t>
      </w:r>
      <w:r w:rsidR="007D2FF3">
        <w:t xml:space="preserve"> fixture</w:t>
      </w:r>
      <w:r w:rsidR="00603634">
        <w:t>s</w:t>
      </w:r>
      <w:r w:rsidR="007D2FF3">
        <w:t xml:space="preserve"> as a replacement for existing Incandescent/ Mercury Vapor/ T12/High Output (HO) Fluorescent, T12/Very High Output (VHO) Fluorescent/ Standard Metal </w:t>
      </w:r>
      <w:r w:rsidR="00603634">
        <w:t>Halide or High Pressure Sodium f</w:t>
      </w:r>
      <w:r w:rsidR="007D2FF3">
        <w:t>ixtures, which in general may be considered an alteration</w:t>
      </w:r>
      <w:r w:rsidR="007D2FF3" w:rsidRPr="008E2D8F">
        <w:t>.</w:t>
      </w:r>
      <w:r w:rsidR="007D2FF3">
        <w:t xml:space="preserve"> As per Title 24</w:t>
      </w:r>
      <w:r w:rsidR="00BC5899">
        <w:t xml:space="preserve"> requirements</w:t>
      </w:r>
      <w:r w:rsidR="007D2FF3">
        <w:t xml:space="preserve">, a measure can be considered an alteration if and only if more than 50% of the existing fixture is replaced. Here, the current work paper assumes that the installation of </w:t>
      </w:r>
      <w:r w:rsidR="00603634">
        <w:t>induction fixtures</w:t>
      </w:r>
      <w:r w:rsidR="007D2FF3">
        <w:t xml:space="preserve"> is more than that limit of 50% and hence by Title 24 standards, this measu</w:t>
      </w:r>
      <w:r w:rsidR="001F021E">
        <w:t xml:space="preserve">re is considered an Alteration. </w:t>
      </w:r>
      <w:r w:rsidR="007D2FF3">
        <w:t>As a result of the alterations to the lighting control system, the measure must comply with Section 5.14 of the California Building Energy Efficiency Standard (</w:t>
      </w:r>
      <w:r w:rsidR="007D2FF3" w:rsidRPr="00FE56B0">
        <w:t>Title 24)</w:t>
      </w:r>
      <w:r w:rsidR="007D2FF3">
        <w:t>.</w:t>
      </w:r>
      <w:r w:rsidR="007D2FF3">
        <w:rPr>
          <w:rStyle w:val="EndnoteReference"/>
        </w:rPr>
        <w:endnoteReference w:id="4"/>
      </w:r>
      <w:r w:rsidR="007D2FF3">
        <w:t xml:space="preserve"> The pertaining rules and regulations from Title 24 as applied to this measure </w:t>
      </w:r>
      <w:r w:rsidR="00603634">
        <w:t>are</w:t>
      </w:r>
      <w:r w:rsidR="007D2FF3">
        <w:t xml:space="preserve"> shown in the </w:t>
      </w:r>
      <w:r w:rsidR="000E5CA3">
        <w:fldChar w:fldCharType="begin"/>
      </w:r>
      <w:r w:rsidR="001D04C7">
        <w:instrText xml:space="preserve"> REF _Ref179913985 \h </w:instrText>
      </w:r>
      <w:r w:rsidR="000E5CA3">
        <w:fldChar w:fldCharType="separate"/>
      </w:r>
      <w:r w:rsidR="008F0D36">
        <w:t xml:space="preserve">Figure </w:t>
      </w:r>
      <w:r w:rsidR="008F0D36">
        <w:rPr>
          <w:noProof/>
        </w:rPr>
        <w:t>1</w:t>
      </w:r>
      <w:r w:rsidR="000E5CA3">
        <w:fldChar w:fldCharType="end"/>
      </w:r>
      <w:r w:rsidR="001D04C7">
        <w:t xml:space="preserve"> </w:t>
      </w:r>
      <w:r w:rsidR="007D2FF3">
        <w:t>below.</w:t>
      </w:r>
    </w:p>
    <w:p w:rsidR="00EE53FF" w:rsidRDefault="000E5CA3" w:rsidP="00922618">
      <w:pPr>
        <w:jc w:val="center"/>
        <w:rPr>
          <w:i/>
        </w:rPr>
      </w:pPr>
      <w:r w:rsidRPr="000E5CA3">
        <w:pict>
          <v:shapetype id="_x0000_t202" coordsize="21600,21600" o:spt="202" path="m,l,21600r21600,l21600,xe">
            <v:stroke joinstyle="miter"/>
            <v:path gradientshapeok="t" o:connecttype="rect"/>
          </v:shapetype>
          <v:shape id="_x0000_s1033" type="#_x0000_t202" style="width:422.55pt;height:385.75pt;mso-position-horizontal-relative:char;mso-position-vertical-relative:line" fillcolor="#f8f8f8">
            <v:textbox style="mso-next-textbox:#_x0000_s1033">
              <w:txbxContent>
                <w:p w:rsidR="00DF6A27" w:rsidRPr="00922618" w:rsidRDefault="00DF6A27" w:rsidP="00922618">
                  <w:pPr>
                    <w:autoSpaceDE w:val="0"/>
                    <w:autoSpaceDN w:val="0"/>
                    <w:adjustRightInd w:val="0"/>
                    <w:spacing w:after="120"/>
                    <w:rPr>
                      <w:rFonts w:ascii="Arial,BoldItalic" w:hAnsi="Arial,BoldItalic" w:cs="Arial,BoldItalic"/>
                      <w:sz w:val="18"/>
                      <w:szCs w:val="18"/>
                    </w:rPr>
                  </w:pPr>
                  <w:r w:rsidRPr="00922618">
                    <w:rPr>
                      <w:rFonts w:ascii="Arial,BoldItalic" w:hAnsi="Arial,BoldItalic" w:cs="Arial,BoldItalic"/>
                      <w:b/>
                      <w:bCs/>
                      <w:i/>
                      <w:iCs/>
                      <w:sz w:val="18"/>
                      <w:szCs w:val="18"/>
                    </w:rPr>
                    <w:t>5.14 Additions and Alterations</w:t>
                  </w:r>
                </w:p>
                <w:p w:rsidR="00DF6A27" w:rsidRPr="00922618" w:rsidRDefault="00DF6A27" w:rsidP="00922618">
                  <w:pPr>
                    <w:spacing w:after="120"/>
                    <w:rPr>
                      <w:rFonts w:ascii="Arial" w:hAnsi="Arial"/>
                      <w:sz w:val="18"/>
                      <w:szCs w:val="18"/>
                    </w:rPr>
                  </w:pPr>
                  <w:r w:rsidRPr="00922618">
                    <w:rPr>
                      <w:rFonts w:ascii="Arial" w:hAnsi="Arial"/>
                      <w:sz w:val="18"/>
                      <w:szCs w:val="18"/>
                    </w:rPr>
                    <w:t>Altered lighting components must also meet applicable mandatory measures described below. Prescriptive requirements apply if in a permitted space (The Basis for the Alteration Area is discussed in Section 5.12.3, Prescriptive Measure – Alterations below) more than 50% of the fixtures are replaced, or if the connected lighting load is increased. These requirements are discussed in the following sections.</w:t>
                  </w:r>
                </w:p>
                <w:p w:rsidR="00DF6A27" w:rsidRPr="00922618" w:rsidRDefault="00DF6A27" w:rsidP="00922618">
                  <w:pPr>
                    <w:spacing w:after="120"/>
                    <w:jc w:val="center"/>
                    <w:rPr>
                      <w:rFonts w:ascii="Arial" w:hAnsi="Arial"/>
                      <w:sz w:val="18"/>
                      <w:szCs w:val="18"/>
                    </w:rPr>
                  </w:pPr>
                  <w:r w:rsidRPr="00922618">
                    <w:rPr>
                      <w:rFonts w:ascii="Arial" w:hAnsi="Arial"/>
                      <w:sz w:val="18"/>
                      <w:szCs w:val="18"/>
                    </w:rPr>
                    <w:t xml:space="preserve">Lighting alterations generally refers to replacing the entire </w:t>
                  </w:r>
                  <w:proofErr w:type="spellStart"/>
                  <w:r w:rsidRPr="00922618">
                    <w:rPr>
                      <w:rFonts w:ascii="Arial" w:hAnsi="Arial"/>
                      <w:sz w:val="18"/>
                      <w:szCs w:val="18"/>
                    </w:rPr>
                    <w:t>luminaire</w:t>
                  </w:r>
                  <w:proofErr w:type="spellEnd"/>
                  <w:r w:rsidRPr="00922618">
                    <w:rPr>
                      <w:rFonts w:ascii="Arial" w:hAnsi="Arial"/>
                      <w:sz w:val="18"/>
                      <w:szCs w:val="18"/>
                    </w:rPr>
                    <w:t xml:space="preserve">, which includes the housing, lamps, ballasts, and louvers or lenses. Simply replacing the lamps and ballasts in an existing fixture is not considered a lighting alteration. Replacing or installing new wiring that connects the </w:t>
                  </w:r>
                  <w:proofErr w:type="spellStart"/>
                  <w:r w:rsidRPr="00922618">
                    <w:rPr>
                      <w:rFonts w:ascii="Arial" w:hAnsi="Arial"/>
                      <w:sz w:val="18"/>
                      <w:szCs w:val="18"/>
                    </w:rPr>
                    <w:t>luminaires</w:t>
                  </w:r>
                  <w:proofErr w:type="spellEnd"/>
                  <w:r w:rsidRPr="00922618">
                    <w:rPr>
                      <w:rFonts w:ascii="Arial" w:hAnsi="Arial"/>
                      <w:sz w:val="18"/>
                      <w:szCs w:val="18"/>
                    </w:rPr>
                    <w:t xml:space="preserve"> to switches, relays, branch circuits, and other control devices represents a lighting alteration and therefore must meet the applicable mandatory requirements as described below.</w:t>
                  </w:r>
                </w:p>
                <w:p w:rsidR="00DF6A27" w:rsidRPr="00922618" w:rsidRDefault="00DF6A27" w:rsidP="00922618">
                  <w:pPr>
                    <w:spacing w:after="120"/>
                    <w:rPr>
                      <w:rFonts w:ascii="Arial" w:hAnsi="Arial"/>
                      <w:b/>
                      <w:i/>
                      <w:sz w:val="18"/>
                      <w:szCs w:val="18"/>
                    </w:rPr>
                  </w:pPr>
                  <w:r w:rsidRPr="00922618">
                    <w:rPr>
                      <w:rFonts w:ascii="Arial" w:hAnsi="Arial"/>
                      <w:b/>
                      <w:i/>
                      <w:sz w:val="18"/>
                      <w:szCs w:val="18"/>
                    </w:rPr>
                    <w:t>5.14.1 Mandatory Measures – Additions and Alterations</w:t>
                  </w:r>
                </w:p>
                <w:p w:rsidR="00DF6A27" w:rsidRPr="00922618" w:rsidRDefault="00DF6A27" w:rsidP="00922618">
                  <w:pPr>
                    <w:spacing w:after="120"/>
                    <w:rPr>
                      <w:rFonts w:ascii="Arial" w:hAnsi="Arial"/>
                      <w:sz w:val="18"/>
                      <w:szCs w:val="18"/>
                    </w:rPr>
                  </w:pPr>
                  <w:r w:rsidRPr="00922618">
                    <w:rPr>
                      <w:rFonts w:ascii="Arial" w:hAnsi="Arial"/>
                      <w:sz w:val="18"/>
                      <w:szCs w:val="18"/>
                    </w:rPr>
                    <w:t xml:space="preserve">All “altered” lighting components in alterations must comply with applicable mandatory requirements of §119, §130, §131, and §132. Although these mandatory requirements apply only to </w:t>
                  </w:r>
                  <w:proofErr w:type="gramStart"/>
                  <w:r w:rsidRPr="00922618">
                    <w:rPr>
                      <w:rFonts w:ascii="Arial" w:hAnsi="Arial"/>
                      <w:sz w:val="18"/>
                      <w:szCs w:val="18"/>
                    </w:rPr>
                    <w:t>altered</w:t>
                  </w:r>
                  <w:proofErr w:type="gramEnd"/>
                  <w:r w:rsidRPr="00922618">
                    <w:rPr>
                      <w:rFonts w:ascii="Arial" w:hAnsi="Arial"/>
                      <w:sz w:val="18"/>
                      <w:szCs w:val="18"/>
                    </w:rPr>
                    <w:t xml:space="preserve"> lighting components, it is recommended that mandatory measures be considered for the entire space to achieve maximum energy savings.</w:t>
                  </w:r>
                </w:p>
                <w:p w:rsidR="00DF6A27" w:rsidRPr="00922618" w:rsidRDefault="00DF6A27" w:rsidP="00922618">
                  <w:pPr>
                    <w:numPr>
                      <w:ilvl w:val="0"/>
                      <w:numId w:val="8"/>
                    </w:numPr>
                    <w:spacing w:after="120"/>
                    <w:rPr>
                      <w:rFonts w:ascii="Arial" w:hAnsi="Arial"/>
                      <w:sz w:val="18"/>
                      <w:szCs w:val="18"/>
                    </w:rPr>
                  </w:pPr>
                  <w:r w:rsidRPr="00922618">
                    <w:rPr>
                      <w:rFonts w:ascii="Arial" w:hAnsi="Arial"/>
                      <w:sz w:val="18"/>
                      <w:szCs w:val="18"/>
                    </w:rPr>
                    <w:t xml:space="preserve">All altered </w:t>
                  </w:r>
                  <w:proofErr w:type="spellStart"/>
                  <w:r w:rsidRPr="00922618">
                    <w:rPr>
                      <w:rFonts w:ascii="Arial" w:hAnsi="Arial"/>
                      <w:sz w:val="18"/>
                      <w:szCs w:val="18"/>
                    </w:rPr>
                    <w:t>luminaires</w:t>
                  </w:r>
                  <w:proofErr w:type="spellEnd"/>
                  <w:r w:rsidRPr="00922618">
                    <w:rPr>
                      <w:rFonts w:ascii="Arial" w:hAnsi="Arial"/>
                      <w:sz w:val="18"/>
                      <w:szCs w:val="18"/>
                    </w:rPr>
                    <w:t xml:space="preserve"> in a space must meet the automatic shut-off controls requirements of §131 (d).</w:t>
                  </w:r>
                </w:p>
                <w:p w:rsidR="00DF6A27" w:rsidRPr="00922618" w:rsidRDefault="00DF6A27" w:rsidP="00922618">
                  <w:pPr>
                    <w:spacing w:after="120"/>
                    <w:rPr>
                      <w:rFonts w:ascii="Arial" w:hAnsi="Arial"/>
                      <w:sz w:val="18"/>
                      <w:szCs w:val="18"/>
                    </w:rPr>
                  </w:pPr>
                  <w:r w:rsidRPr="00922618">
                    <w:rPr>
                      <w:rFonts w:ascii="Arial" w:hAnsi="Arial"/>
                      <w:sz w:val="18"/>
                      <w:szCs w:val="18"/>
                    </w:rPr>
                    <w:t xml:space="preserve">For lighting alterations purposes, rewiring refers to replacement or installation of new wires that serve the circuit between the switches, relays, branch circuits, other control devices, and rewired </w:t>
                  </w:r>
                  <w:proofErr w:type="spellStart"/>
                  <w:r w:rsidRPr="00922618">
                    <w:rPr>
                      <w:rFonts w:ascii="Arial" w:hAnsi="Arial"/>
                      <w:sz w:val="18"/>
                      <w:szCs w:val="18"/>
                    </w:rPr>
                    <w:t>luminaire</w:t>
                  </w:r>
                  <w:proofErr w:type="spellEnd"/>
                  <w:r w:rsidRPr="00922618">
                    <w:rPr>
                      <w:rFonts w:ascii="Arial" w:hAnsi="Arial"/>
                      <w:sz w:val="18"/>
                      <w:szCs w:val="18"/>
                    </w:rPr>
                    <w:t xml:space="preserve">(s). In the case where only the wiring in a circuit that connects the switch and the </w:t>
                  </w:r>
                  <w:proofErr w:type="spellStart"/>
                  <w:r w:rsidRPr="00922618">
                    <w:rPr>
                      <w:rFonts w:ascii="Arial" w:hAnsi="Arial"/>
                      <w:sz w:val="18"/>
                      <w:szCs w:val="18"/>
                    </w:rPr>
                    <w:t>luminaire</w:t>
                  </w:r>
                  <w:proofErr w:type="spellEnd"/>
                  <w:r w:rsidRPr="00922618">
                    <w:rPr>
                      <w:rFonts w:ascii="Arial" w:hAnsi="Arial"/>
                      <w:sz w:val="18"/>
                      <w:szCs w:val="18"/>
                    </w:rPr>
                    <w:t xml:space="preserve">(s) is being replaced without any alterations to the </w:t>
                  </w:r>
                  <w:proofErr w:type="spellStart"/>
                  <w:r w:rsidRPr="00922618">
                    <w:rPr>
                      <w:rFonts w:ascii="Arial" w:hAnsi="Arial"/>
                      <w:sz w:val="18"/>
                      <w:szCs w:val="18"/>
                    </w:rPr>
                    <w:t>luminaire</w:t>
                  </w:r>
                  <w:proofErr w:type="spellEnd"/>
                  <w:r w:rsidRPr="00922618">
                    <w:rPr>
                      <w:rFonts w:ascii="Arial" w:hAnsi="Arial"/>
                      <w:sz w:val="18"/>
                      <w:szCs w:val="18"/>
                    </w:rPr>
                    <w:t>(s), the wiring system itself is considered the altered component and must therefore meet the lighting control requirements.</w:t>
                  </w:r>
                </w:p>
                <w:p w:rsidR="00DF6A27" w:rsidRPr="00922618" w:rsidRDefault="00DF6A27" w:rsidP="00922618">
                  <w:pPr>
                    <w:spacing w:after="120"/>
                    <w:rPr>
                      <w:rFonts w:ascii="Arial" w:hAnsi="Arial"/>
                      <w:b/>
                      <w:i/>
                      <w:sz w:val="18"/>
                      <w:szCs w:val="18"/>
                    </w:rPr>
                  </w:pPr>
                  <w:r w:rsidRPr="00922618">
                    <w:rPr>
                      <w:rFonts w:ascii="Arial" w:hAnsi="Arial"/>
                      <w:b/>
                      <w:i/>
                      <w:sz w:val="18"/>
                      <w:szCs w:val="18"/>
                    </w:rPr>
                    <w:t>5.14.3 Prescriptive Measures – Alterations</w:t>
                  </w:r>
                </w:p>
                <w:p w:rsidR="00DF6A27" w:rsidRPr="00922618" w:rsidRDefault="00DF6A27" w:rsidP="00922618">
                  <w:pPr>
                    <w:spacing w:after="120"/>
                    <w:rPr>
                      <w:rFonts w:ascii="Arial" w:hAnsi="Arial"/>
                      <w:sz w:val="18"/>
                      <w:szCs w:val="18"/>
                    </w:rPr>
                  </w:pPr>
                  <w:r w:rsidRPr="00922618">
                    <w:rPr>
                      <w:rFonts w:ascii="Arial" w:hAnsi="Arial"/>
                      <w:sz w:val="18"/>
                      <w:szCs w:val="18"/>
                    </w:rPr>
                    <w:t>Alterations that involve the following must comply with §146:</w:t>
                  </w:r>
                </w:p>
                <w:p w:rsidR="00DF6A27" w:rsidRPr="00922618" w:rsidRDefault="00DF6A27" w:rsidP="00922618">
                  <w:pPr>
                    <w:numPr>
                      <w:ilvl w:val="0"/>
                      <w:numId w:val="8"/>
                    </w:numPr>
                    <w:spacing w:after="120"/>
                    <w:rPr>
                      <w:rFonts w:ascii="Arial" w:hAnsi="Arial"/>
                      <w:sz w:val="18"/>
                      <w:szCs w:val="18"/>
                    </w:rPr>
                  </w:pPr>
                  <w:r w:rsidRPr="00922618">
                    <w:rPr>
                      <w:rFonts w:ascii="Arial" w:hAnsi="Arial"/>
                      <w:sz w:val="18"/>
                      <w:szCs w:val="18"/>
                    </w:rPr>
                    <w:t xml:space="preserve">Replacing more than 50% of the </w:t>
                  </w:r>
                  <w:proofErr w:type="spellStart"/>
                  <w:r w:rsidRPr="00922618">
                    <w:rPr>
                      <w:rFonts w:ascii="Arial" w:hAnsi="Arial"/>
                      <w:sz w:val="18"/>
                      <w:szCs w:val="18"/>
                    </w:rPr>
                    <w:t>luminaires</w:t>
                  </w:r>
                  <w:proofErr w:type="spellEnd"/>
                  <w:r w:rsidRPr="00922618">
                    <w:rPr>
                      <w:rFonts w:ascii="Arial" w:hAnsi="Arial"/>
                      <w:sz w:val="18"/>
                      <w:szCs w:val="18"/>
                    </w:rPr>
                    <w:t>, or</w:t>
                  </w:r>
                </w:p>
                <w:p w:rsidR="00DF6A27" w:rsidRPr="00922618" w:rsidRDefault="00DF6A27" w:rsidP="00922618">
                  <w:pPr>
                    <w:numPr>
                      <w:ilvl w:val="0"/>
                      <w:numId w:val="8"/>
                    </w:numPr>
                    <w:spacing w:after="120"/>
                    <w:rPr>
                      <w:rFonts w:ascii="Arial" w:hAnsi="Arial"/>
                      <w:sz w:val="18"/>
                      <w:szCs w:val="18"/>
                    </w:rPr>
                  </w:pPr>
                  <w:r w:rsidRPr="00922618">
                    <w:rPr>
                      <w:rFonts w:ascii="Arial" w:hAnsi="Arial"/>
                      <w:sz w:val="18"/>
                      <w:szCs w:val="18"/>
                    </w:rPr>
                    <w:t>An increase in the connected lighting load.</w:t>
                  </w:r>
                </w:p>
                <w:p w:rsidR="00DF6A27" w:rsidRPr="00922618" w:rsidRDefault="00DF6A27" w:rsidP="00922618">
                  <w:pPr>
                    <w:spacing w:after="120"/>
                    <w:rPr>
                      <w:rFonts w:ascii="Arial" w:hAnsi="Arial"/>
                      <w:sz w:val="18"/>
                      <w:szCs w:val="18"/>
                    </w:rPr>
                  </w:pPr>
                  <w:r w:rsidRPr="00922618">
                    <w:rPr>
                      <w:rFonts w:ascii="Arial" w:hAnsi="Arial"/>
                      <w:sz w:val="18"/>
                      <w:szCs w:val="18"/>
                    </w:rPr>
                    <w:t>When it is necessary to calculate the existing wattage to demonstrate that the alteration does not result in an increased lighting level, use the same methodology used for new lighting installations found in this chapter.</w:t>
                  </w:r>
                </w:p>
              </w:txbxContent>
            </v:textbox>
            <w10:wrap type="none"/>
            <w10:anchorlock/>
          </v:shape>
        </w:pict>
      </w:r>
    </w:p>
    <w:p w:rsidR="004A72A7" w:rsidRPr="00922618" w:rsidRDefault="00922618" w:rsidP="00922618">
      <w:pPr>
        <w:pStyle w:val="tablehead"/>
      </w:pPr>
      <w:bookmarkStart w:id="24" w:name="_Ref179913985"/>
      <w:bookmarkStart w:id="25" w:name="_Toc189916476"/>
      <w:bookmarkStart w:id="26" w:name="_Toc190665233"/>
      <w:proofErr w:type="gramStart"/>
      <w:r>
        <w:t xml:space="preserve">Figure </w:t>
      </w:r>
      <w:fldSimple w:instr=" SEQ Figure \* ARABIC ">
        <w:r w:rsidR="008F0D36">
          <w:rPr>
            <w:noProof/>
          </w:rPr>
          <w:t>1</w:t>
        </w:r>
      </w:fldSimple>
      <w:bookmarkEnd w:id="24"/>
      <w:r>
        <w:t>.</w:t>
      </w:r>
      <w:proofErr w:type="gramEnd"/>
      <w:r>
        <w:t xml:space="preserve">  </w:t>
      </w:r>
      <w:r w:rsidRPr="006921A9">
        <w:t>Title 24, Section 5.14, Selections Pertaining to Alterations</w:t>
      </w:r>
      <w:bookmarkEnd w:id="25"/>
      <w:bookmarkEnd w:id="26"/>
    </w:p>
    <w:p w:rsidR="00A13A06" w:rsidRDefault="00A13A06" w:rsidP="00A13A06">
      <w:pPr>
        <w:jc w:val="both"/>
        <w:rPr>
          <w:rFonts w:ascii="Arial" w:hAnsi="Arial" w:cs="Arial"/>
          <w:b/>
          <w:i/>
        </w:rPr>
      </w:pPr>
    </w:p>
    <w:p w:rsidR="00A13A06" w:rsidRPr="00683C46" w:rsidRDefault="00A13A06" w:rsidP="00A13A06">
      <w:pPr>
        <w:jc w:val="both"/>
      </w:pPr>
      <w:r w:rsidRPr="00F21FE7">
        <w:rPr>
          <w:rFonts w:ascii="Arial" w:hAnsi="Arial" w:cs="Arial"/>
          <w:b/>
          <w:i/>
        </w:rPr>
        <w:t>Federal Standards:</w:t>
      </w:r>
      <w:r>
        <w:rPr>
          <w:rFonts w:ascii="Arial" w:hAnsi="Arial" w:cs="Arial"/>
          <w:bCs/>
          <w:iCs/>
        </w:rPr>
        <w:t xml:space="preserve">  </w:t>
      </w:r>
      <w:r w:rsidRPr="00683C46">
        <w:t xml:space="preserve">This measure </w:t>
      </w:r>
      <w:r>
        <w:t>is not governed by Federal Standards or Department of Energy regulations.</w:t>
      </w:r>
    </w:p>
    <w:p w:rsidR="00A13A06" w:rsidRDefault="00A13A06" w:rsidP="002E0043">
      <w:pPr>
        <w:pStyle w:val="Heading2"/>
        <w:keepNext w:val="0"/>
      </w:pPr>
    </w:p>
    <w:p w:rsidR="002E0043" w:rsidRDefault="001248A3" w:rsidP="002E0043">
      <w:pPr>
        <w:pStyle w:val="Heading2"/>
        <w:keepNext w:val="0"/>
      </w:pPr>
      <w:bookmarkStart w:id="27" w:name="_Toc328480032"/>
      <w:r>
        <w:t xml:space="preserve">1.4 </w:t>
      </w:r>
      <w:r w:rsidR="00C069A2" w:rsidRPr="001248A3">
        <w:t>EM&amp;V</w:t>
      </w:r>
      <w:r w:rsidR="00755961">
        <w:t>, Market Potential,</w:t>
      </w:r>
      <w:r w:rsidR="00C069A2" w:rsidRPr="001248A3">
        <w:t xml:space="preserve"> </w:t>
      </w:r>
      <w:r w:rsidR="0044337C">
        <w:t xml:space="preserve">and Other </w:t>
      </w:r>
      <w:r w:rsidR="00C069A2" w:rsidRPr="001248A3">
        <w:t>Studies</w:t>
      </w:r>
      <w:bookmarkEnd w:id="27"/>
    </w:p>
    <w:p w:rsidR="00EE53FF" w:rsidRDefault="00EE53FF" w:rsidP="00A35CF8">
      <w:pPr>
        <w:rPr>
          <w:b/>
        </w:rPr>
      </w:pPr>
    </w:p>
    <w:p w:rsidR="00F158F5" w:rsidRPr="001B3663" w:rsidRDefault="00F158F5" w:rsidP="00D86733">
      <w:pPr>
        <w:jc w:val="both"/>
      </w:pPr>
      <w:r w:rsidRPr="001B3663">
        <w:rPr>
          <w:b/>
        </w:rPr>
        <w:t>Delta Wattage Assumption (ΔW):</w:t>
      </w:r>
      <w:r w:rsidRPr="001B3663">
        <w:t xml:space="preserve">  Base </w:t>
      </w:r>
      <w:r w:rsidR="00D86733">
        <w:t>cases for the f</w:t>
      </w:r>
      <w:r w:rsidR="00A55525">
        <w:t>ive</w:t>
      </w:r>
      <w:r>
        <w:t xml:space="preserve"> measures discussed in this work paper w</w:t>
      </w:r>
      <w:r w:rsidR="00D86733">
        <w:t>ere</w:t>
      </w:r>
      <w:r>
        <w:t xml:space="preserve"> provided by PG&amp;E engineers. The delta W for each measure is based on the most applicable </w:t>
      </w:r>
      <w:r w:rsidR="00D86733">
        <w:t>induction</w:t>
      </w:r>
      <w:r>
        <w:t xml:space="preserve"> fixture</w:t>
      </w:r>
      <w:r w:rsidR="00D86733">
        <w:t>s</w:t>
      </w:r>
      <w:r>
        <w:t xml:space="preserve"> that would help to achieve similar light output (in lumens) as the assume</w:t>
      </w:r>
      <w:r w:rsidR="00D86733">
        <w:t>d existing</w:t>
      </w:r>
      <w:r>
        <w:t xml:space="preserve"> fixtures.</w:t>
      </w:r>
      <w:r w:rsidR="00D86733">
        <w:t xml:space="preserve"> </w:t>
      </w:r>
    </w:p>
    <w:p w:rsidR="00F158F5" w:rsidRPr="001D04C7" w:rsidRDefault="00F158F5" w:rsidP="00F158F5">
      <w:pPr>
        <w:rPr>
          <w:color w:val="FF0000"/>
        </w:rPr>
      </w:pPr>
    </w:p>
    <w:p w:rsidR="000176AD" w:rsidRPr="000176AD" w:rsidRDefault="000176AD" w:rsidP="000176AD">
      <w:pPr>
        <w:jc w:val="both"/>
      </w:pPr>
    </w:p>
    <w:p w:rsidR="00A55525" w:rsidRDefault="00A35CF8" w:rsidP="004222C5">
      <w:pPr>
        <w:autoSpaceDE w:val="0"/>
        <w:autoSpaceDN w:val="0"/>
        <w:adjustRightInd w:val="0"/>
      </w:pPr>
      <w:r w:rsidRPr="008F12D4">
        <w:rPr>
          <w:b/>
        </w:rPr>
        <w:t>Hours of Operation</w:t>
      </w:r>
      <w:r w:rsidRPr="00D76849">
        <w:t xml:space="preserve">: </w:t>
      </w:r>
      <w:r w:rsidR="00157D93">
        <w:t xml:space="preserve">The hours of operation depends on the building type. </w:t>
      </w:r>
      <w:r w:rsidR="004D09D0" w:rsidRPr="001F52ED">
        <w:t xml:space="preserve">For the purpose of this work paper, </w:t>
      </w:r>
      <w:r w:rsidR="002B4E8A" w:rsidRPr="001F52ED">
        <w:t>Annual hours of operation were</w:t>
      </w:r>
      <w:r w:rsidR="004D09D0" w:rsidRPr="001F52ED">
        <w:t xml:space="preserve"> </w:t>
      </w:r>
      <w:r w:rsidR="002B4E8A" w:rsidRPr="001F52ED">
        <w:t>obtained</w:t>
      </w:r>
      <w:r w:rsidR="004D09D0" w:rsidRPr="001F52ED">
        <w:t xml:space="preserve"> from the</w:t>
      </w:r>
      <w:r w:rsidR="004D09D0" w:rsidRPr="004A5AB5">
        <w:t xml:space="preserve"> Energy Efficient Resources </w:t>
      </w:r>
      <w:r w:rsidR="004D09D0" w:rsidRPr="004A5AB5">
        <w:lastRenderedPageBreak/>
        <w:t>(DEER</w:t>
      </w:r>
      <w:r w:rsidR="000E5CA3" w:rsidRPr="004A5AB5">
        <w:fldChar w:fldCharType="begin"/>
      </w:r>
      <w:r w:rsidR="004D09D0" w:rsidRPr="004A5AB5">
        <w:instrText xml:space="preserve"> XE "DEER" </w:instrText>
      </w:r>
      <w:r w:rsidR="000E5CA3" w:rsidRPr="004A5AB5">
        <w:fldChar w:fldCharType="end"/>
      </w:r>
      <w:r w:rsidR="004222C5">
        <w:t>) 2011</w:t>
      </w:r>
      <w:r w:rsidR="002B4E8A">
        <w:t>.</w:t>
      </w:r>
      <w:r w:rsidR="004D09D0">
        <w:t xml:space="preserve"> </w:t>
      </w:r>
      <w:r w:rsidR="00DF6A27">
        <w:t xml:space="preserve">Hours of operation within </w:t>
      </w:r>
      <w:r w:rsidR="004222C5">
        <w:t>this workpaper are found in</w:t>
      </w:r>
      <w:r w:rsidR="00DF6A27">
        <w:t xml:space="preserve"> WPSDGENRLG0999 and that workpaper should be referenced by the reade</w:t>
      </w:r>
      <w:r w:rsidR="004222C5">
        <w:t>r.</w:t>
      </w:r>
    </w:p>
    <w:p w:rsidR="004222C5" w:rsidRDefault="004222C5" w:rsidP="004222C5">
      <w:pPr>
        <w:autoSpaceDE w:val="0"/>
        <w:autoSpaceDN w:val="0"/>
        <w:adjustRightInd w:val="0"/>
      </w:pPr>
    </w:p>
    <w:p w:rsidR="00C069A2" w:rsidRDefault="001248A3" w:rsidP="002E0043">
      <w:pPr>
        <w:pStyle w:val="Heading2"/>
        <w:keepNext w:val="0"/>
      </w:pPr>
      <w:bookmarkStart w:id="28" w:name="_Toc328480033"/>
      <w:r>
        <w:t xml:space="preserve">1.5 </w:t>
      </w:r>
      <w:r w:rsidR="00C069A2" w:rsidRPr="001248A3">
        <w:t>Base Cases for Savings Estimates: Existing &amp; Above Code</w:t>
      </w:r>
      <w:bookmarkEnd w:id="28"/>
    </w:p>
    <w:p w:rsidR="000056D7" w:rsidRDefault="00C7696F" w:rsidP="00E53DF6">
      <w:pPr>
        <w:jc w:val="both"/>
      </w:pPr>
      <w:r>
        <w:t>The current work paper categorizes five different measures. The difference</w:t>
      </w:r>
      <w:r w:rsidR="00D86733">
        <w:t xml:space="preserve"> </w:t>
      </w:r>
      <w:r>
        <w:t>between these measures is the difference in the wattage levels of the existing fixture. The fixture</w:t>
      </w:r>
      <w:r w:rsidR="00D40E27">
        <w:t xml:space="preserve"> replacement</w:t>
      </w:r>
      <w:r>
        <w:t xml:space="preserve"> can be new or a retrofit. Retrofit kits may be either one of these which includes: Incandescent, Mercury Vapor, T12-High Output (HO) Fluorescent, T12-Very High Output (VHO) Fluorescent, Standard Metal Halide or High Pressure Sodium fixtures. </w:t>
      </w:r>
      <w:r w:rsidR="00D40E27">
        <w:t>E</w:t>
      </w:r>
      <w:r w:rsidR="002F3E5E">
        <w:t xml:space="preserve">xisting </w:t>
      </w:r>
      <w:r w:rsidR="00D86733">
        <w:t>interior</w:t>
      </w:r>
      <w:r w:rsidR="002F3E5E">
        <w:t xml:space="preserve"> </w:t>
      </w:r>
      <w:r w:rsidR="00753080">
        <w:t>fixture</w:t>
      </w:r>
      <w:r w:rsidR="00D86733">
        <w:t>s</w:t>
      </w:r>
      <w:r w:rsidR="00D40E27">
        <w:t xml:space="preserve"> considered for replacement must </w:t>
      </w:r>
      <w:r w:rsidR="002F3E5E">
        <w:t>be categorized in any one of the measures below. For the purpose of calculating the energy savings due to each measure, it would be assumed that the base case is always a standard metal halide (irrespective of the existing fixture type)</w:t>
      </w:r>
      <w:r w:rsidR="00D40E27">
        <w:t xml:space="preserve">. </w:t>
      </w:r>
      <w:r w:rsidR="000E5CA3">
        <w:fldChar w:fldCharType="begin"/>
      </w:r>
      <w:r w:rsidR="00046862">
        <w:instrText xml:space="preserve"> REF _Ref190231182 \h </w:instrText>
      </w:r>
      <w:r w:rsidR="000E5CA3">
        <w:fldChar w:fldCharType="separate"/>
      </w:r>
      <w:r w:rsidR="008F0D36" w:rsidRPr="00046862">
        <w:t xml:space="preserve">Table </w:t>
      </w:r>
      <w:r w:rsidR="008F0D36">
        <w:rPr>
          <w:noProof/>
        </w:rPr>
        <w:t>5</w:t>
      </w:r>
      <w:r w:rsidR="000E5CA3">
        <w:fldChar w:fldCharType="end"/>
      </w:r>
      <w:r w:rsidR="00046862">
        <w:t xml:space="preserve"> </w:t>
      </w:r>
      <w:r w:rsidR="00D40E27">
        <w:t xml:space="preserve">below shows the base cases for the five measures discussed in this work paper and their assumed </w:t>
      </w:r>
      <w:r w:rsidR="002F3E5E">
        <w:t xml:space="preserve">base </w:t>
      </w:r>
      <w:r w:rsidR="00D40E27">
        <w:t>wattage levels.</w:t>
      </w:r>
    </w:p>
    <w:p w:rsidR="00046862" w:rsidRDefault="00046862" w:rsidP="00046862">
      <w:pPr>
        <w:pStyle w:val="Caption"/>
        <w:keepNext/>
        <w:jc w:val="center"/>
        <w:rPr>
          <w:sz w:val="24"/>
        </w:rPr>
      </w:pPr>
      <w:bookmarkStart w:id="29" w:name="_Ref190231182"/>
      <w:bookmarkStart w:id="30" w:name="_Toc190665228"/>
      <w:r w:rsidRPr="00046862">
        <w:rPr>
          <w:sz w:val="24"/>
        </w:rPr>
        <w:t xml:space="preserve">Table </w:t>
      </w:r>
      <w:r w:rsidR="000E5CA3" w:rsidRPr="00046862">
        <w:rPr>
          <w:sz w:val="24"/>
        </w:rPr>
        <w:fldChar w:fldCharType="begin"/>
      </w:r>
      <w:r w:rsidRPr="00046862">
        <w:rPr>
          <w:sz w:val="24"/>
        </w:rPr>
        <w:instrText xml:space="preserve"> SEQ Table \* ARABIC </w:instrText>
      </w:r>
      <w:r w:rsidR="000E5CA3" w:rsidRPr="00046862">
        <w:rPr>
          <w:sz w:val="24"/>
        </w:rPr>
        <w:fldChar w:fldCharType="separate"/>
      </w:r>
      <w:r w:rsidR="008F0D36">
        <w:rPr>
          <w:noProof/>
          <w:sz w:val="24"/>
        </w:rPr>
        <w:t>5</w:t>
      </w:r>
      <w:r w:rsidR="000E5CA3" w:rsidRPr="00046862">
        <w:rPr>
          <w:sz w:val="24"/>
        </w:rPr>
        <w:fldChar w:fldCharType="end"/>
      </w:r>
      <w:bookmarkEnd w:id="29"/>
      <w:r w:rsidRPr="00046862">
        <w:rPr>
          <w:sz w:val="24"/>
        </w:rPr>
        <w:t xml:space="preserve"> Base Case description for the different measures prescribed by this program</w:t>
      </w:r>
      <w:bookmarkEnd w:id="30"/>
    </w:p>
    <w:p w:rsidR="00046862" w:rsidRPr="00046862" w:rsidRDefault="00046862" w:rsidP="00046862"/>
    <w:tbl>
      <w:tblPr>
        <w:tblW w:w="0" w:type="auto"/>
        <w:jc w:val="center"/>
        <w:tblBorders>
          <w:insideH w:val="single" w:sz="18" w:space="0" w:color="FFFFFF"/>
          <w:insideV w:val="single" w:sz="18" w:space="0" w:color="FFFFFF"/>
        </w:tblBorders>
        <w:tblLook w:val="04A0"/>
      </w:tblPr>
      <w:tblGrid>
        <w:gridCol w:w="1638"/>
        <w:gridCol w:w="2340"/>
        <w:gridCol w:w="2298"/>
        <w:gridCol w:w="2620"/>
      </w:tblGrid>
      <w:tr w:rsidR="000056D7">
        <w:trPr>
          <w:jc w:val="center"/>
        </w:trPr>
        <w:tc>
          <w:tcPr>
            <w:tcW w:w="1638" w:type="dxa"/>
            <w:shd w:val="pct20" w:color="000000" w:fill="FFFFFF"/>
          </w:tcPr>
          <w:p w:rsidR="000056D7" w:rsidRPr="00D05CA7" w:rsidRDefault="000056D7" w:rsidP="00D05CA7">
            <w:pPr>
              <w:jc w:val="center"/>
              <w:rPr>
                <w:b/>
                <w:bCs/>
              </w:rPr>
            </w:pPr>
          </w:p>
          <w:p w:rsidR="000056D7" w:rsidRPr="00D05CA7" w:rsidRDefault="000056D7" w:rsidP="00D05CA7">
            <w:pPr>
              <w:jc w:val="center"/>
              <w:rPr>
                <w:b/>
                <w:bCs/>
              </w:rPr>
            </w:pPr>
            <w:r w:rsidRPr="00D05CA7">
              <w:rPr>
                <w:b/>
                <w:bCs/>
              </w:rPr>
              <w:t>Measure Code</w:t>
            </w:r>
          </w:p>
        </w:tc>
        <w:tc>
          <w:tcPr>
            <w:tcW w:w="2340" w:type="dxa"/>
            <w:shd w:val="pct20" w:color="000000" w:fill="FFFFFF"/>
          </w:tcPr>
          <w:p w:rsidR="000056D7" w:rsidRPr="00D05CA7" w:rsidRDefault="000056D7" w:rsidP="00D05CA7">
            <w:pPr>
              <w:jc w:val="center"/>
              <w:rPr>
                <w:b/>
                <w:bCs/>
              </w:rPr>
            </w:pPr>
          </w:p>
          <w:p w:rsidR="000056D7" w:rsidRPr="00D05CA7" w:rsidRDefault="000056D7" w:rsidP="00D05CA7">
            <w:pPr>
              <w:jc w:val="center"/>
              <w:rPr>
                <w:b/>
                <w:bCs/>
              </w:rPr>
            </w:pPr>
            <w:r w:rsidRPr="00D05CA7">
              <w:rPr>
                <w:b/>
                <w:bCs/>
              </w:rPr>
              <w:t>Existing Base Case description</w:t>
            </w:r>
          </w:p>
        </w:tc>
        <w:tc>
          <w:tcPr>
            <w:tcW w:w="2298" w:type="dxa"/>
            <w:shd w:val="pct20" w:color="000000" w:fill="FFFFFF"/>
          </w:tcPr>
          <w:p w:rsidR="000056D7" w:rsidRPr="00D05CA7" w:rsidRDefault="000056D7" w:rsidP="00D05CA7">
            <w:pPr>
              <w:jc w:val="center"/>
              <w:rPr>
                <w:b/>
                <w:bCs/>
              </w:rPr>
            </w:pPr>
          </w:p>
          <w:p w:rsidR="000056D7" w:rsidRPr="00D05CA7" w:rsidRDefault="000056D7" w:rsidP="00D05CA7">
            <w:pPr>
              <w:jc w:val="center"/>
              <w:rPr>
                <w:b/>
                <w:bCs/>
              </w:rPr>
            </w:pPr>
            <w:r w:rsidRPr="00D05CA7">
              <w:rPr>
                <w:b/>
                <w:bCs/>
              </w:rPr>
              <w:t>Maximum Wattage of replacement</w:t>
            </w:r>
          </w:p>
        </w:tc>
        <w:tc>
          <w:tcPr>
            <w:tcW w:w="2620" w:type="dxa"/>
            <w:shd w:val="pct20" w:color="000000" w:fill="FFFFFF"/>
          </w:tcPr>
          <w:p w:rsidR="000056D7" w:rsidRPr="00D05CA7" w:rsidRDefault="000056D7" w:rsidP="00D05CA7">
            <w:pPr>
              <w:jc w:val="center"/>
              <w:rPr>
                <w:b/>
                <w:bCs/>
              </w:rPr>
            </w:pPr>
            <w:r w:rsidRPr="00D05CA7">
              <w:rPr>
                <w:b/>
                <w:bCs/>
              </w:rPr>
              <w:t>Assumed Base Case (Standard MH Wattage Including Ballast)</w:t>
            </w:r>
          </w:p>
        </w:tc>
      </w:tr>
      <w:tr w:rsidR="0086624F">
        <w:trPr>
          <w:jc w:val="center"/>
        </w:trPr>
        <w:tc>
          <w:tcPr>
            <w:tcW w:w="1638" w:type="dxa"/>
            <w:vMerge w:val="restart"/>
            <w:shd w:val="pct5" w:color="000000" w:fill="FFFFFF"/>
            <w:vAlign w:val="center"/>
          </w:tcPr>
          <w:p w:rsidR="0086624F" w:rsidRPr="005A58BD" w:rsidRDefault="0086624F" w:rsidP="000E0F8D">
            <w:pPr>
              <w:jc w:val="center"/>
            </w:pPr>
            <w:r>
              <w:t>LD</w:t>
            </w:r>
            <w:r w:rsidR="000E0F8D">
              <w:t>11</w:t>
            </w:r>
            <w:r>
              <w:t>-</w:t>
            </w:r>
            <w:r w:rsidR="000E0F8D">
              <w:t>5</w:t>
            </w:r>
            <w:r w:rsidR="00EB05BB">
              <w:t>1</w:t>
            </w:r>
          </w:p>
        </w:tc>
        <w:tc>
          <w:tcPr>
            <w:tcW w:w="2340" w:type="dxa"/>
            <w:shd w:val="pct5" w:color="000000" w:fill="FFFFFF"/>
            <w:vAlign w:val="center"/>
          </w:tcPr>
          <w:p w:rsidR="0086624F" w:rsidRPr="000E0F8D" w:rsidRDefault="0086624F" w:rsidP="00EB05BB">
            <w:pPr>
              <w:jc w:val="center"/>
              <w:rPr>
                <w:rFonts w:ascii="Arial" w:hAnsi="Arial" w:cs="Arial"/>
                <w:sz w:val="18"/>
                <w:szCs w:val="18"/>
              </w:rPr>
            </w:pPr>
            <w:r w:rsidRPr="000E0F8D">
              <w:t xml:space="preserve">400 Watt </w:t>
            </w:r>
            <w:r w:rsidR="00EB05BB" w:rsidRPr="000E0F8D">
              <w:t>L</w:t>
            </w:r>
            <w:r w:rsidRPr="000E0F8D">
              <w:t>amp</w:t>
            </w:r>
          </w:p>
        </w:tc>
        <w:tc>
          <w:tcPr>
            <w:tcW w:w="2298" w:type="dxa"/>
            <w:shd w:val="pct5" w:color="000000" w:fill="FFFFFF"/>
            <w:vAlign w:val="center"/>
          </w:tcPr>
          <w:p w:rsidR="0086624F" w:rsidRPr="000E0F8D" w:rsidRDefault="0086624F" w:rsidP="005A58BD">
            <w:pPr>
              <w:jc w:val="center"/>
              <w:rPr>
                <w:sz w:val="22"/>
              </w:rPr>
            </w:pPr>
            <w:r w:rsidRPr="000E0F8D">
              <w:rPr>
                <w:sz w:val="22"/>
              </w:rPr>
              <w:t>360W</w:t>
            </w:r>
          </w:p>
        </w:tc>
        <w:tc>
          <w:tcPr>
            <w:tcW w:w="2620" w:type="dxa"/>
            <w:shd w:val="pct5" w:color="000000" w:fill="FFFFFF"/>
            <w:vAlign w:val="center"/>
          </w:tcPr>
          <w:p w:rsidR="0086624F" w:rsidRPr="000E0F8D" w:rsidRDefault="0086624F" w:rsidP="005A58BD">
            <w:pPr>
              <w:jc w:val="center"/>
            </w:pPr>
            <w:r w:rsidRPr="000E0F8D">
              <w:t>458W (based on a 400W lamp)</w:t>
            </w:r>
            <w:r w:rsidR="00AC32E3" w:rsidRPr="000E0F8D">
              <w:t>not in used</w:t>
            </w:r>
          </w:p>
        </w:tc>
      </w:tr>
      <w:tr w:rsidR="00B278B9">
        <w:trPr>
          <w:jc w:val="center"/>
        </w:trPr>
        <w:tc>
          <w:tcPr>
            <w:tcW w:w="1638" w:type="dxa"/>
            <w:vMerge/>
            <w:shd w:val="pct5" w:color="000000" w:fill="FFFFFF"/>
            <w:vAlign w:val="center"/>
          </w:tcPr>
          <w:p w:rsidR="00B278B9" w:rsidRDefault="00B278B9" w:rsidP="00EB05BB">
            <w:pPr>
              <w:jc w:val="center"/>
            </w:pPr>
          </w:p>
        </w:tc>
        <w:tc>
          <w:tcPr>
            <w:tcW w:w="2340" w:type="dxa"/>
            <w:shd w:val="pct5" w:color="000000" w:fill="FFFFFF"/>
            <w:vAlign w:val="center"/>
          </w:tcPr>
          <w:p w:rsidR="00B278B9" w:rsidRPr="005A58BD" w:rsidRDefault="00B278B9" w:rsidP="005A58BD">
            <w:pPr>
              <w:jc w:val="center"/>
            </w:pPr>
            <w:r>
              <w:t>400 Watt Lamp</w:t>
            </w:r>
          </w:p>
        </w:tc>
        <w:tc>
          <w:tcPr>
            <w:tcW w:w="2298" w:type="dxa"/>
            <w:shd w:val="pct5" w:color="000000" w:fill="FFFFFF"/>
            <w:vAlign w:val="center"/>
          </w:tcPr>
          <w:p w:rsidR="00B278B9" w:rsidRDefault="00B278B9" w:rsidP="005A58BD">
            <w:pPr>
              <w:jc w:val="center"/>
              <w:rPr>
                <w:sz w:val="22"/>
              </w:rPr>
            </w:pPr>
            <w:r>
              <w:rPr>
                <w:sz w:val="22"/>
              </w:rPr>
              <w:t>250W</w:t>
            </w:r>
          </w:p>
        </w:tc>
        <w:tc>
          <w:tcPr>
            <w:tcW w:w="2620" w:type="dxa"/>
            <w:shd w:val="pct5" w:color="000000" w:fill="FFFFFF"/>
            <w:vAlign w:val="center"/>
          </w:tcPr>
          <w:p w:rsidR="00B278B9" w:rsidRDefault="00B278B9" w:rsidP="007F4DD5">
            <w:pPr>
              <w:jc w:val="center"/>
            </w:pPr>
            <w:r>
              <w:t>458W (based on a 400W lamp)</w:t>
            </w:r>
          </w:p>
        </w:tc>
      </w:tr>
      <w:tr w:rsidR="00B278B9">
        <w:trPr>
          <w:jc w:val="center"/>
        </w:trPr>
        <w:tc>
          <w:tcPr>
            <w:tcW w:w="1638" w:type="dxa"/>
            <w:vMerge/>
            <w:shd w:val="pct20" w:color="000000" w:fill="FFFFFF"/>
            <w:vAlign w:val="center"/>
          </w:tcPr>
          <w:p w:rsidR="00B278B9" w:rsidRPr="005A58BD" w:rsidRDefault="00B278B9" w:rsidP="005A58BD">
            <w:pPr>
              <w:jc w:val="center"/>
            </w:pPr>
          </w:p>
        </w:tc>
        <w:tc>
          <w:tcPr>
            <w:tcW w:w="2340" w:type="dxa"/>
            <w:shd w:val="pct20" w:color="000000" w:fill="FFFFFF"/>
            <w:vAlign w:val="center"/>
          </w:tcPr>
          <w:p w:rsidR="00B278B9" w:rsidRDefault="00B278B9" w:rsidP="005A58BD">
            <w:pPr>
              <w:jc w:val="center"/>
              <w:rPr>
                <w:rFonts w:ascii="Arial" w:hAnsi="Arial" w:cs="Arial"/>
                <w:sz w:val="18"/>
                <w:szCs w:val="18"/>
              </w:rPr>
            </w:pPr>
            <w:r w:rsidRPr="005A58BD">
              <w:t>176-399 Watt lamp</w:t>
            </w:r>
          </w:p>
        </w:tc>
        <w:tc>
          <w:tcPr>
            <w:tcW w:w="2298" w:type="dxa"/>
            <w:shd w:val="pct20" w:color="000000" w:fill="FFFFFF"/>
            <w:vAlign w:val="center"/>
          </w:tcPr>
          <w:p w:rsidR="00B278B9" w:rsidRPr="00840683" w:rsidRDefault="00B278B9" w:rsidP="005A58BD">
            <w:pPr>
              <w:jc w:val="center"/>
              <w:rPr>
                <w:sz w:val="22"/>
              </w:rPr>
            </w:pPr>
            <w:r>
              <w:rPr>
                <w:sz w:val="22"/>
              </w:rPr>
              <w:t>180</w:t>
            </w:r>
            <w:r w:rsidRPr="00840683">
              <w:rPr>
                <w:sz w:val="22"/>
              </w:rPr>
              <w:t>W</w:t>
            </w:r>
          </w:p>
        </w:tc>
        <w:tc>
          <w:tcPr>
            <w:tcW w:w="2620" w:type="dxa"/>
            <w:shd w:val="pct20" w:color="000000" w:fill="FFFFFF"/>
            <w:vAlign w:val="center"/>
          </w:tcPr>
          <w:p w:rsidR="00B278B9" w:rsidRDefault="00B278B9" w:rsidP="005A58BD">
            <w:pPr>
              <w:jc w:val="center"/>
            </w:pPr>
            <w:r>
              <w:t>295W (based on a 250W lamp)</w:t>
            </w:r>
          </w:p>
        </w:tc>
      </w:tr>
      <w:tr w:rsidR="00C970FF">
        <w:trPr>
          <w:jc w:val="center"/>
        </w:trPr>
        <w:tc>
          <w:tcPr>
            <w:tcW w:w="1638" w:type="dxa"/>
            <w:vMerge/>
            <w:shd w:val="pct5" w:color="000000" w:fill="FFFFFF"/>
            <w:vAlign w:val="center"/>
          </w:tcPr>
          <w:p w:rsidR="00C970FF" w:rsidRPr="005A58BD" w:rsidRDefault="00C970FF" w:rsidP="005A58BD">
            <w:pPr>
              <w:jc w:val="center"/>
            </w:pPr>
          </w:p>
        </w:tc>
        <w:tc>
          <w:tcPr>
            <w:tcW w:w="2340" w:type="dxa"/>
            <w:shd w:val="pct5" w:color="000000" w:fill="FFFFFF"/>
            <w:vAlign w:val="center"/>
          </w:tcPr>
          <w:p w:rsidR="00C970FF" w:rsidRDefault="00C970FF" w:rsidP="002C5CDA">
            <w:pPr>
              <w:jc w:val="center"/>
              <w:rPr>
                <w:rFonts w:ascii="Arial" w:hAnsi="Arial" w:cs="Arial"/>
                <w:color w:val="FF0000"/>
                <w:sz w:val="18"/>
                <w:szCs w:val="18"/>
              </w:rPr>
            </w:pPr>
            <w:r w:rsidRPr="005A58BD">
              <w:t>101-175 Watt lamp</w:t>
            </w:r>
          </w:p>
        </w:tc>
        <w:tc>
          <w:tcPr>
            <w:tcW w:w="2298" w:type="dxa"/>
            <w:shd w:val="pct5" w:color="000000" w:fill="FFFFFF"/>
            <w:vAlign w:val="center"/>
          </w:tcPr>
          <w:p w:rsidR="00C970FF" w:rsidRPr="00840683" w:rsidRDefault="00C970FF" w:rsidP="002C5CDA">
            <w:pPr>
              <w:jc w:val="center"/>
              <w:rPr>
                <w:sz w:val="22"/>
              </w:rPr>
            </w:pPr>
            <w:r>
              <w:rPr>
                <w:sz w:val="22"/>
              </w:rPr>
              <w:t>160</w:t>
            </w:r>
            <w:r w:rsidRPr="00840683">
              <w:rPr>
                <w:sz w:val="22"/>
              </w:rPr>
              <w:t>W</w:t>
            </w:r>
          </w:p>
        </w:tc>
        <w:tc>
          <w:tcPr>
            <w:tcW w:w="2620" w:type="dxa"/>
            <w:shd w:val="pct5" w:color="000000" w:fill="FFFFFF"/>
            <w:vAlign w:val="center"/>
          </w:tcPr>
          <w:p w:rsidR="00C970FF" w:rsidRDefault="00C970FF" w:rsidP="002C5CDA">
            <w:pPr>
              <w:jc w:val="center"/>
            </w:pPr>
            <w:r>
              <w:t>190W (based on a 150W lamp)</w:t>
            </w:r>
          </w:p>
        </w:tc>
      </w:tr>
      <w:tr w:rsidR="00C970FF">
        <w:trPr>
          <w:jc w:val="center"/>
        </w:trPr>
        <w:tc>
          <w:tcPr>
            <w:tcW w:w="1638" w:type="dxa"/>
            <w:vMerge/>
            <w:shd w:val="pct20" w:color="000000" w:fill="FFFFFF"/>
            <w:vAlign w:val="center"/>
          </w:tcPr>
          <w:p w:rsidR="00C970FF" w:rsidRPr="005A58BD" w:rsidRDefault="00C970FF" w:rsidP="005A58BD">
            <w:pPr>
              <w:jc w:val="center"/>
            </w:pPr>
          </w:p>
        </w:tc>
        <w:tc>
          <w:tcPr>
            <w:tcW w:w="2340" w:type="dxa"/>
            <w:shd w:val="pct20" w:color="000000" w:fill="FFFFFF"/>
            <w:vAlign w:val="center"/>
          </w:tcPr>
          <w:p w:rsidR="00C970FF" w:rsidRPr="00E94131" w:rsidRDefault="00C970FF" w:rsidP="002C5CDA">
            <w:pPr>
              <w:jc w:val="center"/>
              <w:rPr>
                <w:rFonts w:ascii="Arial" w:hAnsi="Arial" w:cs="Arial"/>
                <w:color w:val="000000"/>
                <w:sz w:val="18"/>
                <w:szCs w:val="18"/>
              </w:rPr>
            </w:pPr>
            <w:r w:rsidRPr="005A58BD">
              <w:t>100 Watt lamp</w:t>
            </w:r>
          </w:p>
        </w:tc>
        <w:tc>
          <w:tcPr>
            <w:tcW w:w="2298" w:type="dxa"/>
            <w:shd w:val="pct20" w:color="000000" w:fill="FFFFFF"/>
            <w:vAlign w:val="center"/>
          </w:tcPr>
          <w:p w:rsidR="00C970FF" w:rsidRPr="00840683" w:rsidRDefault="00C970FF" w:rsidP="002C5CDA">
            <w:pPr>
              <w:jc w:val="center"/>
              <w:rPr>
                <w:sz w:val="22"/>
              </w:rPr>
            </w:pPr>
            <w:r>
              <w:rPr>
                <w:sz w:val="22"/>
              </w:rPr>
              <w:t>9</w:t>
            </w:r>
            <w:r w:rsidRPr="00840683">
              <w:rPr>
                <w:sz w:val="22"/>
              </w:rPr>
              <w:t>5W</w:t>
            </w:r>
          </w:p>
        </w:tc>
        <w:tc>
          <w:tcPr>
            <w:tcW w:w="2620" w:type="dxa"/>
            <w:shd w:val="pct20" w:color="000000" w:fill="FFFFFF"/>
            <w:vAlign w:val="center"/>
          </w:tcPr>
          <w:p w:rsidR="00C970FF" w:rsidRDefault="00C970FF" w:rsidP="002C5CDA">
            <w:pPr>
              <w:jc w:val="center"/>
            </w:pPr>
            <w:r>
              <w:t>128W (based on a 100W lamp)</w:t>
            </w:r>
          </w:p>
        </w:tc>
      </w:tr>
    </w:tbl>
    <w:p w:rsidR="00D40E27" w:rsidRDefault="00D40E27" w:rsidP="00D40E27">
      <w:pPr>
        <w:jc w:val="both"/>
      </w:pPr>
      <w:r>
        <w:t xml:space="preserve"> </w:t>
      </w:r>
    </w:p>
    <w:p w:rsidR="001B242B" w:rsidRPr="001B242B" w:rsidRDefault="00D40E27" w:rsidP="00D40E27">
      <w:pPr>
        <w:jc w:val="both"/>
      </w:pPr>
      <w:r>
        <w:t xml:space="preserve"> </w:t>
      </w:r>
    </w:p>
    <w:p w:rsidR="00C069A2" w:rsidRPr="00E53DF6" w:rsidRDefault="001248A3" w:rsidP="002E0043">
      <w:pPr>
        <w:pStyle w:val="Heading2"/>
        <w:keepNext w:val="0"/>
      </w:pPr>
      <w:bookmarkStart w:id="31" w:name="_Toc328480034"/>
      <w:r w:rsidRPr="00E53DF6">
        <w:t xml:space="preserve">1.6 </w:t>
      </w:r>
      <w:r w:rsidR="00C069A2" w:rsidRPr="00E53DF6">
        <w:t>Measure Effective Useful Lives</w:t>
      </w:r>
      <w:bookmarkEnd w:id="31"/>
    </w:p>
    <w:p w:rsidR="00C970FF" w:rsidRDefault="00DF6A27" w:rsidP="00C970FF">
      <w:r>
        <w:rPr>
          <w:rFonts w:cs="Arial"/>
          <w:szCs w:val="22"/>
        </w:rPr>
        <w:t xml:space="preserve">See </w:t>
      </w:r>
      <w:r>
        <w:t xml:space="preserve">WPSDGENRLG0999 for EUL.  </w:t>
      </w:r>
      <w:r w:rsidR="00C970FF" w:rsidRPr="0033391C">
        <w:rPr>
          <w:rFonts w:cs="Arial"/>
          <w:szCs w:val="22"/>
        </w:rPr>
        <w:t>The</w:t>
      </w:r>
      <w:r w:rsidR="00C970FF">
        <w:rPr>
          <w:rFonts w:cs="Arial"/>
          <w:szCs w:val="22"/>
        </w:rPr>
        <w:t xml:space="preserve"> effective useful life </w:t>
      </w:r>
      <w:r w:rsidR="004C3107" w:rsidRPr="004C3107">
        <w:rPr>
          <w:rFonts w:cs="Arial"/>
          <w:szCs w:val="22"/>
          <w:vertAlign w:val="superscript"/>
        </w:rPr>
        <w:t>7</w:t>
      </w:r>
      <w:r w:rsidR="00C970FF">
        <w:rPr>
          <w:rFonts w:cs="Arial"/>
          <w:szCs w:val="22"/>
        </w:rPr>
        <w:t xml:space="preserve">(EUL) for induction fixture is calculated using the manufacturer advised Rated Life and the hours </w:t>
      </w:r>
      <w:r>
        <w:rPr>
          <w:rFonts w:cs="Arial"/>
          <w:szCs w:val="22"/>
        </w:rPr>
        <w:t>of operation or 15 years (which</w:t>
      </w:r>
      <w:r w:rsidR="00C970FF">
        <w:rPr>
          <w:rFonts w:cs="Arial"/>
          <w:szCs w:val="22"/>
        </w:rPr>
        <w:t xml:space="preserve">ever is less).  </w:t>
      </w:r>
      <w:r w:rsidR="00C970FF">
        <w:t xml:space="preserve">Most well known manufacturer specifies 100,000 hours for induction </w:t>
      </w:r>
      <w:r w:rsidR="00D278DE">
        <w:t xml:space="preserve">lamps </w:t>
      </w:r>
      <w:r w:rsidR="00C970FF">
        <w:t>as an average rated life.  The calculation shown below:</w:t>
      </w:r>
    </w:p>
    <w:p w:rsidR="00C970FF" w:rsidRDefault="00C970FF" w:rsidP="00C970FF">
      <w:pPr>
        <w:autoSpaceDE w:val="0"/>
        <w:autoSpaceDN w:val="0"/>
        <w:adjustRightInd w:val="0"/>
        <w:rPr>
          <w:rFonts w:ascii="TimesNewRomanPSMT" w:hAnsi="TimesNewRomanPSMT" w:cs="TimesNewRomanPSMT"/>
          <w:color w:val="000000"/>
        </w:rPr>
      </w:pPr>
    </w:p>
    <w:p w:rsidR="00C970FF" w:rsidRDefault="00C970FF" w:rsidP="00C970FF">
      <w:pPr>
        <w:autoSpaceDE w:val="0"/>
        <w:autoSpaceDN w:val="0"/>
        <w:adjustRightInd w:val="0"/>
        <w:ind w:left="720"/>
        <w:rPr>
          <w:rFonts w:ascii="TimesNewRomanPSMT" w:hAnsi="TimesNewRomanPSMT" w:cs="TimesNewRomanPSMT"/>
        </w:rPr>
      </w:pPr>
      <w:r>
        <w:rPr>
          <w:rFonts w:ascii="TimesNewRomanPSMT" w:hAnsi="TimesNewRomanPSMT" w:cs="TimesNewRomanPSMT"/>
          <w:color w:val="000000"/>
        </w:rPr>
        <w:t xml:space="preserve">     </w:t>
      </w:r>
      <w:r w:rsidRPr="002A799B">
        <w:rPr>
          <w:rFonts w:ascii="TimesNewRomanPSMT" w:hAnsi="TimesNewRomanPSMT" w:cs="TimesNewRomanPSMT"/>
        </w:rPr>
        <w:t xml:space="preserve">EUL= </w:t>
      </w:r>
      <w:r w:rsidRPr="0033391C">
        <w:rPr>
          <w:rFonts w:ascii="TimesNewRomanPSMT" w:hAnsi="TimesNewRomanPSMT" w:cs="TimesNewRomanPSMT"/>
          <w:position w:val="-28"/>
        </w:rPr>
        <w:object w:dxaOrig="1460" w:dyaOrig="700">
          <v:shape id="_x0000_i1026" type="#_x0000_t75" style="width:73.5pt;height:35.25pt" o:ole="">
            <v:imagedata r:id="rId21" o:title=""/>
          </v:shape>
          <o:OLEObject Type="Embed" ProgID="Equation.3" ShapeID="_x0000_i1026" DrawAspect="Content" ObjectID="_1407828604" r:id="rId22"/>
        </w:object>
      </w:r>
      <w:r w:rsidRPr="002A799B">
        <w:rPr>
          <w:rFonts w:ascii="TimesNewRomanPSMT" w:hAnsi="TimesNewRomanPSMT" w:cs="TimesNewRomanPSMT"/>
        </w:rPr>
        <w:t xml:space="preserve">= </w:t>
      </w:r>
      <w:r>
        <w:rPr>
          <w:rFonts w:ascii="TimesNewRomanPSMT" w:hAnsi="TimesNewRomanPSMT" w:cs="TimesNewRomanPSMT"/>
        </w:rPr>
        <w:t>24</w:t>
      </w:r>
      <w:r w:rsidRPr="00BA38F2">
        <w:rPr>
          <w:rFonts w:ascii="TimesNewRomanPSMT" w:hAnsi="TimesNewRomanPSMT" w:cs="TimesNewRomanPSMT"/>
        </w:rPr>
        <w:t>.</w:t>
      </w:r>
      <w:r>
        <w:rPr>
          <w:rFonts w:ascii="TimesNewRomanPSMT" w:hAnsi="TimesNewRomanPSMT" w:cs="TimesNewRomanPSMT"/>
        </w:rPr>
        <w:t>39</w:t>
      </w:r>
      <w:r w:rsidRPr="00BA38F2">
        <w:rPr>
          <w:rFonts w:ascii="TimesNewRomanPSMT" w:hAnsi="TimesNewRomanPSMT" w:cs="TimesNewRomanPSMT"/>
        </w:rPr>
        <w:t xml:space="preserve"> years </w:t>
      </w:r>
    </w:p>
    <w:p w:rsidR="00C970FF" w:rsidRDefault="00C970FF" w:rsidP="00C970FF">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     </w:t>
      </w:r>
      <w:r w:rsidRPr="00BA38F2">
        <w:rPr>
          <w:rFonts w:ascii="TimesNewRomanPSMT" w:hAnsi="TimesNewRomanPSMT" w:cs="TimesNewRomanPSMT"/>
        </w:rPr>
        <w:t>EUL = 15 YEARS</w:t>
      </w:r>
    </w:p>
    <w:p w:rsidR="00C970FF" w:rsidRDefault="00C970FF" w:rsidP="00C970FF"/>
    <w:p w:rsidR="00C970FF" w:rsidRPr="001965AF" w:rsidRDefault="00C970FF" w:rsidP="00C970FF"/>
    <w:p w:rsidR="00C970FF" w:rsidRPr="00991D6C" w:rsidRDefault="00C970FF" w:rsidP="00C970FF"/>
    <w:p w:rsidR="00B815E4" w:rsidRDefault="00B815E4" w:rsidP="002E0043">
      <w:pPr>
        <w:pStyle w:val="Heading2"/>
        <w:keepNext w:val="0"/>
      </w:pPr>
    </w:p>
    <w:p w:rsidR="00A55525" w:rsidRDefault="00A55525" w:rsidP="002E0043">
      <w:pPr>
        <w:pStyle w:val="Heading2"/>
        <w:keepNext w:val="0"/>
      </w:pPr>
    </w:p>
    <w:p w:rsidR="00C069A2" w:rsidRPr="00814500" w:rsidRDefault="001248A3" w:rsidP="002E0043">
      <w:pPr>
        <w:pStyle w:val="Heading2"/>
        <w:keepNext w:val="0"/>
        <w:rPr>
          <w:color w:val="FF0000"/>
        </w:rPr>
      </w:pPr>
      <w:bookmarkStart w:id="32" w:name="_Toc328480035"/>
      <w:r>
        <w:t xml:space="preserve">1.7 </w:t>
      </w:r>
      <w:r w:rsidR="00C069A2" w:rsidRPr="001248A3">
        <w:t xml:space="preserve">Net-to-Gross </w:t>
      </w:r>
      <w:r w:rsidR="00243BAC">
        <w:t>Ratios</w:t>
      </w:r>
      <w:r w:rsidR="00C069A2" w:rsidRPr="001248A3">
        <w:t xml:space="preserve"> for Different Program </w:t>
      </w:r>
      <w:r w:rsidR="00C2280A">
        <w:t>Strategies</w:t>
      </w:r>
      <w:bookmarkEnd w:id="32"/>
      <w:r w:rsidR="00814500">
        <w:t xml:space="preserve"> </w:t>
      </w:r>
    </w:p>
    <w:p w:rsidR="00A55525" w:rsidRDefault="00A55525" w:rsidP="00A55525">
      <w:r>
        <w:t>Net-to-Gross (</w:t>
      </w:r>
      <w:smartTag w:uri="urn:schemas-microsoft-com:office:smarttags" w:element="stockticker">
        <w:r>
          <w:t>NTG</w:t>
        </w:r>
      </w:smartTag>
      <w:r>
        <w:t xml:space="preserve">) Ratios are used to estimate free-ridership occurring in energy efficiency programs. Free riders are program participants who would have undertaken an activity whether or not there was an energy efficiency program promoting that activity. An </w:t>
      </w:r>
      <w:smartTag w:uri="urn:schemas-microsoft-com:office:smarttags" w:element="stockticker">
        <w:r>
          <w:t>NTG</w:t>
        </w:r>
      </w:smartTag>
      <w:r>
        <w:t xml:space="preserve"> Ratio is a factor that represents the net program load impact divided by the gross program load impact. This factor is applied to gross program savings to determine the program's net impact. </w:t>
      </w:r>
    </w:p>
    <w:p w:rsidR="00A55525" w:rsidRDefault="00A55525" w:rsidP="00BE2A2B">
      <w:r>
        <w:t xml:space="preserve">The recommended Net-to-Gross Ratio (NTGR) for these measures </w:t>
      </w:r>
      <w:proofErr w:type="gramStart"/>
      <w:r>
        <w:t>are</w:t>
      </w:r>
      <w:proofErr w:type="gramEnd"/>
      <w:r>
        <w:t xml:space="preserve"> </w:t>
      </w:r>
      <w:r w:rsidR="00BE2A2B">
        <w:t xml:space="preserve">from DEER 2011. Interior Induction lighting is used for general area lighting, similar to Linear fluorescent. NTGR should be similar </w:t>
      </w:r>
    </w:p>
    <w:p w:rsidR="00F65942" w:rsidRPr="00F65942" w:rsidRDefault="00F65942" w:rsidP="00243BAC">
      <w:pPr>
        <w:rPr>
          <w:i/>
        </w:rPr>
      </w:pPr>
    </w:p>
    <w:p w:rsidR="00E94FAF" w:rsidRDefault="00AE23BE" w:rsidP="00243BAC">
      <w:r w:rsidRPr="00AE23BE">
        <w:t xml:space="preserve">Table </w:t>
      </w:r>
      <w:r w:rsidR="00D361A4">
        <w:t>6</w:t>
      </w:r>
      <w:r w:rsidRPr="00AE23BE">
        <w:t xml:space="preserve"> bel</w:t>
      </w:r>
      <w:r>
        <w:t>ow</w:t>
      </w:r>
      <w:r w:rsidR="00121D7D">
        <w:t xml:space="preserve"> specifies the NTG ratio to be used for these measures.</w:t>
      </w:r>
    </w:p>
    <w:p w:rsidR="00121D7D" w:rsidRPr="007821CF" w:rsidRDefault="00121D7D" w:rsidP="00243BAC">
      <w:pPr>
        <w:rPr>
          <w:color w:val="FF0000"/>
        </w:rPr>
      </w:pPr>
    </w:p>
    <w:p w:rsidR="00A7007B" w:rsidRPr="00196D7C" w:rsidRDefault="00A7007B" w:rsidP="00A7007B">
      <w:pPr>
        <w:pStyle w:val="Caption"/>
        <w:keepNext/>
        <w:jc w:val="center"/>
        <w:rPr>
          <w:sz w:val="24"/>
          <w:szCs w:val="24"/>
        </w:rPr>
      </w:pPr>
      <w:bookmarkStart w:id="33" w:name="_Toc173576414"/>
      <w:bookmarkStart w:id="34" w:name="_Toc190665229"/>
      <w:r w:rsidRPr="00196D7C">
        <w:rPr>
          <w:sz w:val="24"/>
          <w:szCs w:val="24"/>
        </w:rPr>
        <w:t xml:space="preserve">Table </w:t>
      </w:r>
      <w:r w:rsidR="000E5CA3" w:rsidRPr="00196D7C">
        <w:rPr>
          <w:sz w:val="24"/>
          <w:szCs w:val="24"/>
        </w:rPr>
        <w:fldChar w:fldCharType="begin"/>
      </w:r>
      <w:r w:rsidR="0054599C" w:rsidRPr="00196D7C">
        <w:rPr>
          <w:sz w:val="24"/>
          <w:szCs w:val="24"/>
        </w:rPr>
        <w:instrText xml:space="preserve"> SEQ Table \* ARABIC \s 1 </w:instrText>
      </w:r>
      <w:r w:rsidR="000E5CA3" w:rsidRPr="00196D7C">
        <w:rPr>
          <w:sz w:val="24"/>
          <w:szCs w:val="24"/>
        </w:rPr>
        <w:fldChar w:fldCharType="separate"/>
      </w:r>
      <w:r w:rsidR="008F0D36">
        <w:rPr>
          <w:noProof/>
          <w:sz w:val="24"/>
          <w:szCs w:val="24"/>
        </w:rPr>
        <w:t>6</w:t>
      </w:r>
      <w:r w:rsidR="000E5CA3" w:rsidRPr="00196D7C">
        <w:rPr>
          <w:sz w:val="24"/>
          <w:szCs w:val="24"/>
        </w:rPr>
        <w:fldChar w:fldCharType="end"/>
      </w:r>
      <w:r w:rsidRPr="00196D7C">
        <w:rPr>
          <w:sz w:val="24"/>
          <w:szCs w:val="24"/>
        </w:rPr>
        <w:t xml:space="preserve">  Net-to-Gross Ratios</w:t>
      </w:r>
      <w:bookmarkEnd w:id="33"/>
      <w:bookmarkEnd w:id="34"/>
    </w:p>
    <w:tbl>
      <w:tblPr>
        <w:tblW w:w="3289" w:type="pct"/>
        <w:tblInd w:w="1728" w:type="dxa"/>
        <w:tblBorders>
          <w:insideH w:val="single" w:sz="18" w:space="0" w:color="FFFFFF"/>
          <w:insideV w:val="single" w:sz="18" w:space="0" w:color="FFFFFF"/>
        </w:tblBorders>
        <w:tblLook w:val="01E0"/>
      </w:tblPr>
      <w:tblGrid>
        <w:gridCol w:w="4500"/>
        <w:gridCol w:w="1799"/>
      </w:tblGrid>
      <w:tr w:rsidR="00E94FAF" w:rsidRPr="00196D7C">
        <w:tc>
          <w:tcPr>
            <w:tcW w:w="3572" w:type="pct"/>
            <w:shd w:val="pct20" w:color="000000" w:fill="FFFFFF"/>
          </w:tcPr>
          <w:p w:rsidR="00E94FAF" w:rsidRPr="00D05CA7" w:rsidRDefault="00E94FAF" w:rsidP="00D05CA7">
            <w:pPr>
              <w:jc w:val="center"/>
              <w:rPr>
                <w:b/>
                <w:bCs/>
              </w:rPr>
            </w:pPr>
            <w:r w:rsidRPr="00D05CA7">
              <w:rPr>
                <w:b/>
                <w:bCs/>
              </w:rPr>
              <w:t>Program Approach</w:t>
            </w:r>
          </w:p>
        </w:tc>
        <w:tc>
          <w:tcPr>
            <w:tcW w:w="1428" w:type="pct"/>
            <w:shd w:val="pct20" w:color="000000" w:fill="FFFFFF"/>
          </w:tcPr>
          <w:p w:rsidR="00E94FAF" w:rsidRPr="00D05CA7" w:rsidRDefault="00E94FAF" w:rsidP="00D05CA7">
            <w:pPr>
              <w:jc w:val="center"/>
              <w:rPr>
                <w:b/>
                <w:bCs/>
              </w:rPr>
            </w:pPr>
            <w:r w:rsidRPr="00D05CA7">
              <w:rPr>
                <w:b/>
                <w:bCs/>
              </w:rPr>
              <w:t>NTG</w:t>
            </w:r>
          </w:p>
        </w:tc>
      </w:tr>
      <w:tr w:rsidR="00E94FAF" w:rsidRPr="00196D7C">
        <w:tc>
          <w:tcPr>
            <w:tcW w:w="3572" w:type="pct"/>
            <w:shd w:val="pct5" w:color="000000" w:fill="FFFFFF"/>
          </w:tcPr>
          <w:p w:rsidR="00E94FAF" w:rsidRPr="00BF3CB4" w:rsidRDefault="00BE2A2B" w:rsidP="00243BAC">
            <w:pPr>
              <w:rPr>
                <w:highlight w:val="yellow"/>
              </w:rPr>
            </w:pPr>
            <w:r w:rsidRPr="009548C2">
              <w:t>NonRes-sAll-mT5T8dn</w:t>
            </w:r>
          </w:p>
        </w:tc>
        <w:tc>
          <w:tcPr>
            <w:tcW w:w="1428" w:type="pct"/>
            <w:shd w:val="pct5" w:color="000000" w:fill="FFFFFF"/>
          </w:tcPr>
          <w:p w:rsidR="00E94FAF" w:rsidRPr="00BF3CB4" w:rsidRDefault="00121D7D" w:rsidP="00BE2A2B">
            <w:pPr>
              <w:jc w:val="center"/>
              <w:rPr>
                <w:highlight w:val="yellow"/>
              </w:rPr>
            </w:pPr>
            <w:r w:rsidRPr="00FE600A">
              <w:t>0.</w:t>
            </w:r>
            <w:r w:rsidR="00BE2A2B">
              <w:t>70</w:t>
            </w:r>
          </w:p>
        </w:tc>
      </w:tr>
      <w:tr w:rsidR="00BE2A2B" w:rsidRPr="00196D7C">
        <w:tc>
          <w:tcPr>
            <w:tcW w:w="3572" w:type="pct"/>
            <w:shd w:val="pct5" w:color="000000" w:fill="FFFFFF"/>
          </w:tcPr>
          <w:p w:rsidR="00BE2A2B" w:rsidRPr="00BF3CB4" w:rsidRDefault="009548C2" w:rsidP="00243BAC">
            <w:pPr>
              <w:rPr>
                <w:highlight w:val="yellow"/>
              </w:rPr>
            </w:pPr>
            <w:r w:rsidRPr="009548C2">
              <w:t>NonRes-sAllmT8-dir</w:t>
            </w:r>
          </w:p>
        </w:tc>
        <w:tc>
          <w:tcPr>
            <w:tcW w:w="1428" w:type="pct"/>
            <w:shd w:val="pct5" w:color="000000" w:fill="FFFFFF"/>
          </w:tcPr>
          <w:p w:rsidR="00BE2A2B" w:rsidRPr="00FE600A" w:rsidRDefault="009548C2" w:rsidP="00BF3CB4">
            <w:pPr>
              <w:jc w:val="center"/>
            </w:pPr>
            <w:r>
              <w:t>.89</w:t>
            </w:r>
          </w:p>
        </w:tc>
      </w:tr>
    </w:tbl>
    <w:p w:rsidR="00755961" w:rsidRDefault="00755961" w:rsidP="00243BAC"/>
    <w:p w:rsidR="00C069A2" w:rsidRDefault="00C069A2" w:rsidP="00D20486">
      <w:pPr>
        <w:pStyle w:val="Heading1"/>
      </w:pPr>
      <w:bookmarkStart w:id="35" w:name="_Toc328480036"/>
      <w:proofErr w:type="gramStart"/>
      <w:r>
        <w:t>Section 2</w:t>
      </w:r>
      <w:r w:rsidR="003129E8">
        <w:t>.</w:t>
      </w:r>
      <w:proofErr w:type="gramEnd"/>
      <w:r>
        <w:t xml:space="preserve"> Calculation Methods</w:t>
      </w:r>
      <w:bookmarkEnd w:id="35"/>
    </w:p>
    <w:p w:rsidR="00C069A2" w:rsidRDefault="00C069A2" w:rsidP="00D20486">
      <w:pPr>
        <w:pStyle w:val="Heading2"/>
      </w:pPr>
      <w:bookmarkStart w:id="36" w:name="_Toc328480037"/>
      <w:r>
        <w:t xml:space="preserve">2.1 </w:t>
      </w:r>
      <w:r w:rsidR="007878B9">
        <w:t xml:space="preserve">Electric </w:t>
      </w:r>
      <w:r>
        <w:t>Energy Savings Estimation Methodologies</w:t>
      </w:r>
      <w:bookmarkEnd w:id="36"/>
    </w:p>
    <w:p w:rsidR="004D7A01" w:rsidRDefault="00552F98" w:rsidP="005538CD">
      <w:pPr>
        <w:jc w:val="both"/>
        <w:rPr>
          <w:lang w:eastAsia="ja-JP"/>
        </w:rPr>
      </w:pPr>
      <w:r>
        <w:rPr>
          <w:lang w:eastAsia="ja-JP"/>
        </w:rPr>
        <w:t>All the energy (kWh/fixture</w:t>
      </w:r>
      <w:r w:rsidR="004D7A01">
        <w:rPr>
          <w:lang w:eastAsia="ja-JP"/>
        </w:rPr>
        <w:t>) and demand (kW /</w:t>
      </w:r>
      <w:r>
        <w:rPr>
          <w:lang w:eastAsia="ja-JP"/>
        </w:rPr>
        <w:t>fixture</w:t>
      </w:r>
      <w:r w:rsidR="004D7A01">
        <w:rPr>
          <w:lang w:eastAsia="ja-JP"/>
        </w:rPr>
        <w:t>)</w:t>
      </w:r>
      <w:r w:rsidR="003F5AA8">
        <w:rPr>
          <w:lang w:eastAsia="ja-JP"/>
        </w:rPr>
        <w:t xml:space="preserve"> savings</w:t>
      </w:r>
      <w:r>
        <w:rPr>
          <w:lang w:eastAsia="ja-JP"/>
        </w:rPr>
        <w:t xml:space="preserve"> </w:t>
      </w:r>
      <w:r w:rsidR="004D7A01">
        <w:rPr>
          <w:lang w:eastAsia="ja-JP"/>
        </w:rPr>
        <w:t xml:space="preserve">calculations </w:t>
      </w:r>
      <w:r w:rsidR="003F5AA8">
        <w:rPr>
          <w:lang w:eastAsia="ja-JP"/>
        </w:rPr>
        <w:t xml:space="preserve">for each particular sector have been estimated based on the following two applications as prescribed by Pacific Gas&amp; Electric. </w:t>
      </w:r>
      <w:r w:rsidR="004D7A01" w:rsidRPr="00E26B5B">
        <w:rPr>
          <w:lang w:eastAsia="ja-JP"/>
        </w:rPr>
        <w:t xml:space="preserve"> </w:t>
      </w:r>
    </w:p>
    <w:p w:rsidR="00126A4E" w:rsidRPr="004D7A01" w:rsidRDefault="00126A4E" w:rsidP="00126A4E"/>
    <w:p w:rsidR="00464521" w:rsidRDefault="00464521" w:rsidP="005538CD">
      <w:pPr>
        <w:numPr>
          <w:ilvl w:val="0"/>
          <w:numId w:val="10"/>
        </w:numPr>
        <w:jc w:val="both"/>
      </w:pPr>
      <w:smartTag w:uri="urn:schemas-microsoft-com:office:smarttags" w:element="place">
        <w:smartTag w:uri="urn:schemas-microsoft-com:office:smarttags" w:element="PlaceName">
          <w:r>
            <w:t>High</w:t>
          </w:r>
        </w:smartTag>
        <w:r>
          <w:t xml:space="preserve"> </w:t>
        </w:r>
        <w:smartTag w:uri="urn:schemas-microsoft-com:office:smarttags" w:element="PlaceType">
          <w:r>
            <w:t>Bay</w:t>
          </w:r>
        </w:smartTag>
      </w:smartTag>
      <w:r>
        <w:t xml:space="preserve"> Applications – are those places where the lighting fixtures are inst</w:t>
      </w:r>
      <w:r w:rsidR="00552F98">
        <w:t>alled at a height of at least 12</w:t>
      </w:r>
      <w:r>
        <w:t>’ or higher</w:t>
      </w:r>
      <w:r w:rsidR="00DC45E0">
        <w:t>.</w:t>
      </w:r>
      <w:r>
        <w:t xml:space="preserve"> </w:t>
      </w:r>
    </w:p>
    <w:p w:rsidR="00464521" w:rsidRDefault="00464521" w:rsidP="00126A4E">
      <w:pPr>
        <w:numPr>
          <w:ilvl w:val="0"/>
          <w:numId w:val="10"/>
        </w:numPr>
        <w:jc w:val="both"/>
      </w:pPr>
      <w:r>
        <w:t>Low Bay Applications – are places where the lighting fixtures are insta</w:t>
      </w:r>
      <w:r w:rsidR="00552F98">
        <w:t>lled at a height of less than 12</w:t>
      </w:r>
      <w:r>
        <w:t xml:space="preserve">’.   </w:t>
      </w:r>
    </w:p>
    <w:p w:rsidR="00274BF2" w:rsidRDefault="00274BF2" w:rsidP="005538CD">
      <w:pPr>
        <w:jc w:val="both"/>
      </w:pPr>
      <w:r>
        <w:t xml:space="preserve">Based on an engineering </w:t>
      </w:r>
      <w:r w:rsidR="00DF6A27">
        <w:t>judgment</w:t>
      </w:r>
      <w:r>
        <w:t xml:space="preserve">, the following </w:t>
      </w:r>
      <w:r w:rsidR="00F72327">
        <w:t>valu</w:t>
      </w:r>
      <w:r>
        <w:t>es have been used for a rough estimate of the square feet illuminated in the different measures in the above two applications:</w:t>
      </w:r>
    </w:p>
    <w:p w:rsidR="00274BF2" w:rsidRDefault="00274BF2" w:rsidP="00126A4E"/>
    <w:p w:rsidR="00F948C5" w:rsidRDefault="00F948C5" w:rsidP="00F948C5">
      <w:pPr>
        <w:pStyle w:val="Caption"/>
        <w:keepNext/>
        <w:jc w:val="center"/>
        <w:rPr>
          <w:sz w:val="24"/>
        </w:rPr>
      </w:pPr>
      <w:bookmarkStart w:id="37" w:name="_Ref190492147"/>
      <w:bookmarkStart w:id="38" w:name="_Toc190665230"/>
      <w:r w:rsidRPr="00F948C5">
        <w:rPr>
          <w:sz w:val="24"/>
        </w:rPr>
        <w:t xml:space="preserve">Table </w:t>
      </w:r>
      <w:r w:rsidR="000E5CA3" w:rsidRPr="00F948C5">
        <w:rPr>
          <w:sz w:val="24"/>
        </w:rPr>
        <w:fldChar w:fldCharType="begin"/>
      </w:r>
      <w:r w:rsidRPr="00F948C5">
        <w:rPr>
          <w:sz w:val="24"/>
        </w:rPr>
        <w:instrText xml:space="preserve"> SEQ Table \* ARABIC </w:instrText>
      </w:r>
      <w:r w:rsidR="000E5CA3" w:rsidRPr="00F948C5">
        <w:rPr>
          <w:sz w:val="24"/>
        </w:rPr>
        <w:fldChar w:fldCharType="separate"/>
      </w:r>
      <w:r w:rsidR="008F0D36">
        <w:rPr>
          <w:noProof/>
          <w:sz w:val="24"/>
        </w:rPr>
        <w:t>7</w:t>
      </w:r>
      <w:r w:rsidR="000E5CA3" w:rsidRPr="00F948C5">
        <w:rPr>
          <w:sz w:val="24"/>
        </w:rPr>
        <w:fldChar w:fldCharType="end"/>
      </w:r>
      <w:bookmarkEnd w:id="37"/>
      <w:r w:rsidRPr="00F948C5">
        <w:rPr>
          <w:sz w:val="24"/>
        </w:rPr>
        <w:t xml:space="preserve"> Square Feet Illumination provided by different lighting fixtures</w:t>
      </w:r>
      <w:bookmarkEnd w:id="38"/>
    </w:p>
    <w:p w:rsidR="0086391A" w:rsidRPr="0086391A" w:rsidRDefault="0086391A" w:rsidP="0086391A"/>
    <w:tbl>
      <w:tblPr>
        <w:tblW w:w="9628" w:type="dxa"/>
        <w:jc w:val="center"/>
        <w:tblBorders>
          <w:insideH w:val="single" w:sz="18" w:space="0" w:color="FFFFFF"/>
          <w:insideV w:val="single" w:sz="18" w:space="0" w:color="FFFFFF"/>
        </w:tblBorders>
        <w:tblLook w:val="04A0"/>
      </w:tblPr>
      <w:tblGrid>
        <w:gridCol w:w="1109"/>
        <w:gridCol w:w="2394"/>
        <w:gridCol w:w="2394"/>
        <w:gridCol w:w="1868"/>
        <w:gridCol w:w="1863"/>
      </w:tblGrid>
      <w:tr w:rsidR="0086391A">
        <w:trPr>
          <w:trHeight w:val="555"/>
          <w:jc w:val="center"/>
        </w:trPr>
        <w:tc>
          <w:tcPr>
            <w:tcW w:w="1109" w:type="dxa"/>
            <w:vMerge w:val="restart"/>
            <w:shd w:val="pct20" w:color="000000" w:fill="FFFFFF"/>
          </w:tcPr>
          <w:p w:rsidR="0086391A" w:rsidRPr="00D05CA7" w:rsidRDefault="0086391A" w:rsidP="002F511A">
            <w:pPr>
              <w:jc w:val="center"/>
              <w:rPr>
                <w:b/>
                <w:bCs/>
              </w:rPr>
            </w:pPr>
            <w:r w:rsidRPr="00D05CA7">
              <w:rPr>
                <w:b/>
                <w:bCs/>
              </w:rPr>
              <w:t>Measure</w:t>
            </w:r>
          </w:p>
        </w:tc>
        <w:tc>
          <w:tcPr>
            <w:tcW w:w="2394" w:type="dxa"/>
            <w:vMerge w:val="restart"/>
            <w:shd w:val="pct20" w:color="000000" w:fill="FFFFFF"/>
          </w:tcPr>
          <w:p w:rsidR="0086391A" w:rsidRPr="00D05CA7" w:rsidRDefault="0086391A" w:rsidP="002F511A">
            <w:pPr>
              <w:jc w:val="center"/>
              <w:rPr>
                <w:b/>
                <w:bCs/>
              </w:rPr>
            </w:pPr>
            <w:r w:rsidRPr="00D05CA7">
              <w:rPr>
                <w:b/>
                <w:bCs/>
              </w:rPr>
              <w:t>Assumed Base Case Standard MH Wattage, including ballast (W)</w:t>
            </w:r>
          </w:p>
        </w:tc>
        <w:tc>
          <w:tcPr>
            <w:tcW w:w="2394" w:type="dxa"/>
            <w:vMerge w:val="restart"/>
            <w:shd w:val="pct20" w:color="000000" w:fill="FFFFFF"/>
          </w:tcPr>
          <w:p w:rsidR="0086391A" w:rsidRPr="00D05CA7" w:rsidRDefault="0086391A" w:rsidP="002F511A">
            <w:pPr>
              <w:jc w:val="center"/>
              <w:rPr>
                <w:b/>
                <w:bCs/>
              </w:rPr>
            </w:pPr>
            <w:r w:rsidRPr="00D05CA7">
              <w:rPr>
                <w:b/>
                <w:bCs/>
              </w:rPr>
              <w:t xml:space="preserve">Assumed </w:t>
            </w:r>
            <w:r w:rsidR="00681516">
              <w:rPr>
                <w:b/>
                <w:bCs/>
              </w:rPr>
              <w:t>Induction</w:t>
            </w:r>
            <w:r w:rsidRPr="00D05CA7">
              <w:rPr>
                <w:b/>
                <w:bCs/>
              </w:rPr>
              <w:t xml:space="preserve"> Replacement Wattage, including ballast (W)</w:t>
            </w:r>
          </w:p>
        </w:tc>
        <w:tc>
          <w:tcPr>
            <w:tcW w:w="3731" w:type="dxa"/>
            <w:gridSpan w:val="2"/>
            <w:shd w:val="pct20" w:color="000000" w:fill="FFFFFF"/>
          </w:tcPr>
          <w:p w:rsidR="0086391A" w:rsidRPr="00D05CA7" w:rsidRDefault="0086391A" w:rsidP="002F511A">
            <w:pPr>
              <w:jc w:val="center"/>
              <w:rPr>
                <w:b/>
                <w:bCs/>
              </w:rPr>
            </w:pPr>
            <w:r w:rsidRPr="00D05CA7">
              <w:rPr>
                <w:b/>
                <w:bCs/>
              </w:rPr>
              <w:t>Square Feet Illuminated (</w:t>
            </w:r>
            <w:proofErr w:type="spellStart"/>
            <w:r w:rsidRPr="00D05CA7">
              <w:rPr>
                <w:b/>
                <w:bCs/>
              </w:rPr>
              <w:t>sq.ft</w:t>
            </w:r>
            <w:proofErr w:type="spellEnd"/>
            <w:r w:rsidRPr="00D05CA7">
              <w:rPr>
                <w:b/>
                <w:bCs/>
              </w:rPr>
              <w:t>)</w:t>
            </w:r>
          </w:p>
        </w:tc>
      </w:tr>
      <w:tr w:rsidR="0086391A">
        <w:trPr>
          <w:trHeight w:val="555"/>
          <w:jc w:val="center"/>
        </w:trPr>
        <w:tc>
          <w:tcPr>
            <w:tcW w:w="1109" w:type="dxa"/>
            <w:vMerge/>
            <w:shd w:val="pct5" w:color="000000" w:fill="FFFFFF"/>
          </w:tcPr>
          <w:p w:rsidR="0086391A" w:rsidRDefault="0086391A" w:rsidP="002F511A">
            <w:pPr>
              <w:jc w:val="center"/>
            </w:pPr>
          </w:p>
        </w:tc>
        <w:tc>
          <w:tcPr>
            <w:tcW w:w="2394" w:type="dxa"/>
            <w:vMerge/>
            <w:shd w:val="pct5" w:color="000000" w:fill="FFFFFF"/>
          </w:tcPr>
          <w:p w:rsidR="0086391A" w:rsidRDefault="0086391A" w:rsidP="002F511A">
            <w:pPr>
              <w:jc w:val="center"/>
            </w:pPr>
          </w:p>
        </w:tc>
        <w:tc>
          <w:tcPr>
            <w:tcW w:w="2394" w:type="dxa"/>
            <w:vMerge/>
            <w:shd w:val="pct5" w:color="000000" w:fill="FFFFFF"/>
          </w:tcPr>
          <w:p w:rsidR="0086391A" w:rsidRDefault="0086391A" w:rsidP="002F511A">
            <w:pPr>
              <w:jc w:val="center"/>
            </w:pPr>
          </w:p>
        </w:tc>
        <w:tc>
          <w:tcPr>
            <w:tcW w:w="1868" w:type="dxa"/>
            <w:shd w:val="pct5" w:color="000000" w:fill="FFFFFF"/>
          </w:tcPr>
          <w:p w:rsidR="0086391A" w:rsidRPr="00D05CA7" w:rsidRDefault="0086391A" w:rsidP="002F511A">
            <w:pPr>
              <w:jc w:val="center"/>
              <w:rPr>
                <w:b/>
              </w:rPr>
            </w:pPr>
            <w:smartTag w:uri="urn:schemas-microsoft-com:office:smarttags" w:element="place">
              <w:smartTag w:uri="urn:schemas-microsoft-com:office:smarttags" w:element="PlaceName">
                <w:r w:rsidRPr="00D05CA7">
                  <w:rPr>
                    <w:b/>
                  </w:rPr>
                  <w:t>High</w:t>
                </w:r>
              </w:smartTag>
              <w:r w:rsidRPr="00D05CA7">
                <w:rPr>
                  <w:b/>
                </w:rPr>
                <w:t xml:space="preserve"> </w:t>
              </w:r>
              <w:smartTag w:uri="urn:schemas-microsoft-com:office:smarttags" w:element="PlaceType">
                <w:r w:rsidRPr="00D05CA7">
                  <w:rPr>
                    <w:b/>
                  </w:rPr>
                  <w:t>Bay</w:t>
                </w:r>
              </w:smartTag>
            </w:smartTag>
          </w:p>
        </w:tc>
        <w:tc>
          <w:tcPr>
            <w:tcW w:w="1863" w:type="dxa"/>
            <w:shd w:val="pct5" w:color="000000" w:fill="FFFFFF"/>
          </w:tcPr>
          <w:p w:rsidR="0086391A" w:rsidRPr="00D05CA7" w:rsidRDefault="0086391A" w:rsidP="002F511A">
            <w:pPr>
              <w:jc w:val="center"/>
              <w:rPr>
                <w:b/>
              </w:rPr>
            </w:pPr>
            <w:smartTag w:uri="urn:schemas-microsoft-com:office:smarttags" w:element="place">
              <w:smartTag w:uri="urn:schemas-microsoft-com:office:smarttags" w:element="PlaceName">
                <w:r w:rsidRPr="00D05CA7">
                  <w:rPr>
                    <w:b/>
                  </w:rPr>
                  <w:t>Low</w:t>
                </w:r>
              </w:smartTag>
              <w:r w:rsidRPr="00D05CA7">
                <w:rPr>
                  <w:b/>
                </w:rPr>
                <w:t xml:space="preserve"> </w:t>
              </w:r>
              <w:smartTag w:uri="urn:schemas-microsoft-com:office:smarttags" w:element="PlaceType">
                <w:r w:rsidRPr="00D05CA7">
                  <w:rPr>
                    <w:b/>
                  </w:rPr>
                  <w:t>Bay</w:t>
                </w:r>
              </w:smartTag>
            </w:smartTag>
          </w:p>
        </w:tc>
      </w:tr>
      <w:tr w:rsidR="00D361A4">
        <w:trPr>
          <w:trHeight w:val="342"/>
          <w:jc w:val="center"/>
        </w:trPr>
        <w:tc>
          <w:tcPr>
            <w:tcW w:w="1109" w:type="dxa"/>
            <w:vMerge w:val="restart"/>
            <w:shd w:val="pct20" w:color="000000" w:fill="FFFFFF"/>
            <w:vAlign w:val="center"/>
          </w:tcPr>
          <w:p w:rsidR="00D361A4" w:rsidRPr="005A58BD" w:rsidRDefault="00D361A4" w:rsidP="00D92EBF">
            <w:pPr>
              <w:jc w:val="center"/>
            </w:pPr>
            <w:r>
              <w:t>LD</w:t>
            </w:r>
            <w:r w:rsidR="00D92EBF">
              <w:t>1</w:t>
            </w:r>
            <w:r>
              <w:t>1-</w:t>
            </w:r>
            <w:r w:rsidR="00D92EBF">
              <w:t>51</w:t>
            </w:r>
          </w:p>
        </w:tc>
        <w:tc>
          <w:tcPr>
            <w:tcW w:w="2394" w:type="dxa"/>
            <w:shd w:val="pct20" w:color="000000" w:fill="FFFFFF"/>
            <w:vAlign w:val="center"/>
          </w:tcPr>
          <w:p w:rsidR="00D361A4" w:rsidRDefault="00D361A4" w:rsidP="00681516">
            <w:pPr>
              <w:jc w:val="center"/>
              <w:rPr>
                <w:rFonts w:ascii="Arial" w:hAnsi="Arial" w:cs="Arial"/>
                <w:sz w:val="18"/>
                <w:szCs w:val="18"/>
              </w:rPr>
            </w:pPr>
            <w:r w:rsidRPr="005A58BD">
              <w:t>400 Watt lamp</w:t>
            </w:r>
          </w:p>
        </w:tc>
        <w:tc>
          <w:tcPr>
            <w:tcW w:w="2394" w:type="dxa"/>
            <w:shd w:val="pct20" w:color="000000" w:fill="FFFFFF"/>
          </w:tcPr>
          <w:p w:rsidR="00D361A4" w:rsidRDefault="00D361A4" w:rsidP="002F511A">
            <w:pPr>
              <w:jc w:val="center"/>
            </w:pPr>
            <w:r>
              <w:t>354 W</w:t>
            </w:r>
          </w:p>
        </w:tc>
        <w:tc>
          <w:tcPr>
            <w:tcW w:w="1868" w:type="dxa"/>
            <w:shd w:val="pct20" w:color="000000" w:fill="FFFFFF"/>
          </w:tcPr>
          <w:p w:rsidR="00D361A4" w:rsidRDefault="00D361A4" w:rsidP="002F511A">
            <w:pPr>
              <w:jc w:val="center"/>
            </w:pPr>
            <w:r>
              <w:t>625 (25’x25’)</w:t>
            </w:r>
          </w:p>
        </w:tc>
        <w:tc>
          <w:tcPr>
            <w:tcW w:w="1863" w:type="dxa"/>
            <w:shd w:val="pct20" w:color="000000" w:fill="FFFFFF"/>
          </w:tcPr>
          <w:p w:rsidR="00D361A4" w:rsidRDefault="00D361A4" w:rsidP="002F511A">
            <w:pPr>
              <w:jc w:val="center"/>
            </w:pPr>
            <w:r>
              <w:t>900 (30’x30’)</w:t>
            </w:r>
          </w:p>
        </w:tc>
      </w:tr>
      <w:tr w:rsidR="00D92EBF">
        <w:trPr>
          <w:trHeight w:val="315"/>
          <w:jc w:val="center"/>
        </w:trPr>
        <w:tc>
          <w:tcPr>
            <w:tcW w:w="1109" w:type="dxa"/>
            <w:vMerge/>
            <w:shd w:val="pct5" w:color="000000" w:fill="FFFFFF"/>
            <w:vAlign w:val="center"/>
          </w:tcPr>
          <w:p w:rsidR="00D92EBF" w:rsidRPr="005A58BD" w:rsidRDefault="00D92EBF" w:rsidP="00681516">
            <w:pPr>
              <w:jc w:val="center"/>
            </w:pPr>
          </w:p>
        </w:tc>
        <w:tc>
          <w:tcPr>
            <w:tcW w:w="2394" w:type="dxa"/>
            <w:shd w:val="pct5" w:color="000000" w:fill="FFFFFF"/>
            <w:vAlign w:val="center"/>
          </w:tcPr>
          <w:p w:rsidR="00D92EBF" w:rsidRPr="005A58BD" w:rsidRDefault="00D92EBF" w:rsidP="00681516">
            <w:pPr>
              <w:jc w:val="center"/>
            </w:pPr>
            <w:r>
              <w:t>400 Watt lamp</w:t>
            </w:r>
          </w:p>
        </w:tc>
        <w:tc>
          <w:tcPr>
            <w:tcW w:w="2394" w:type="dxa"/>
            <w:shd w:val="pct5" w:color="000000" w:fill="FFFFFF"/>
          </w:tcPr>
          <w:p w:rsidR="00D92EBF" w:rsidRDefault="00D92EBF" w:rsidP="002F511A">
            <w:pPr>
              <w:jc w:val="center"/>
            </w:pPr>
            <w:r>
              <w:rPr>
                <w:sz w:val="22"/>
              </w:rPr>
              <w:t>250W</w:t>
            </w:r>
          </w:p>
        </w:tc>
        <w:tc>
          <w:tcPr>
            <w:tcW w:w="1868" w:type="dxa"/>
            <w:shd w:val="pct5" w:color="000000" w:fill="FFFFFF"/>
          </w:tcPr>
          <w:p w:rsidR="00D92EBF" w:rsidRDefault="00D92EBF" w:rsidP="002C5CDA">
            <w:pPr>
              <w:jc w:val="center"/>
            </w:pPr>
            <w:r>
              <w:t>625 (25’x25’)</w:t>
            </w:r>
          </w:p>
        </w:tc>
        <w:tc>
          <w:tcPr>
            <w:tcW w:w="1863" w:type="dxa"/>
            <w:shd w:val="pct5" w:color="000000" w:fill="FFFFFF"/>
          </w:tcPr>
          <w:p w:rsidR="00D92EBF" w:rsidRDefault="00D92EBF" w:rsidP="002C5CDA">
            <w:pPr>
              <w:jc w:val="center"/>
            </w:pPr>
            <w:r>
              <w:t>900 (30’x30’)</w:t>
            </w:r>
          </w:p>
        </w:tc>
      </w:tr>
      <w:tr w:rsidR="00D361A4">
        <w:trPr>
          <w:trHeight w:val="315"/>
          <w:jc w:val="center"/>
        </w:trPr>
        <w:tc>
          <w:tcPr>
            <w:tcW w:w="1109" w:type="dxa"/>
            <w:vMerge/>
            <w:shd w:val="pct5" w:color="000000" w:fill="FFFFFF"/>
            <w:vAlign w:val="center"/>
          </w:tcPr>
          <w:p w:rsidR="00D361A4" w:rsidRPr="005A58BD" w:rsidRDefault="00D361A4" w:rsidP="00681516">
            <w:pPr>
              <w:jc w:val="center"/>
            </w:pPr>
          </w:p>
        </w:tc>
        <w:tc>
          <w:tcPr>
            <w:tcW w:w="2394" w:type="dxa"/>
            <w:shd w:val="pct5" w:color="000000" w:fill="FFFFFF"/>
            <w:vAlign w:val="center"/>
          </w:tcPr>
          <w:p w:rsidR="00D361A4" w:rsidRDefault="00D361A4" w:rsidP="00681516">
            <w:pPr>
              <w:jc w:val="center"/>
              <w:rPr>
                <w:rFonts w:ascii="Arial" w:hAnsi="Arial" w:cs="Arial"/>
                <w:sz w:val="18"/>
                <w:szCs w:val="18"/>
              </w:rPr>
            </w:pPr>
            <w:r w:rsidRPr="005A58BD">
              <w:t>176-399 Watt lamp</w:t>
            </w:r>
          </w:p>
        </w:tc>
        <w:tc>
          <w:tcPr>
            <w:tcW w:w="2394" w:type="dxa"/>
            <w:shd w:val="pct5" w:color="000000" w:fill="FFFFFF"/>
          </w:tcPr>
          <w:p w:rsidR="00D361A4" w:rsidRDefault="00D361A4" w:rsidP="002F511A">
            <w:pPr>
              <w:jc w:val="center"/>
            </w:pPr>
            <w:r>
              <w:t>177 W</w:t>
            </w:r>
          </w:p>
        </w:tc>
        <w:tc>
          <w:tcPr>
            <w:tcW w:w="1868" w:type="dxa"/>
            <w:shd w:val="pct5" w:color="000000" w:fill="FFFFFF"/>
          </w:tcPr>
          <w:p w:rsidR="00D361A4" w:rsidRDefault="00D361A4" w:rsidP="00681516">
            <w:pPr>
              <w:jc w:val="center"/>
            </w:pPr>
            <w:r>
              <w:t>225 (15’x15’)</w:t>
            </w:r>
          </w:p>
        </w:tc>
        <w:tc>
          <w:tcPr>
            <w:tcW w:w="1863" w:type="dxa"/>
            <w:shd w:val="pct5" w:color="000000" w:fill="FFFFFF"/>
          </w:tcPr>
          <w:p w:rsidR="00D361A4" w:rsidRDefault="00D361A4" w:rsidP="00681516">
            <w:pPr>
              <w:jc w:val="center"/>
            </w:pPr>
            <w:r>
              <w:t>400 (20’x20’)</w:t>
            </w:r>
          </w:p>
        </w:tc>
      </w:tr>
      <w:tr w:rsidR="00D361A4">
        <w:trPr>
          <w:trHeight w:val="315"/>
          <w:jc w:val="center"/>
        </w:trPr>
        <w:tc>
          <w:tcPr>
            <w:tcW w:w="1109" w:type="dxa"/>
            <w:vMerge/>
            <w:shd w:val="pct20" w:color="000000" w:fill="FFFFFF"/>
            <w:vAlign w:val="center"/>
          </w:tcPr>
          <w:p w:rsidR="00D361A4" w:rsidRPr="005A58BD" w:rsidRDefault="00D361A4" w:rsidP="00681516">
            <w:pPr>
              <w:jc w:val="center"/>
            </w:pPr>
          </w:p>
        </w:tc>
        <w:tc>
          <w:tcPr>
            <w:tcW w:w="2394" w:type="dxa"/>
            <w:shd w:val="pct20" w:color="000000" w:fill="FFFFFF"/>
            <w:vAlign w:val="center"/>
          </w:tcPr>
          <w:p w:rsidR="00D361A4" w:rsidRDefault="00D361A4" w:rsidP="00681516">
            <w:pPr>
              <w:jc w:val="center"/>
              <w:rPr>
                <w:rFonts w:ascii="Arial" w:hAnsi="Arial" w:cs="Arial"/>
                <w:color w:val="FF0000"/>
                <w:sz w:val="18"/>
                <w:szCs w:val="18"/>
              </w:rPr>
            </w:pPr>
            <w:r w:rsidRPr="005A58BD">
              <w:t>101-175 Watt lamp</w:t>
            </w:r>
          </w:p>
        </w:tc>
        <w:tc>
          <w:tcPr>
            <w:tcW w:w="2394" w:type="dxa"/>
            <w:shd w:val="pct20" w:color="000000" w:fill="FFFFFF"/>
          </w:tcPr>
          <w:p w:rsidR="00D361A4" w:rsidRDefault="00D361A4" w:rsidP="002F511A">
            <w:pPr>
              <w:jc w:val="center"/>
            </w:pPr>
            <w:r>
              <w:t>160 W</w:t>
            </w:r>
          </w:p>
        </w:tc>
        <w:tc>
          <w:tcPr>
            <w:tcW w:w="1868" w:type="dxa"/>
            <w:shd w:val="pct20" w:color="000000" w:fill="FFFFFF"/>
          </w:tcPr>
          <w:p w:rsidR="00D361A4" w:rsidRDefault="00D361A4" w:rsidP="00681516">
            <w:pPr>
              <w:jc w:val="center"/>
            </w:pPr>
            <w:r>
              <w:t>225 (15’x15’)</w:t>
            </w:r>
          </w:p>
        </w:tc>
        <w:tc>
          <w:tcPr>
            <w:tcW w:w="1863" w:type="dxa"/>
            <w:shd w:val="pct20" w:color="000000" w:fill="FFFFFF"/>
          </w:tcPr>
          <w:p w:rsidR="00D361A4" w:rsidRDefault="00D361A4" w:rsidP="00681516">
            <w:pPr>
              <w:jc w:val="center"/>
            </w:pPr>
            <w:r>
              <w:t>400 (20’x20’)</w:t>
            </w:r>
          </w:p>
        </w:tc>
      </w:tr>
      <w:tr w:rsidR="00D361A4">
        <w:trPr>
          <w:trHeight w:val="315"/>
          <w:jc w:val="center"/>
        </w:trPr>
        <w:tc>
          <w:tcPr>
            <w:tcW w:w="1109" w:type="dxa"/>
            <w:vMerge/>
            <w:shd w:val="pct5" w:color="000000" w:fill="FFFFFF"/>
            <w:vAlign w:val="center"/>
          </w:tcPr>
          <w:p w:rsidR="00D361A4" w:rsidRPr="005A58BD" w:rsidRDefault="00D361A4" w:rsidP="00681516">
            <w:pPr>
              <w:jc w:val="center"/>
            </w:pPr>
          </w:p>
        </w:tc>
        <w:tc>
          <w:tcPr>
            <w:tcW w:w="2394" w:type="dxa"/>
            <w:shd w:val="pct5" w:color="000000" w:fill="FFFFFF"/>
            <w:vAlign w:val="center"/>
          </w:tcPr>
          <w:p w:rsidR="00D361A4" w:rsidRPr="00E94131" w:rsidRDefault="00D361A4" w:rsidP="00681516">
            <w:pPr>
              <w:jc w:val="center"/>
              <w:rPr>
                <w:rFonts w:ascii="Arial" w:hAnsi="Arial" w:cs="Arial"/>
                <w:color w:val="000000"/>
                <w:sz w:val="18"/>
                <w:szCs w:val="18"/>
              </w:rPr>
            </w:pPr>
            <w:r w:rsidRPr="005A58BD">
              <w:t>100 Watt lamp</w:t>
            </w:r>
          </w:p>
        </w:tc>
        <w:tc>
          <w:tcPr>
            <w:tcW w:w="2394" w:type="dxa"/>
            <w:shd w:val="pct5" w:color="000000" w:fill="FFFFFF"/>
          </w:tcPr>
          <w:p w:rsidR="00D361A4" w:rsidRDefault="00D361A4" w:rsidP="002F511A">
            <w:pPr>
              <w:jc w:val="center"/>
            </w:pPr>
            <w:r>
              <w:t>95 W</w:t>
            </w:r>
          </w:p>
        </w:tc>
        <w:tc>
          <w:tcPr>
            <w:tcW w:w="1868" w:type="dxa"/>
            <w:shd w:val="pct5" w:color="000000" w:fill="FFFFFF"/>
          </w:tcPr>
          <w:p w:rsidR="00D361A4" w:rsidRDefault="00D361A4" w:rsidP="002F511A">
            <w:pPr>
              <w:jc w:val="center"/>
            </w:pPr>
            <w:r>
              <w:t>225 (15’x15’)</w:t>
            </w:r>
          </w:p>
        </w:tc>
        <w:tc>
          <w:tcPr>
            <w:tcW w:w="1863" w:type="dxa"/>
            <w:shd w:val="pct5" w:color="000000" w:fill="FFFFFF"/>
          </w:tcPr>
          <w:p w:rsidR="00D361A4" w:rsidRDefault="00D361A4" w:rsidP="002F511A">
            <w:pPr>
              <w:jc w:val="center"/>
            </w:pPr>
            <w:r>
              <w:t>400 (20’x20’)</w:t>
            </w:r>
          </w:p>
        </w:tc>
      </w:tr>
    </w:tbl>
    <w:p w:rsidR="004B5225" w:rsidRDefault="004B5225" w:rsidP="00126A4E"/>
    <w:p w:rsidR="006F740C" w:rsidRDefault="00F948C5" w:rsidP="006F740C">
      <w:r>
        <w:t>It is to be noted here that the above values are based on conversations with some lighting experts and may be subjected to change.</w:t>
      </w:r>
      <w:r w:rsidR="00274BF2">
        <w:t xml:space="preserve">  </w:t>
      </w:r>
    </w:p>
    <w:p w:rsidR="006F740C" w:rsidRDefault="006F740C" w:rsidP="006F740C"/>
    <w:p w:rsidR="006F740C" w:rsidRPr="00BA40AB" w:rsidRDefault="006F740C" w:rsidP="006F740C">
      <w:r w:rsidRPr="00BA40AB">
        <w:t xml:space="preserve">The annual energy savings estimates </w:t>
      </w:r>
      <w:r>
        <w:t xml:space="preserve">are calculated making use of the equation1 and 2 below. </w:t>
      </w:r>
    </w:p>
    <w:p w:rsidR="006F740C" w:rsidRPr="00BA40AB" w:rsidRDefault="006F740C" w:rsidP="006F740C">
      <w:pPr>
        <w:ind w:left="720"/>
      </w:pPr>
    </w:p>
    <w:p w:rsidR="006F740C" w:rsidRPr="00177B84" w:rsidRDefault="006F740C" w:rsidP="006F740C">
      <w:pPr>
        <w:tabs>
          <w:tab w:val="left" w:pos="1260"/>
        </w:tabs>
        <w:rPr>
          <w:i/>
        </w:rPr>
      </w:pPr>
      <w:r w:rsidRPr="00177B84">
        <w:t>[Equation 1]</w:t>
      </w:r>
      <w:r w:rsidRPr="00177B84">
        <w:rPr>
          <w:i/>
        </w:rPr>
        <w:t xml:space="preserve"> </w:t>
      </w:r>
    </w:p>
    <w:p w:rsidR="006F740C" w:rsidRDefault="006F740C" w:rsidP="008B5003">
      <w:pPr>
        <w:tabs>
          <w:tab w:val="left" w:pos="900"/>
        </w:tabs>
        <w:rPr>
          <w:i/>
          <w:sz w:val="20"/>
          <w:szCs w:val="20"/>
        </w:rPr>
      </w:pPr>
      <w:r>
        <w:rPr>
          <w:i/>
          <w:sz w:val="20"/>
          <w:szCs w:val="20"/>
        </w:rPr>
        <w:tab/>
      </w:r>
      <w:r w:rsidR="008B5003" w:rsidRPr="008B5003">
        <w:rPr>
          <w:position w:val="-28"/>
        </w:rPr>
        <w:object w:dxaOrig="7720" w:dyaOrig="680">
          <v:shape id="_x0000_i1027" type="#_x0000_t75" style="width:379.5pt;height:33.75pt" o:ole="">
            <v:imagedata r:id="rId23" o:title=""/>
          </v:shape>
          <o:OLEObject Type="Embed" ProgID="Equation.3" ShapeID="_x0000_i1027" DrawAspect="Content" ObjectID="_1407828605" r:id="rId24"/>
        </w:object>
      </w:r>
    </w:p>
    <w:p w:rsidR="006F740C" w:rsidRDefault="006F740C" w:rsidP="00D52D4C">
      <w:pPr>
        <w:ind w:left="450"/>
        <w:rPr>
          <w:i/>
          <w:sz w:val="20"/>
          <w:szCs w:val="20"/>
        </w:rPr>
      </w:pPr>
    </w:p>
    <w:p w:rsidR="006F740C" w:rsidRDefault="006F740C" w:rsidP="006F740C">
      <w:pPr>
        <w:pStyle w:val="Heading2"/>
        <w:keepNext w:val="0"/>
      </w:pPr>
      <w:bookmarkStart w:id="39" w:name="_Toc328480038"/>
      <w:r>
        <w:t>2.2. Demand Reduction Estimation Methodologies</w:t>
      </w:r>
      <w:bookmarkEnd w:id="39"/>
    </w:p>
    <w:p w:rsidR="00D92EBF" w:rsidRPr="00991D6C" w:rsidRDefault="00D92EBF" w:rsidP="00D92EBF">
      <w:r w:rsidRPr="00991D6C">
        <w:t>The demand reduction estimates are based upon the DEER</w:t>
      </w:r>
      <w:r w:rsidR="000E5CA3" w:rsidRPr="00991D6C">
        <w:fldChar w:fldCharType="begin"/>
      </w:r>
      <w:r w:rsidRPr="00991D6C">
        <w:instrText xml:space="preserve"> XE "DEER" </w:instrText>
      </w:r>
      <w:r w:rsidR="000E5CA3" w:rsidRPr="00991D6C">
        <w:fldChar w:fldCharType="end"/>
      </w:r>
      <w:r w:rsidRPr="00991D6C">
        <w:t xml:space="preserve"> methodology for Express Efficiency</w:t>
      </w:r>
      <w:r w:rsidR="000E5CA3" w:rsidRPr="00991D6C">
        <w:fldChar w:fldCharType="begin"/>
      </w:r>
      <w:r w:rsidRPr="00991D6C">
        <w:instrText xml:space="preserve"> XE "Express Efficiency" </w:instrText>
      </w:r>
      <w:r w:rsidR="000E5CA3" w:rsidRPr="00991D6C">
        <w:fldChar w:fldCharType="end"/>
      </w:r>
      <w:r w:rsidRPr="00991D6C">
        <w:t xml:space="preserve"> type programs.</w:t>
      </w:r>
      <w:fldSimple w:instr=" NOTEREF _Ref178526492 \h  \* MERGEFORMAT ">
        <w:r>
          <w:rPr>
            <w:vertAlign w:val="superscript"/>
          </w:rPr>
          <w:t>6</w:t>
        </w:r>
      </w:fldSimple>
      <w:r w:rsidRPr="00991D6C">
        <w:t xml:space="preserve">  The methodology for demand reduction is shown in Equation</w:t>
      </w:r>
      <w:r>
        <w:t>2</w:t>
      </w:r>
      <w:r w:rsidRPr="00991D6C">
        <w:t xml:space="preserve"> below:</w:t>
      </w:r>
    </w:p>
    <w:p w:rsidR="00D92EBF" w:rsidRPr="00A40D01" w:rsidRDefault="00D92EBF" w:rsidP="00D92EBF"/>
    <w:p w:rsidR="00D92EBF" w:rsidRPr="004A482C" w:rsidRDefault="00D92EBF" w:rsidP="00D92EBF">
      <w:pPr>
        <w:rPr>
          <w:rFonts w:ascii="Arial" w:hAnsi="Arial" w:cs="Arial"/>
          <w:b/>
          <w:sz w:val="28"/>
          <w:szCs w:val="28"/>
        </w:rPr>
      </w:pPr>
      <w:r w:rsidRPr="004A482C">
        <w:rPr>
          <w:rFonts w:ascii="Arial" w:hAnsi="Arial" w:cs="Arial"/>
          <w:b/>
          <w:sz w:val="28"/>
          <w:szCs w:val="28"/>
        </w:rPr>
        <w:t>Formula:</w:t>
      </w:r>
    </w:p>
    <w:p w:rsidR="00D92EBF" w:rsidRPr="00991D6C" w:rsidRDefault="00D92EBF" w:rsidP="00D92EBF">
      <w:r w:rsidRPr="00991D6C">
        <w:t>Demand Reduction</w:t>
      </w:r>
      <w:r w:rsidRPr="00991D6C">
        <w:rPr>
          <w:position w:val="-28"/>
        </w:rPr>
        <w:object w:dxaOrig="740" w:dyaOrig="680">
          <v:shape id="_x0000_i1028" type="#_x0000_t75" style="width:36.75pt;height:33.75pt" o:ole="">
            <v:imagedata r:id="rId25" o:title=""/>
          </v:shape>
          <o:OLEObject Type="Embed" ProgID="Equation.3" ShapeID="_x0000_i1028" DrawAspect="Content" ObjectID="_1407828606" r:id="rId26"/>
        </w:object>
      </w:r>
      <w:r w:rsidRPr="00991D6C">
        <w:t xml:space="preserve"> = </w:t>
      </w:r>
      <w:r w:rsidRPr="00991D6C">
        <w:rPr>
          <w:position w:val="-56"/>
        </w:rPr>
        <w:object w:dxaOrig="6640" w:dyaOrig="1300">
          <v:shape id="_x0000_i1029" type="#_x0000_t75" style="width:252.75pt;height:51pt" o:ole="">
            <v:imagedata r:id="rId27" o:title=""/>
          </v:shape>
          <o:OLEObject Type="Embed" ProgID="Equation.3" ShapeID="_x0000_i1029" DrawAspect="Content" ObjectID="_1407828607" r:id="rId28"/>
        </w:object>
      </w:r>
      <w:r>
        <w:t xml:space="preserve">  </w:t>
      </w:r>
      <w:r w:rsidRPr="0018340C">
        <w:t>[</w:t>
      </w:r>
      <w:r w:rsidRPr="0018340C">
        <w:rPr>
          <w:b/>
        </w:rPr>
        <w:t xml:space="preserve">Equation </w:t>
      </w:r>
      <w:r>
        <w:rPr>
          <w:b/>
        </w:rPr>
        <w:t>2</w:t>
      </w:r>
      <w:r w:rsidRPr="0018340C">
        <w:t>]</w:t>
      </w:r>
    </w:p>
    <w:p w:rsidR="00D92EBF" w:rsidRDefault="00D92EBF" w:rsidP="00D92EBF"/>
    <w:p w:rsidR="00D92EBF" w:rsidRDefault="00D92EBF" w:rsidP="00D92EBF">
      <w:r>
        <w:t>(</w:t>
      </w:r>
      <w:proofErr w:type="spellStart"/>
      <w:r>
        <w:t>ΔWatts</w:t>
      </w:r>
      <w:proofErr w:type="spellEnd"/>
      <w:r>
        <w:t xml:space="preserve"> / unit) is the same as described above in the Energy Savings calculation Methodologies section. Demand Interactive Effects and Peak Coincidence Factor are derived from the DEER 2008 Miser tool. For a summary of savings values, refer to embedded excel calculation sheet.</w:t>
      </w:r>
    </w:p>
    <w:p w:rsidR="00D92EBF" w:rsidRDefault="00D92EBF" w:rsidP="00D92EBF">
      <w:pPr>
        <w:rPr>
          <w:b/>
          <w:sz w:val="26"/>
          <w:szCs w:val="26"/>
        </w:rPr>
      </w:pPr>
    </w:p>
    <w:p w:rsidR="00D92EBF" w:rsidRDefault="00D92EBF" w:rsidP="00D92EBF"/>
    <w:p w:rsidR="00D92EBF" w:rsidRDefault="00D92EBF" w:rsidP="00D92EBF">
      <w:pPr>
        <w:outlineLvl w:val="0"/>
        <w:rPr>
          <w:b/>
        </w:rPr>
      </w:pPr>
      <w:bookmarkStart w:id="40" w:name="_Toc328480039"/>
      <w:r>
        <w:rPr>
          <w:b/>
        </w:rPr>
        <w:t>2.3 Gas Energy Saving Estimation</w:t>
      </w:r>
      <w:bookmarkEnd w:id="40"/>
    </w:p>
    <w:p w:rsidR="00D92EBF" w:rsidRPr="00AD239B" w:rsidRDefault="00D92EBF" w:rsidP="00D92EBF"/>
    <w:p w:rsidR="00D92EBF" w:rsidRDefault="00D92EBF" w:rsidP="00D92EBF">
      <w:pPr>
        <w:pStyle w:val="Reminder"/>
        <w:rPr>
          <w:rFonts w:ascii="Times New Roman" w:hAnsi="Times New Roman"/>
          <w:i w:val="0"/>
          <w:color w:val="auto"/>
        </w:rPr>
      </w:pPr>
      <w:r>
        <w:rPr>
          <w:rFonts w:ascii="Times New Roman" w:hAnsi="Times New Roman"/>
          <w:i w:val="0"/>
          <w:color w:val="auto"/>
        </w:rPr>
        <w:t xml:space="preserve">Only losses in Gas savings are </w:t>
      </w:r>
      <w:r w:rsidRPr="006434DB">
        <w:rPr>
          <w:rFonts w:ascii="Times New Roman" w:hAnsi="Times New Roman"/>
          <w:i w:val="0"/>
          <w:color w:val="auto"/>
        </w:rPr>
        <w:t>associated with th</w:t>
      </w:r>
      <w:r>
        <w:rPr>
          <w:rFonts w:ascii="Times New Roman" w:hAnsi="Times New Roman"/>
          <w:i w:val="0"/>
          <w:color w:val="auto"/>
        </w:rPr>
        <w:t>ese</w:t>
      </w:r>
      <w:r w:rsidRPr="006434DB">
        <w:rPr>
          <w:rFonts w:ascii="Times New Roman" w:hAnsi="Times New Roman"/>
          <w:i w:val="0"/>
          <w:color w:val="auto"/>
        </w:rPr>
        <w:t xml:space="preserve"> measure</w:t>
      </w:r>
      <w:r>
        <w:rPr>
          <w:rFonts w:ascii="Times New Roman" w:hAnsi="Times New Roman"/>
          <w:i w:val="0"/>
          <w:color w:val="auto"/>
        </w:rPr>
        <w:t>s</w:t>
      </w:r>
    </w:p>
    <w:p w:rsidR="00D92EBF" w:rsidRPr="00370AD8" w:rsidRDefault="00D92EBF" w:rsidP="00D92EBF">
      <w:pPr>
        <w:pStyle w:val="Reminder"/>
        <w:rPr>
          <w:rFonts w:ascii="Times New Roman" w:hAnsi="Times New Roman"/>
          <w:color w:val="auto"/>
        </w:rPr>
      </w:pPr>
    </w:p>
    <w:p w:rsidR="00D92EBF" w:rsidRPr="0036443A" w:rsidRDefault="00D92EBF" w:rsidP="00D92EBF">
      <w:pPr>
        <w:ind w:right="-180"/>
        <w:rPr>
          <w:sz w:val="17"/>
          <w:szCs w:val="17"/>
        </w:rPr>
      </w:pPr>
      <w:r w:rsidRPr="00370AD8">
        <w:rPr>
          <w:i/>
          <w:sz w:val="17"/>
          <w:szCs w:val="17"/>
        </w:rPr>
        <w:t xml:space="preserve">Gas Savings </w:t>
      </w:r>
      <w:r w:rsidRPr="00370AD8">
        <w:rPr>
          <w:i/>
          <w:position w:val="-30"/>
          <w:sz w:val="23"/>
          <w:szCs w:val="23"/>
        </w:rPr>
        <w:object w:dxaOrig="1240" w:dyaOrig="720">
          <v:shape id="_x0000_i1030" type="#_x0000_t75" style="width:62.25pt;height:36pt" o:ole="">
            <v:imagedata r:id="rId29" o:title=""/>
          </v:shape>
          <o:OLEObject Type="Embed" ProgID="Equation.3" ShapeID="_x0000_i1030" DrawAspect="Content" ObjectID="_1407828608" r:id="rId30"/>
        </w:object>
      </w:r>
      <w:r w:rsidRPr="00370AD8">
        <w:rPr>
          <w:i/>
          <w:sz w:val="17"/>
          <w:szCs w:val="17"/>
        </w:rPr>
        <w:t xml:space="preserve">= </w:t>
      </w:r>
      <w:r w:rsidRPr="00370AD8">
        <w:rPr>
          <w:i/>
          <w:sz w:val="17"/>
          <w:szCs w:val="17"/>
          <w:u w:val="single"/>
        </w:rPr>
        <w:t>(∆Watts/unit) x (annual hours</w:t>
      </w:r>
      <w:r w:rsidRPr="00F9508B">
        <w:rPr>
          <w:sz w:val="17"/>
          <w:szCs w:val="17"/>
          <w:u w:val="single"/>
        </w:rPr>
        <w:t xml:space="preserve"> of use) x (3.413 BTU/Watt hours) x Interactive Effects</w:t>
      </w:r>
      <w:r w:rsidRPr="0036443A">
        <w:rPr>
          <w:sz w:val="17"/>
          <w:szCs w:val="17"/>
        </w:rPr>
        <w:t xml:space="preserve"> </w:t>
      </w:r>
      <w:r>
        <w:rPr>
          <w:sz w:val="17"/>
          <w:szCs w:val="17"/>
        </w:rPr>
        <w:t xml:space="preserve"> </w:t>
      </w:r>
      <w:r w:rsidRPr="0036443A">
        <w:rPr>
          <w:sz w:val="17"/>
          <w:szCs w:val="17"/>
        </w:rPr>
        <w:t xml:space="preserve"> </w:t>
      </w:r>
      <w:r>
        <w:rPr>
          <w:sz w:val="17"/>
          <w:szCs w:val="17"/>
        </w:rPr>
        <w:t>[</w:t>
      </w:r>
      <w:r w:rsidRPr="00CF283C">
        <w:rPr>
          <w:b/>
          <w:sz w:val="22"/>
          <w:szCs w:val="22"/>
        </w:rPr>
        <w:t xml:space="preserve">Equation </w:t>
      </w:r>
      <w:r w:rsidRPr="0036443A">
        <w:rPr>
          <w:b/>
          <w:sz w:val="18"/>
          <w:szCs w:val="18"/>
        </w:rPr>
        <w:t>3</w:t>
      </w:r>
      <w:r>
        <w:rPr>
          <w:b/>
          <w:sz w:val="18"/>
          <w:szCs w:val="18"/>
        </w:rPr>
        <w:t>]</w:t>
      </w:r>
    </w:p>
    <w:p w:rsidR="00D92EBF" w:rsidRPr="00F9508B" w:rsidRDefault="00D92EBF" w:rsidP="00D92EBF">
      <w:pPr>
        <w:ind w:left="720"/>
        <w:rPr>
          <w:sz w:val="23"/>
          <w:szCs w:val="23"/>
        </w:rPr>
      </w:pPr>
      <w:r w:rsidRPr="00F9508B">
        <w:rPr>
          <w:sz w:val="23"/>
          <w:szCs w:val="23"/>
        </w:rPr>
        <w:tab/>
        <w:t xml:space="preserve">                                                          100,000 (BTU/Therm) </w:t>
      </w:r>
    </w:p>
    <w:p w:rsidR="006F740C" w:rsidRPr="00574436" w:rsidRDefault="006F740C" w:rsidP="007B6838">
      <w:pPr>
        <w:rPr>
          <w:i/>
          <w:sz w:val="20"/>
          <w:szCs w:val="20"/>
        </w:rPr>
      </w:pPr>
    </w:p>
    <w:p w:rsidR="005409BE" w:rsidRDefault="005409BE" w:rsidP="000C065E">
      <w:pPr>
        <w:pStyle w:val="Heading1"/>
        <w:rPr>
          <w:kern w:val="0"/>
        </w:rPr>
      </w:pPr>
      <w:bookmarkStart w:id="41" w:name="_Toc328480040"/>
      <w:r w:rsidRPr="005409BE">
        <w:rPr>
          <w:rFonts w:ascii="Times New Roman" w:hAnsi="Times New Roman" w:cs="Times New Roman"/>
          <w:b w:val="0"/>
          <w:bCs w:val="0"/>
          <w:kern w:val="0"/>
          <w:sz w:val="24"/>
          <w:szCs w:val="24"/>
        </w:rPr>
        <w:t xml:space="preserve">For a summary of savings values, refer to </w:t>
      </w:r>
      <w:r w:rsidR="00DF6A27" w:rsidRPr="00DF6A27">
        <w:rPr>
          <w:rFonts w:ascii="Times New Roman" w:hAnsi="Times New Roman" w:cs="Times New Roman"/>
          <w:b w:val="0"/>
          <w:bCs w:val="0"/>
          <w:kern w:val="0"/>
          <w:sz w:val="24"/>
          <w:szCs w:val="24"/>
        </w:rPr>
        <w:t>WPSDGENRLG0999</w:t>
      </w:r>
      <w:r w:rsidRPr="005409BE">
        <w:rPr>
          <w:rFonts w:ascii="Times New Roman" w:hAnsi="Times New Roman" w:cs="Times New Roman"/>
          <w:b w:val="0"/>
          <w:bCs w:val="0"/>
          <w:kern w:val="0"/>
          <w:sz w:val="24"/>
          <w:szCs w:val="24"/>
        </w:rPr>
        <w:t>.</w:t>
      </w:r>
      <w:bookmarkEnd w:id="41"/>
    </w:p>
    <w:p w:rsidR="000C065E" w:rsidRPr="000C065E" w:rsidRDefault="00C069A2" w:rsidP="000C065E">
      <w:pPr>
        <w:pStyle w:val="Heading1"/>
        <w:rPr>
          <w:i/>
          <w:iCs/>
          <w:kern w:val="0"/>
          <w:sz w:val="28"/>
          <w:szCs w:val="28"/>
        </w:rPr>
      </w:pPr>
      <w:bookmarkStart w:id="42" w:name="_Toc328480041"/>
      <w:proofErr w:type="gramStart"/>
      <w:r w:rsidRPr="00BB64DF">
        <w:rPr>
          <w:kern w:val="0"/>
        </w:rPr>
        <w:t>Section 3</w:t>
      </w:r>
      <w:r w:rsidR="003129E8" w:rsidRPr="00BB64DF">
        <w:rPr>
          <w:kern w:val="0"/>
        </w:rPr>
        <w:t>.</w:t>
      </w:r>
      <w:proofErr w:type="gramEnd"/>
      <w:r w:rsidRPr="00BB64DF">
        <w:rPr>
          <w:kern w:val="0"/>
        </w:rPr>
        <w:t xml:space="preserve"> Load Shapes</w:t>
      </w:r>
      <w:bookmarkEnd w:id="42"/>
      <w:r w:rsidR="00844B27" w:rsidRPr="00BB64DF">
        <w:rPr>
          <w:kern w:val="0"/>
        </w:rPr>
        <w:t xml:space="preserve"> </w:t>
      </w:r>
    </w:p>
    <w:p w:rsidR="00B7164C" w:rsidRPr="00BB64DF" w:rsidRDefault="00B7164C" w:rsidP="00E528AF">
      <w:pPr>
        <w:autoSpaceDE w:val="0"/>
        <w:autoSpaceDN w:val="0"/>
        <w:adjustRightInd w:val="0"/>
      </w:pPr>
      <w:r w:rsidRPr="00BB64DF">
        <w:t xml:space="preserve">Load Shapes are an important part of the life-cycle cost analysis of any energy efficiency program portfolio.  The net benefits associated with a measure are based on the amount of </w:t>
      </w:r>
      <w:r w:rsidRPr="00BB64DF">
        <w:lastRenderedPageBreak/>
        <w:t>energy saved and the avoided cost per unit of energy saved.  For electricity, the avoided cost varies hourly over an entire year.  Thus, the net benefits calculation for a measure requires both the total annual energy savings (kWh) of the measure and the distribution of that savings over the year.  The distribution of savings over the year is represented by the measure’s load shape.  The measure’s load shape indicates what fraction of annual energy savings occurs in each time period of the year.  An hourly load shape indicates what fraction of annual savings occurs for each hour of the year.  A Time-of-Use (TOU) load shape indicates what fraction occurs within five or six broad time-of-use periods, typically defined by a specific utility rate tariff.  Formally, a load shape is a set of fractions summing to unity, one fraction for each hour or for each TOU period.  Multiplying the measure load shape with the hourly avoided cost stream determines the average avoided cost per kWh for use in the life cycle cost analysis that determines a measure’s Total Resource Cost (TRC) benefit.</w:t>
      </w:r>
    </w:p>
    <w:p w:rsidR="00B7164C" w:rsidRPr="00BB64DF" w:rsidRDefault="00BF0332" w:rsidP="00BB64DF">
      <w:pPr>
        <w:pStyle w:val="Heading1"/>
        <w:rPr>
          <w:i/>
          <w:iCs/>
          <w:kern w:val="0"/>
          <w:sz w:val="28"/>
          <w:szCs w:val="28"/>
        </w:rPr>
      </w:pPr>
      <w:bookmarkStart w:id="43" w:name="_Toc173742996"/>
      <w:bookmarkStart w:id="44" w:name="_Toc328480042"/>
      <w:r w:rsidRPr="00BB64DF">
        <w:rPr>
          <w:i/>
          <w:iCs/>
          <w:kern w:val="0"/>
          <w:sz w:val="28"/>
          <w:szCs w:val="28"/>
        </w:rPr>
        <w:t>3.1 Base Case</w:t>
      </w:r>
      <w:r w:rsidR="00B7164C" w:rsidRPr="00BB64DF">
        <w:rPr>
          <w:i/>
          <w:iCs/>
          <w:kern w:val="0"/>
          <w:sz w:val="28"/>
          <w:szCs w:val="28"/>
        </w:rPr>
        <w:t xml:space="preserve"> Load Shapes</w:t>
      </w:r>
      <w:bookmarkEnd w:id="43"/>
      <w:bookmarkEnd w:id="44"/>
    </w:p>
    <w:p w:rsidR="00D92EBF" w:rsidRPr="00B63234" w:rsidRDefault="00B7164C" w:rsidP="00D92EBF">
      <w:pPr>
        <w:rPr>
          <w:bCs/>
          <w:i/>
          <w:smallCaps/>
        </w:rPr>
      </w:pPr>
      <w:bookmarkStart w:id="45" w:name="_Toc173742997"/>
      <w:r w:rsidRPr="00172C41">
        <w:t xml:space="preserve">The base case load shape would be expected to follow a typical </w:t>
      </w:r>
      <w:r w:rsidRPr="00172C41">
        <w:rPr>
          <w:i/>
          <w:iCs/>
        </w:rPr>
        <w:t>non-residential</w:t>
      </w:r>
      <w:r w:rsidRPr="00172C41">
        <w:t xml:space="preserve"> (</w:t>
      </w:r>
      <w:proofErr w:type="spellStart"/>
      <w:r w:rsidR="00E24FE4">
        <w:t>lghd_in</w:t>
      </w:r>
      <w:proofErr w:type="spellEnd"/>
      <w:r w:rsidRPr="00172C41">
        <w:t>) end use load shape</w:t>
      </w:r>
      <w:r w:rsidR="008D553E" w:rsidRPr="00172C41">
        <w:t>.</w:t>
      </w:r>
      <w:r w:rsidR="008D553E">
        <w:t xml:space="preserve"> </w:t>
      </w:r>
      <w:r w:rsidR="002F0273">
        <w:t>(</w:t>
      </w:r>
      <w:r w:rsidR="002F0273" w:rsidRPr="00D92EBF">
        <w:t>01</w:t>
      </w:r>
      <w:r w:rsidR="00D92EBF" w:rsidRPr="00B63234">
        <w:rPr>
          <w:bCs/>
          <w:i/>
          <w:smallCaps/>
        </w:rPr>
        <w:t>-ALC-AllCommercial-</w:t>
      </w:r>
      <w:r w:rsidR="002F0273" w:rsidRPr="00B63234">
        <w:rPr>
          <w:bCs/>
          <w:i/>
          <w:smallCaps/>
        </w:rPr>
        <w:t>INTLIGHT)</w:t>
      </w:r>
    </w:p>
    <w:p w:rsidR="00B7164C" w:rsidRPr="00172C41" w:rsidRDefault="00B7164C" w:rsidP="00E24FE4"/>
    <w:p w:rsidR="00B7164C" w:rsidRPr="00BB64DF" w:rsidRDefault="00B7164C" w:rsidP="00BB64DF">
      <w:pPr>
        <w:pStyle w:val="Heading1"/>
        <w:rPr>
          <w:i/>
          <w:iCs/>
          <w:kern w:val="0"/>
          <w:sz w:val="28"/>
          <w:szCs w:val="28"/>
        </w:rPr>
      </w:pPr>
      <w:bookmarkStart w:id="46" w:name="_Toc328480043"/>
      <w:r w:rsidRPr="00BB64DF">
        <w:rPr>
          <w:i/>
          <w:iCs/>
          <w:kern w:val="0"/>
          <w:sz w:val="28"/>
          <w:szCs w:val="28"/>
        </w:rPr>
        <w:t>3.2 Measure Load Shapes</w:t>
      </w:r>
      <w:bookmarkEnd w:id="45"/>
      <w:bookmarkEnd w:id="46"/>
    </w:p>
    <w:p w:rsidR="00D92EBF" w:rsidRPr="00B63234" w:rsidRDefault="00D92EBF" w:rsidP="00D92EBF">
      <w:pPr>
        <w:rPr>
          <w:bCs/>
          <w:i/>
          <w:smallCaps/>
        </w:rPr>
      </w:pPr>
      <w:r>
        <w:t xml:space="preserve">The measure </w:t>
      </w:r>
      <w:r w:rsidRPr="00B63234">
        <w:t xml:space="preserve">Load Shape is assumed to BE: </w:t>
      </w:r>
      <w:r w:rsidRPr="00B63234">
        <w:rPr>
          <w:bCs/>
          <w:i/>
          <w:smallCaps/>
        </w:rPr>
        <w:t xml:space="preserve">01-ALC-AllCommercial-IntLight </w:t>
      </w:r>
    </w:p>
    <w:p w:rsidR="00E24FE4" w:rsidRPr="00E24FE4" w:rsidRDefault="00E24FE4" w:rsidP="00E24FE4">
      <w:pPr>
        <w:jc w:val="center"/>
      </w:pPr>
    </w:p>
    <w:p w:rsidR="0091058D" w:rsidRPr="0091058D" w:rsidRDefault="00C069A2" w:rsidP="00663A00">
      <w:pPr>
        <w:pStyle w:val="Heading1"/>
        <w:keepNext w:val="0"/>
      </w:pPr>
      <w:bookmarkStart w:id="47" w:name="_Toc328480044"/>
      <w:proofErr w:type="gramStart"/>
      <w:r>
        <w:t>Section 4</w:t>
      </w:r>
      <w:r w:rsidR="003129E8">
        <w:t>.</w:t>
      </w:r>
      <w:proofErr w:type="gramEnd"/>
      <w:r>
        <w:t xml:space="preserve"> Base Case &amp; Measure Costs</w:t>
      </w:r>
      <w:bookmarkEnd w:id="47"/>
    </w:p>
    <w:p w:rsidR="001B242B" w:rsidRPr="00F55847" w:rsidRDefault="00C069A2" w:rsidP="00D20486">
      <w:pPr>
        <w:pStyle w:val="Heading2"/>
        <w:keepNext w:val="0"/>
      </w:pPr>
      <w:bookmarkStart w:id="48" w:name="_Toc328480045"/>
      <w:r>
        <w:t>4.1 Base Case</w:t>
      </w:r>
      <w:r w:rsidR="00C221D5">
        <w:t>(</w:t>
      </w:r>
      <w:r>
        <w:t>s</w:t>
      </w:r>
      <w:r w:rsidR="00C221D5">
        <w:t>)</w:t>
      </w:r>
      <w:r>
        <w:t xml:space="preserve"> Costs</w:t>
      </w:r>
      <w:bookmarkEnd w:id="48"/>
    </w:p>
    <w:p w:rsidR="000A618D" w:rsidRDefault="000A618D" w:rsidP="000A618D">
      <w:r w:rsidRPr="003F604A">
        <w:t xml:space="preserve">For </w:t>
      </w:r>
      <w:r>
        <w:t>this</w:t>
      </w:r>
      <w:r w:rsidRPr="003F604A">
        <w:t xml:space="preserve"> measure category, the base case cost is assumed to be zero</w:t>
      </w:r>
      <w:r>
        <w:t xml:space="preserve"> </w:t>
      </w:r>
      <w:r w:rsidRPr="001343EB">
        <w:t xml:space="preserve">because these are discretionary modifications </w:t>
      </w:r>
      <w:r>
        <w:t xml:space="preserve">(retrofit) </w:t>
      </w:r>
      <w:r w:rsidRPr="001343EB">
        <w:t>to the customers’ existing equipment.  Their alternative is to make no c</w:t>
      </w:r>
      <w:r>
        <w:t>hanges to their existing system</w:t>
      </w:r>
      <w:r w:rsidRPr="003F604A">
        <w:t>.</w:t>
      </w:r>
      <w:r>
        <w:t xml:space="preserve">  </w:t>
      </w:r>
    </w:p>
    <w:p w:rsidR="000A618D" w:rsidRDefault="000A618D" w:rsidP="000A618D">
      <w:pPr>
        <w:pStyle w:val="Heading2"/>
        <w:keepNext w:val="0"/>
      </w:pPr>
      <w:bookmarkStart w:id="49" w:name="_Toc328480046"/>
      <w:r w:rsidRPr="00687548">
        <w:t>4.2 Measure Costs</w:t>
      </w:r>
      <w:bookmarkEnd w:id="49"/>
    </w:p>
    <w:p w:rsidR="000A618D" w:rsidRPr="00687548" w:rsidRDefault="000A618D" w:rsidP="000A618D">
      <w:pPr>
        <w:jc w:val="both"/>
      </w:pPr>
      <w:r w:rsidRPr="00687548">
        <w:t>The measure costs vary depending on the wattage range. The measure cost for the five different measures discussed in this work paper was provided by an SDGE contractor (</w:t>
      </w:r>
      <w:r w:rsidR="000F7988">
        <w:rPr>
          <w:rFonts w:ascii="Tahoma" w:hAnsi="Tahoma" w:cs="Tahoma"/>
          <w:sz w:val="20"/>
          <w:szCs w:val="20"/>
        </w:rPr>
        <w:t>San Diego Energy Efficient Lighting Co</w:t>
      </w:r>
      <w:r w:rsidRPr="00687548">
        <w:t xml:space="preserve">) to the Trade ally, Table 9 below summaries the cost information. </w:t>
      </w:r>
    </w:p>
    <w:p w:rsidR="000A618D" w:rsidRPr="00793082" w:rsidRDefault="000A618D" w:rsidP="000A618D">
      <w:pPr>
        <w:rPr>
          <w:highlight w:val="yellow"/>
        </w:rPr>
      </w:pPr>
    </w:p>
    <w:p w:rsidR="000A618D" w:rsidRPr="006C4F29" w:rsidRDefault="000A618D" w:rsidP="000A618D">
      <w:pPr>
        <w:pStyle w:val="Caption"/>
        <w:keepNext/>
        <w:jc w:val="center"/>
        <w:rPr>
          <w:sz w:val="24"/>
        </w:rPr>
      </w:pPr>
      <w:bookmarkStart w:id="50" w:name="_Ref190504499"/>
      <w:bookmarkStart w:id="51" w:name="_Toc190665232"/>
      <w:r w:rsidRPr="006C4F29">
        <w:rPr>
          <w:sz w:val="24"/>
        </w:rPr>
        <w:t xml:space="preserve">Table </w:t>
      </w:r>
      <w:r w:rsidR="000E5CA3" w:rsidRPr="006C4F29">
        <w:rPr>
          <w:sz w:val="24"/>
        </w:rPr>
        <w:fldChar w:fldCharType="begin"/>
      </w:r>
      <w:r w:rsidRPr="006C4F29">
        <w:rPr>
          <w:sz w:val="24"/>
        </w:rPr>
        <w:instrText xml:space="preserve"> SEQ Table \* ARABIC </w:instrText>
      </w:r>
      <w:r w:rsidR="000E5CA3" w:rsidRPr="006C4F29">
        <w:rPr>
          <w:sz w:val="24"/>
        </w:rPr>
        <w:fldChar w:fldCharType="separate"/>
      </w:r>
      <w:r w:rsidRPr="006C4F29">
        <w:rPr>
          <w:noProof/>
          <w:sz w:val="24"/>
        </w:rPr>
        <w:t>9</w:t>
      </w:r>
      <w:r w:rsidR="000E5CA3" w:rsidRPr="006C4F29">
        <w:rPr>
          <w:sz w:val="24"/>
        </w:rPr>
        <w:fldChar w:fldCharType="end"/>
      </w:r>
      <w:bookmarkEnd w:id="50"/>
      <w:r w:rsidRPr="006C4F29">
        <w:rPr>
          <w:sz w:val="24"/>
        </w:rPr>
        <w:t xml:space="preserve"> Measure costs for the different measures</w:t>
      </w:r>
      <w:bookmarkEnd w:id="51"/>
      <w:r>
        <w:rPr>
          <w:sz w:val="24"/>
        </w:rPr>
        <w:t xml:space="preserve"> discussed in this work paper</w:t>
      </w:r>
    </w:p>
    <w:p w:rsidR="000A618D" w:rsidRPr="006C4F29" w:rsidRDefault="000A618D" w:rsidP="000A618D">
      <w:pPr>
        <w:keepNext/>
      </w:pPr>
    </w:p>
    <w:tbl>
      <w:tblPr>
        <w:tblW w:w="6059" w:type="dxa"/>
        <w:jc w:val="center"/>
        <w:tblBorders>
          <w:insideH w:val="single" w:sz="18" w:space="0" w:color="FFFFFF"/>
          <w:insideV w:val="single" w:sz="18" w:space="0" w:color="FFFFFF"/>
        </w:tblBorders>
        <w:tblLook w:val="04A0"/>
      </w:tblPr>
      <w:tblGrid>
        <w:gridCol w:w="3330"/>
        <w:gridCol w:w="2729"/>
      </w:tblGrid>
      <w:tr w:rsidR="000A618D" w:rsidRPr="006C4F29" w:rsidTr="002C5CDA">
        <w:trPr>
          <w:trHeight w:val="513"/>
          <w:jc w:val="center"/>
        </w:trPr>
        <w:tc>
          <w:tcPr>
            <w:tcW w:w="3330" w:type="dxa"/>
            <w:shd w:val="pct20" w:color="000000" w:fill="FFFFFF"/>
          </w:tcPr>
          <w:p w:rsidR="000A618D" w:rsidRPr="006C4F29" w:rsidRDefault="000A618D" w:rsidP="002C5CDA">
            <w:pPr>
              <w:keepNext/>
              <w:jc w:val="center"/>
              <w:rPr>
                <w:b/>
                <w:bCs/>
              </w:rPr>
            </w:pPr>
            <w:r w:rsidRPr="006C4F29">
              <w:rPr>
                <w:b/>
                <w:bCs/>
              </w:rPr>
              <w:t>Measure Code</w:t>
            </w:r>
          </w:p>
        </w:tc>
        <w:tc>
          <w:tcPr>
            <w:tcW w:w="2729" w:type="dxa"/>
            <w:shd w:val="pct20" w:color="000000" w:fill="FFFFFF"/>
          </w:tcPr>
          <w:p w:rsidR="000A618D" w:rsidRPr="006C4F29" w:rsidRDefault="000A618D" w:rsidP="002C5CDA">
            <w:pPr>
              <w:keepNext/>
              <w:jc w:val="center"/>
              <w:rPr>
                <w:b/>
                <w:bCs/>
              </w:rPr>
            </w:pPr>
            <w:r w:rsidRPr="006C4F29">
              <w:rPr>
                <w:b/>
                <w:bCs/>
              </w:rPr>
              <w:t>Cost ($ per fixture)</w:t>
            </w:r>
          </w:p>
        </w:tc>
      </w:tr>
      <w:tr w:rsidR="000A618D" w:rsidRPr="006C4F29" w:rsidTr="002C5CDA">
        <w:trPr>
          <w:trHeight w:val="281"/>
          <w:jc w:val="center"/>
        </w:trPr>
        <w:tc>
          <w:tcPr>
            <w:tcW w:w="3330" w:type="dxa"/>
            <w:shd w:val="pct5" w:color="000000" w:fill="FFFFFF"/>
            <w:vAlign w:val="bottom"/>
          </w:tcPr>
          <w:p w:rsidR="000A618D" w:rsidRDefault="000A618D">
            <w:pPr>
              <w:jc w:val="center"/>
              <w:rPr>
                <w:rFonts w:ascii="Arial" w:hAnsi="Arial" w:cs="Arial"/>
                <w:sz w:val="20"/>
                <w:szCs w:val="20"/>
              </w:rPr>
            </w:pPr>
            <w:r>
              <w:rPr>
                <w:rFonts w:ascii="Arial" w:hAnsi="Arial" w:cs="Arial"/>
                <w:sz w:val="20"/>
                <w:szCs w:val="20"/>
              </w:rPr>
              <w:t>L-D11</w:t>
            </w:r>
          </w:p>
        </w:tc>
        <w:tc>
          <w:tcPr>
            <w:tcW w:w="2729" w:type="dxa"/>
            <w:shd w:val="pct5" w:color="000000" w:fill="FFFFFF"/>
            <w:vAlign w:val="bottom"/>
          </w:tcPr>
          <w:p w:rsidR="000A618D" w:rsidRDefault="000A618D">
            <w:pPr>
              <w:jc w:val="center"/>
              <w:rPr>
                <w:rFonts w:ascii="Arial" w:hAnsi="Arial" w:cs="Arial"/>
                <w:sz w:val="20"/>
                <w:szCs w:val="20"/>
              </w:rPr>
            </w:pPr>
            <w:r>
              <w:rPr>
                <w:rFonts w:ascii="Arial" w:hAnsi="Arial" w:cs="Arial"/>
                <w:sz w:val="20"/>
                <w:szCs w:val="20"/>
              </w:rPr>
              <w:t xml:space="preserve">$270 </w:t>
            </w:r>
          </w:p>
        </w:tc>
      </w:tr>
      <w:tr w:rsidR="000A618D" w:rsidRPr="006C4F29" w:rsidTr="002C5CDA">
        <w:trPr>
          <w:trHeight w:val="281"/>
          <w:jc w:val="center"/>
        </w:trPr>
        <w:tc>
          <w:tcPr>
            <w:tcW w:w="3330" w:type="dxa"/>
            <w:shd w:val="pct5" w:color="000000" w:fill="FFFFFF"/>
            <w:vAlign w:val="bottom"/>
          </w:tcPr>
          <w:p w:rsidR="000A618D" w:rsidRDefault="000A618D">
            <w:pPr>
              <w:jc w:val="center"/>
              <w:rPr>
                <w:rFonts w:ascii="Arial" w:hAnsi="Arial" w:cs="Arial"/>
                <w:sz w:val="20"/>
                <w:szCs w:val="20"/>
              </w:rPr>
            </w:pPr>
            <w:r>
              <w:rPr>
                <w:rFonts w:ascii="Arial" w:hAnsi="Arial" w:cs="Arial"/>
                <w:sz w:val="20"/>
                <w:szCs w:val="20"/>
              </w:rPr>
              <w:t>L-D21</w:t>
            </w:r>
          </w:p>
        </w:tc>
        <w:tc>
          <w:tcPr>
            <w:tcW w:w="2729" w:type="dxa"/>
            <w:shd w:val="pct20" w:color="000000" w:fill="FFFFFF"/>
            <w:vAlign w:val="bottom"/>
          </w:tcPr>
          <w:p w:rsidR="000A618D" w:rsidRDefault="000A618D">
            <w:pPr>
              <w:jc w:val="center"/>
              <w:rPr>
                <w:rFonts w:ascii="Arial" w:hAnsi="Arial" w:cs="Arial"/>
                <w:sz w:val="20"/>
                <w:szCs w:val="20"/>
              </w:rPr>
            </w:pPr>
            <w:r>
              <w:rPr>
                <w:rFonts w:ascii="Arial" w:hAnsi="Arial" w:cs="Arial"/>
                <w:sz w:val="20"/>
                <w:szCs w:val="20"/>
              </w:rPr>
              <w:t xml:space="preserve">$370 </w:t>
            </w:r>
          </w:p>
        </w:tc>
      </w:tr>
      <w:tr w:rsidR="000A618D" w:rsidRPr="006C4F29" w:rsidTr="002C5CDA">
        <w:trPr>
          <w:trHeight w:val="281"/>
          <w:jc w:val="center"/>
        </w:trPr>
        <w:tc>
          <w:tcPr>
            <w:tcW w:w="3330" w:type="dxa"/>
            <w:shd w:val="pct5" w:color="000000" w:fill="FFFFFF"/>
            <w:vAlign w:val="bottom"/>
          </w:tcPr>
          <w:p w:rsidR="000A618D" w:rsidRDefault="000A618D">
            <w:pPr>
              <w:jc w:val="center"/>
              <w:rPr>
                <w:rFonts w:ascii="Arial" w:hAnsi="Arial" w:cs="Arial"/>
                <w:sz w:val="20"/>
                <w:szCs w:val="20"/>
              </w:rPr>
            </w:pPr>
            <w:r>
              <w:rPr>
                <w:rFonts w:ascii="Arial" w:hAnsi="Arial" w:cs="Arial"/>
                <w:sz w:val="20"/>
                <w:szCs w:val="20"/>
              </w:rPr>
              <w:t>L-D31</w:t>
            </w:r>
          </w:p>
        </w:tc>
        <w:tc>
          <w:tcPr>
            <w:tcW w:w="2729" w:type="dxa"/>
            <w:shd w:val="pct5" w:color="000000" w:fill="FFFFFF"/>
            <w:vAlign w:val="bottom"/>
          </w:tcPr>
          <w:p w:rsidR="000A618D" w:rsidRDefault="000A618D">
            <w:pPr>
              <w:jc w:val="center"/>
              <w:rPr>
                <w:rFonts w:ascii="Arial" w:hAnsi="Arial" w:cs="Arial"/>
                <w:sz w:val="20"/>
                <w:szCs w:val="20"/>
              </w:rPr>
            </w:pPr>
            <w:r>
              <w:rPr>
                <w:rFonts w:ascii="Arial" w:hAnsi="Arial" w:cs="Arial"/>
                <w:sz w:val="20"/>
                <w:szCs w:val="20"/>
              </w:rPr>
              <w:t xml:space="preserve">$470 </w:t>
            </w:r>
          </w:p>
        </w:tc>
      </w:tr>
      <w:tr w:rsidR="000A618D" w:rsidRPr="006C4F29" w:rsidTr="002C5CDA">
        <w:trPr>
          <w:trHeight w:val="281"/>
          <w:jc w:val="center"/>
        </w:trPr>
        <w:tc>
          <w:tcPr>
            <w:tcW w:w="3330" w:type="dxa"/>
            <w:shd w:val="pct5" w:color="000000" w:fill="FFFFFF"/>
            <w:vAlign w:val="bottom"/>
          </w:tcPr>
          <w:p w:rsidR="000A618D" w:rsidRDefault="000A618D" w:rsidP="000A618D">
            <w:pPr>
              <w:jc w:val="center"/>
              <w:rPr>
                <w:rFonts w:ascii="Arial" w:hAnsi="Arial" w:cs="Arial"/>
                <w:sz w:val="20"/>
                <w:szCs w:val="20"/>
              </w:rPr>
            </w:pPr>
            <w:r>
              <w:rPr>
                <w:rFonts w:ascii="Arial" w:hAnsi="Arial" w:cs="Arial"/>
                <w:sz w:val="20"/>
                <w:szCs w:val="20"/>
              </w:rPr>
              <w:t>L-D41</w:t>
            </w:r>
          </w:p>
        </w:tc>
        <w:tc>
          <w:tcPr>
            <w:tcW w:w="2729" w:type="dxa"/>
            <w:shd w:val="pct5" w:color="000000" w:fill="FFFFFF"/>
            <w:vAlign w:val="bottom"/>
          </w:tcPr>
          <w:p w:rsidR="000A618D" w:rsidRDefault="000A618D" w:rsidP="000A618D">
            <w:pPr>
              <w:jc w:val="center"/>
              <w:rPr>
                <w:rFonts w:ascii="Arial" w:hAnsi="Arial" w:cs="Arial"/>
                <w:sz w:val="20"/>
                <w:szCs w:val="20"/>
              </w:rPr>
            </w:pPr>
            <w:r>
              <w:rPr>
                <w:rFonts w:ascii="Arial" w:hAnsi="Arial" w:cs="Arial"/>
                <w:sz w:val="20"/>
                <w:szCs w:val="20"/>
              </w:rPr>
              <w:t xml:space="preserve">$570 </w:t>
            </w:r>
          </w:p>
        </w:tc>
      </w:tr>
      <w:tr w:rsidR="000A618D" w:rsidTr="002C5CDA">
        <w:trPr>
          <w:trHeight w:val="297"/>
          <w:jc w:val="center"/>
        </w:trPr>
        <w:tc>
          <w:tcPr>
            <w:tcW w:w="3330" w:type="dxa"/>
            <w:shd w:val="pct5" w:color="000000" w:fill="FFFFFF"/>
            <w:vAlign w:val="center"/>
          </w:tcPr>
          <w:p w:rsidR="000A618D" w:rsidRPr="006C4F29" w:rsidRDefault="000A618D" w:rsidP="002C5CDA">
            <w:pPr>
              <w:jc w:val="center"/>
            </w:pPr>
            <w:r>
              <w:rPr>
                <w:rFonts w:ascii="Arial" w:hAnsi="Arial" w:cs="Arial"/>
                <w:sz w:val="20"/>
                <w:szCs w:val="20"/>
              </w:rPr>
              <w:t>L-D51</w:t>
            </w:r>
          </w:p>
        </w:tc>
        <w:tc>
          <w:tcPr>
            <w:tcW w:w="2729" w:type="dxa"/>
            <w:shd w:val="pct20" w:color="000000" w:fill="FFFFFF"/>
          </w:tcPr>
          <w:p w:rsidR="000A618D" w:rsidRPr="00E87EEA" w:rsidRDefault="000A618D" w:rsidP="002C5CDA">
            <w:pPr>
              <w:jc w:val="center"/>
            </w:pPr>
            <w:r>
              <w:rPr>
                <w:rFonts w:ascii="Arial" w:hAnsi="Arial" w:cs="Arial"/>
                <w:sz w:val="20"/>
                <w:szCs w:val="20"/>
              </w:rPr>
              <w:t>$570</w:t>
            </w:r>
          </w:p>
        </w:tc>
      </w:tr>
    </w:tbl>
    <w:p w:rsidR="000A618D" w:rsidRDefault="000A618D" w:rsidP="000A618D">
      <w:pPr>
        <w:pStyle w:val="Heading2"/>
        <w:keepNext w:val="0"/>
      </w:pPr>
    </w:p>
    <w:p w:rsidR="000A618D" w:rsidRDefault="000A618D" w:rsidP="000A618D">
      <w:pPr>
        <w:pStyle w:val="Heading2"/>
        <w:keepNext w:val="0"/>
      </w:pPr>
      <w:bookmarkStart w:id="52" w:name="_Toc328480047"/>
      <w:r>
        <w:t>4.3 Incremental &amp; Full Measure Costs</w:t>
      </w:r>
      <w:bookmarkEnd w:id="52"/>
    </w:p>
    <w:p w:rsidR="000A618D" w:rsidRPr="00F55847" w:rsidRDefault="000A618D" w:rsidP="000A618D">
      <w:r>
        <w:t xml:space="preserve">As the base case cost is zero, the Incremental cost is the same as the measure cost in </w:t>
      </w:r>
      <w:r w:rsidR="000E5CA3">
        <w:fldChar w:fldCharType="begin"/>
      </w:r>
      <w:r>
        <w:instrText xml:space="preserve"> REF _Ref190504499 \h </w:instrText>
      </w:r>
      <w:r w:rsidR="000E5CA3">
        <w:fldChar w:fldCharType="separate"/>
      </w:r>
      <w:r w:rsidRPr="009D582B">
        <w:t xml:space="preserve">Table </w:t>
      </w:r>
      <w:r>
        <w:rPr>
          <w:noProof/>
        </w:rPr>
        <w:t>9</w:t>
      </w:r>
      <w:r w:rsidR="000E5CA3">
        <w:fldChar w:fldCharType="end"/>
      </w:r>
      <w:r>
        <w:t xml:space="preserve">.  </w:t>
      </w:r>
    </w:p>
    <w:p w:rsidR="008D553E" w:rsidRDefault="008D553E" w:rsidP="00786700">
      <w:pPr>
        <w:pStyle w:val="Heading1"/>
      </w:pPr>
    </w:p>
    <w:p w:rsidR="00FF5F50" w:rsidRDefault="00FF5F50" w:rsidP="00786700">
      <w:pPr>
        <w:pStyle w:val="Heading1"/>
      </w:pPr>
      <w:bookmarkStart w:id="53" w:name="_Toc328480048"/>
      <w:r>
        <w:t>Attachments</w:t>
      </w:r>
      <w:bookmarkEnd w:id="53"/>
    </w:p>
    <w:p w:rsidR="000A618D" w:rsidRDefault="000A618D" w:rsidP="000A618D"/>
    <w:p w:rsidR="000A618D" w:rsidRDefault="00215978" w:rsidP="000A618D">
      <w:r>
        <w:t>See</w:t>
      </w:r>
      <w:r w:rsidRPr="00215978">
        <w:t xml:space="preserve"> </w:t>
      </w:r>
      <w:r>
        <w:t>WPSDGENRLG0999 for savings results.</w:t>
      </w:r>
    </w:p>
    <w:p w:rsidR="000A618D" w:rsidRDefault="000A618D" w:rsidP="000A618D"/>
    <w:p w:rsidR="009168A1" w:rsidRPr="000A618D" w:rsidRDefault="000966CC" w:rsidP="000A618D">
      <w:pPr>
        <w:pStyle w:val="Heading1"/>
      </w:pPr>
      <w:bookmarkStart w:id="54" w:name="_Toc328480049"/>
      <w:r>
        <w:t>References</w:t>
      </w:r>
      <w:bookmarkEnd w:id="54"/>
    </w:p>
    <w:sectPr w:rsidR="009168A1" w:rsidRPr="000A618D" w:rsidSect="00DF6A27">
      <w:endnotePr>
        <w:numFmt w:val="decimal"/>
      </w:endnotePr>
      <w:pgSz w:w="12240" w:h="15840" w:code="1"/>
      <w:pgMar w:top="1440" w:right="1440" w:bottom="1440" w:left="1440"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5F9" w:rsidRDefault="008455F9">
      <w:r>
        <w:separator/>
      </w:r>
    </w:p>
  </w:endnote>
  <w:endnote w:type="continuationSeparator" w:id="0">
    <w:p w:rsidR="008455F9" w:rsidRDefault="008455F9">
      <w:r>
        <w:continuationSeparator/>
      </w:r>
    </w:p>
  </w:endnote>
  <w:endnote w:id="1">
    <w:p w:rsidR="00DF6A27" w:rsidRDefault="00DF6A27" w:rsidP="00607663">
      <w:pPr>
        <w:pStyle w:val="Heading1"/>
        <w:ind w:left="1080" w:hanging="720"/>
        <w:rPr>
          <w:rFonts w:ascii="Times New Roman" w:hAnsi="Times New Roman" w:cs="Times New Roman"/>
          <w:b w:val="0"/>
          <w:sz w:val="24"/>
          <w:szCs w:val="24"/>
        </w:rPr>
      </w:pPr>
      <w:r w:rsidRPr="00833593">
        <w:rPr>
          <w:rStyle w:val="EndnoteReference"/>
          <w:rFonts w:ascii="Times New Roman" w:hAnsi="Times New Roman" w:cs="Times New Roman"/>
          <w:b w:val="0"/>
          <w:sz w:val="24"/>
          <w:szCs w:val="24"/>
          <w:vertAlign w:val="baseline"/>
        </w:rPr>
        <w:endnoteRef/>
      </w:r>
      <w:r w:rsidRPr="00357EBF">
        <w:rPr>
          <w:b w:val="0"/>
        </w:rPr>
        <w:t>.</w:t>
      </w:r>
      <w:r>
        <w:t xml:space="preserve">  </w:t>
      </w:r>
      <w:proofErr w:type="gramStart"/>
      <w:r>
        <w:rPr>
          <w:rFonts w:ascii="Times New Roman" w:hAnsi="Times New Roman" w:cs="Times New Roman"/>
          <w:b w:val="0"/>
          <w:sz w:val="24"/>
          <w:szCs w:val="24"/>
        </w:rPr>
        <w:t>Houghton, D., “Metal Halide – Advances and Improvements”.</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Architectural Lighting Magazine.</w:t>
      </w:r>
      <w:proofErr w:type="gramEnd"/>
      <w:r>
        <w:rPr>
          <w:rFonts w:ascii="Times New Roman" w:hAnsi="Times New Roman" w:cs="Times New Roman"/>
          <w:b w:val="0"/>
          <w:sz w:val="24"/>
          <w:szCs w:val="24"/>
        </w:rPr>
        <w:t xml:space="preserve"> 2002.</w:t>
      </w:r>
    </w:p>
    <w:p w:rsidR="00DF6A27" w:rsidRDefault="00DF6A27">
      <w:pPr>
        <w:pStyle w:val="EndnoteText"/>
      </w:pPr>
    </w:p>
  </w:endnote>
  <w:endnote w:id="2">
    <w:p w:rsidR="00DF6A27" w:rsidRDefault="00DF6A27" w:rsidP="00CF59E3">
      <w:pPr>
        <w:ind w:left="1080" w:hanging="720"/>
      </w:pPr>
      <w:r w:rsidRPr="00357EBF">
        <w:rPr>
          <w:rStyle w:val="EndnoteReference"/>
          <w:vertAlign w:val="baseline"/>
        </w:rPr>
        <w:endnoteRef/>
      </w:r>
      <w:r>
        <w:t xml:space="preserve">.  2004-05 Database for Energy Efficient Resources (DEER), Version 2.01, October 26, 2005. </w:t>
      </w:r>
    </w:p>
    <w:p w:rsidR="00DF6A27" w:rsidRDefault="000E5CA3" w:rsidP="00CF59E3">
      <w:pPr>
        <w:ind w:left="1080"/>
      </w:pPr>
      <w:hyperlink r:id="rId1" w:history="1">
        <w:r w:rsidR="00DF6A27" w:rsidRPr="00503876">
          <w:rPr>
            <w:rStyle w:val="Hyperlink"/>
          </w:rPr>
          <w:t>http://eega.cpuc.ca.gov/deer/</w:t>
        </w:r>
      </w:hyperlink>
    </w:p>
    <w:p w:rsidR="00DF6A27" w:rsidRDefault="00DF6A27" w:rsidP="00CF59E3">
      <w:pPr>
        <w:pStyle w:val="EndnoteText"/>
      </w:pPr>
    </w:p>
  </w:endnote>
  <w:endnote w:id="3">
    <w:p w:rsidR="00DF6A27" w:rsidRDefault="00DF6A27" w:rsidP="00CF59E3">
      <w:pPr>
        <w:pStyle w:val="EndnoteText"/>
        <w:ind w:left="1080" w:hanging="720"/>
        <w:rPr>
          <w:sz w:val="24"/>
          <w:szCs w:val="24"/>
        </w:rPr>
      </w:pPr>
      <w:r w:rsidRPr="00C93CA9">
        <w:rPr>
          <w:rStyle w:val="EndnoteReference"/>
          <w:sz w:val="24"/>
          <w:szCs w:val="24"/>
          <w:vertAlign w:val="baseline"/>
        </w:rPr>
        <w:endnoteRef/>
      </w:r>
      <w:r>
        <w:rPr>
          <w:sz w:val="24"/>
          <w:szCs w:val="24"/>
        </w:rPr>
        <w:t>.</w:t>
      </w:r>
      <w:r w:rsidRPr="00C93CA9">
        <w:rPr>
          <w:sz w:val="24"/>
          <w:szCs w:val="24"/>
        </w:rPr>
        <w:t xml:space="preserve"> </w:t>
      </w:r>
      <w:r>
        <w:rPr>
          <w:sz w:val="24"/>
          <w:szCs w:val="24"/>
        </w:rPr>
        <w:t xml:space="preserve"> </w:t>
      </w:r>
      <w:r w:rsidRPr="00C93CA9">
        <w:rPr>
          <w:sz w:val="24"/>
          <w:szCs w:val="24"/>
        </w:rPr>
        <w:t>Itron Inc., “2004-2005 Database for Energy Efficient Resources (DEER</w:t>
      </w:r>
      <w:r w:rsidR="000E5CA3" w:rsidRPr="00C93CA9">
        <w:rPr>
          <w:sz w:val="24"/>
          <w:szCs w:val="24"/>
        </w:rPr>
        <w:fldChar w:fldCharType="begin"/>
      </w:r>
      <w:r w:rsidRPr="00C93CA9">
        <w:rPr>
          <w:sz w:val="24"/>
          <w:szCs w:val="24"/>
        </w:rPr>
        <w:instrText xml:space="preserve"> XE "DEER" </w:instrText>
      </w:r>
      <w:r w:rsidR="000E5CA3" w:rsidRPr="00C93CA9">
        <w:rPr>
          <w:sz w:val="24"/>
          <w:szCs w:val="24"/>
        </w:rPr>
        <w:fldChar w:fldCharType="end"/>
      </w:r>
      <w:r w:rsidRPr="00C93CA9">
        <w:rPr>
          <w:sz w:val="24"/>
          <w:szCs w:val="24"/>
        </w:rPr>
        <w:t xml:space="preserve">) Update Study, Final </w:t>
      </w:r>
      <w:r>
        <w:rPr>
          <w:sz w:val="24"/>
          <w:szCs w:val="24"/>
        </w:rPr>
        <w:t>Report”, December 2005, page 3-10</w:t>
      </w:r>
      <w:r w:rsidRPr="00C93CA9">
        <w:rPr>
          <w:sz w:val="24"/>
          <w:szCs w:val="24"/>
        </w:rPr>
        <w:t>.</w:t>
      </w:r>
    </w:p>
    <w:p w:rsidR="00DF6A27" w:rsidRPr="00C93CA9" w:rsidRDefault="00DF6A27" w:rsidP="00CF59E3">
      <w:pPr>
        <w:pStyle w:val="EndnoteText"/>
        <w:ind w:left="900" w:hanging="540"/>
        <w:rPr>
          <w:sz w:val="24"/>
          <w:szCs w:val="24"/>
        </w:rPr>
      </w:pPr>
    </w:p>
  </w:endnote>
  <w:endnote w:id="4">
    <w:p w:rsidR="00DF6A27" w:rsidRDefault="00DF6A27" w:rsidP="00607663">
      <w:pPr>
        <w:pStyle w:val="EndnoteText"/>
        <w:ind w:left="1080" w:hanging="720"/>
        <w:rPr>
          <w:sz w:val="24"/>
          <w:szCs w:val="24"/>
        </w:rPr>
      </w:pPr>
      <w:r w:rsidRPr="00C808C0">
        <w:rPr>
          <w:rStyle w:val="EndnoteReference"/>
          <w:sz w:val="24"/>
          <w:szCs w:val="24"/>
          <w:vertAlign w:val="baseline"/>
        </w:rPr>
        <w:endnoteRef/>
      </w:r>
      <w:r w:rsidRPr="00C808C0">
        <w:rPr>
          <w:sz w:val="24"/>
          <w:szCs w:val="24"/>
        </w:rPr>
        <w:t xml:space="preserve"> </w:t>
      </w:r>
      <w:bookmarkStart w:id="23" w:name="_Ref189368886"/>
      <w:r>
        <w:rPr>
          <w:sz w:val="24"/>
          <w:szCs w:val="24"/>
        </w:rPr>
        <w:t xml:space="preserve">  </w:t>
      </w:r>
      <w:r w:rsidRPr="00C808C0">
        <w:rPr>
          <w:sz w:val="24"/>
          <w:szCs w:val="24"/>
        </w:rPr>
        <w:t>Title 24 2005 Non-Residential Compliance Manual, Section 5.14 Additions &amp; Alterations, March 2005, page 81.</w:t>
      </w:r>
      <w:bookmarkEnd w:id="23"/>
    </w:p>
    <w:p w:rsidR="00DF6A27" w:rsidRDefault="00DF6A27" w:rsidP="00607663">
      <w:pPr>
        <w:pStyle w:val="EndnoteText"/>
        <w:ind w:left="1080" w:hanging="720"/>
        <w:rPr>
          <w:sz w:val="24"/>
          <w:szCs w:val="24"/>
        </w:rPr>
      </w:pPr>
    </w:p>
    <w:p w:rsidR="00DF6A27" w:rsidRDefault="00DF6A27" w:rsidP="00A55525">
      <w:pPr>
        <w:ind w:left="1080" w:hanging="720"/>
      </w:pPr>
      <w:r>
        <w:t xml:space="preserve">5     </w:t>
      </w:r>
      <w:r w:rsidRPr="00D17954">
        <w:t>Ene</w:t>
      </w:r>
      <w:r>
        <w:t>rgy Efficiency Policy Manual v3</w:t>
      </w:r>
      <w:r w:rsidRPr="00D17954">
        <w:t>, Prepared by the California Public Utilities Commission, Energy Division, August, 200</w:t>
      </w:r>
      <w:r>
        <w:t>5.</w:t>
      </w:r>
    </w:p>
    <w:p w:rsidR="00DF6A27" w:rsidRDefault="00DF6A27" w:rsidP="00A55525">
      <w:pPr>
        <w:ind w:left="1080" w:hanging="720"/>
      </w:pPr>
    </w:p>
    <w:p w:rsidR="00DF6A27" w:rsidRDefault="00DF6A27" w:rsidP="00A55525">
      <w:pPr>
        <w:ind w:left="1080" w:hanging="720"/>
      </w:pPr>
      <w:r>
        <w:t>6  Effective Useful Life</w:t>
      </w:r>
    </w:p>
    <w:p w:rsidR="00DF6A27" w:rsidRDefault="00DF6A27" w:rsidP="00A55525">
      <w:pPr>
        <w:ind w:left="1080" w:hanging="720"/>
      </w:pPr>
      <w: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7.25pt;height:49.5pt" o:ole="">
            <v:imagedata r:id="rId2" o:title=""/>
          </v:shape>
          <o:OLEObject Type="Embed" ProgID="Excel.Sheet.8" ShapeID="_x0000_i1031" DrawAspect="Icon" ObjectID="_1407828609" r:id="rId3"/>
        </w:object>
      </w:r>
    </w:p>
    <w:p w:rsidR="00DF6A27" w:rsidRDefault="00DF6A27" w:rsidP="00607663">
      <w:pPr>
        <w:pStyle w:val="EndnoteText"/>
        <w:ind w:left="1080" w:hanging="720"/>
        <w:rPr>
          <w:sz w:val="24"/>
          <w:szCs w:val="24"/>
        </w:rPr>
      </w:pPr>
    </w:p>
    <w:p w:rsidR="00DF6A27" w:rsidRDefault="00DF6A27" w:rsidP="00607663">
      <w:pPr>
        <w:pStyle w:val="EndnoteText"/>
        <w:ind w:left="1080" w:hanging="720"/>
        <w:rPr>
          <w:sz w:val="24"/>
          <w:szCs w:val="24"/>
        </w:rPr>
      </w:pPr>
      <w:r>
        <w:rPr>
          <w:sz w:val="24"/>
          <w:szCs w:val="24"/>
        </w:rPr>
        <w:t>7- DEER 2011 NTG</w:t>
      </w:r>
    </w:p>
    <w:p w:rsidR="00DF6A27" w:rsidRPr="00C808C0" w:rsidRDefault="00DF6A27" w:rsidP="00607663">
      <w:pPr>
        <w:pStyle w:val="EndnoteText"/>
        <w:ind w:left="1080" w:hanging="720"/>
        <w:rPr>
          <w:sz w:val="24"/>
          <w:szCs w:val="24"/>
        </w:rPr>
      </w:pPr>
      <w:r w:rsidRPr="00CC150B">
        <w:rPr>
          <w:sz w:val="24"/>
          <w:szCs w:val="24"/>
        </w:rPr>
        <w:object w:dxaOrig="1534" w:dyaOrig="993">
          <v:shape id="_x0000_i1032" type="#_x0000_t75" style="width:76.5pt;height:49.5pt" o:ole="">
            <v:imagedata r:id="rId4" o:title=""/>
          </v:shape>
          <o:OLEObject Type="Embed" ProgID="Excel.Sheet.8" ShapeID="_x0000_i1032" DrawAspect="Icon" ObjectID="_1407828610" r:id="rId5"/>
        </w:objec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BoldItalic">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27" w:rsidRDefault="000E5CA3" w:rsidP="00E57743">
    <w:pPr>
      <w:pStyle w:val="Footer"/>
      <w:framePr w:wrap="around" w:vAnchor="text" w:hAnchor="margin" w:xAlign="center" w:y="1"/>
      <w:rPr>
        <w:rStyle w:val="PageNumber"/>
      </w:rPr>
    </w:pPr>
    <w:r>
      <w:rPr>
        <w:rStyle w:val="PageNumber"/>
      </w:rPr>
      <w:fldChar w:fldCharType="begin"/>
    </w:r>
    <w:r w:rsidR="00DF6A27">
      <w:rPr>
        <w:rStyle w:val="PageNumber"/>
      </w:rPr>
      <w:instrText xml:space="preserve">PAGE  </w:instrText>
    </w:r>
    <w:r>
      <w:rPr>
        <w:rStyle w:val="PageNumber"/>
      </w:rPr>
      <w:fldChar w:fldCharType="end"/>
    </w:r>
  </w:p>
  <w:p w:rsidR="00DF6A27" w:rsidRDefault="00DF6A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27" w:rsidRPr="00846195" w:rsidRDefault="000E5CA3" w:rsidP="00E57743">
    <w:pPr>
      <w:pStyle w:val="Footer"/>
      <w:framePr w:wrap="around" w:vAnchor="text" w:hAnchor="margin" w:xAlign="center" w:y="1"/>
      <w:rPr>
        <w:rStyle w:val="PageNumber"/>
        <w:b/>
        <w:sz w:val="20"/>
        <w:szCs w:val="20"/>
      </w:rPr>
    </w:pPr>
    <w:r w:rsidRPr="00846195">
      <w:rPr>
        <w:rStyle w:val="PageNumber"/>
        <w:b/>
        <w:sz w:val="20"/>
        <w:szCs w:val="20"/>
      </w:rPr>
      <w:fldChar w:fldCharType="begin"/>
    </w:r>
    <w:r w:rsidR="00DF6A27" w:rsidRPr="00846195">
      <w:rPr>
        <w:rStyle w:val="PageNumber"/>
        <w:b/>
        <w:sz w:val="20"/>
        <w:szCs w:val="20"/>
      </w:rPr>
      <w:instrText xml:space="preserve">PAGE  </w:instrText>
    </w:r>
    <w:r w:rsidRPr="00846195">
      <w:rPr>
        <w:rStyle w:val="PageNumber"/>
        <w:b/>
        <w:sz w:val="20"/>
        <w:szCs w:val="20"/>
      </w:rPr>
      <w:fldChar w:fldCharType="separate"/>
    </w:r>
    <w:r w:rsidR="00DF6A27">
      <w:rPr>
        <w:rStyle w:val="PageNumber"/>
        <w:b/>
        <w:noProof/>
        <w:sz w:val="20"/>
        <w:szCs w:val="20"/>
      </w:rPr>
      <w:t>ii</w:t>
    </w:r>
    <w:r w:rsidRPr="00846195">
      <w:rPr>
        <w:rStyle w:val="PageNumber"/>
        <w:b/>
        <w:sz w:val="20"/>
        <w:szCs w:val="20"/>
      </w:rPr>
      <w:fldChar w:fldCharType="end"/>
    </w:r>
  </w:p>
  <w:p w:rsidR="00DF6A27" w:rsidRDefault="00DF6A27" w:rsidP="00D7047A">
    <w:pPr>
      <w:pStyle w:val="Footer"/>
      <w:pBdr>
        <w:top w:val="single" w:sz="4" w:space="1" w:color="auto"/>
      </w:pBdr>
      <w:tabs>
        <w:tab w:val="clear" w:pos="8640"/>
        <w:tab w:val="right" w:pos="9360"/>
      </w:tabs>
      <w:rPr>
        <w:b/>
        <w:sz w:val="20"/>
        <w:szCs w:val="20"/>
      </w:rPr>
    </w:pPr>
    <w:r>
      <w:rPr>
        <w:b/>
        <w:color w:val="FF0000"/>
        <w:sz w:val="20"/>
        <w:szCs w:val="20"/>
      </w:rPr>
      <w:t xml:space="preserve">Work Paper </w:t>
    </w:r>
    <w:proofErr w:type="gramStart"/>
    <w:r>
      <w:rPr>
        <w:b/>
        <w:color w:val="FF0000"/>
        <w:sz w:val="20"/>
        <w:szCs w:val="20"/>
      </w:rPr>
      <w:t>PGE(</w:t>
    </w:r>
    <w:proofErr w:type="gramEnd"/>
    <w:r>
      <w:rPr>
        <w:b/>
        <w:color w:val="FF0000"/>
        <w:sz w:val="20"/>
        <w:szCs w:val="20"/>
      </w:rPr>
      <w:t>End-Use)###</w:t>
    </w:r>
    <w:r>
      <w:rPr>
        <w:b/>
        <w:sz w:val="20"/>
        <w:szCs w:val="20"/>
      </w:rPr>
      <w:t xml:space="preserve">, Revision </w:t>
    </w:r>
    <w:r w:rsidRPr="000170B5">
      <w:rPr>
        <w:b/>
        <w:color w:val="FF0000"/>
        <w:sz w:val="20"/>
        <w:szCs w:val="20"/>
      </w:rPr>
      <w:t>X</w:t>
    </w:r>
    <w:r>
      <w:rPr>
        <w:b/>
        <w:sz w:val="20"/>
        <w:szCs w:val="20"/>
      </w:rPr>
      <w:tab/>
    </w:r>
    <w:r>
      <w:rPr>
        <w:b/>
        <w:sz w:val="20"/>
        <w:szCs w:val="20"/>
      </w:rPr>
      <w:tab/>
      <w:t>11/20/2007</w:t>
    </w:r>
  </w:p>
  <w:p w:rsidR="00DF6A27" w:rsidRDefault="00DF6A27" w:rsidP="00D7047A">
    <w:pPr>
      <w:pStyle w:val="Footer"/>
      <w:rPr>
        <w:b/>
        <w:sz w:val="20"/>
        <w:szCs w:val="20"/>
      </w:rPr>
    </w:pPr>
    <w:r>
      <w:rPr>
        <w:b/>
        <w:sz w:val="20"/>
        <w:szCs w:val="20"/>
      </w:rPr>
      <w:t>Pacific Gas &amp; Electric Company</w:t>
    </w:r>
  </w:p>
  <w:p w:rsidR="00DF6A27" w:rsidRPr="00844B27" w:rsidRDefault="000E5CA3" w:rsidP="00D7047A">
    <w:pPr>
      <w:pStyle w:val="Footer"/>
      <w:rPr>
        <w:b/>
        <w:color w:val="0000FF"/>
        <w:sz w:val="20"/>
        <w:szCs w:val="20"/>
      </w:rPr>
    </w:pPr>
    <w:r w:rsidRPr="00844B27">
      <w:rPr>
        <w:b/>
        <w:color w:val="0000FF"/>
        <w:sz w:val="20"/>
        <w:szCs w:val="20"/>
      </w:rPr>
      <w:fldChar w:fldCharType="begin"/>
    </w:r>
    <w:r w:rsidR="00DF6A27" w:rsidRPr="00844B27">
      <w:rPr>
        <w:b/>
        <w:color w:val="0000FF"/>
        <w:sz w:val="20"/>
        <w:szCs w:val="20"/>
      </w:rPr>
      <w:instrText xml:space="preserve"> FILENAME </w:instrText>
    </w:r>
    <w:r w:rsidRPr="00844B27">
      <w:rPr>
        <w:b/>
        <w:color w:val="0000FF"/>
        <w:sz w:val="20"/>
        <w:szCs w:val="20"/>
      </w:rPr>
      <w:fldChar w:fldCharType="separate"/>
    </w:r>
    <w:r w:rsidR="00DF6A27">
      <w:rPr>
        <w:b/>
        <w:noProof/>
        <w:color w:val="0000FF"/>
        <w:sz w:val="20"/>
        <w:szCs w:val="20"/>
      </w:rPr>
      <w:t>Interior Induction Fixtures PGECOLTG113 R0.doc</w:t>
    </w:r>
    <w:r w:rsidRPr="00844B27">
      <w:rPr>
        <w:b/>
        <w:color w:val="0000FF"/>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27" w:rsidRPr="002E0E3F" w:rsidRDefault="00DF6A27" w:rsidP="00274A7E">
    <w:pPr>
      <w:pStyle w:val="Footer"/>
      <w:jc w:val="right"/>
      <w:rPr>
        <w:rFonts w:ascii="Arial" w:hAnsi="Arial" w:cs="Arial"/>
        <w:b/>
        <w:sz w:val="36"/>
        <w:szCs w:val="36"/>
      </w:rPr>
    </w:pPr>
    <w:r>
      <w:rPr>
        <w:rFonts w:ascii="Arial" w:hAnsi="Arial" w:cs="Arial"/>
        <w:b/>
        <w:sz w:val="36"/>
        <w:szCs w:val="36"/>
      </w:rPr>
      <w:t>June 15, 2012</w:t>
    </w:r>
  </w:p>
  <w:p w:rsidR="00DF6A27" w:rsidRDefault="00DF6A2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27" w:rsidRDefault="000E5CA3" w:rsidP="00E57743">
    <w:pPr>
      <w:pStyle w:val="Footer"/>
      <w:framePr w:wrap="around" w:vAnchor="text" w:hAnchor="margin" w:xAlign="center" w:y="1"/>
      <w:rPr>
        <w:rStyle w:val="PageNumber"/>
      </w:rPr>
    </w:pPr>
    <w:r>
      <w:rPr>
        <w:rStyle w:val="PageNumber"/>
      </w:rPr>
      <w:fldChar w:fldCharType="begin"/>
    </w:r>
    <w:r w:rsidR="00DF6A27">
      <w:rPr>
        <w:rStyle w:val="PageNumber"/>
      </w:rPr>
      <w:instrText xml:space="preserve">PAGE  </w:instrText>
    </w:r>
    <w:r>
      <w:rPr>
        <w:rStyle w:val="PageNumber"/>
      </w:rPr>
      <w:fldChar w:fldCharType="end"/>
    </w:r>
  </w:p>
  <w:p w:rsidR="00DF6A27" w:rsidRDefault="00DF6A2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27" w:rsidRPr="00846195" w:rsidRDefault="000E5CA3" w:rsidP="00E57743">
    <w:pPr>
      <w:pStyle w:val="Footer"/>
      <w:framePr w:wrap="around" w:vAnchor="text" w:hAnchor="margin" w:xAlign="center" w:y="1"/>
      <w:rPr>
        <w:rStyle w:val="PageNumber"/>
        <w:b/>
        <w:sz w:val="20"/>
        <w:szCs w:val="20"/>
      </w:rPr>
    </w:pPr>
    <w:r w:rsidRPr="00846195">
      <w:rPr>
        <w:rStyle w:val="PageNumber"/>
        <w:b/>
        <w:sz w:val="20"/>
        <w:szCs w:val="20"/>
      </w:rPr>
      <w:fldChar w:fldCharType="begin"/>
    </w:r>
    <w:r w:rsidR="00DF6A27" w:rsidRPr="00846195">
      <w:rPr>
        <w:rStyle w:val="PageNumber"/>
        <w:b/>
        <w:sz w:val="20"/>
        <w:szCs w:val="20"/>
      </w:rPr>
      <w:instrText xml:space="preserve">PAGE  </w:instrText>
    </w:r>
    <w:r w:rsidRPr="00846195">
      <w:rPr>
        <w:rStyle w:val="PageNumber"/>
        <w:b/>
        <w:sz w:val="20"/>
        <w:szCs w:val="20"/>
      </w:rPr>
      <w:fldChar w:fldCharType="separate"/>
    </w:r>
    <w:r w:rsidR="00E50576">
      <w:rPr>
        <w:rStyle w:val="PageNumber"/>
        <w:b/>
        <w:noProof/>
        <w:sz w:val="20"/>
        <w:szCs w:val="20"/>
      </w:rPr>
      <w:t>ii</w:t>
    </w:r>
    <w:r w:rsidRPr="00846195">
      <w:rPr>
        <w:rStyle w:val="PageNumber"/>
        <w:b/>
        <w:sz w:val="20"/>
        <w:szCs w:val="20"/>
      </w:rPr>
      <w:fldChar w:fldCharType="end"/>
    </w:r>
  </w:p>
  <w:p w:rsidR="00DF6A27" w:rsidRPr="000176AD" w:rsidRDefault="00DF6A27" w:rsidP="00D7047A">
    <w:pPr>
      <w:pStyle w:val="Footer"/>
      <w:pBdr>
        <w:top w:val="single" w:sz="4" w:space="1" w:color="auto"/>
      </w:pBdr>
      <w:tabs>
        <w:tab w:val="clear" w:pos="8640"/>
        <w:tab w:val="right" w:pos="9360"/>
      </w:tabs>
      <w:rPr>
        <w:b/>
        <w:sz w:val="20"/>
        <w:szCs w:val="20"/>
      </w:rPr>
    </w:pPr>
    <w:r>
      <w:rPr>
        <w:b/>
        <w:sz w:val="20"/>
        <w:szCs w:val="20"/>
      </w:rPr>
      <w:t>W</w:t>
    </w:r>
    <w:r w:rsidRPr="000176AD">
      <w:rPr>
        <w:b/>
        <w:sz w:val="20"/>
        <w:szCs w:val="20"/>
      </w:rPr>
      <w:t>or</w:t>
    </w:r>
    <w:r>
      <w:rPr>
        <w:b/>
        <w:sz w:val="20"/>
        <w:szCs w:val="20"/>
      </w:rPr>
      <w:t>k</w:t>
    </w:r>
    <w:r w:rsidRPr="000176AD">
      <w:rPr>
        <w:b/>
        <w:sz w:val="20"/>
        <w:szCs w:val="20"/>
      </w:rPr>
      <w:t xml:space="preserve"> Paper </w:t>
    </w:r>
    <w:r>
      <w:rPr>
        <w:b/>
        <w:sz w:val="20"/>
        <w:szCs w:val="20"/>
      </w:rPr>
      <w:t>SDGEWPNRLG0002</w:t>
    </w:r>
    <w:r w:rsidRPr="000176AD">
      <w:rPr>
        <w:b/>
        <w:sz w:val="20"/>
        <w:szCs w:val="20"/>
      </w:rPr>
      <w:t xml:space="preserve">, Revision </w:t>
    </w:r>
    <w:r>
      <w:rPr>
        <w:b/>
        <w:sz w:val="20"/>
        <w:szCs w:val="20"/>
      </w:rPr>
      <w:t>3</w:t>
    </w:r>
    <w:r w:rsidRPr="000176AD">
      <w:rPr>
        <w:b/>
        <w:sz w:val="20"/>
        <w:szCs w:val="20"/>
      </w:rPr>
      <w:tab/>
    </w:r>
    <w:r w:rsidRPr="000176AD">
      <w:rPr>
        <w:b/>
        <w:sz w:val="20"/>
        <w:szCs w:val="20"/>
      </w:rPr>
      <w:tab/>
    </w:r>
    <w:r>
      <w:rPr>
        <w:b/>
        <w:sz w:val="20"/>
        <w:szCs w:val="20"/>
      </w:rPr>
      <w:t>6/15/2012</w:t>
    </w:r>
  </w:p>
  <w:p w:rsidR="00DF6A27" w:rsidRPr="000176AD" w:rsidRDefault="00DF6A27" w:rsidP="00D7047A">
    <w:pPr>
      <w:pStyle w:val="Footer"/>
      <w:rPr>
        <w:b/>
        <w:sz w:val="20"/>
        <w:szCs w:val="20"/>
      </w:rPr>
    </w:pPr>
    <w:smartTag w:uri="urn:schemas-microsoft-com:office:smarttags" w:element="City">
      <w:smartTag w:uri="urn:schemas-microsoft-com:office:smarttags" w:element="place">
        <w:r>
          <w:rPr>
            <w:b/>
            <w:sz w:val="20"/>
            <w:szCs w:val="20"/>
          </w:rPr>
          <w:t>San Diego</w:t>
        </w:r>
      </w:smartTag>
    </w:smartTag>
    <w:r w:rsidRPr="000176AD">
      <w:rPr>
        <w:b/>
        <w:sz w:val="20"/>
        <w:szCs w:val="20"/>
      </w:rPr>
      <w:t xml:space="preserve"> Gas &amp; Electric </w:t>
    </w:r>
  </w:p>
  <w:p w:rsidR="00DF6A27" w:rsidRDefault="00DF6A27" w:rsidP="00D7047A">
    <w:pPr>
      <w:pStyle w:val="Footer"/>
      <w:rPr>
        <w:b/>
        <w:color w:val="0000FF"/>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27" w:rsidRPr="002E0E3F" w:rsidRDefault="00DF6A27" w:rsidP="00D7047A">
    <w:pPr>
      <w:pStyle w:val="Footer"/>
      <w:jc w:val="right"/>
      <w:rPr>
        <w:rFonts w:ascii="Arial" w:hAnsi="Arial" w:cs="Arial"/>
        <w:b/>
        <w:sz w:val="36"/>
        <w:szCs w:val="36"/>
      </w:rPr>
    </w:pPr>
    <w:r>
      <w:rPr>
        <w:rFonts w:ascii="Arial" w:hAnsi="Arial" w:cs="Arial"/>
        <w:b/>
        <w:sz w:val="36"/>
        <w:szCs w:val="36"/>
      </w:rPr>
      <w:t>Date of Last Revision</w:t>
    </w:r>
  </w:p>
  <w:p w:rsidR="00DF6A27" w:rsidRDefault="00DF6A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5F9" w:rsidRDefault="008455F9">
      <w:r>
        <w:separator/>
      </w:r>
    </w:p>
  </w:footnote>
  <w:footnote w:type="continuationSeparator" w:id="0">
    <w:p w:rsidR="008455F9" w:rsidRDefault="008455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27" w:rsidRDefault="000E5C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35.05pt;height:174pt;rotation:315;z-index:-251658240;mso-position-horizontal:center;mso-position-horizontal-relative:margin;mso-position-vertical:center;mso-position-vertical-relative:margin" wrapcoords="21302 2421 14003 2421 13966 2793 14561 4562 14561 8752 11619 2328 11470 1955 10502 9124 8081 3817 7188 2141 7001 2514 5288 2421 4841 2421 4841 2886 5437 4934 5400 6890 3426 3352 2942 2514 223 2421 74 2514 112 3072 670 5586 521 15828 0 16479 74 16572 186 16945 2644 16852 3240 16293 3724 15362 3910 15828 5102 17131 5214 17038 6108 17131 6703 16852 6741 16572 6108 12941 7039 15269 8417 17503 8603 17038 10577 16945 10577 16386 10167 14617 10390 13034 11582 16107 12550 17690 12811 17038 15306 16945 15902 16852 15902 16386 15269 14803 15269 10521 15865 9869 18583 16666 19217 17969 19552 17038 20371 16945 20520 16852 20446 16200 19924 13686 19924 5307 20036 3538 21041 5586 21377 5959 21451 4934 21414 2700 21302 2421"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27" w:rsidRDefault="00DF6A27" w:rsidP="001A573F">
    <w:pPr>
      <w:pStyle w:val="Header"/>
      <w:jc w:val="right"/>
    </w:pPr>
  </w:p>
  <w:p w:rsidR="00DF6A27" w:rsidRDefault="00DF6A27" w:rsidP="001A573F">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27" w:rsidRDefault="000E5C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9264;mso-position-horizontal:center;mso-position-horizontal-relative:margin;mso-position-vertical:center;mso-position-vertical-relative:margin" wrapcoords="21302 2421 14003 2421 13966 2793 14561 4562 14561 8752 11619 2328 11470 1955 10502 9124 8081 3817 7188 2141 7001 2514 5288 2421 4841 2421 4841 2886 5437 4934 5400 6890 3426 3352 2942 2514 223 2421 74 2514 112 3072 670 5586 521 15828 0 16479 74 16572 186 16945 2644 16852 3240 16293 3724 15362 3910 15828 5102 17131 5214 17038 6108 17131 6703 16852 6741 16572 6108 12941 7039 15269 8417 17503 8603 17038 10577 16945 10577 16386 10167 14617 10390 13034 11582 16107 12550 17690 12811 17038 15306 16945 15902 16852 15902 16386 15269 14803 15269 10521 15865 9869 18583 16666 19217 17969 19552 17038 20371 16945 20520 16852 20446 16200 19924 13686 19924 5307 20036 3538 21041 5586 21377 5959 21451 4934 21414 2700 21302 2421" fillcolor="silver" stroked="f">
          <v:fill opacity=".5"/>
          <v:textpath style="font-family:&quot;Times New Roman&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27" w:rsidRDefault="00DF6A27" w:rsidP="001A573F">
    <w:pPr>
      <w:pStyle w:val="Header"/>
      <w:jc w:val="right"/>
    </w:pPr>
  </w:p>
  <w:p w:rsidR="00DF6A27" w:rsidRDefault="00DF6A27" w:rsidP="001A573F">
    <w:pPr>
      <w:pStyle w:val="Header"/>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27" w:rsidRDefault="000E5C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60288;mso-position-horizontal:center;mso-position-horizontal-relative:margin;mso-position-vertical:center;mso-position-vertical-relative:margin" wrapcoords="21302 2421 14003 2421 13966 2793 14561 4562 14561 8752 11619 2328 11470 1955 10502 9124 8081 3817 7188 2141 7001 2514 5288 2421 4841 2421 4841 2886 5437 4934 5400 6890 3426 3352 2942 2514 223 2421 74 2514 112 3072 670 5586 521 15828 0 16479 74 16572 186 16945 2644 16852 3240 16293 3724 15362 3910 15828 5102 17131 5214 17038 6108 17131 6703 16852 6741 16572 6108 12941 7039 15269 8417 17503 8603 17038 10577 16945 10577 16386 10167 14617 10390 13034 11582 16107 12550 17690 12811 17038 15306 16945 15902 16852 15902 16386 15269 14803 15269 10521 15865 9869 18583 16666 19217 17969 19552 17038 20371 16945 20520 16852 20446 16200 19924 13686 19924 5307 20036 3538 21041 5586 21377 5959 21451 4934 21414 2700 21302 2421"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27A4C"/>
    <w:multiLevelType w:val="hybridMultilevel"/>
    <w:tmpl w:val="F7843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957C84"/>
    <w:multiLevelType w:val="multilevel"/>
    <w:tmpl w:val="5E9E346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46F0B0B"/>
    <w:multiLevelType w:val="hybridMultilevel"/>
    <w:tmpl w:val="A8649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652E7D"/>
    <w:multiLevelType w:val="hybridMultilevel"/>
    <w:tmpl w:val="C9CACF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1AF7AB5"/>
    <w:multiLevelType w:val="hybridMultilevel"/>
    <w:tmpl w:val="60122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053D28"/>
    <w:multiLevelType w:val="hybridMultilevel"/>
    <w:tmpl w:val="FCCA7A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7D202D"/>
    <w:multiLevelType w:val="hybridMultilevel"/>
    <w:tmpl w:val="3A6A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9B2671"/>
    <w:multiLevelType w:val="hybridMultilevel"/>
    <w:tmpl w:val="074E9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827B3F"/>
    <w:multiLevelType w:val="hybridMultilevel"/>
    <w:tmpl w:val="752EE4DC"/>
    <w:lvl w:ilvl="0" w:tplc="C7825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E2253A"/>
    <w:multiLevelType w:val="hybridMultilevel"/>
    <w:tmpl w:val="73A01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7A1DC2"/>
    <w:multiLevelType w:val="hybridMultilevel"/>
    <w:tmpl w:val="CDBEA3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820856"/>
    <w:multiLevelType w:val="singleLevel"/>
    <w:tmpl w:val="6C78A414"/>
    <w:lvl w:ilvl="0">
      <w:start w:val="1"/>
      <w:numFmt w:val="decimal"/>
      <w:lvlText w:val="%1."/>
      <w:legacy w:legacy="1" w:legacySpace="0" w:legacyIndent="0"/>
      <w:lvlJc w:val="left"/>
    </w:lvl>
  </w:abstractNum>
  <w:num w:numId="1">
    <w:abstractNumId w:val="1"/>
  </w:num>
  <w:num w:numId="2">
    <w:abstractNumId w:val="5"/>
  </w:num>
  <w:num w:numId="3">
    <w:abstractNumId w:val="2"/>
  </w:num>
  <w:num w:numId="4">
    <w:abstractNumId w:val="3"/>
  </w:num>
  <w:num w:numId="5">
    <w:abstractNumId w:val="11"/>
  </w:num>
  <w:num w:numId="6">
    <w:abstractNumId w:val="10"/>
  </w:num>
  <w:num w:numId="7">
    <w:abstractNumId w:val="7"/>
  </w:num>
  <w:num w:numId="8">
    <w:abstractNumId w:val="0"/>
  </w:num>
  <w:num w:numId="9">
    <w:abstractNumId w:val="6"/>
  </w:num>
  <w:num w:numId="10">
    <w:abstractNumId w:val="4"/>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F01"/>
  <w:defaultTabStop w:val="720"/>
  <w:drawingGridHorizontalSpacing w:val="120"/>
  <w:displayHorizontalDrawingGridEvery w:val="2"/>
  <w:noPunctuationKerning/>
  <w:characterSpacingControl w:val="doNotCompress"/>
  <w:hdrShapeDefaults>
    <o:shapedefaults v:ext="edit" spidmax="6146">
      <o:colormenu v:ext="edit" fillcolor="silver"/>
    </o:shapedefaults>
    <o:shapelayout v:ext="edit">
      <o:idmap v:ext="edit" data="2"/>
    </o:shapelayout>
  </w:hdrShapeDefaults>
  <w:footnotePr>
    <w:footnote w:id="-1"/>
    <w:footnote w:id="0"/>
  </w:footnotePr>
  <w:endnotePr>
    <w:numFmt w:val="decimal"/>
    <w:endnote w:id="-1"/>
    <w:endnote w:id="0"/>
  </w:endnotePr>
  <w:compat/>
  <w:rsids>
    <w:rsidRoot w:val="00E71EF1"/>
    <w:rsid w:val="00001514"/>
    <w:rsid w:val="000056D7"/>
    <w:rsid w:val="00006002"/>
    <w:rsid w:val="000106CB"/>
    <w:rsid w:val="0001078F"/>
    <w:rsid w:val="00014740"/>
    <w:rsid w:val="000170B5"/>
    <w:rsid w:val="00017488"/>
    <w:rsid w:val="000176AD"/>
    <w:rsid w:val="000213EA"/>
    <w:rsid w:val="00024AA9"/>
    <w:rsid w:val="00026F78"/>
    <w:rsid w:val="000272C2"/>
    <w:rsid w:val="00030607"/>
    <w:rsid w:val="0003064A"/>
    <w:rsid w:val="00031FFD"/>
    <w:rsid w:val="000351CB"/>
    <w:rsid w:val="0003539F"/>
    <w:rsid w:val="00046862"/>
    <w:rsid w:val="000571F6"/>
    <w:rsid w:val="00057C09"/>
    <w:rsid w:val="0006053E"/>
    <w:rsid w:val="00062033"/>
    <w:rsid w:val="0006490F"/>
    <w:rsid w:val="00066D5B"/>
    <w:rsid w:val="000678A2"/>
    <w:rsid w:val="00067EB5"/>
    <w:rsid w:val="000719AA"/>
    <w:rsid w:val="00073638"/>
    <w:rsid w:val="000749EA"/>
    <w:rsid w:val="00074E6D"/>
    <w:rsid w:val="00077161"/>
    <w:rsid w:val="00080302"/>
    <w:rsid w:val="00080EDB"/>
    <w:rsid w:val="000814B9"/>
    <w:rsid w:val="000842B9"/>
    <w:rsid w:val="00084C12"/>
    <w:rsid w:val="00085DF5"/>
    <w:rsid w:val="00086594"/>
    <w:rsid w:val="00087378"/>
    <w:rsid w:val="00095610"/>
    <w:rsid w:val="000966CC"/>
    <w:rsid w:val="000A29EB"/>
    <w:rsid w:val="000A2FB3"/>
    <w:rsid w:val="000A3155"/>
    <w:rsid w:val="000A48F2"/>
    <w:rsid w:val="000A618D"/>
    <w:rsid w:val="000B0B1E"/>
    <w:rsid w:val="000B3D50"/>
    <w:rsid w:val="000B7FA8"/>
    <w:rsid w:val="000C065E"/>
    <w:rsid w:val="000C3CEA"/>
    <w:rsid w:val="000E0F8D"/>
    <w:rsid w:val="000E16F0"/>
    <w:rsid w:val="000E31B5"/>
    <w:rsid w:val="000E5CA3"/>
    <w:rsid w:val="000F0069"/>
    <w:rsid w:val="000F32F1"/>
    <w:rsid w:val="000F6859"/>
    <w:rsid w:val="000F7988"/>
    <w:rsid w:val="001000D8"/>
    <w:rsid w:val="00102E29"/>
    <w:rsid w:val="00104454"/>
    <w:rsid w:val="001048C9"/>
    <w:rsid w:val="0011418F"/>
    <w:rsid w:val="00115EB1"/>
    <w:rsid w:val="00121AB4"/>
    <w:rsid w:val="00121D7D"/>
    <w:rsid w:val="001248A3"/>
    <w:rsid w:val="00124F32"/>
    <w:rsid w:val="00126483"/>
    <w:rsid w:val="00126A4E"/>
    <w:rsid w:val="00127CC8"/>
    <w:rsid w:val="0013046A"/>
    <w:rsid w:val="0013087E"/>
    <w:rsid w:val="00136D56"/>
    <w:rsid w:val="00136DB8"/>
    <w:rsid w:val="00140AD2"/>
    <w:rsid w:val="00150EC7"/>
    <w:rsid w:val="0015205E"/>
    <w:rsid w:val="00155846"/>
    <w:rsid w:val="00155EF5"/>
    <w:rsid w:val="00157D93"/>
    <w:rsid w:val="00164888"/>
    <w:rsid w:val="00166E46"/>
    <w:rsid w:val="00167F2B"/>
    <w:rsid w:val="00172C41"/>
    <w:rsid w:val="00176431"/>
    <w:rsid w:val="001770E5"/>
    <w:rsid w:val="00180217"/>
    <w:rsid w:val="00192AAD"/>
    <w:rsid w:val="00194E14"/>
    <w:rsid w:val="001965AF"/>
    <w:rsid w:val="00196D7C"/>
    <w:rsid w:val="001A363C"/>
    <w:rsid w:val="001A4516"/>
    <w:rsid w:val="001A46C2"/>
    <w:rsid w:val="001A573F"/>
    <w:rsid w:val="001A64C6"/>
    <w:rsid w:val="001A7081"/>
    <w:rsid w:val="001A73E3"/>
    <w:rsid w:val="001B1A9F"/>
    <w:rsid w:val="001B1AA3"/>
    <w:rsid w:val="001B242B"/>
    <w:rsid w:val="001B3B04"/>
    <w:rsid w:val="001B5FBA"/>
    <w:rsid w:val="001B75E6"/>
    <w:rsid w:val="001B792D"/>
    <w:rsid w:val="001D04C7"/>
    <w:rsid w:val="001D164F"/>
    <w:rsid w:val="001D16C2"/>
    <w:rsid w:val="001D3F48"/>
    <w:rsid w:val="001D483C"/>
    <w:rsid w:val="001D554B"/>
    <w:rsid w:val="001D6F90"/>
    <w:rsid w:val="001F021E"/>
    <w:rsid w:val="001F23A3"/>
    <w:rsid w:val="001F4083"/>
    <w:rsid w:val="001F49C7"/>
    <w:rsid w:val="001F627F"/>
    <w:rsid w:val="001F7023"/>
    <w:rsid w:val="00200174"/>
    <w:rsid w:val="00200359"/>
    <w:rsid w:val="00201A89"/>
    <w:rsid w:val="00203A0F"/>
    <w:rsid w:val="00204E00"/>
    <w:rsid w:val="002056BF"/>
    <w:rsid w:val="00212C9F"/>
    <w:rsid w:val="002154B2"/>
    <w:rsid w:val="00215978"/>
    <w:rsid w:val="00216EC2"/>
    <w:rsid w:val="002170C8"/>
    <w:rsid w:val="002203EA"/>
    <w:rsid w:val="002257FA"/>
    <w:rsid w:val="002319D8"/>
    <w:rsid w:val="00235694"/>
    <w:rsid w:val="00235FCA"/>
    <w:rsid w:val="0024233E"/>
    <w:rsid w:val="00243BAC"/>
    <w:rsid w:val="00244BD6"/>
    <w:rsid w:val="00244D6E"/>
    <w:rsid w:val="00245A56"/>
    <w:rsid w:val="002466F4"/>
    <w:rsid w:val="00250667"/>
    <w:rsid w:val="00252352"/>
    <w:rsid w:val="002534B4"/>
    <w:rsid w:val="00255067"/>
    <w:rsid w:val="00256E2F"/>
    <w:rsid w:val="0025738E"/>
    <w:rsid w:val="002614B5"/>
    <w:rsid w:val="002628B9"/>
    <w:rsid w:val="00264EEE"/>
    <w:rsid w:val="002651C9"/>
    <w:rsid w:val="0027474D"/>
    <w:rsid w:val="00274A7E"/>
    <w:rsid w:val="00274BF2"/>
    <w:rsid w:val="00276ED1"/>
    <w:rsid w:val="002777FF"/>
    <w:rsid w:val="00281612"/>
    <w:rsid w:val="002847C4"/>
    <w:rsid w:val="00284D22"/>
    <w:rsid w:val="0028532B"/>
    <w:rsid w:val="00285AF5"/>
    <w:rsid w:val="0028709C"/>
    <w:rsid w:val="0028793C"/>
    <w:rsid w:val="00291D75"/>
    <w:rsid w:val="00293791"/>
    <w:rsid w:val="00295B67"/>
    <w:rsid w:val="002A2C2E"/>
    <w:rsid w:val="002A4B6C"/>
    <w:rsid w:val="002B0ECF"/>
    <w:rsid w:val="002B35E4"/>
    <w:rsid w:val="002B4E8A"/>
    <w:rsid w:val="002C12FA"/>
    <w:rsid w:val="002C21F9"/>
    <w:rsid w:val="002C26EB"/>
    <w:rsid w:val="002C321E"/>
    <w:rsid w:val="002C42E0"/>
    <w:rsid w:val="002C4F1C"/>
    <w:rsid w:val="002C5CDA"/>
    <w:rsid w:val="002C7B46"/>
    <w:rsid w:val="002D0327"/>
    <w:rsid w:val="002D4621"/>
    <w:rsid w:val="002D690B"/>
    <w:rsid w:val="002E0043"/>
    <w:rsid w:val="002E40A2"/>
    <w:rsid w:val="002E47B4"/>
    <w:rsid w:val="002E5671"/>
    <w:rsid w:val="002E6F3F"/>
    <w:rsid w:val="002F0273"/>
    <w:rsid w:val="002F105C"/>
    <w:rsid w:val="002F3E5E"/>
    <w:rsid w:val="002F3FE5"/>
    <w:rsid w:val="002F4CB6"/>
    <w:rsid w:val="002F4E43"/>
    <w:rsid w:val="002F4E8C"/>
    <w:rsid w:val="002F511A"/>
    <w:rsid w:val="002F59F5"/>
    <w:rsid w:val="0030114D"/>
    <w:rsid w:val="00302B74"/>
    <w:rsid w:val="003032B7"/>
    <w:rsid w:val="003049F7"/>
    <w:rsid w:val="003052C2"/>
    <w:rsid w:val="0030550A"/>
    <w:rsid w:val="003129E8"/>
    <w:rsid w:val="0031485C"/>
    <w:rsid w:val="00315AB7"/>
    <w:rsid w:val="00324D0F"/>
    <w:rsid w:val="003259CD"/>
    <w:rsid w:val="00325DC5"/>
    <w:rsid w:val="003264FB"/>
    <w:rsid w:val="00335017"/>
    <w:rsid w:val="00340DAD"/>
    <w:rsid w:val="00341840"/>
    <w:rsid w:val="0034551B"/>
    <w:rsid w:val="00345DE6"/>
    <w:rsid w:val="0034647B"/>
    <w:rsid w:val="00347AB1"/>
    <w:rsid w:val="00350382"/>
    <w:rsid w:val="00353DC2"/>
    <w:rsid w:val="00357EBF"/>
    <w:rsid w:val="0036042B"/>
    <w:rsid w:val="00361113"/>
    <w:rsid w:val="00362067"/>
    <w:rsid w:val="00374640"/>
    <w:rsid w:val="00377407"/>
    <w:rsid w:val="0038391A"/>
    <w:rsid w:val="00392B5E"/>
    <w:rsid w:val="00393618"/>
    <w:rsid w:val="00393ABE"/>
    <w:rsid w:val="00393D41"/>
    <w:rsid w:val="00395845"/>
    <w:rsid w:val="00395E08"/>
    <w:rsid w:val="003A1B51"/>
    <w:rsid w:val="003A374C"/>
    <w:rsid w:val="003A4F9F"/>
    <w:rsid w:val="003A648E"/>
    <w:rsid w:val="003B7442"/>
    <w:rsid w:val="003C0906"/>
    <w:rsid w:val="003C335F"/>
    <w:rsid w:val="003C48C5"/>
    <w:rsid w:val="003C5980"/>
    <w:rsid w:val="003C6DFA"/>
    <w:rsid w:val="003D5191"/>
    <w:rsid w:val="003D51E0"/>
    <w:rsid w:val="003D60B8"/>
    <w:rsid w:val="003D6453"/>
    <w:rsid w:val="003D75F9"/>
    <w:rsid w:val="003E1450"/>
    <w:rsid w:val="003E24CE"/>
    <w:rsid w:val="003E3441"/>
    <w:rsid w:val="003E3941"/>
    <w:rsid w:val="003E540D"/>
    <w:rsid w:val="003E56DD"/>
    <w:rsid w:val="003E5A3E"/>
    <w:rsid w:val="003E60D9"/>
    <w:rsid w:val="003F3DED"/>
    <w:rsid w:val="003F5AA8"/>
    <w:rsid w:val="003F5B70"/>
    <w:rsid w:val="0040323C"/>
    <w:rsid w:val="004078BB"/>
    <w:rsid w:val="00407BEF"/>
    <w:rsid w:val="004129A8"/>
    <w:rsid w:val="0041339D"/>
    <w:rsid w:val="00415754"/>
    <w:rsid w:val="00420720"/>
    <w:rsid w:val="00421ED8"/>
    <w:rsid w:val="004222C5"/>
    <w:rsid w:val="0042297B"/>
    <w:rsid w:val="00422F19"/>
    <w:rsid w:val="00425FE9"/>
    <w:rsid w:val="00427131"/>
    <w:rsid w:val="00431030"/>
    <w:rsid w:val="00432356"/>
    <w:rsid w:val="004323E9"/>
    <w:rsid w:val="00436F7E"/>
    <w:rsid w:val="00437346"/>
    <w:rsid w:val="0044128D"/>
    <w:rsid w:val="0044337C"/>
    <w:rsid w:val="00445790"/>
    <w:rsid w:val="00446DB6"/>
    <w:rsid w:val="00450273"/>
    <w:rsid w:val="00453926"/>
    <w:rsid w:val="004551F3"/>
    <w:rsid w:val="004555B5"/>
    <w:rsid w:val="00455856"/>
    <w:rsid w:val="00455966"/>
    <w:rsid w:val="004563F1"/>
    <w:rsid w:val="004602EC"/>
    <w:rsid w:val="004617A6"/>
    <w:rsid w:val="0046436F"/>
    <w:rsid w:val="00464521"/>
    <w:rsid w:val="00466F0A"/>
    <w:rsid w:val="00467567"/>
    <w:rsid w:val="00467FDE"/>
    <w:rsid w:val="00474079"/>
    <w:rsid w:val="00480649"/>
    <w:rsid w:val="004809C9"/>
    <w:rsid w:val="0048257A"/>
    <w:rsid w:val="00486CF9"/>
    <w:rsid w:val="004874A5"/>
    <w:rsid w:val="00487D95"/>
    <w:rsid w:val="00492048"/>
    <w:rsid w:val="00492D89"/>
    <w:rsid w:val="00495097"/>
    <w:rsid w:val="00497CD3"/>
    <w:rsid w:val="004A2D46"/>
    <w:rsid w:val="004A6FCA"/>
    <w:rsid w:val="004A72A7"/>
    <w:rsid w:val="004B1427"/>
    <w:rsid w:val="004B2CFB"/>
    <w:rsid w:val="004B5225"/>
    <w:rsid w:val="004C3107"/>
    <w:rsid w:val="004C4E2A"/>
    <w:rsid w:val="004D09D0"/>
    <w:rsid w:val="004D2C76"/>
    <w:rsid w:val="004D4BFC"/>
    <w:rsid w:val="004D58D5"/>
    <w:rsid w:val="004D71AF"/>
    <w:rsid w:val="004D7859"/>
    <w:rsid w:val="004D7A01"/>
    <w:rsid w:val="004D7FE8"/>
    <w:rsid w:val="004E445B"/>
    <w:rsid w:val="004F1DB8"/>
    <w:rsid w:val="004F3EDB"/>
    <w:rsid w:val="004F55EC"/>
    <w:rsid w:val="004F61DD"/>
    <w:rsid w:val="00500372"/>
    <w:rsid w:val="00502569"/>
    <w:rsid w:val="00506204"/>
    <w:rsid w:val="00511171"/>
    <w:rsid w:val="005136CC"/>
    <w:rsid w:val="00513858"/>
    <w:rsid w:val="00514EEC"/>
    <w:rsid w:val="0052038D"/>
    <w:rsid w:val="00521874"/>
    <w:rsid w:val="00521920"/>
    <w:rsid w:val="00523D2E"/>
    <w:rsid w:val="00530B04"/>
    <w:rsid w:val="00531D4A"/>
    <w:rsid w:val="00532828"/>
    <w:rsid w:val="005353AB"/>
    <w:rsid w:val="0053683E"/>
    <w:rsid w:val="005403E8"/>
    <w:rsid w:val="005409BE"/>
    <w:rsid w:val="00542990"/>
    <w:rsid w:val="00542A98"/>
    <w:rsid w:val="0054599C"/>
    <w:rsid w:val="00545B79"/>
    <w:rsid w:val="00546A5C"/>
    <w:rsid w:val="00551725"/>
    <w:rsid w:val="00551EF3"/>
    <w:rsid w:val="00552F98"/>
    <w:rsid w:val="005538CD"/>
    <w:rsid w:val="00553BAD"/>
    <w:rsid w:val="00554084"/>
    <w:rsid w:val="0056163A"/>
    <w:rsid w:val="00561AA8"/>
    <w:rsid w:val="00562217"/>
    <w:rsid w:val="005634A7"/>
    <w:rsid w:val="005657E2"/>
    <w:rsid w:val="00565923"/>
    <w:rsid w:val="00567397"/>
    <w:rsid w:val="00567547"/>
    <w:rsid w:val="00573E3B"/>
    <w:rsid w:val="005767E1"/>
    <w:rsid w:val="005773BB"/>
    <w:rsid w:val="00577790"/>
    <w:rsid w:val="0058173B"/>
    <w:rsid w:val="00581EEF"/>
    <w:rsid w:val="00585C83"/>
    <w:rsid w:val="00593254"/>
    <w:rsid w:val="005943E3"/>
    <w:rsid w:val="005A1F9D"/>
    <w:rsid w:val="005A306E"/>
    <w:rsid w:val="005A3798"/>
    <w:rsid w:val="005A3ADD"/>
    <w:rsid w:val="005A58BD"/>
    <w:rsid w:val="005A5C69"/>
    <w:rsid w:val="005A7302"/>
    <w:rsid w:val="005B2315"/>
    <w:rsid w:val="005B2D45"/>
    <w:rsid w:val="005B3CAE"/>
    <w:rsid w:val="005C200C"/>
    <w:rsid w:val="005C2772"/>
    <w:rsid w:val="005C2844"/>
    <w:rsid w:val="005C7F3F"/>
    <w:rsid w:val="005D3D67"/>
    <w:rsid w:val="005D6266"/>
    <w:rsid w:val="005E0808"/>
    <w:rsid w:val="005E3596"/>
    <w:rsid w:val="005E4FE9"/>
    <w:rsid w:val="005E5617"/>
    <w:rsid w:val="005F148C"/>
    <w:rsid w:val="005F19E0"/>
    <w:rsid w:val="005F57B5"/>
    <w:rsid w:val="005F5FE0"/>
    <w:rsid w:val="005F7AA1"/>
    <w:rsid w:val="005F7BFE"/>
    <w:rsid w:val="0060322D"/>
    <w:rsid w:val="00603634"/>
    <w:rsid w:val="00604FAE"/>
    <w:rsid w:val="00607663"/>
    <w:rsid w:val="006077C4"/>
    <w:rsid w:val="0061001E"/>
    <w:rsid w:val="00610B3C"/>
    <w:rsid w:val="00622319"/>
    <w:rsid w:val="00623394"/>
    <w:rsid w:val="0062416A"/>
    <w:rsid w:val="00625FB3"/>
    <w:rsid w:val="00632A52"/>
    <w:rsid w:val="006338B7"/>
    <w:rsid w:val="00633EFD"/>
    <w:rsid w:val="00636012"/>
    <w:rsid w:val="0063674C"/>
    <w:rsid w:val="00636987"/>
    <w:rsid w:val="00642FCD"/>
    <w:rsid w:val="00650F4B"/>
    <w:rsid w:val="00652DD9"/>
    <w:rsid w:val="006559C8"/>
    <w:rsid w:val="00657405"/>
    <w:rsid w:val="006605C2"/>
    <w:rsid w:val="00661BC5"/>
    <w:rsid w:val="00663A00"/>
    <w:rsid w:val="00673852"/>
    <w:rsid w:val="00680FE5"/>
    <w:rsid w:val="00681516"/>
    <w:rsid w:val="006832A4"/>
    <w:rsid w:val="00683C46"/>
    <w:rsid w:val="006872DB"/>
    <w:rsid w:val="00687436"/>
    <w:rsid w:val="00690092"/>
    <w:rsid w:val="00695ED2"/>
    <w:rsid w:val="006A1022"/>
    <w:rsid w:val="006A1A83"/>
    <w:rsid w:val="006A2C4B"/>
    <w:rsid w:val="006A55D2"/>
    <w:rsid w:val="006B0FF0"/>
    <w:rsid w:val="006B763D"/>
    <w:rsid w:val="006C0D90"/>
    <w:rsid w:val="006C5A50"/>
    <w:rsid w:val="006D2EBA"/>
    <w:rsid w:val="006D3E1F"/>
    <w:rsid w:val="006D4AE1"/>
    <w:rsid w:val="006D52D8"/>
    <w:rsid w:val="006D649E"/>
    <w:rsid w:val="006E0111"/>
    <w:rsid w:val="006F0139"/>
    <w:rsid w:val="006F0CF7"/>
    <w:rsid w:val="006F214B"/>
    <w:rsid w:val="006F28C7"/>
    <w:rsid w:val="006F740C"/>
    <w:rsid w:val="0070443C"/>
    <w:rsid w:val="00712477"/>
    <w:rsid w:val="00713602"/>
    <w:rsid w:val="00713962"/>
    <w:rsid w:val="00721A54"/>
    <w:rsid w:val="00721C75"/>
    <w:rsid w:val="007228DB"/>
    <w:rsid w:val="00723862"/>
    <w:rsid w:val="007246AA"/>
    <w:rsid w:val="00730129"/>
    <w:rsid w:val="00730773"/>
    <w:rsid w:val="00731859"/>
    <w:rsid w:val="00732157"/>
    <w:rsid w:val="00733275"/>
    <w:rsid w:val="00735A4C"/>
    <w:rsid w:val="00735CB1"/>
    <w:rsid w:val="00742E8A"/>
    <w:rsid w:val="007431B7"/>
    <w:rsid w:val="00745482"/>
    <w:rsid w:val="00745E44"/>
    <w:rsid w:val="00746DDC"/>
    <w:rsid w:val="007475AA"/>
    <w:rsid w:val="0075061C"/>
    <w:rsid w:val="00753080"/>
    <w:rsid w:val="00753379"/>
    <w:rsid w:val="00754D25"/>
    <w:rsid w:val="00755961"/>
    <w:rsid w:val="00756A18"/>
    <w:rsid w:val="00757590"/>
    <w:rsid w:val="00763555"/>
    <w:rsid w:val="007652CE"/>
    <w:rsid w:val="00767B99"/>
    <w:rsid w:val="0077749B"/>
    <w:rsid w:val="007821CF"/>
    <w:rsid w:val="00785112"/>
    <w:rsid w:val="00785363"/>
    <w:rsid w:val="00786700"/>
    <w:rsid w:val="007867C4"/>
    <w:rsid w:val="007878B9"/>
    <w:rsid w:val="007924CE"/>
    <w:rsid w:val="0079521E"/>
    <w:rsid w:val="00796071"/>
    <w:rsid w:val="007A03BB"/>
    <w:rsid w:val="007A1510"/>
    <w:rsid w:val="007A768C"/>
    <w:rsid w:val="007B2CAC"/>
    <w:rsid w:val="007B44FB"/>
    <w:rsid w:val="007B6838"/>
    <w:rsid w:val="007B7326"/>
    <w:rsid w:val="007C0E38"/>
    <w:rsid w:val="007C14BC"/>
    <w:rsid w:val="007C18E3"/>
    <w:rsid w:val="007C4E08"/>
    <w:rsid w:val="007C69DE"/>
    <w:rsid w:val="007D1990"/>
    <w:rsid w:val="007D2F4C"/>
    <w:rsid w:val="007D2FF3"/>
    <w:rsid w:val="007D3DFF"/>
    <w:rsid w:val="007D3F38"/>
    <w:rsid w:val="007D4DB8"/>
    <w:rsid w:val="007D55D4"/>
    <w:rsid w:val="007D7EE9"/>
    <w:rsid w:val="007E2197"/>
    <w:rsid w:val="007E3304"/>
    <w:rsid w:val="007F1E48"/>
    <w:rsid w:val="007F2ECC"/>
    <w:rsid w:val="007F4DD5"/>
    <w:rsid w:val="007F5E58"/>
    <w:rsid w:val="007F6C7D"/>
    <w:rsid w:val="007F7398"/>
    <w:rsid w:val="00800BFA"/>
    <w:rsid w:val="00805969"/>
    <w:rsid w:val="00810D62"/>
    <w:rsid w:val="00811D89"/>
    <w:rsid w:val="00812448"/>
    <w:rsid w:val="00814500"/>
    <w:rsid w:val="00816DED"/>
    <w:rsid w:val="00817453"/>
    <w:rsid w:val="00822F77"/>
    <w:rsid w:val="00833593"/>
    <w:rsid w:val="00833AF7"/>
    <w:rsid w:val="00835579"/>
    <w:rsid w:val="00840683"/>
    <w:rsid w:val="00844106"/>
    <w:rsid w:val="00844B27"/>
    <w:rsid w:val="00844D29"/>
    <w:rsid w:val="00844D95"/>
    <w:rsid w:val="008455F9"/>
    <w:rsid w:val="00846195"/>
    <w:rsid w:val="00846FA0"/>
    <w:rsid w:val="008479B6"/>
    <w:rsid w:val="0086002F"/>
    <w:rsid w:val="0086096A"/>
    <w:rsid w:val="00862E19"/>
    <w:rsid w:val="00863302"/>
    <w:rsid w:val="0086391A"/>
    <w:rsid w:val="00863F9D"/>
    <w:rsid w:val="008652B3"/>
    <w:rsid w:val="0086624F"/>
    <w:rsid w:val="0086628A"/>
    <w:rsid w:val="00867F2F"/>
    <w:rsid w:val="00871279"/>
    <w:rsid w:val="00872913"/>
    <w:rsid w:val="00873F82"/>
    <w:rsid w:val="00874A13"/>
    <w:rsid w:val="008750F2"/>
    <w:rsid w:val="008817B1"/>
    <w:rsid w:val="008834BB"/>
    <w:rsid w:val="008846D2"/>
    <w:rsid w:val="00890D10"/>
    <w:rsid w:val="00890F95"/>
    <w:rsid w:val="0089311A"/>
    <w:rsid w:val="00893398"/>
    <w:rsid w:val="008946C3"/>
    <w:rsid w:val="008948E0"/>
    <w:rsid w:val="008A0C54"/>
    <w:rsid w:val="008A2A73"/>
    <w:rsid w:val="008B034D"/>
    <w:rsid w:val="008B0BBC"/>
    <w:rsid w:val="008B3E98"/>
    <w:rsid w:val="008B42A8"/>
    <w:rsid w:val="008B5003"/>
    <w:rsid w:val="008B7927"/>
    <w:rsid w:val="008C71B5"/>
    <w:rsid w:val="008C79C9"/>
    <w:rsid w:val="008D4DC8"/>
    <w:rsid w:val="008D553E"/>
    <w:rsid w:val="008E3D62"/>
    <w:rsid w:val="008E431F"/>
    <w:rsid w:val="008F0D36"/>
    <w:rsid w:val="008F12D4"/>
    <w:rsid w:val="008F27F9"/>
    <w:rsid w:val="008F386F"/>
    <w:rsid w:val="008F3D18"/>
    <w:rsid w:val="009013AD"/>
    <w:rsid w:val="009013EC"/>
    <w:rsid w:val="00903C95"/>
    <w:rsid w:val="0090459B"/>
    <w:rsid w:val="009046D4"/>
    <w:rsid w:val="0091058D"/>
    <w:rsid w:val="00913A0F"/>
    <w:rsid w:val="00914959"/>
    <w:rsid w:val="009168A1"/>
    <w:rsid w:val="009222C2"/>
    <w:rsid w:val="0092237B"/>
    <w:rsid w:val="00922618"/>
    <w:rsid w:val="00924681"/>
    <w:rsid w:val="0092622E"/>
    <w:rsid w:val="00932F58"/>
    <w:rsid w:val="00935A63"/>
    <w:rsid w:val="00935D6E"/>
    <w:rsid w:val="00937992"/>
    <w:rsid w:val="00945002"/>
    <w:rsid w:val="00945CB0"/>
    <w:rsid w:val="009548C2"/>
    <w:rsid w:val="009556C7"/>
    <w:rsid w:val="00955CBA"/>
    <w:rsid w:val="0095696D"/>
    <w:rsid w:val="009604A0"/>
    <w:rsid w:val="00963B5E"/>
    <w:rsid w:val="00963FA0"/>
    <w:rsid w:val="0096491F"/>
    <w:rsid w:val="00966E4F"/>
    <w:rsid w:val="00972CA0"/>
    <w:rsid w:val="00973AEF"/>
    <w:rsid w:val="00974E95"/>
    <w:rsid w:val="00977BF5"/>
    <w:rsid w:val="0098302D"/>
    <w:rsid w:val="00984E64"/>
    <w:rsid w:val="0098572E"/>
    <w:rsid w:val="00987608"/>
    <w:rsid w:val="009953BC"/>
    <w:rsid w:val="009963D2"/>
    <w:rsid w:val="009A0E6E"/>
    <w:rsid w:val="009A16BE"/>
    <w:rsid w:val="009A2337"/>
    <w:rsid w:val="009A7B5A"/>
    <w:rsid w:val="009A7F79"/>
    <w:rsid w:val="009B2BDC"/>
    <w:rsid w:val="009B6201"/>
    <w:rsid w:val="009C10D9"/>
    <w:rsid w:val="009C3931"/>
    <w:rsid w:val="009C5CA0"/>
    <w:rsid w:val="009C6331"/>
    <w:rsid w:val="009C7471"/>
    <w:rsid w:val="009D1DF4"/>
    <w:rsid w:val="009D582B"/>
    <w:rsid w:val="009D79F2"/>
    <w:rsid w:val="009D7A24"/>
    <w:rsid w:val="009E08B3"/>
    <w:rsid w:val="009E0F6B"/>
    <w:rsid w:val="009E4F63"/>
    <w:rsid w:val="009E5D18"/>
    <w:rsid w:val="009F11C2"/>
    <w:rsid w:val="009F2130"/>
    <w:rsid w:val="009F55F9"/>
    <w:rsid w:val="009F6E32"/>
    <w:rsid w:val="009F6F8B"/>
    <w:rsid w:val="009F7164"/>
    <w:rsid w:val="00A07688"/>
    <w:rsid w:val="00A127DD"/>
    <w:rsid w:val="00A13A06"/>
    <w:rsid w:val="00A13D03"/>
    <w:rsid w:val="00A14B8E"/>
    <w:rsid w:val="00A14E6C"/>
    <w:rsid w:val="00A167EC"/>
    <w:rsid w:val="00A24C8D"/>
    <w:rsid w:val="00A26F15"/>
    <w:rsid w:val="00A3061D"/>
    <w:rsid w:val="00A30E37"/>
    <w:rsid w:val="00A34456"/>
    <w:rsid w:val="00A35A76"/>
    <w:rsid w:val="00A35CF8"/>
    <w:rsid w:val="00A360E7"/>
    <w:rsid w:val="00A37154"/>
    <w:rsid w:val="00A400FB"/>
    <w:rsid w:val="00A456B3"/>
    <w:rsid w:val="00A51D78"/>
    <w:rsid w:val="00A51EA8"/>
    <w:rsid w:val="00A549C3"/>
    <w:rsid w:val="00A55525"/>
    <w:rsid w:val="00A649B6"/>
    <w:rsid w:val="00A7007B"/>
    <w:rsid w:val="00A73B6D"/>
    <w:rsid w:val="00A74C8B"/>
    <w:rsid w:val="00A75B6C"/>
    <w:rsid w:val="00A84B87"/>
    <w:rsid w:val="00A84D4B"/>
    <w:rsid w:val="00A8592D"/>
    <w:rsid w:val="00A90D08"/>
    <w:rsid w:val="00A93FFF"/>
    <w:rsid w:val="00A9473C"/>
    <w:rsid w:val="00A96D45"/>
    <w:rsid w:val="00A96E96"/>
    <w:rsid w:val="00AA18DD"/>
    <w:rsid w:val="00AA1F91"/>
    <w:rsid w:val="00AA5CE1"/>
    <w:rsid w:val="00AB2D9E"/>
    <w:rsid w:val="00AB4404"/>
    <w:rsid w:val="00AC21EE"/>
    <w:rsid w:val="00AC32E3"/>
    <w:rsid w:val="00AC3B22"/>
    <w:rsid w:val="00AD1B42"/>
    <w:rsid w:val="00AD4B84"/>
    <w:rsid w:val="00AD6AD0"/>
    <w:rsid w:val="00AE23BE"/>
    <w:rsid w:val="00AE4B91"/>
    <w:rsid w:val="00AE5772"/>
    <w:rsid w:val="00AF0AC0"/>
    <w:rsid w:val="00AF4CA9"/>
    <w:rsid w:val="00B008BF"/>
    <w:rsid w:val="00B13F43"/>
    <w:rsid w:val="00B17EBB"/>
    <w:rsid w:val="00B22944"/>
    <w:rsid w:val="00B24A6F"/>
    <w:rsid w:val="00B27576"/>
    <w:rsid w:val="00B278B9"/>
    <w:rsid w:val="00B34108"/>
    <w:rsid w:val="00B3434E"/>
    <w:rsid w:val="00B351FD"/>
    <w:rsid w:val="00B35BFD"/>
    <w:rsid w:val="00B421F2"/>
    <w:rsid w:val="00B42822"/>
    <w:rsid w:val="00B4395A"/>
    <w:rsid w:val="00B43BC5"/>
    <w:rsid w:val="00B47091"/>
    <w:rsid w:val="00B47E14"/>
    <w:rsid w:val="00B54256"/>
    <w:rsid w:val="00B545F4"/>
    <w:rsid w:val="00B56303"/>
    <w:rsid w:val="00B60556"/>
    <w:rsid w:val="00B6359A"/>
    <w:rsid w:val="00B64F62"/>
    <w:rsid w:val="00B654D8"/>
    <w:rsid w:val="00B70A4F"/>
    <w:rsid w:val="00B7164C"/>
    <w:rsid w:val="00B7606C"/>
    <w:rsid w:val="00B80F53"/>
    <w:rsid w:val="00B815E4"/>
    <w:rsid w:val="00B81CC5"/>
    <w:rsid w:val="00B82E26"/>
    <w:rsid w:val="00B9143E"/>
    <w:rsid w:val="00B93B2E"/>
    <w:rsid w:val="00B95FBC"/>
    <w:rsid w:val="00B97C44"/>
    <w:rsid w:val="00BA05AE"/>
    <w:rsid w:val="00BA1666"/>
    <w:rsid w:val="00BA2FA3"/>
    <w:rsid w:val="00BA5052"/>
    <w:rsid w:val="00BA621E"/>
    <w:rsid w:val="00BA6418"/>
    <w:rsid w:val="00BB3A8F"/>
    <w:rsid w:val="00BB64DF"/>
    <w:rsid w:val="00BC1C09"/>
    <w:rsid w:val="00BC1C99"/>
    <w:rsid w:val="00BC24DD"/>
    <w:rsid w:val="00BC42A8"/>
    <w:rsid w:val="00BC5899"/>
    <w:rsid w:val="00BC756B"/>
    <w:rsid w:val="00BD5425"/>
    <w:rsid w:val="00BE220B"/>
    <w:rsid w:val="00BE2A2B"/>
    <w:rsid w:val="00BF0332"/>
    <w:rsid w:val="00BF3CB4"/>
    <w:rsid w:val="00BF5FCC"/>
    <w:rsid w:val="00C05076"/>
    <w:rsid w:val="00C069A2"/>
    <w:rsid w:val="00C069EC"/>
    <w:rsid w:val="00C125EF"/>
    <w:rsid w:val="00C14A32"/>
    <w:rsid w:val="00C17416"/>
    <w:rsid w:val="00C221D5"/>
    <w:rsid w:val="00C2280A"/>
    <w:rsid w:val="00C30598"/>
    <w:rsid w:val="00C36A6A"/>
    <w:rsid w:val="00C41008"/>
    <w:rsid w:val="00C43787"/>
    <w:rsid w:val="00C45C85"/>
    <w:rsid w:val="00C5132D"/>
    <w:rsid w:val="00C533E6"/>
    <w:rsid w:val="00C56730"/>
    <w:rsid w:val="00C6024F"/>
    <w:rsid w:val="00C6201A"/>
    <w:rsid w:val="00C62F3A"/>
    <w:rsid w:val="00C63D95"/>
    <w:rsid w:val="00C739BF"/>
    <w:rsid w:val="00C746F1"/>
    <w:rsid w:val="00C754D0"/>
    <w:rsid w:val="00C7696F"/>
    <w:rsid w:val="00C87805"/>
    <w:rsid w:val="00C903DF"/>
    <w:rsid w:val="00C90663"/>
    <w:rsid w:val="00C93CA9"/>
    <w:rsid w:val="00C93DCA"/>
    <w:rsid w:val="00C970FF"/>
    <w:rsid w:val="00C97F7D"/>
    <w:rsid w:val="00CA071B"/>
    <w:rsid w:val="00CA5466"/>
    <w:rsid w:val="00CB2C4F"/>
    <w:rsid w:val="00CB3583"/>
    <w:rsid w:val="00CB5CC7"/>
    <w:rsid w:val="00CC150B"/>
    <w:rsid w:val="00CC257B"/>
    <w:rsid w:val="00CC34FF"/>
    <w:rsid w:val="00CC44F0"/>
    <w:rsid w:val="00CC622F"/>
    <w:rsid w:val="00CC684A"/>
    <w:rsid w:val="00CD396E"/>
    <w:rsid w:val="00CD42B0"/>
    <w:rsid w:val="00CD5104"/>
    <w:rsid w:val="00CD6046"/>
    <w:rsid w:val="00CE202E"/>
    <w:rsid w:val="00CE2229"/>
    <w:rsid w:val="00CE374E"/>
    <w:rsid w:val="00CE64B8"/>
    <w:rsid w:val="00CF34E4"/>
    <w:rsid w:val="00CF41AF"/>
    <w:rsid w:val="00CF46A3"/>
    <w:rsid w:val="00CF59E3"/>
    <w:rsid w:val="00CF6815"/>
    <w:rsid w:val="00D04D3D"/>
    <w:rsid w:val="00D05CA7"/>
    <w:rsid w:val="00D10E7F"/>
    <w:rsid w:val="00D113FC"/>
    <w:rsid w:val="00D11867"/>
    <w:rsid w:val="00D1202C"/>
    <w:rsid w:val="00D12313"/>
    <w:rsid w:val="00D12624"/>
    <w:rsid w:val="00D12929"/>
    <w:rsid w:val="00D16EF7"/>
    <w:rsid w:val="00D20486"/>
    <w:rsid w:val="00D228D8"/>
    <w:rsid w:val="00D278DE"/>
    <w:rsid w:val="00D31439"/>
    <w:rsid w:val="00D33677"/>
    <w:rsid w:val="00D361A4"/>
    <w:rsid w:val="00D40E27"/>
    <w:rsid w:val="00D42875"/>
    <w:rsid w:val="00D42B44"/>
    <w:rsid w:val="00D42C22"/>
    <w:rsid w:val="00D44A14"/>
    <w:rsid w:val="00D45D8C"/>
    <w:rsid w:val="00D47D29"/>
    <w:rsid w:val="00D47E5F"/>
    <w:rsid w:val="00D51D95"/>
    <w:rsid w:val="00D52A5E"/>
    <w:rsid w:val="00D52D4C"/>
    <w:rsid w:val="00D53EC6"/>
    <w:rsid w:val="00D55A00"/>
    <w:rsid w:val="00D56F77"/>
    <w:rsid w:val="00D61E9F"/>
    <w:rsid w:val="00D6402F"/>
    <w:rsid w:val="00D660FC"/>
    <w:rsid w:val="00D7047A"/>
    <w:rsid w:val="00D72225"/>
    <w:rsid w:val="00D73550"/>
    <w:rsid w:val="00D838F7"/>
    <w:rsid w:val="00D83A70"/>
    <w:rsid w:val="00D8479E"/>
    <w:rsid w:val="00D86733"/>
    <w:rsid w:val="00D91AE6"/>
    <w:rsid w:val="00D92EBF"/>
    <w:rsid w:val="00D95840"/>
    <w:rsid w:val="00DA4C98"/>
    <w:rsid w:val="00DA554C"/>
    <w:rsid w:val="00DA5E6F"/>
    <w:rsid w:val="00DA5F07"/>
    <w:rsid w:val="00DB4257"/>
    <w:rsid w:val="00DB42FB"/>
    <w:rsid w:val="00DB63D8"/>
    <w:rsid w:val="00DB7AEE"/>
    <w:rsid w:val="00DC39C4"/>
    <w:rsid w:val="00DC45AC"/>
    <w:rsid w:val="00DC45E0"/>
    <w:rsid w:val="00DD6B5E"/>
    <w:rsid w:val="00DE4BF6"/>
    <w:rsid w:val="00DE69D0"/>
    <w:rsid w:val="00DE7070"/>
    <w:rsid w:val="00DF21B8"/>
    <w:rsid w:val="00DF279E"/>
    <w:rsid w:val="00DF31EE"/>
    <w:rsid w:val="00DF3395"/>
    <w:rsid w:val="00DF6A27"/>
    <w:rsid w:val="00DF7097"/>
    <w:rsid w:val="00DF7681"/>
    <w:rsid w:val="00E02D36"/>
    <w:rsid w:val="00E03431"/>
    <w:rsid w:val="00E04E43"/>
    <w:rsid w:val="00E06C28"/>
    <w:rsid w:val="00E149CE"/>
    <w:rsid w:val="00E16AC4"/>
    <w:rsid w:val="00E23958"/>
    <w:rsid w:val="00E23AD4"/>
    <w:rsid w:val="00E23BEC"/>
    <w:rsid w:val="00E24D3A"/>
    <w:rsid w:val="00E24FE4"/>
    <w:rsid w:val="00E250B7"/>
    <w:rsid w:val="00E26033"/>
    <w:rsid w:val="00E32630"/>
    <w:rsid w:val="00E34D7E"/>
    <w:rsid w:val="00E361D9"/>
    <w:rsid w:val="00E4303A"/>
    <w:rsid w:val="00E430A8"/>
    <w:rsid w:val="00E50576"/>
    <w:rsid w:val="00E528AF"/>
    <w:rsid w:val="00E53131"/>
    <w:rsid w:val="00E53DF6"/>
    <w:rsid w:val="00E5518E"/>
    <w:rsid w:val="00E55A5C"/>
    <w:rsid w:val="00E56222"/>
    <w:rsid w:val="00E57743"/>
    <w:rsid w:val="00E577C9"/>
    <w:rsid w:val="00E602DF"/>
    <w:rsid w:val="00E62DD3"/>
    <w:rsid w:val="00E66D8F"/>
    <w:rsid w:val="00E6742D"/>
    <w:rsid w:val="00E71707"/>
    <w:rsid w:val="00E71EF1"/>
    <w:rsid w:val="00E731C6"/>
    <w:rsid w:val="00E740C4"/>
    <w:rsid w:val="00E74750"/>
    <w:rsid w:val="00E76686"/>
    <w:rsid w:val="00E80520"/>
    <w:rsid w:val="00E8055B"/>
    <w:rsid w:val="00E840FE"/>
    <w:rsid w:val="00E84DBD"/>
    <w:rsid w:val="00E85A05"/>
    <w:rsid w:val="00E9128A"/>
    <w:rsid w:val="00E91C15"/>
    <w:rsid w:val="00E943E8"/>
    <w:rsid w:val="00E94FAF"/>
    <w:rsid w:val="00E97CE5"/>
    <w:rsid w:val="00EA0528"/>
    <w:rsid w:val="00EA347E"/>
    <w:rsid w:val="00EA4E02"/>
    <w:rsid w:val="00EA6276"/>
    <w:rsid w:val="00EB048C"/>
    <w:rsid w:val="00EB05BB"/>
    <w:rsid w:val="00EB09ED"/>
    <w:rsid w:val="00EB2C67"/>
    <w:rsid w:val="00EB367C"/>
    <w:rsid w:val="00EB46D0"/>
    <w:rsid w:val="00EB4700"/>
    <w:rsid w:val="00EC0040"/>
    <w:rsid w:val="00EC250F"/>
    <w:rsid w:val="00EC49A4"/>
    <w:rsid w:val="00EC7C80"/>
    <w:rsid w:val="00ED21EE"/>
    <w:rsid w:val="00ED37E1"/>
    <w:rsid w:val="00ED57A5"/>
    <w:rsid w:val="00ED6C04"/>
    <w:rsid w:val="00EE3287"/>
    <w:rsid w:val="00EE4094"/>
    <w:rsid w:val="00EE4D57"/>
    <w:rsid w:val="00EE53FF"/>
    <w:rsid w:val="00EE5E83"/>
    <w:rsid w:val="00EE7092"/>
    <w:rsid w:val="00EF06C9"/>
    <w:rsid w:val="00EF1E6E"/>
    <w:rsid w:val="00EF2F5C"/>
    <w:rsid w:val="00EF3D70"/>
    <w:rsid w:val="00EF746C"/>
    <w:rsid w:val="00EF7590"/>
    <w:rsid w:val="00F0354F"/>
    <w:rsid w:val="00F06083"/>
    <w:rsid w:val="00F1013F"/>
    <w:rsid w:val="00F10A99"/>
    <w:rsid w:val="00F10AB5"/>
    <w:rsid w:val="00F138A2"/>
    <w:rsid w:val="00F154EB"/>
    <w:rsid w:val="00F155D7"/>
    <w:rsid w:val="00F158F5"/>
    <w:rsid w:val="00F20632"/>
    <w:rsid w:val="00F2480D"/>
    <w:rsid w:val="00F25272"/>
    <w:rsid w:val="00F27734"/>
    <w:rsid w:val="00F30846"/>
    <w:rsid w:val="00F32122"/>
    <w:rsid w:val="00F327DF"/>
    <w:rsid w:val="00F33121"/>
    <w:rsid w:val="00F33769"/>
    <w:rsid w:val="00F36DEB"/>
    <w:rsid w:val="00F406FD"/>
    <w:rsid w:val="00F414D0"/>
    <w:rsid w:val="00F4370F"/>
    <w:rsid w:val="00F47D9D"/>
    <w:rsid w:val="00F50A8E"/>
    <w:rsid w:val="00F51124"/>
    <w:rsid w:val="00F55847"/>
    <w:rsid w:val="00F5756D"/>
    <w:rsid w:val="00F57B70"/>
    <w:rsid w:val="00F630A2"/>
    <w:rsid w:val="00F652AB"/>
    <w:rsid w:val="00F65942"/>
    <w:rsid w:val="00F70B96"/>
    <w:rsid w:val="00F72327"/>
    <w:rsid w:val="00F72AA0"/>
    <w:rsid w:val="00F76A40"/>
    <w:rsid w:val="00F80358"/>
    <w:rsid w:val="00F82492"/>
    <w:rsid w:val="00F85551"/>
    <w:rsid w:val="00F86D95"/>
    <w:rsid w:val="00F87264"/>
    <w:rsid w:val="00F908E9"/>
    <w:rsid w:val="00F948C5"/>
    <w:rsid w:val="00FA56D6"/>
    <w:rsid w:val="00FA6C24"/>
    <w:rsid w:val="00FB1DB3"/>
    <w:rsid w:val="00FB43AD"/>
    <w:rsid w:val="00FB651A"/>
    <w:rsid w:val="00FC317C"/>
    <w:rsid w:val="00FD3BD4"/>
    <w:rsid w:val="00FD5375"/>
    <w:rsid w:val="00FD61A3"/>
    <w:rsid w:val="00FD79F6"/>
    <w:rsid w:val="00FE0371"/>
    <w:rsid w:val="00FE31D0"/>
    <w:rsid w:val="00FE3581"/>
    <w:rsid w:val="00FE600A"/>
    <w:rsid w:val="00FE7A3F"/>
    <w:rsid w:val="00FF5C5C"/>
    <w:rsid w:val="00FF5F50"/>
    <w:rsid w:val="00FF76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6146">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FE0"/>
    <w:rPr>
      <w:sz w:val="24"/>
      <w:szCs w:val="24"/>
    </w:rPr>
  </w:style>
  <w:style w:type="paragraph" w:styleId="Heading1">
    <w:name w:val="heading 1"/>
    <w:basedOn w:val="Normal"/>
    <w:next w:val="Normal"/>
    <w:qFormat/>
    <w:rsid w:val="00E71EF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71EF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29E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0966CC"/>
  </w:style>
  <w:style w:type="paragraph" w:styleId="TOC2">
    <w:name w:val="toc 2"/>
    <w:basedOn w:val="Normal"/>
    <w:next w:val="Normal"/>
    <w:autoRedefine/>
    <w:uiPriority w:val="39"/>
    <w:rsid w:val="000966CC"/>
    <w:pPr>
      <w:ind w:left="240"/>
    </w:pPr>
  </w:style>
  <w:style w:type="character" w:styleId="Hyperlink">
    <w:name w:val="Hyperlink"/>
    <w:basedOn w:val="DefaultParagraphFont"/>
    <w:uiPriority w:val="99"/>
    <w:rsid w:val="000966CC"/>
    <w:rPr>
      <w:color w:val="0000FF"/>
      <w:u w:val="single"/>
    </w:rPr>
  </w:style>
  <w:style w:type="paragraph" w:styleId="Footer">
    <w:name w:val="footer"/>
    <w:basedOn w:val="Normal"/>
    <w:rsid w:val="000966CC"/>
    <w:pPr>
      <w:tabs>
        <w:tab w:val="center" w:pos="4320"/>
        <w:tab w:val="right" w:pos="8640"/>
      </w:tabs>
    </w:pPr>
  </w:style>
  <w:style w:type="character" w:styleId="PageNumber">
    <w:name w:val="page number"/>
    <w:basedOn w:val="DefaultParagraphFont"/>
    <w:rsid w:val="000966CC"/>
  </w:style>
  <w:style w:type="paragraph" w:styleId="Header">
    <w:name w:val="header"/>
    <w:basedOn w:val="Normal"/>
    <w:rsid w:val="000966CC"/>
    <w:pPr>
      <w:tabs>
        <w:tab w:val="center" w:pos="4320"/>
        <w:tab w:val="right" w:pos="8640"/>
      </w:tabs>
    </w:pPr>
  </w:style>
  <w:style w:type="paragraph" w:styleId="TOC3">
    <w:name w:val="toc 3"/>
    <w:basedOn w:val="Normal"/>
    <w:next w:val="Normal"/>
    <w:autoRedefine/>
    <w:semiHidden/>
    <w:rsid w:val="00D33677"/>
    <w:pPr>
      <w:ind w:left="480"/>
    </w:pPr>
  </w:style>
  <w:style w:type="paragraph" w:styleId="EndnoteText">
    <w:name w:val="endnote text"/>
    <w:basedOn w:val="Normal"/>
    <w:semiHidden/>
    <w:rsid w:val="004551F3"/>
    <w:rPr>
      <w:sz w:val="20"/>
      <w:szCs w:val="20"/>
    </w:rPr>
  </w:style>
  <w:style w:type="character" w:styleId="EndnoteReference">
    <w:name w:val="endnote reference"/>
    <w:basedOn w:val="DefaultParagraphFont"/>
    <w:semiHidden/>
    <w:rsid w:val="004551F3"/>
    <w:rPr>
      <w:vertAlign w:val="superscript"/>
    </w:rPr>
  </w:style>
  <w:style w:type="paragraph" w:styleId="Index1">
    <w:name w:val="index 1"/>
    <w:basedOn w:val="Normal"/>
    <w:next w:val="Normal"/>
    <w:autoRedefine/>
    <w:semiHidden/>
    <w:rsid w:val="00F630A2"/>
    <w:pPr>
      <w:ind w:left="240" w:hanging="240"/>
    </w:pPr>
  </w:style>
  <w:style w:type="table" w:styleId="TableGrid">
    <w:name w:val="Table Grid"/>
    <w:basedOn w:val="TableNormal"/>
    <w:rsid w:val="00215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rsid w:val="000571F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semiHidden/>
    <w:rsid w:val="00B24A6F"/>
    <w:rPr>
      <w:rFonts w:ascii="Tahoma" w:hAnsi="Tahoma" w:cs="Tahoma"/>
      <w:sz w:val="16"/>
      <w:szCs w:val="16"/>
    </w:rPr>
  </w:style>
  <w:style w:type="paragraph" w:styleId="Caption">
    <w:name w:val="caption"/>
    <w:basedOn w:val="Normal"/>
    <w:next w:val="Normal"/>
    <w:qFormat/>
    <w:rsid w:val="00A7007B"/>
    <w:rPr>
      <w:b/>
      <w:bCs/>
      <w:sz w:val="20"/>
      <w:szCs w:val="20"/>
    </w:rPr>
  </w:style>
  <w:style w:type="paragraph" w:styleId="TableofFigures">
    <w:name w:val="table of figures"/>
    <w:basedOn w:val="Normal"/>
    <w:next w:val="Normal"/>
    <w:uiPriority w:val="99"/>
    <w:rsid w:val="0054599C"/>
  </w:style>
  <w:style w:type="paragraph" w:styleId="NormalWeb">
    <w:name w:val="Normal (Web)"/>
    <w:basedOn w:val="Normal"/>
    <w:rsid w:val="00D73550"/>
    <w:pPr>
      <w:spacing w:before="100" w:beforeAutospacing="1" w:after="100" w:afterAutospacing="1"/>
    </w:pPr>
  </w:style>
  <w:style w:type="character" w:styleId="FollowedHyperlink">
    <w:name w:val="FollowedHyperlink"/>
    <w:basedOn w:val="DefaultParagraphFont"/>
    <w:rsid w:val="00EA4E02"/>
    <w:rPr>
      <w:color w:val="800080"/>
      <w:u w:val="single"/>
    </w:rPr>
  </w:style>
  <w:style w:type="paragraph" w:customStyle="1" w:styleId="xl27">
    <w:name w:val="xl27"/>
    <w:basedOn w:val="Normal"/>
    <w:rsid w:val="00200174"/>
    <w:pPr>
      <w:pBdr>
        <w:bottom w:val="single" w:sz="12" w:space="0" w:color="FFFFFF"/>
        <w:right w:val="single" w:sz="12" w:space="0" w:color="FFFFFF"/>
      </w:pBdr>
      <w:shd w:val="pct75" w:color="000000" w:fill="333333"/>
      <w:spacing w:before="100" w:beforeAutospacing="1" w:after="100" w:afterAutospacing="1"/>
      <w:jc w:val="center"/>
    </w:pPr>
    <w:rPr>
      <w:b/>
      <w:bCs/>
      <w:color w:val="FFFFFF"/>
      <w:sz w:val="16"/>
      <w:szCs w:val="16"/>
    </w:rPr>
  </w:style>
  <w:style w:type="paragraph" w:customStyle="1" w:styleId="xl28">
    <w:name w:val="xl28"/>
    <w:basedOn w:val="Normal"/>
    <w:rsid w:val="00200174"/>
    <w:pPr>
      <w:pBdr>
        <w:bottom w:val="single" w:sz="12" w:space="0" w:color="FFFFFF"/>
        <w:right w:val="single" w:sz="12" w:space="0" w:color="FFFFFF"/>
      </w:pBdr>
      <w:spacing w:before="100" w:beforeAutospacing="1" w:after="100" w:afterAutospacing="1"/>
    </w:pPr>
    <w:rPr>
      <w:b/>
      <w:bCs/>
    </w:rPr>
  </w:style>
  <w:style w:type="paragraph" w:customStyle="1" w:styleId="xl29">
    <w:name w:val="xl29"/>
    <w:basedOn w:val="Normal"/>
    <w:rsid w:val="00200174"/>
    <w:pPr>
      <w:pBdr>
        <w:bottom w:val="single" w:sz="12" w:space="0" w:color="FFFFFF"/>
        <w:right w:val="single" w:sz="12" w:space="0" w:color="FFFFFF"/>
      </w:pBdr>
      <w:shd w:val="clear" w:color="auto" w:fill="FFCC99"/>
      <w:spacing w:before="100" w:beforeAutospacing="1" w:after="100" w:afterAutospacing="1"/>
    </w:pPr>
    <w:rPr>
      <w:b/>
      <w:bCs/>
    </w:rPr>
  </w:style>
  <w:style w:type="paragraph" w:customStyle="1" w:styleId="xl30">
    <w:name w:val="xl30"/>
    <w:basedOn w:val="Normal"/>
    <w:rsid w:val="00200174"/>
    <w:pPr>
      <w:pBdr>
        <w:bottom w:val="single" w:sz="12" w:space="0" w:color="FFFFFF"/>
        <w:right w:val="single" w:sz="12" w:space="0" w:color="FFFFFF"/>
      </w:pBdr>
      <w:shd w:val="clear" w:color="auto" w:fill="FFFF99"/>
      <w:spacing w:before="100" w:beforeAutospacing="1" w:after="100" w:afterAutospacing="1"/>
    </w:pPr>
    <w:rPr>
      <w:b/>
      <w:bCs/>
    </w:rPr>
  </w:style>
  <w:style w:type="paragraph" w:customStyle="1" w:styleId="xl31">
    <w:name w:val="xl31"/>
    <w:basedOn w:val="Normal"/>
    <w:rsid w:val="00200174"/>
    <w:pPr>
      <w:pBdr>
        <w:bottom w:val="single" w:sz="12" w:space="0" w:color="FFFFFF"/>
        <w:right w:val="single" w:sz="12" w:space="0" w:color="FFFFFF"/>
      </w:pBdr>
      <w:shd w:val="clear" w:color="auto" w:fill="CCFFCC"/>
      <w:spacing w:before="100" w:beforeAutospacing="1" w:after="100" w:afterAutospacing="1"/>
    </w:pPr>
    <w:rPr>
      <w:b/>
      <w:bCs/>
    </w:rPr>
  </w:style>
  <w:style w:type="paragraph" w:customStyle="1" w:styleId="xl32">
    <w:name w:val="xl32"/>
    <w:basedOn w:val="Normal"/>
    <w:rsid w:val="00200174"/>
    <w:pPr>
      <w:pBdr>
        <w:bottom w:val="single" w:sz="12" w:space="0" w:color="FFFFFF"/>
        <w:right w:val="single" w:sz="12" w:space="0" w:color="FFFFFF"/>
      </w:pBdr>
      <w:shd w:val="clear" w:color="auto" w:fill="CCFFFF"/>
      <w:spacing w:before="100" w:beforeAutospacing="1" w:after="100" w:afterAutospacing="1"/>
    </w:pPr>
    <w:rPr>
      <w:b/>
      <w:bCs/>
    </w:rPr>
  </w:style>
  <w:style w:type="paragraph" w:customStyle="1" w:styleId="xl33">
    <w:name w:val="xl33"/>
    <w:basedOn w:val="Normal"/>
    <w:rsid w:val="00200174"/>
    <w:pPr>
      <w:pBdr>
        <w:bottom w:val="single" w:sz="12" w:space="0" w:color="FFFFFF"/>
        <w:right w:val="single" w:sz="12" w:space="0" w:color="FFFFFF"/>
      </w:pBdr>
      <w:shd w:val="clear" w:color="auto" w:fill="99CCFF"/>
      <w:spacing w:before="100" w:beforeAutospacing="1" w:after="100" w:afterAutospacing="1"/>
    </w:pPr>
    <w:rPr>
      <w:b/>
      <w:bCs/>
    </w:rPr>
  </w:style>
  <w:style w:type="paragraph" w:customStyle="1" w:styleId="xl34">
    <w:name w:val="xl34"/>
    <w:basedOn w:val="Normal"/>
    <w:rsid w:val="00200174"/>
    <w:pPr>
      <w:pBdr>
        <w:bottom w:val="single" w:sz="12" w:space="0" w:color="FFFFFF"/>
        <w:right w:val="single" w:sz="12" w:space="0" w:color="FFFFFF"/>
      </w:pBdr>
      <w:shd w:val="clear" w:color="auto" w:fill="CC99FF"/>
      <w:spacing w:before="100" w:beforeAutospacing="1" w:after="100" w:afterAutospacing="1"/>
    </w:pPr>
    <w:rPr>
      <w:b/>
      <w:bCs/>
    </w:rPr>
  </w:style>
  <w:style w:type="paragraph" w:customStyle="1" w:styleId="xl35">
    <w:name w:val="xl35"/>
    <w:basedOn w:val="Normal"/>
    <w:rsid w:val="00200174"/>
    <w:pPr>
      <w:pBdr>
        <w:bottom w:val="single" w:sz="12" w:space="0" w:color="FFFFFF"/>
        <w:right w:val="single" w:sz="12" w:space="0" w:color="FFFFFF"/>
      </w:pBdr>
      <w:shd w:val="clear" w:color="auto" w:fill="00CCFF"/>
      <w:spacing w:before="100" w:beforeAutospacing="1" w:after="100" w:afterAutospacing="1"/>
    </w:pPr>
    <w:rPr>
      <w:b/>
      <w:bCs/>
    </w:rPr>
  </w:style>
  <w:style w:type="paragraph" w:customStyle="1" w:styleId="xl36">
    <w:name w:val="xl36"/>
    <w:basedOn w:val="Normal"/>
    <w:rsid w:val="00200174"/>
    <w:pPr>
      <w:pBdr>
        <w:bottom w:val="single" w:sz="12" w:space="0" w:color="FFFFFF"/>
        <w:right w:val="single" w:sz="12" w:space="0" w:color="FFFFFF"/>
      </w:pBdr>
      <w:shd w:val="clear" w:color="auto" w:fill="800080"/>
      <w:spacing w:before="100" w:beforeAutospacing="1" w:after="100" w:afterAutospacing="1"/>
    </w:pPr>
    <w:rPr>
      <w:b/>
      <w:bCs/>
    </w:rPr>
  </w:style>
  <w:style w:type="paragraph" w:customStyle="1" w:styleId="xl37">
    <w:name w:val="xl37"/>
    <w:basedOn w:val="Normal"/>
    <w:rsid w:val="00200174"/>
    <w:pPr>
      <w:pBdr>
        <w:bottom w:val="single" w:sz="12" w:space="0" w:color="FFFFFF"/>
        <w:right w:val="single" w:sz="12" w:space="0" w:color="FFFFFF"/>
      </w:pBdr>
      <w:shd w:val="clear" w:color="auto" w:fill="FF00FF"/>
      <w:spacing w:before="100" w:beforeAutospacing="1" w:after="100" w:afterAutospacing="1"/>
    </w:pPr>
    <w:rPr>
      <w:b/>
      <w:bCs/>
    </w:rPr>
  </w:style>
  <w:style w:type="paragraph" w:customStyle="1" w:styleId="xl38">
    <w:name w:val="xl38"/>
    <w:basedOn w:val="Normal"/>
    <w:rsid w:val="00200174"/>
    <w:pPr>
      <w:pBdr>
        <w:bottom w:val="single" w:sz="12" w:space="0" w:color="FFFFFF"/>
        <w:right w:val="single" w:sz="12" w:space="0" w:color="FFFFFF"/>
      </w:pBdr>
      <w:shd w:val="clear" w:color="auto" w:fill="FFCC00"/>
      <w:spacing w:before="100" w:beforeAutospacing="1" w:after="100" w:afterAutospacing="1"/>
    </w:pPr>
    <w:rPr>
      <w:b/>
      <w:bCs/>
    </w:rPr>
  </w:style>
  <w:style w:type="paragraph" w:customStyle="1" w:styleId="xl39">
    <w:name w:val="xl39"/>
    <w:basedOn w:val="Normal"/>
    <w:rsid w:val="00200174"/>
    <w:pPr>
      <w:pBdr>
        <w:bottom w:val="single" w:sz="12" w:space="0" w:color="FFFFFF"/>
        <w:right w:val="single" w:sz="12" w:space="0" w:color="FFFFFF"/>
      </w:pBdr>
      <w:shd w:val="clear" w:color="auto" w:fill="FFFF00"/>
      <w:spacing w:before="100" w:beforeAutospacing="1" w:after="100" w:afterAutospacing="1"/>
    </w:pPr>
    <w:rPr>
      <w:b/>
      <w:bCs/>
    </w:rPr>
  </w:style>
  <w:style w:type="paragraph" w:customStyle="1" w:styleId="xl40">
    <w:name w:val="xl40"/>
    <w:basedOn w:val="Normal"/>
    <w:rsid w:val="00200174"/>
    <w:pPr>
      <w:pBdr>
        <w:bottom w:val="single" w:sz="12" w:space="0" w:color="FFFFFF"/>
        <w:right w:val="single" w:sz="12" w:space="0" w:color="FFFFFF"/>
      </w:pBdr>
      <w:shd w:val="clear" w:color="auto" w:fill="00FF00"/>
      <w:spacing w:before="100" w:beforeAutospacing="1" w:after="100" w:afterAutospacing="1"/>
    </w:pPr>
    <w:rPr>
      <w:b/>
      <w:bCs/>
    </w:rPr>
  </w:style>
  <w:style w:type="paragraph" w:customStyle="1" w:styleId="xl41">
    <w:name w:val="xl41"/>
    <w:basedOn w:val="Normal"/>
    <w:rsid w:val="00200174"/>
    <w:pPr>
      <w:pBdr>
        <w:bottom w:val="single" w:sz="12" w:space="0" w:color="FFFFFF"/>
        <w:right w:val="single" w:sz="12" w:space="0" w:color="FFFFFF"/>
      </w:pBdr>
      <w:shd w:val="clear" w:color="auto" w:fill="00FFFF"/>
      <w:spacing w:before="100" w:beforeAutospacing="1" w:after="100" w:afterAutospacing="1"/>
    </w:pPr>
    <w:rPr>
      <w:b/>
      <w:bCs/>
    </w:rPr>
  </w:style>
  <w:style w:type="paragraph" w:customStyle="1" w:styleId="xl42">
    <w:name w:val="xl42"/>
    <w:basedOn w:val="Normal"/>
    <w:rsid w:val="00200174"/>
    <w:pPr>
      <w:pBdr>
        <w:bottom w:val="single" w:sz="12" w:space="0" w:color="FFFFFF"/>
        <w:right w:val="single" w:sz="12" w:space="0" w:color="FFFFFF"/>
      </w:pBdr>
      <w:shd w:val="clear" w:color="auto" w:fill="993366"/>
      <w:spacing w:before="100" w:beforeAutospacing="1" w:after="100" w:afterAutospacing="1"/>
    </w:pPr>
    <w:rPr>
      <w:b/>
      <w:bCs/>
    </w:rPr>
  </w:style>
  <w:style w:type="paragraph" w:customStyle="1" w:styleId="xl43">
    <w:name w:val="xl43"/>
    <w:basedOn w:val="Normal"/>
    <w:rsid w:val="00200174"/>
    <w:pPr>
      <w:pBdr>
        <w:bottom w:val="single" w:sz="12" w:space="0" w:color="FFFFFF"/>
        <w:right w:val="single" w:sz="12" w:space="0" w:color="FFFFFF"/>
      </w:pBdr>
      <w:shd w:val="clear" w:color="auto" w:fill="FF6600"/>
      <w:spacing w:before="100" w:beforeAutospacing="1" w:after="100" w:afterAutospacing="1"/>
    </w:pPr>
    <w:rPr>
      <w:b/>
      <w:bCs/>
    </w:rPr>
  </w:style>
  <w:style w:type="paragraph" w:customStyle="1" w:styleId="xl44">
    <w:name w:val="xl44"/>
    <w:basedOn w:val="Normal"/>
    <w:rsid w:val="00200174"/>
    <w:pPr>
      <w:pBdr>
        <w:bottom w:val="single" w:sz="12" w:space="0" w:color="FFFFFF"/>
        <w:right w:val="single" w:sz="12" w:space="0" w:color="FFFFFF"/>
      </w:pBdr>
      <w:shd w:val="clear" w:color="auto" w:fill="FF99CC"/>
      <w:spacing w:before="100" w:beforeAutospacing="1" w:after="100" w:afterAutospacing="1"/>
    </w:pPr>
    <w:rPr>
      <w:b/>
      <w:bCs/>
    </w:rPr>
  </w:style>
  <w:style w:type="paragraph" w:customStyle="1" w:styleId="xl45">
    <w:name w:val="xl45"/>
    <w:basedOn w:val="Normal"/>
    <w:rsid w:val="00200174"/>
    <w:pPr>
      <w:pBdr>
        <w:bottom w:val="single" w:sz="12" w:space="0" w:color="FFFFFF"/>
        <w:right w:val="single" w:sz="12" w:space="0" w:color="FFFFFF"/>
      </w:pBdr>
      <w:shd w:val="clear" w:color="auto" w:fill="3366FF"/>
      <w:spacing w:before="100" w:beforeAutospacing="1" w:after="100" w:afterAutospacing="1"/>
    </w:pPr>
    <w:rPr>
      <w:b/>
      <w:bCs/>
    </w:rPr>
  </w:style>
  <w:style w:type="paragraph" w:customStyle="1" w:styleId="xl46">
    <w:name w:val="xl46"/>
    <w:basedOn w:val="Normal"/>
    <w:rsid w:val="00200174"/>
    <w:pPr>
      <w:pBdr>
        <w:bottom w:val="single" w:sz="12" w:space="0" w:color="FFFFFF"/>
        <w:right w:val="single" w:sz="12" w:space="0" w:color="FFFFFF"/>
      </w:pBdr>
      <w:shd w:val="clear" w:color="auto" w:fill="808000"/>
      <w:spacing w:before="100" w:beforeAutospacing="1" w:after="100" w:afterAutospacing="1"/>
    </w:pPr>
    <w:rPr>
      <w:b/>
      <w:bCs/>
    </w:rPr>
  </w:style>
  <w:style w:type="paragraph" w:customStyle="1" w:styleId="xl47">
    <w:name w:val="xl47"/>
    <w:basedOn w:val="Normal"/>
    <w:rsid w:val="00200174"/>
    <w:pPr>
      <w:pBdr>
        <w:bottom w:val="single" w:sz="12" w:space="0" w:color="FFFFFF"/>
        <w:right w:val="single" w:sz="12" w:space="0" w:color="FFFFFF"/>
      </w:pBdr>
      <w:shd w:val="clear" w:color="auto" w:fill="008000"/>
      <w:spacing w:before="100" w:beforeAutospacing="1" w:after="100" w:afterAutospacing="1"/>
    </w:pPr>
    <w:rPr>
      <w:b/>
      <w:bCs/>
    </w:rPr>
  </w:style>
  <w:style w:type="paragraph" w:customStyle="1" w:styleId="xl48">
    <w:name w:val="xl48"/>
    <w:basedOn w:val="Normal"/>
    <w:rsid w:val="00200174"/>
    <w:pPr>
      <w:pBdr>
        <w:bottom w:val="single" w:sz="12" w:space="0" w:color="FFFFFF"/>
        <w:right w:val="single" w:sz="12" w:space="0" w:color="FFFFFF"/>
      </w:pBdr>
      <w:shd w:val="clear" w:color="auto" w:fill="008080"/>
      <w:spacing w:before="100" w:beforeAutospacing="1" w:after="100" w:afterAutospacing="1"/>
    </w:pPr>
    <w:rPr>
      <w:b/>
      <w:bCs/>
    </w:rPr>
  </w:style>
  <w:style w:type="paragraph" w:customStyle="1" w:styleId="xl49">
    <w:name w:val="xl49"/>
    <w:basedOn w:val="Normal"/>
    <w:rsid w:val="00200174"/>
    <w:pPr>
      <w:pBdr>
        <w:bottom w:val="single" w:sz="12" w:space="0" w:color="FFFFFF"/>
        <w:right w:val="single" w:sz="12" w:space="0" w:color="FFFFFF"/>
      </w:pBdr>
      <w:shd w:val="clear" w:color="auto" w:fill="0000FF"/>
      <w:spacing w:before="100" w:beforeAutospacing="1" w:after="100" w:afterAutospacing="1"/>
    </w:pPr>
    <w:rPr>
      <w:b/>
      <w:bCs/>
    </w:rPr>
  </w:style>
  <w:style w:type="paragraph" w:customStyle="1" w:styleId="xl50">
    <w:name w:val="xl50"/>
    <w:basedOn w:val="Normal"/>
    <w:rsid w:val="00200174"/>
    <w:pPr>
      <w:pBdr>
        <w:bottom w:val="single" w:sz="12" w:space="0" w:color="FFFFFF"/>
        <w:right w:val="single" w:sz="12" w:space="0" w:color="FFFFFF"/>
      </w:pBdr>
      <w:shd w:val="clear" w:color="auto" w:fill="666699"/>
      <w:spacing w:before="100" w:beforeAutospacing="1" w:after="100" w:afterAutospacing="1"/>
    </w:pPr>
    <w:rPr>
      <w:b/>
      <w:bCs/>
    </w:rPr>
  </w:style>
  <w:style w:type="paragraph" w:customStyle="1" w:styleId="xl51">
    <w:name w:val="xl51"/>
    <w:basedOn w:val="Normal"/>
    <w:rsid w:val="00200174"/>
    <w:pPr>
      <w:pBdr>
        <w:bottom w:val="single" w:sz="12" w:space="0" w:color="FFFFFF"/>
        <w:right w:val="single" w:sz="12" w:space="0" w:color="FFFFFF"/>
      </w:pBdr>
      <w:shd w:val="clear" w:color="auto" w:fill="FF0000"/>
      <w:spacing w:before="100" w:beforeAutospacing="1" w:after="100" w:afterAutospacing="1"/>
    </w:pPr>
    <w:rPr>
      <w:b/>
      <w:bCs/>
    </w:rPr>
  </w:style>
  <w:style w:type="paragraph" w:customStyle="1" w:styleId="xl52">
    <w:name w:val="xl52"/>
    <w:basedOn w:val="Normal"/>
    <w:rsid w:val="00200174"/>
    <w:pPr>
      <w:pBdr>
        <w:bottom w:val="single" w:sz="12" w:space="0" w:color="FFFFFF"/>
        <w:right w:val="single" w:sz="12" w:space="0" w:color="FFFFFF"/>
      </w:pBdr>
      <w:shd w:val="clear" w:color="auto" w:fill="FF9900"/>
      <w:spacing w:before="100" w:beforeAutospacing="1" w:after="100" w:afterAutospacing="1"/>
    </w:pPr>
    <w:rPr>
      <w:b/>
      <w:bCs/>
    </w:rPr>
  </w:style>
  <w:style w:type="paragraph" w:customStyle="1" w:styleId="xl53">
    <w:name w:val="xl53"/>
    <w:basedOn w:val="Normal"/>
    <w:rsid w:val="00200174"/>
    <w:pPr>
      <w:pBdr>
        <w:bottom w:val="single" w:sz="12" w:space="0" w:color="FFFFFF"/>
        <w:right w:val="single" w:sz="12" w:space="0" w:color="FFFFFF"/>
      </w:pBdr>
      <w:shd w:val="clear" w:color="auto" w:fill="C0C0C0"/>
      <w:spacing w:before="100" w:beforeAutospacing="1" w:after="100" w:afterAutospacing="1"/>
      <w:jc w:val="center"/>
    </w:pPr>
    <w:rPr>
      <w:sz w:val="16"/>
      <w:szCs w:val="16"/>
    </w:rPr>
  </w:style>
  <w:style w:type="paragraph" w:customStyle="1" w:styleId="xl54">
    <w:name w:val="xl54"/>
    <w:basedOn w:val="Normal"/>
    <w:rsid w:val="00200174"/>
    <w:pPr>
      <w:pBdr>
        <w:bottom w:val="single" w:sz="12" w:space="0" w:color="FFFFFF"/>
        <w:right w:val="single" w:sz="12" w:space="0" w:color="FFFFFF"/>
      </w:pBdr>
      <w:shd w:val="clear" w:color="auto" w:fill="C0C0C0"/>
      <w:spacing w:before="100" w:beforeAutospacing="1" w:after="100" w:afterAutospacing="1"/>
    </w:pPr>
  </w:style>
  <w:style w:type="paragraph" w:customStyle="1" w:styleId="xl55">
    <w:name w:val="xl55"/>
    <w:basedOn w:val="Normal"/>
    <w:rsid w:val="00200174"/>
    <w:pPr>
      <w:pBdr>
        <w:bottom w:val="single" w:sz="12" w:space="0" w:color="FFFFFF"/>
        <w:right w:val="single" w:sz="12" w:space="0" w:color="FFFFFF"/>
      </w:pBdr>
      <w:shd w:val="clear" w:color="auto" w:fill="C0C0C0"/>
      <w:spacing w:before="100" w:beforeAutospacing="1" w:after="100" w:afterAutospacing="1"/>
    </w:pPr>
    <w:rPr>
      <w:b/>
      <w:bCs/>
    </w:rPr>
  </w:style>
  <w:style w:type="paragraph" w:customStyle="1" w:styleId="xl56">
    <w:name w:val="xl56"/>
    <w:basedOn w:val="Normal"/>
    <w:rsid w:val="00200174"/>
    <w:pPr>
      <w:pBdr>
        <w:bottom w:val="single" w:sz="12" w:space="0" w:color="FFFFFF"/>
        <w:right w:val="single" w:sz="12" w:space="0" w:color="FFFFFF"/>
      </w:pBdr>
      <w:shd w:val="clear" w:color="auto" w:fill="C0C0C0"/>
      <w:spacing w:before="100" w:beforeAutospacing="1" w:after="100" w:afterAutospacing="1"/>
    </w:pPr>
  </w:style>
  <w:style w:type="paragraph" w:customStyle="1" w:styleId="xl57">
    <w:name w:val="xl57"/>
    <w:basedOn w:val="Normal"/>
    <w:rsid w:val="00200174"/>
    <w:pPr>
      <w:pBdr>
        <w:bottom w:val="single" w:sz="12" w:space="0" w:color="FFFFFF"/>
        <w:right w:val="single" w:sz="12" w:space="0" w:color="FFFFFF"/>
      </w:pBdr>
      <w:shd w:val="clear" w:color="auto" w:fill="969696"/>
      <w:spacing w:before="100" w:beforeAutospacing="1" w:after="100" w:afterAutospacing="1"/>
      <w:jc w:val="center"/>
    </w:pPr>
    <w:rPr>
      <w:sz w:val="16"/>
      <w:szCs w:val="16"/>
    </w:rPr>
  </w:style>
  <w:style w:type="paragraph" w:customStyle="1" w:styleId="xl58">
    <w:name w:val="xl58"/>
    <w:basedOn w:val="Normal"/>
    <w:rsid w:val="00200174"/>
    <w:pPr>
      <w:pBdr>
        <w:bottom w:val="single" w:sz="12" w:space="0" w:color="FFFFFF"/>
        <w:right w:val="single" w:sz="12" w:space="0" w:color="FFFFFF"/>
      </w:pBdr>
      <w:shd w:val="clear" w:color="auto" w:fill="969696"/>
      <w:spacing w:before="100" w:beforeAutospacing="1" w:after="100" w:afterAutospacing="1"/>
    </w:pPr>
  </w:style>
  <w:style w:type="paragraph" w:customStyle="1" w:styleId="xl59">
    <w:name w:val="xl59"/>
    <w:basedOn w:val="Normal"/>
    <w:rsid w:val="00200174"/>
    <w:pPr>
      <w:pBdr>
        <w:bottom w:val="single" w:sz="12" w:space="0" w:color="FFFFFF"/>
        <w:right w:val="single" w:sz="12" w:space="0" w:color="FFFFFF"/>
      </w:pBdr>
      <w:shd w:val="clear" w:color="auto" w:fill="969696"/>
      <w:spacing w:before="100" w:beforeAutospacing="1" w:after="100" w:afterAutospacing="1"/>
    </w:pPr>
    <w:rPr>
      <w:b/>
      <w:bCs/>
    </w:rPr>
  </w:style>
  <w:style w:type="paragraph" w:customStyle="1" w:styleId="xl60">
    <w:name w:val="xl60"/>
    <w:basedOn w:val="Normal"/>
    <w:rsid w:val="00200174"/>
    <w:pPr>
      <w:pBdr>
        <w:bottom w:val="single" w:sz="12" w:space="0" w:color="FFFFFF"/>
        <w:right w:val="single" w:sz="12" w:space="0" w:color="FFFFFF"/>
      </w:pBdr>
      <w:shd w:val="clear" w:color="auto" w:fill="969696"/>
      <w:spacing w:before="100" w:beforeAutospacing="1" w:after="100" w:afterAutospacing="1"/>
    </w:pPr>
  </w:style>
  <w:style w:type="paragraph" w:customStyle="1" w:styleId="xl61">
    <w:name w:val="xl61"/>
    <w:basedOn w:val="Normal"/>
    <w:rsid w:val="00200174"/>
    <w:pPr>
      <w:pBdr>
        <w:bottom w:val="single" w:sz="12" w:space="0" w:color="FFFFFF"/>
        <w:right w:val="single" w:sz="12" w:space="0" w:color="FFFFFF"/>
      </w:pBdr>
      <w:shd w:val="clear" w:color="auto" w:fill="C0C0C0"/>
      <w:spacing w:before="100" w:beforeAutospacing="1" w:after="100" w:afterAutospacing="1"/>
    </w:pPr>
    <w:rPr>
      <w:b/>
      <w:bCs/>
    </w:rPr>
  </w:style>
  <w:style w:type="paragraph" w:customStyle="1" w:styleId="xl62">
    <w:name w:val="xl62"/>
    <w:basedOn w:val="Normal"/>
    <w:rsid w:val="00200174"/>
    <w:pPr>
      <w:pBdr>
        <w:bottom w:val="single" w:sz="12" w:space="0" w:color="FFFFFF"/>
        <w:right w:val="single" w:sz="12" w:space="0" w:color="FFFFFF"/>
      </w:pBdr>
      <w:shd w:val="clear" w:color="auto" w:fill="C0C0C0"/>
      <w:spacing w:before="100" w:beforeAutospacing="1" w:after="100" w:afterAutospacing="1"/>
    </w:pPr>
    <w:rPr>
      <w:b/>
      <w:bCs/>
    </w:rPr>
  </w:style>
  <w:style w:type="paragraph" w:customStyle="1" w:styleId="xl63">
    <w:name w:val="xl63"/>
    <w:basedOn w:val="Normal"/>
    <w:rsid w:val="00200174"/>
    <w:pPr>
      <w:pBdr>
        <w:bottom w:val="single" w:sz="12" w:space="0" w:color="FFFFFF"/>
        <w:right w:val="single" w:sz="12" w:space="0" w:color="FFFFFF"/>
      </w:pBdr>
      <w:shd w:val="clear" w:color="auto" w:fill="C0C0C0"/>
      <w:spacing w:before="100" w:beforeAutospacing="1" w:after="100" w:afterAutospacing="1"/>
    </w:pPr>
  </w:style>
  <w:style w:type="paragraph" w:customStyle="1" w:styleId="xl64">
    <w:name w:val="xl64"/>
    <w:basedOn w:val="Normal"/>
    <w:rsid w:val="00200174"/>
    <w:pPr>
      <w:pBdr>
        <w:bottom w:val="single" w:sz="12" w:space="0" w:color="FFFFFF"/>
        <w:right w:val="single" w:sz="12" w:space="0" w:color="FFFFFF"/>
      </w:pBdr>
      <w:shd w:val="clear" w:color="auto" w:fill="969696"/>
      <w:spacing w:before="100" w:beforeAutospacing="1" w:after="100" w:afterAutospacing="1"/>
    </w:pPr>
    <w:rPr>
      <w:b/>
      <w:bCs/>
    </w:rPr>
  </w:style>
  <w:style w:type="paragraph" w:customStyle="1" w:styleId="xl65">
    <w:name w:val="xl65"/>
    <w:basedOn w:val="Normal"/>
    <w:rsid w:val="00200174"/>
    <w:pPr>
      <w:pBdr>
        <w:bottom w:val="single" w:sz="12" w:space="0" w:color="FFFFFF"/>
        <w:right w:val="single" w:sz="12" w:space="0" w:color="FFFFFF"/>
      </w:pBdr>
      <w:shd w:val="clear" w:color="auto" w:fill="969696"/>
      <w:spacing w:before="100" w:beforeAutospacing="1" w:after="100" w:afterAutospacing="1"/>
    </w:pPr>
    <w:rPr>
      <w:b/>
      <w:bCs/>
    </w:rPr>
  </w:style>
  <w:style w:type="paragraph" w:customStyle="1" w:styleId="xl66">
    <w:name w:val="xl66"/>
    <w:basedOn w:val="Normal"/>
    <w:rsid w:val="00200174"/>
    <w:pPr>
      <w:pBdr>
        <w:bottom w:val="single" w:sz="12" w:space="0" w:color="FFFFFF"/>
        <w:right w:val="single" w:sz="12" w:space="0" w:color="FFFFFF"/>
      </w:pBdr>
      <w:shd w:val="clear" w:color="auto" w:fill="969696"/>
      <w:spacing w:before="100" w:beforeAutospacing="1" w:after="100" w:afterAutospacing="1"/>
    </w:pPr>
  </w:style>
  <w:style w:type="table" w:styleId="TableElegant">
    <w:name w:val="Table Elegant"/>
    <w:basedOn w:val="TableNormal"/>
    <w:rsid w:val="00B351F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um1">
    <w:name w:val="num1"/>
    <w:basedOn w:val="Normal"/>
    <w:rsid w:val="00F652AB"/>
    <w:pPr>
      <w:tabs>
        <w:tab w:val="left" w:pos="-720"/>
      </w:tabs>
      <w:suppressAutoHyphens/>
      <w:spacing w:line="360" w:lineRule="auto"/>
      <w:ind w:firstLine="360"/>
    </w:pPr>
    <w:rPr>
      <w:rFonts w:ascii="Palatino" w:hAnsi="Palatino"/>
      <w:sz w:val="26"/>
      <w:szCs w:val="20"/>
    </w:rPr>
  </w:style>
  <w:style w:type="paragraph" w:styleId="DocumentMap">
    <w:name w:val="Document Map"/>
    <w:basedOn w:val="Normal"/>
    <w:semiHidden/>
    <w:rsid w:val="00B008BF"/>
    <w:pPr>
      <w:shd w:val="clear" w:color="auto" w:fill="000080"/>
    </w:pPr>
    <w:rPr>
      <w:rFonts w:ascii="Tahoma" w:hAnsi="Tahoma" w:cs="Tahoma"/>
      <w:sz w:val="20"/>
      <w:szCs w:val="20"/>
    </w:rPr>
  </w:style>
  <w:style w:type="character" w:styleId="CommentReference">
    <w:name w:val="annotation reference"/>
    <w:basedOn w:val="DefaultParagraphFont"/>
    <w:semiHidden/>
    <w:rsid w:val="0042297B"/>
    <w:rPr>
      <w:sz w:val="16"/>
      <w:szCs w:val="16"/>
    </w:rPr>
  </w:style>
  <w:style w:type="paragraph" w:styleId="CommentText">
    <w:name w:val="annotation text"/>
    <w:basedOn w:val="Normal"/>
    <w:semiHidden/>
    <w:rsid w:val="0042297B"/>
    <w:rPr>
      <w:sz w:val="20"/>
      <w:szCs w:val="20"/>
    </w:rPr>
  </w:style>
  <w:style w:type="paragraph" w:styleId="CommentSubject">
    <w:name w:val="annotation subject"/>
    <w:basedOn w:val="CommentText"/>
    <w:next w:val="CommentText"/>
    <w:semiHidden/>
    <w:rsid w:val="0042297B"/>
    <w:rPr>
      <w:b/>
      <w:bCs/>
    </w:rPr>
  </w:style>
  <w:style w:type="paragraph" w:styleId="FootnoteText">
    <w:name w:val="footnote text"/>
    <w:basedOn w:val="Normal"/>
    <w:semiHidden/>
    <w:rsid w:val="007475AA"/>
    <w:rPr>
      <w:sz w:val="20"/>
      <w:szCs w:val="20"/>
    </w:rPr>
  </w:style>
  <w:style w:type="character" w:styleId="FootnoteReference">
    <w:name w:val="footnote reference"/>
    <w:basedOn w:val="DefaultParagraphFont"/>
    <w:semiHidden/>
    <w:rsid w:val="007475AA"/>
    <w:rPr>
      <w:vertAlign w:val="superscript"/>
    </w:rPr>
  </w:style>
  <w:style w:type="paragraph" w:customStyle="1" w:styleId="BasicText">
    <w:name w:val="Basic Text"/>
    <w:basedOn w:val="Normal"/>
    <w:rsid w:val="007F2ECC"/>
    <w:pPr>
      <w:spacing w:before="40" w:after="40"/>
      <w:ind w:left="720"/>
    </w:pPr>
    <w:rPr>
      <w:color w:val="000000"/>
      <w:szCs w:val="20"/>
    </w:rPr>
  </w:style>
  <w:style w:type="paragraph" w:customStyle="1" w:styleId="tablehead">
    <w:name w:val="table head"/>
    <w:basedOn w:val="Caption"/>
    <w:autoRedefine/>
    <w:rsid w:val="00922618"/>
    <w:pPr>
      <w:spacing w:before="120" w:after="130" w:line="280" w:lineRule="atLeast"/>
      <w:ind w:right="-90"/>
      <w:jc w:val="center"/>
    </w:pPr>
    <w:rPr>
      <w:sz w:val="24"/>
      <w:szCs w:val="24"/>
    </w:rPr>
  </w:style>
  <w:style w:type="paragraph" w:styleId="HTMLPreformatted">
    <w:name w:val="HTML Preformatted"/>
    <w:basedOn w:val="Normal"/>
    <w:link w:val="HTMLPreformattedChar"/>
    <w:uiPriority w:val="99"/>
    <w:unhideWhenUsed/>
    <w:rsid w:val="004D7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D7859"/>
    <w:rPr>
      <w:rFonts w:ascii="Courier New" w:hAnsi="Courier New" w:cs="Courier New"/>
    </w:rPr>
  </w:style>
  <w:style w:type="paragraph" w:customStyle="1" w:styleId="Reminder">
    <w:name w:val="Reminder"/>
    <w:basedOn w:val="Normal"/>
    <w:link w:val="ReminderChar"/>
    <w:rsid w:val="00D92EBF"/>
    <w:pPr>
      <w:spacing w:before="40" w:after="40"/>
    </w:pPr>
    <w:rPr>
      <w:rFonts w:ascii="Trebuchet MS" w:hAnsi="Trebuchet MS"/>
      <w:i/>
      <w:color w:val="FF0000"/>
    </w:rPr>
  </w:style>
  <w:style w:type="character" w:customStyle="1" w:styleId="ReminderChar">
    <w:name w:val="Reminder Char"/>
    <w:basedOn w:val="DefaultParagraphFont"/>
    <w:link w:val="Reminder"/>
    <w:rsid w:val="00D92EBF"/>
    <w:rPr>
      <w:rFonts w:ascii="Trebuchet MS" w:hAnsi="Trebuchet MS"/>
      <w:i/>
      <w:color w:val="FF0000"/>
      <w:sz w:val="24"/>
      <w:szCs w:val="24"/>
    </w:rPr>
  </w:style>
</w:styles>
</file>

<file path=word/webSettings.xml><?xml version="1.0" encoding="utf-8"?>
<w:webSettings xmlns:r="http://schemas.openxmlformats.org/officeDocument/2006/relationships" xmlns:w="http://schemas.openxmlformats.org/wordprocessingml/2006/main">
  <w:divs>
    <w:div w:id="52511021">
      <w:bodyDiv w:val="1"/>
      <w:marLeft w:val="0"/>
      <w:marRight w:val="0"/>
      <w:marTop w:val="0"/>
      <w:marBottom w:val="0"/>
      <w:divBdr>
        <w:top w:val="none" w:sz="0" w:space="0" w:color="auto"/>
        <w:left w:val="none" w:sz="0" w:space="0" w:color="auto"/>
        <w:bottom w:val="none" w:sz="0" w:space="0" w:color="auto"/>
        <w:right w:val="none" w:sz="0" w:space="0" w:color="auto"/>
      </w:divBdr>
    </w:div>
    <w:div w:id="76247211">
      <w:bodyDiv w:val="1"/>
      <w:marLeft w:val="0"/>
      <w:marRight w:val="0"/>
      <w:marTop w:val="0"/>
      <w:marBottom w:val="0"/>
      <w:divBdr>
        <w:top w:val="none" w:sz="0" w:space="0" w:color="auto"/>
        <w:left w:val="none" w:sz="0" w:space="0" w:color="auto"/>
        <w:bottom w:val="none" w:sz="0" w:space="0" w:color="auto"/>
        <w:right w:val="none" w:sz="0" w:space="0" w:color="auto"/>
      </w:divBdr>
    </w:div>
    <w:div w:id="120728612">
      <w:bodyDiv w:val="1"/>
      <w:marLeft w:val="0"/>
      <w:marRight w:val="0"/>
      <w:marTop w:val="0"/>
      <w:marBottom w:val="0"/>
      <w:divBdr>
        <w:top w:val="none" w:sz="0" w:space="0" w:color="auto"/>
        <w:left w:val="none" w:sz="0" w:space="0" w:color="auto"/>
        <w:bottom w:val="none" w:sz="0" w:space="0" w:color="auto"/>
        <w:right w:val="none" w:sz="0" w:space="0" w:color="auto"/>
      </w:divBdr>
    </w:div>
    <w:div w:id="228660767">
      <w:bodyDiv w:val="1"/>
      <w:marLeft w:val="0"/>
      <w:marRight w:val="0"/>
      <w:marTop w:val="0"/>
      <w:marBottom w:val="0"/>
      <w:divBdr>
        <w:top w:val="none" w:sz="0" w:space="0" w:color="auto"/>
        <w:left w:val="none" w:sz="0" w:space="0" w:color="auto"/>
        <w:bottom w:val="none" w:sz="0" w:space="0" w:color="auto"/>
        <w:right w:val="none" w:sz="0" w:space="0" w:color="auto"/>
      </w:divBdr>
    </w:div>
    <w:div w:id="276762977">
      <w:bodyDiv w:val="1"/>
      <w:marLeft w:val="0"/>
      <w:marRight w:val="0"/>
      <w:marTop w:val="0"/>
      <w:marBottom w:val="0"/>
      <w:divBdr>
        <w:top w:val="none" w:sz="0" w:space="0" w:color="auto"/>
        <w:left w:val="none" w:sz="0" w:space="0" w:color="auto"/>
        <w:bottom w:val="none" w:sz="0" w:space="0" w:color="auto"/>
        <w:right w:val="none" w:sz="0" w:space="0" w:color="auto"/>
      </w:divBdr>
    </w:div>
    <w:div w:id="298850117">
      <w:bodyDiv w:val="1"/>
      <w:marLeft w:val="0"/>
      <w:marRight w:val="0"/>
      <w:marTop w:val="0"/>
      <w:marBottom w:val="0"/>
      <w:divBdr>
        <w:top w:val="none" w:sz="0" w:space="0" w:color="auto"/>
        <w:left w:val="none" w:sz="0" w:space="0" w:color="auto"/>
        <w:bottom w:val="none" w:sz="0" w:space="0" w:color="auto"/>
        <w:right w:val="none" w:sz="0" w:space="0" w:color="auto"/>
      </w:divBdr>
    </w:div>
    <w:div w:id="453598320">
      <w:bodyDiv w:val="1"/>
      <w:marLeft w:val="0"/>
      <w:marRight w:val="0"/>
      <w:marTop w:val="0"/>
      <w:marBottom w:val="0"/>
      <w:divBdr>
        <w:top w:val="none" w:sz="0" w:space="0" w:color="auto"/>
        <w:left w:val="none" w:sz="0" w:space="0" w:color="auto"/>
        <w:bottom w:val="none" w:sz="0" w:space="0" w:color="auto"/>
        <w:right w:val="none" w:sz="0" w:space="0" w:color="auto"/>
      </w:divBdr>
    </w:div>
    <w:div w:id="461312187">
      <w:bodyDiv w:val="1"/>
      <w:marLeft w:val="0"/>
      <w:marRight w:val="0"/>
      <w:marTop w:val="0"/>
      <w:marBottom w:val="0"/>
      <w:divBdr>
        <w:top w:val="none" w:sz="0" w:space="0" w:color="auto"/>
        <w:left w:val="none" w:sz="0" w:space="0" w:color="auto"/>
        <w:bottom w:val="none" w:sz="0" w:space="0" w:color="auto"/>
        <w:right w:val="none" w:sz="0" w:space="0" w:color="auto"/>
      </w:divBdr>
    </w:div>
    <w:div w:id="500320824">
      <w:bodyDiv w:val="1"/>
      <w:marLeft w:val="0"/>
      <w:marRight w:val="0"/>
      <w:marTop w:val="0"/>
      <w:marBottom w:val="0"/>
      <w:divBdr>
        <w:top w:val="none" w:sz="0" w:space="0" w:color="auto"/>
        <w:left w:val="none" w:sz="0" w:space="0" w:color="auto"/>
        <w:bottom w:val="none" w:sz="0" w:space="0" w:color="auto"/>
        <w:right w:val="none" w:sz="0" w:space="0" w:color="auto"/>
      </w:divBdr>
    </w:div>
    <w:div w:id="676081777">
      <w:bodyDiv w:val="1"/>
      <w:marLeft w:val="0"/>
      <w:marRight w:val="0"/>
      <w:marTop w:val="0"/>
      <w:marBottom w:val="0"/>
      <w:divBdr>
        <w:top w:val="none" w:sz="0" w:space="0" w:color="auto"/>
        <w:left w:val="none" w:sz="0" w:space="0" w:color="auto"/>
        <w:bottom w:val="none" w:sz="0" w:space="0" w:color="auto"/>
        <w:right w:val="none" w:sz="0" w:space="0" w:color="auto"/>
      </w:divBdr>
    </w:div>
    <w:div w:id="689113855">
      <w:bodyDiv w:val="1"/>
      <w:marLeft w:val="0"/>
      <w:marRight w:val="0"/>
      <w:marTop w:val="0"/>
      <w:marBottom w:val="0"/>
      <w:divBdr>
        <w:top w:val="none" w:sz="0" w:space="0" w:color="auto"/>
        <w:left w:val="none" w:sz="0" w:space="0" w:color="auto"/>
        <w:bottom w:val="none" w:sz="0" w:space="0" w:color="auto"/>
        <w:right w:val="none" w:sz="0" w:space="0" w:color="auto"/>
      </w:divBdr>
    </w:div>
    <w:div w:id="691034635">
      <w:bodyDiv w:val="1"/>
      <w:marLeft w:val="0"/>
      <w:marRight w:val="0"/>
      <w:marTop w:val="0"/>
      <w:marBottom w:val="0"/>
      <w:divBdr>
        <w:top w:val="none" w:sz="0" w:space="0" w:color="auto"/>
        <w:left w:val="none" w:sz="0" w:space="0" w:color="auto"/>
        <w:bottom w:val="none" w:sz="0" w:space="0" w:color="auto"/>
        <w:right w:val="none" w:sz="0" w:space="0" w:color="auto"/>
      </w:divBdr>
    </w:div>
    <w:div w:id="760952783">
      <w:bodyDiv w:val="1"/>
      <w:marLeft w:val="0"/>
      <w:marRight w:val="0"/>
      <w:marTop w:val="0"/>
      <w:marBottom w:val="0"/>
      <w:divBdr>
        <w:top w:val="none" w:sz="0" w:space="0" w:color="auto"/>
        <w:left w:val="none" w:sz="0" w:space="0" w:color="auto"/>
        <w:bottom w:val="none" w:sz="0" w:space="0" w:color="auto"/>
        <w:right w:val="none" w:sz="0" w:space="0" w:color="auto"/>
      </w:divBdr>
    </w:div>
    <w:div w:id="765462337">
      <w:bodyDiv w:val="1"/>
      <w:marLeft w:val="0"/>
      <w:marRight w:val="0"/>
      <w:marTop w:val="0"/>
      <w:marBottom w:val="0"/>
      <w:divBdr>
        <w:top w:val="none" w:sz="0" w:space="0" w:color="auto"/>
        <w:left w:val="none" w:sz="0" w:space="0" w:color="auto"/>
        <w:bottom w:val="none" w:sz="0" w:space="0" w:color="auto"/>
        <w:right w:val="none" w:sz="0" w:space="0" w:color="auto"/>
      </w:divBdr>
    </w:div>
    <w:div w:id="773673333">
      <w:bodyDiv w:val="1"/>
      <w:marLeft w:val="0"/>
      <w:marRight w:val="0"/>
      <w:marTop w:val="0"/>
      <w:marBottom w:val="0"/>
      <w:divBdr>
        <w:top w:val="none" w:sz="0" w:space="0" w:color="auto"/>
        <w:left w:val="none" w:sz="0" w:space="0" w:color="auto"/>
        <w:bottom w:val="none" w:sz="0" w:space="0" w:color="auto"/>
        <w:right w:val="none" w:sz="0" w:space="0" w:color="auto"/>
      </w:divBdr>
    </w:div>
    <w:div w:id="838303641">
      <w:bodyDiv w:val="1"/>
      <w:marLeft w:val="0"/>
      <w:marRight w:val="0"/>
      <w:marTop w:val="0"/>
      <w:marBottom w:val="0"/>
      <w:divBdr>
        <w:top w:val="none" w:sz="0" w:space="0" w:color="auto"/>
        <w:left w:val="none" w:sz="0" w:space="0" w:color="auto"/>
        <w:bottom w:val="none" w:sz="0" w:space="0" w:color="auto"/>
        <w:right w:val="none" w:sz="0" w:space="0" w:color="auto"/>
      </w:divBdr>
    </w:div>
    <w:div w:id="884608317">
      <w:bodyDiv w:val="1"/>
      <w:marLeft w:val="0"/>
      <w:marRight w:val="0"/>
      <w:marTop w:val="0"/>
      <w:marBottom w:val="0"/>
      <w:divBdr>
        <w:top w:val="none" w:sz="0" w:space="0" w:color="auto"/>
        <w:left w:val="none" w:sz="0" w:space="0" w:color="auto"/>
        <w:bottom w:val="none" w:sz="0" w:space="0" w:color="auto"/>
        <w:right w:val="none" w:sz="0" w:space="0" w:color="auto"/>
      </w:divBdr>
    </w:div>
    <w:div w:id="1006595589">
      <w:bodyDiv w:val="1"/>
      <w:marLeft w:val="0"/>
      <w:marRight w:val="0"/>
      <w:marTop w:val="0"/>
      <w:marBottom w:val="0"/>
      <w:divBdr>
        <w:top w:val="none" w:sz="0" w:space="0" w:color="auto"/>
        <w:left w:val="none" w:sz="0" w:space="0" w:color="auto"/>
        <w:bottom w:val="none" w:sz="0" w:space="0" w:color="auto"/>
        <w:right w:val="none" w:sz="0" w:space="0" w:color="auto"/>
      </w:divBdr>
    </w:div>
    <w:div w:id="1152213824">
      <w:bodyDiv w:val="1"/>
      <w:marLeft w:val="0"/>
      <w:marRight w:val="0"/>
      <w:marTop w:val="0"/>
      <w:marBottom w:val="0"/>
      <w:divBdr>
        <w:top w:val="none" w:sz="0" w:space="0" w:color="auto"/>
        <w:left w:val="none" w:sz="0" w:space="0" w:color="auto"/>
        <w:bottom w:val="none" w:sz="0" w:space="0" w:color="auto"/>
        <w:right w:val="none" w:sz="0" w:space="0" w:color="auto"/>
      </w:divBdr>
    </w:div>
    <w:div w:id="1212113632">
      <w:bodyDiv w:val="1"/>
      <w:marLeft w:val="0"/>
      <w:marRight w:val="0"/>
      <w:marTop w:val="0"/>
      <w:marBottom w:val="0"/>
      <w:divBdr>
        <w:top w:val="none" w:sz="0" w:space="0" w:color="auto"/>
        <w:left w:val="none" w:sz="0" w:space="0" w:color="auto"/>
        <w:bottom w:val="none" w:sz="0" w:space="0" w:color="auto"/>
        <w:right w:val="none" w:sz="0" w:space="0" w:color="auto"/>
      </w:divBdr>
      <w:divsChild>
        <w:div w:id="1209997726">
          <w:marLeft w:val="0"/>
          <w:marRight w:val="0"/>
          <w:marTop w:val="0"/>
          <w:marBottom w:val="0"/>
          <w:divBdr>
            <w:top w:val="none" w:sz="0" w:space="0" w:color="auto"/>
            <w:left w:val="none" w:sz="0" w:space="0" w:color="auto"/>
            <w:bottom w:val="none" w:sz="0" w:space="0" w:color="auto"/>
            <w:right w:val="none" w:sz="0" w:space="0" w:color="auto"/>
          </w:divBdr>
          <w:divsChild>
            <w:div w:id="621150603">
              <w:marLeft w:val="0"/>
              <w:marRight w:val="0"/>
              <w:marTop w:val="0"/>
              <w:marBottom w:val="0"/>
              <w:divBdr>
                <w:top w:val="none" w:sz="0" w:space="0" w:color="auto"/>
                <w:left w:val="none" w:sz="0" w:space="0" w:color="auto"/>
                <w:bottom w:val="none" w:sz="0" w:space="0" w:color="auto"/>
                <w:right w:val="none" w:sz="0" w:space="0" w:color="auto"/>
              </w:divBdr>
              <w:divsChild>
                <w:div w:id="1158037326">
                  <w:marLeft w:val="2928"/>
                  <w:marRight w:val="0"/>
                  <w:marTop w:val="720"/>
                  <w:marBottom w:val="0"/>
                  <w:divBdr>
                    <w:top w:val="none" w:sz="0" w:space="0" w:color="auto"/>
                    <w:left w:val="none" w:sz="0" w:space="0" w:color="auto"/>
                    <w:bottom w:val="none" w:sz="0" w:space="0" w:color="auto"/>
                    <w:right w:val="none" w:sz="0" w:space="0" w:color="auto"/>
                  </w:divBdr>
                  <w:divsChild>
                    <w:div w:id="417793153">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246763622">
      <w:bodyDiv w:val="1"/>
      <w:marLeft w:val="0"/>
      <w:marRight w:val="0"/>
      <w:marTop w:val="0"/>
      <w:marBottom w:val="0"/>
      <w:divBdr>
        <w:top w:val="none" w:sz="0" w:space="0" w:color="auto"/>
        <w:left w:val="none" w:sz="0" w:space="0" w:color="auto"/>
        <w:bottom w:val="none" w:sz="0" w:space="0" w:color="auto"/>
        <w:right w:val="none" w:sz="0" w:space="0" w:color="auto"/>
      </w:divBdr>
    </w:div>
    <w:div w:id="1355573182">
      <w:bodyDiv w:val="1"/>
      <w:marLeft w:val="0"/>
      <w:marRight w:val="0"/>
      <w:marTop w:val="0"/>
      <w:marBottom w:val="0"/>
      <w:divBdr>
        <w:top w:val="none" w:sz="0" w:space="0" w:color="auto"/>
        <w:left w:val="none" w:sz="0" w:space="0" w:color="auto"/>
        <w:bottom w:val="none" w:sz="0" w:space="0" w:color="auto"/>
        <w:right w:val="none" w:sz="0" w:space="0" w:color="auto"/>
      </w:divBdr>
    </w:div>
    <w:div w:id="1358506593">
      <w:bodyDiv w:val="1"/>
      <w:marLeft w:val="0"/>
      <w:marRight w:val="0"/>
      <w:marTop w:val="0"/>
      <w:marBottom w:val="0"/>
      <w:divBdr>
        <w:top w:val="none" w:sz="0" w:space="0" w:color="auto"/>
        <w:left w:val="none" w:sz="0" w:space="0" w:color="auto"/>
        <w:bottom w:val="none" w:sz="0" w:space="0" w:color="auto"/>
        <w:right w:val="none" w:sz="0" w:space="0" w:color="auto"/>
      </w:divBdr>
    </w:div>
    <w:div w:id="1394818338">
      <w:bodyDiv w:val="1"/>
      <w:marLeft w:val="0"/>
      <w:marRight w:val="0"/>
      <w:marTop w:val="0"/>
      <w:marBottom w:val="0"/>
      <w:divBdr>
        <w:top w:val="none" w:sz="0" w:space="0" w:color="auto"/>
        <w:left w:val="none" w:sz="0" w:space="0" w:color="auto"/>
        <w:bottom w:val="none" w:sz="0" w:space="0" w:color="auto"/>
        <w:right w:val="none" w:sz="0" w:space="0" w:color="auto"/>
      </w:divBdr>
    </w:div>
    <w:div w:id="1442652594">
      <w:bodyDiv w:val="1"/>
      <w:marLeft w:val="0"/>
      <w:marRight w:val="0"/>
      <w:marTop w:val="0"/>
      <w:marBottom w:val="0"/>
      <w:divBdr>
        <w:top w:val="none" w:sz="0" w:space="0" w:color="auto"/>
        <w:left w:val="none" w:sz="0" w:space="0" w:color="auto"/>
        <w:bottom w:val="none" w:sz="0" w:space="0" w:color="auto"/>
        <w:right w:val="none" w:sz="0" w:space="0" w:color="auto"/>
      </w:divBdr>
    </w:div>
    <w:div w:id="1484390487">
      <w:bodyDiv w:val="1"/>
      <w:marLeft w:val="0"/>
      <w:marRight w:val="0"/>
      <w:marTop w:val="0"/>
      <w:marBottom w:val="0"/>
      <w:divBdr>
        <w:top w:val="none" w:sz="0" w:space="0" w:color="auto"/>
        <w:left w:val="none" w:sz="0" w:space="0" w:color="auto"/>
        <w:bottom w:val="none" w:sz="0" w:space="0" w:color="auto"/>
        <w:right w:val="none" w:sz="0" w:space="0" w:color="auto"/>
      </w:divBdr>
    </w:div>
    <w:div w:id="1532764111">
      <w:bodyDiv w:val="1"/>
      <w:marLeft w:val="0"/>
      <w:marRight w:val="0"/>
      <w:marTop w:val="0"/>
      <w:marBottom w:val="0"/>
      <w:divBdr>
        <w:top w:val="none" w:sz="0" w:space="0" w:color="auto"/>
        <w:left w:val="none" w:sz="0" w:space="0" w:color="auto"/>
        <w:bottom w:val="none" w:sz="0" w:space="0" w:color="auto"/>
        <w:right w:val="none" w:sz="0" w:space="0" w:color="auto"/>
      </w:divBdr>
    </w:div>
    <w:div w:id="1533221962">
      <w:bodyDiv w:val="1"/>
      <w:marLeft w:val="0"/>
      <w:marRight w:val="0"/>
      <w:marTop w:val="0"/>
      <w:marBottom w:val="0"/>
      <w:divBdr>
        <w:top w:val="none" w:sz="0" w:space="0" w:color="auto"/>
        <w:left w:val="none" w:sz="0" w:space="0" w:color="auto"/>
        <w:bottom w:val="none" w:sz="0" w:space="0" w:color="auto"/>
        <w:right w:val="none" w:sz="0" w:space="0" w:color="auto"/>
      </w:divBdr>
    </w:div>
    <w:div w:id="1611625156">
      <w:bodyDiv w:val="1"/>
      <w:marLeft w:val="0"/>
      <w:marRight w:val="0"/>
      <w:marTop w:val="0"/>
      <w:marBottom w:val="0"/>
      <w:divBdr>
        <w:top w:val="none" w:sz="0" w:space="0" w:color="auto"/>
        <w:left w:val="none" w:sz="0" w:space="0" w:color="auto"/>
        <w:bottom w:val="none" w:sz="0" w:space="0" w:color="auto"/>
        <w:right w:val="none" w:sz="0" w:space="0" w:color="auto"/>
      </w:divBdr>
    </w:div>
    <w:div w:id="1623027403">
      <w:bodyDiv w:val="1"/>
      <w:marLeft w:val="0"/>
      <w:marRight w:val="0"/>
      <w:marTop w:val="0"/>
      <w:marBottom w:val="0"/>
      <w:divBdr>
        <w:top w:val="none" w:sz="0" w:space="0" w:color="auto"/>
        <w:left w:val="none" w:sz="0" w:space="0" w:color="auto"/>
        <w:bottom w:val="none" w:sz="0" w:space="0" w:color="auto"/>
        <w:right w:val="none" w:sz="0" w:space="0" w:color="auto"/>
      </w:divBdr>
    </w:div>
    <w:div w:id="1723207878">
      <w:bodyDiv w:val="1"/>
      <w:marLeft w:val="0"/>
      <w:marRight w:val="0"/>
      <w:marTop w:val="0"/>
      <w:marBottom w:val="0"/>
      <w:divBdr>
        <w:top w:val="none" w:sz="0" w:space="0" w:color="auto"/>
        <w:left w:val="none" w:sz="0" w:space="0" w:color="auto"/>
        <w:bottom w:val="none" w:sz="0" w:space="0" w:color="auto"/>
        <w:right w:val="none" w:sz="0" w:space="0" w:color="auto"/>
      </w:divBdr>
    </w:div>
    <w:div w:id="1743604085">
      <w:bodyDiv w:val="1"/>
      <w:marLeft w:val="0"/>
      <w:marRight w:val="0"/>
      <w:marTop w:val="0"/>
      <w:marBottom w:val="0"/>
      <w:divBdr>
        <w:top w:val="none" w:sz="0" w:space="0" w:color="auto"/>
        <w:left w:val="none" w:sz="0" w:space="0" w:color="auto"/>
        <w:bottom w:val="none" w:sz="0" w:space="0" w:color="auto"/>
        <w:right w:val="none" w:sz="0" w:space="0" w:color="auto"/>
      </w:divBdr>
    </w:div>
    <w:div w:id="1839346674">
      <w:bodyDiv w:val="1"/>
      <w:marLeft w:val="0"/>
      <w:marRight w:val="0"/>
      <w:marTop w:val="0"/>
      <w:marBottom w:val="0"/>
      <w:divBdr>
        <w:top w:val="none" w:sz="0" w:space="0" w:color="auto"/>
        <w:left w:val="none" w:sz="0" w:space="0" w:color="auto"/>
        <w:bottom w:val="none" w:sz="0" w:space="0" w:color="auto"/>
        <w:right w:val="none" w:sz="0" w:space="0" w:color="auto"/>
      </w:divBdr>
    </w:div>
    <w:div w:id="1944343191">
      <w:bodyDiv w:val="1"/>
      <w:marLeft w:val="0"/>
      <w:marRight w:val="0"/>
      <w:marTop w:val="0"/>
      <w:marBottom w:val="0"/>
      <w:divBdr>
        <w:top w:val="none" w:sz="0" w:space="0" w:color="auto"/>
        <w:left w:val="none" w:sz="0" w:space="0" w:color="auto"/>
        <w:bottom w:val="none" w:sz="0" w:space="0" w:color="auto"/>
        <w:right w:val="none" w:sz="0" w:space="0" w:color="auto"/>
      </w:divBdr>
    </w:div>
    <w:div w:id="2017228856">
      <w:bodyDiv w:val="1"/>
      <w:marLeft w:val="0"/>
      <w:marRight w:val="0"/>
      <w:marTop w:val="0"/>
      <w:marBottom w:val="0"/>
      <w:divBdr>
        <w:top w:val="none" w:sz="0" w:space="0" w:color="auto"/>
        <w:left w:val="none" w:sz="0" w:space="0" w:color="auto"/>
        <w:bottom w:val="none" w:sz="0" w:space="0" w:color="auto"/>
        <w:right w:val="none" w:sz="0" w:space="0" w:color="auto"/>
      </w:divBdr>
    </w:div>
    <w:div w:id="211860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4.wmf"/><Relationship Id="rId28" Type="http://schemas.openxmlformats.org/officeDocument/2006/relationships/oleObject" Target="embeddings/oleObject4.bin"/><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oleObject" Target="embeddings/oleObject5.bin"/></Relationships>
</file>

<file path=word/_rels/endnotes.xml.rels><?xml version="1.0" encoding="UTF-8" standalone="yes"?>
<Relationships xmlns="http://schemas.openxmlformats.org/package/2006/relationships"><Relationship Id="rId3" Type="http://schemas.openxmlformats.org/officeDocument/2006/relationships/oleObject" Target="embeddings/Microsoft_Office_Excel_97-2003_Worksheet1.xls"/><Relationship Id="rId2" Type="http://schemas.openxmlformats.org/officeDocument/2006/relationships/image" Target="media/image1.emf"/><Relationship Id="rId1" Type="http://schemas.openxmlformats.org/officeDocument/2006/relationships/hyperlink" Target="http://eega.cpuc.ca.gov/deer/" TargetMode="External"/><Relationship Id="rId5" Type="http://schemas.openxmlformats.org/officeDocument/2006/relationships/oleObject" Target="embeddings/Microsoft_Office_Excel_97-2003_Worksheet2.xls"/><Relationship Id="rId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ultf\Desktop\WorkPaperReview2ndQtr2007\SCE%20Work%20Paper%20Template%20-%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2E24D56-6286-414E-BA01-0D27465B3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D98E801-5846-4611-868A-3CCF455E5983}">
  <ds:schemaRefs>
    <ds:schemaRef ds:uri="http://schemas.microsoft.com/sharepoint/v3/contenttype/forms"/>
  </ds:schemaRefs>
</ds:datastoreItem>
</file>

<file path=customXml/itemProps3.xml><?xml version="1.0" encoding="utf-8"?>
<ds:datastoreItem xmlns:ds="http://schemas.openxmlformats.org/officeDocument/2006/customXml" ds:itemID="{93117F6A-5779-49FE-B8EA-54284EAB3FC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SCE Work Paper Template - Final.dot</Template>
  <TotalTime>11</TotalTime>
  <Pages>14</Pages>
  <Words>3035</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At a Glance Summary</vt:lpstr>
    </vt:vector>
  </TitlesOfParts>
  <Company>SCE</Company>
  <LinksUpToDate>false</LinksUpToDate>
  <CharactersWithSpaces>20301</CharactersWithSpaces>
  <SharedDoc>false</SharedDoc>
  <HLinks>
    <vt:vector size="156" baseType="variant">
      <vt:variant>
        <vt:i4>1507377</vt:i4>
      </vt:variant>
      <vt:variant>
        <vt:i4>146</vt:i4>
      </vt:variant>
      <vt:variant>
        <vt:i4>0</vt:i4>
      </vt:variant>
      <vt:variant>
        <vt:i4>5</vt:i4>
      </vt:variant>
      <vt:variant>
        <vt:lpwstr/>
      </vt:variant>
      <vt:variant>
        <vt:lpwstr>_Toc246402520</vt:lpwstr>
      </vt:variant>
      <vt:variant>
        <vt:i4>1310769</vt:i4>
      </vt:variant>
      <vt:variant>
        <vt:i4>140</vt:i4>
      </vt:variant>
      <vt:variant>
        <vt:i4>0</vt:i4>
      </vt:variant>
      <vt:variant>
        <vt:i4>5</vt:i4>
      </vt:variant>
      <vt:variant>
        <vt:lpwstr/>
      </vt:variant>
      <vt:variant>
        <vt:lpwstr>_Toc246402519</vt:lpwstr>
      </vt:variant>
      <vt:variant>
        <vt:i4>1310769</vt:i4>
      </vt:variant>
      <vt:variant>
        <vt:i4>134</vt:i4>
      </vt:variant>
      <vt:variant>
        <vt:i4>0</vt:i4>
      </vt:variant>
      <vt:variant>
        <vt:i4>5</vt:i4>
      </vt:variant>
      <vt:variant>
        <vt:lpwstr/>
      </vt:variant>
      <vt:variant>
        <vt:lpwstr>_Toc246402518</vt:lpwstr>
      </vt:variant>
      <vt:variant>
        <vt:i4>1310769</vt:i4>
      </vt:variant>
      <vt:variant>
        <vt:i4>128</vt:i4>
      </vt:variant>
      <vt:variant>
        <vt:i4>0</vt:i4>
      </vt:variant>
      <vt:variant>
        <vt:i4>5</vt:i4>
      </vt:variant>
      <vt:variant>
        <vt:lpwstr/>
      </vt:variant>
      <vt:variant>
        <vt:lpwstr>_Toc246402517</vt:lpwstr>
      </vt:variant>
      <vt:variant>
        <vt:i4>1310769</vt:i4>
      </vt:variant>
      <vt:variant>
        <vt:i4>122</vt:i4>
      </vt:variant>
      <vt:variant>
        <vt:i4>0</vt:i4>
      </vt:variant>
      <vt:variant>
        <vt:i4>5</vt:i4>
      </vt:variant>
      <vt:variant>
        <vt:lpwstr/>
      </vt:variant>
      <vt:variant>
        <vt:lpwstr>_Toc246402516</vt:lpwstr>
      </vt:variant>
      <vt:variant>
        <vt:i4>1310769</vt:i4>
      </vt:variant>
      <vt:variant>
        <vt:i4>116</vt:i4>
      </vt:variant>
      <vt:variant>
        <vt:i4>0</vt:i4>
      </vt:variant>
      <vt:variant>
        <vt:i4>5</vt:i4>
      </vt:variant>
      <vt:variant>
        <vt:lpwstr/>
      </vt:variant>
      <vt:variant>
        <vt:lpwstr>_Toc246402515</vt:lpwstr>
      </vt:variant>
      <vt:variant>
        <vt:i4>1310769</vt:i4>
      </vt:variant>
      <vt:variant>
        <vt:i4>110</vt:i4>
      </vt:variant>
      <vt:variant>
        <vt:i4>0</vt:i4>
      </vt:variant>
      <vt:variant>
        <vt:i4>5</vt:i4>
      </vt:variant>
      <vt:variant>
        <vt:lpwstr/>
      </vt:variant>
      <vt:variant>
        <vt:lpwstr>_Toc246402514</vt:lpwstr>
      </vt:variant>
      <vt:variant>
        <vt:i4>1310769</vt:i4>
      </vt:variant>
      <vt:variant>
        <vt:i4>104</vt:i4>
      </vt:variant>
      <vt:variant>
        <vt:i4>0</vt:i4>
      </vt:variant>
      <vt:variant>
        <vt:i4>5</vt:i4>
      </vt:variant>
      <vt:variant>
        <vt:lpwstr/>
      </vt:variant>
      <vt:variant>
        <vt:lpwstr>_Toc246402513</vt:lpwstr>
      </vt:variant>
      <vt:variant>
        <vt:i4>1310769</vt:i4>
      </vt:variant>
      <vt:variant>
        <vt:i4>98</vt:i4>
      </vt:variant>
      <vt:variant>
        <vt:i4>0</vt:i4>
      </vt:variant>
      <vt:variant>
        <vt:i4>5</vt:i4>
      </vt:variant>
      <vt:variant>
        <vt:lpwstr/>
      </vt:variant>
      <vt:variant>
        <vt:lpwstr>_Toc246402512</vt:lpwstr>
      </vt:variant>
      <vt:variant>
        <vt:i4>1310769</vt:i4>
      </vt:variant>
      <vt:variant>
        <vt:i4>92</vt:i4>
      </vt:variant>
      <vt:variant>
        <vt:i4>0</vt:i4>
      </vt:variant>
      <vt:variant>
        <vt:i4>5</vt:i4>
      </vt:variant>
      <vt:variant>
        <vt:lpwstr/>
      </vt:variant>
      <vt:variant>
        <vt:lpwstr>_Toc246402511</vt:lpwstr>
      </vt:variant>
      <vt:variant>
        <vt:i4>1310769</vt:i4>
      </vt:variant>
      <vt:variant>
        <vt:i4>86</vt:i4>
      </vt:variant>
      <vt:variant>
        <vt:i4>0</vt:i4>
      </vt:variant>
      <vt:variant>
        <vt:i4>5</vt:i4>
      </vt:variant>
      <vt:variant>
        <vt:lpwstr/>
      </vt:variant>
      <vt:variant>
        <vt:lpwstr>_Toc246402510</vt:lpwstr>
      </vt:variant>
      <vt:variant>
        <vt:i4>1376305</vt:i4>
      </vt:variant>
      <vt:variant>
        <vt:i4>80</vt:i4>
      </vt:variant>
      <vt:variant>
        <vt:i4>0</vt:i4>
      </vt:variant>
      <vt:variant>
        <vt:i4>5</vt:i4>
      </vt:variant>
      <vt:variant>
        <vt:lpwstr/>
      </vt:variant>
      <vt:variant>
        <vt:lpwstr>_Toc246402509</vt:lpwstr>
      </vt:variant>
      <vt:variant>
        <vt:i4>1376305</vt:i4>
      </vt:variant>
      <vt:variant>
        <vt:i4>74</vt:i4>
      </vt:variant>
      <vt:variant>
        <vt:i4>0</vt:i4>
      </vt:variant>
      <vt:variant>
        <vt:i4>5</vt:i4>
      </vt:variant>
      <vt:variant>
        <vt:lpwstr/>
      </vt:variant>
      <vt:variant>
        <vt:lpwstr>_Toc246402508</vt:lpwstr>
      </vt:variant>
      <vt:variant>
        <vt:i4>1376305</vt:i4>
      </vt:variant>
      <vt:variant>
        <vt:i4>68</vt:i4>
      </vt:variant>
      <vt:variant>
        <vt:i4>0</vt:i4>
      </vt:variant>
      <vt:variant>
        <vt:i4>5</vt:i4>
      </vt:variant>
      <vt:variant>
        <vt:lpwstr/>
      </vt:variant>
      <vt:variant>
        <vt:lpwstr>_Toc246402507</vt:lpwstr>
      </vt:variant>
      <vt:variant>
        <vt:i4>1376305</vt:i4>
      </vt:variant>
      <vt:variant>
        <vt:i4>62</vt:i4>
      </vt:variant>
      <vt:variant>
        <vt:i4>0</vt:i4>
      </vt:variant>
      <vt:variant>
        <vt:i4>5</vt:i4>
      </vt:variant>
      <vt:variant>
        <vt:lpwstr/>
      </vt:variant>
      <vt:variant>
        <vt:lpwstr>_Toc246402506</vt:lpwstr>
      </vt:variant>
      <vt:variant>
        <vt:i4>1376305</vt:i4>
      </vt:variant>
      <vt:variant>
        <vt:i4>56</vt:i4>
      </vt:variant>
      <vt:variant>
        <vt:i4>0</vt:i4>
      </vt:variant>
      <vt:variant>
        <vt:i4>5</vt:i4>
      </vt:variant>
      <vt:variant>
        <vt:lpwstr/>
      </vt:variant>
      <vt:variant>
        <vt:lpwstr>_Toc246402505</vt:lpwstr>
      </vt:variant>
      <vt:variant>
        <vt:i4>1376305</vt:i4>
      </vt:variant>
      <vt:variant>
        <vt:i4>50</vt:i4>
      </vt:variant>
      <vt:variant>
        <vt:i4>0</vt:i4>
      </vt:variant>
      <vt:variant>
        <vt:i4>5</vt:i4>
      </vt:variant>
      <vt:variant>
        <vt:lpwstr/>
      </vt:variant>
      <vt:variant>
        <vt:lpwstr>_Toc246402504</vt:lpwstr>
      </vt:variant>
      <vt:variant>
        <vt:i4>1376305</vt:i4>
      </vt:variant>
      <vt:variant>
        <vt:i4>44</vt:i4>
      </vt:variant>
      <vt:variant>
        <vt:i4>0</vt:i4>
      </vt:variant>
      <vt:variant>
        <vt:i4>5</vt:i4>
      </vt:variant>
      <vt:variant>
        <vt:lpwstr/>
      </vt:variant>
      <vt:variant>
        <vt:lpwstr>_Toc246402503</vt:lpwstr>
      </vt:variant>
      <vt:variant>
        <vt:i4>1376305</vt:i4>
      </vt:variant>
      <vt:variant>
        <vt:i4>38</vt:i4>
      </vt:variant>
      <vt:variant>
        <vt:i4>0</vt:i4>
      </vt:variant>
      <vt:variant>
        <vt:i4>5</vt:i4>
      </vt:variant>
      <vt:variant>
        <vt:lpwstr/>
      </vt:variant>
      <vt:variant>
        <vt:lpwstr>_Toc246402502</vt:lpwstr>
      </vt:variant>
      <vt:variant>
        <vt:i4>1376305</vt:i4>
      </vt:variant>
      <vt:variant>
        <vt:i4>32</vt:i4>
      </vt:variant>
      <vt:variant>
        <vt:i4>0</vt:i4>
      </vt:variant>
      <vt:variant>
        <vt:i4>5</vt:i4>
      </vt:variant>
      <vt:variant>
        <vt:lpwstr/>
      </vt:variant>
      <vt:variant>
        <vt:lpwstr>_Toc246402501</vt:lpwstr>
      </vt:variant>
      <vt:variant>
        <vt:i4>1376305</vt:i4>
      </vt:variant>
      <vt:variant>
        <vt:i4>26</vt:i4>
      </vt:variant>
      <vt:variant>
        <vt:i4>0</vt:i4>
      </vt:variant>
      <vt:variant>
        <vt:i4>5</vt:i4>
      </vt:variant>
      <vt:variant>
        <vt:lpwstr/>
      </vt:variant>
      <vt:variant>
        <vt:lpwstr>_Toc246402500</vt:lpwstr>
      </vt:variant>
      <vt:variant>
        <vt:i4>1835056</vt:i4>
      </vt:variant>
      <vt:variant>
        <vt:i4>20</vt:i4>
      </vt:variant>
      <vt:variant>
        <vt:i4>0</vt:i4>
      </vt:variant>
      <vt:variant>
        <vt:i4>5</vt:i4>
      </vt:variant>
      <vt:variant>
        <vt:lpwstr/>
      </vt:variant>
      <vt:variant>
        <vt:lpwstr>_Toc246402499</vt:lpwstr>
      </vt:variant>
      <vt:variant>
        <vt:i4>1835056</vt:i4>
      </vt:variant>
      <vt:variant>
        <vt:i4>14</vt:i4>
      </vt:variant>
      <vt:variant>
        <vt:i4>0</vt:i4>
      </vt:variant>
      <vt:variant>
        <vt:i4>5</vt:i4>
      </vt:variant>
      <vt:variant>
        <vt:lpwstr/>
      </vt:variant>
      <vt:variant>
        <vt:lpwstr>_Toc246402498</vt:lpwstr>
      </vt:variant>
      <vt:variant>
        <vt:i4>1835056</vt:i4>
      </vt:variant>
      <vt:variant>
        <vt:i4>8</vt:i4>
      </vt:variant>
      <vt:variant>
        <vt:i4>0</vt:i4>
      </vt:variant>
      <vt:variant>
        <vt:i4>5</vt:i4>
      </vt:variant>
      <vt:variant>
        <vt:lpwstr/>
      </vt:variant>
      <vt:variant>
        <vt:lpwstr>_Toc246402497</vt:lpwstr>
      </vt:variant>
      <vt:variant>
        <vt:i4>1835056</vt:i4>
      </vt:variant>
      <vt:variant>
        <vt:i4>2</vt:i4>
      </vt:variant>
      <vt:variant>
        <vt:i4>0</vt:i4>
      </vt:variant>
      <vt:variant>
        <vt:i4>5</vt:i4>
      </vt:variant>
      <vt:variant>
        <vt:lpwstr/>
      </vt:variant>
      <vt:variant>
        <vt:lpwstr>_Toc246402496</vt:lpwstr>
      </vt:variant>
      <vt:variant>
        <vt:i4>917572</vt:i4>
      </vt:variant>
      <vt:variant>
        <vt:i4>0</vt:i4>
      </vt:variant>
      <vt:variant>
        <vt:i4>0</vt:i4>
      </vt:variant>
      <vt:variant>
        <vt:i4>5</vt:i4>
      </vt:variant>
      <vt:variant>
        <vt:lpwstr>http://eega.cpuc.ca.gov/deer/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a Glance Summary</dc:title>
  <dc:subject/>
  <dc:creator>Standard Configuration</dc:creator>
  <cp:keywords/>
  <cp:lastModifiedBy>kvalenzu</cp:lastModifiedBy>
  <cp:revision>5</cp:revision>
  <cp:lastPrinted>2008-02-29T09:44:00Z</cp:lastPrinted>
  <dcterms:created xsi:type="dcterms:W3CDTF">2012-08-29T12:25:00Z</dcterms:created>
  <dcterms:modified xsi:type="dcterms:W3CDTF">2012-08-30T17:43:00Z</dcterms:modified>
</cp:coreProperties>
</file>