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3E4896" w:rsidP="005C6E7A">
      <w:pPr>
        <w:rPr>
          <w:rFonts w:ascii="Arial" w:hAnsi="Arial" w:cs="Arial"/>
        </w:rPr>
      </w:pPr>
      <w:r>
        <w:rPr>
          <w:rFonts w:ascii="Arial" w:hAnsi="Arial" w:cs="Arial"/>
        </w:rPr>
        <w:t xml:space="preserve"> </w:t>
      </w:r>
    </w:p>
    <w:p w:rsidR="00C62CAA" w:rsidRPr="009C28F3" w:rsidRDefault="00C62CAA" w:rsidP="005C6E7A">
      <w:pPr>
        <w:rPr>
          <w:rFonts w:ascii="Arial" w:hAnsi="Arial" w:cs="Arial"/>
        </w:rPr>
      </w:pPr>
    </w:p>
    <w:p w:rsidR="009C28F3" w:rsidRPr="009C28F3" w:rsidRDefault="009C28F3" w:rsidP="009C28F3">
      <w:pPr>
        <w:pStyle w:val="Default"/>
      </w:pPr>
      <w:r w:rsidRPr="009C28F3">
        <w:t>These questions relate primarily to the direct testimony of Steve Watson.</w:t>
      </w:r>
    </w:p>
    <w:p w:rsidR="009C28F3" w:rsidRPr="009C28F3" w:rsidRDefault="009C28F3"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QUESTION 1:</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 xml:space="preserve">Please provide all </w:t>
      </w:r>
      <w:proofErr w:type="spellStart"/>
      <w:r w:rsidRPr="00D12186">
        <w:rPr>
          <w:rFonts w:ascii="Arial" w:hAnsi="Arial" w:cs="Arial"/>
        </w:rPr>
        <w:t>workpapers</w:t>
      </w:r>
      <w:proofErr w:type="spellEnd"/>
      <w:r w:rsidRPr="00D12186">
        <w:rPr>
          <w:rFonts w:ascii="Arial" w:hAnsi="Arial" w:cs="Arial"/>
        </w:rPr>
        <w:t xml:space="preserve"> for the Watson testimony in Excel or other native format, with all cells working and formulae intact.</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p>
    <w:p w:rsidR="006B5580" w:rsidRDefault="006B5580" w:rsidP="005C6E7A">
      <w:pPr>
        <w:rPr>
          <w:rFonts w:ascii="Arial" w:hAnsi="Arial" w:cs="Arial"/>
          <w:sz w:val="28"/>
          <w:szCs w:val="28"/>
        </w:rPr>
      </w:pPr>
    </w:p>
    <w:p w:rsidR="00F67377" w:rsidRPr="004B6ECC" w:rsidRDefault="00F67377" w:rsidP="00F67377">
      <w:pPr>
        <w:rPr>
          <w:rFonts w:ascii="Arial" w:hAnsi="Arial" w:cs="Arial"/>
        </w:rPr>
      </w:pPr>
    </w:p>
    <w:p w:rsidR="004B6ECC" w:rsidRPr="004B6ECC" w:rsidRDefault="001540D5" w:rsidP="00F67377">
      <w:pPr>
        <w:rPr>
          <w:rFonts w:ascii="Arial" w:hAnsi="Arial" w:cs="Arial"/>
        </w:rPr>
      </w:pPr>
      <w:r w:rsidRPr="004B6ECC">
        <w:rPr>
          <w:rFonts w:ascii="Arial" w:hAnsi="Arial" w:cs="Arial"/>
        </w:rPr>
        <w:object w:dxaOrig="3000" w:dyaOrig="1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8.5pt;height:94.5pt" o:ole="">
            <v:imagedata r:id="rId9" o:title=""/>
          </v:shape>
          <o:OLEObject Type="Embed" ProgID="Excel.Sheet.12" ShapeID="_x0000_i1031" DrawAspect="Icon" ObjectID="_1485078975" r:id="rId10"/>
        </w:object>
      </w:r>
    </w:p>
    <w:p w:rsidR="004B6ECC" w:rsidRPr="004B6ECC" w:rsidRDefault="004B6ECC" w:rsidP="00F67377">
      <w:pPr>
        <w:rPr>
          <w:rFonts w:ascii="Arial" w:hAnsi="Arial" w:cs="Arial"/>
        </w:rPr>
      </w:pPr>
    </w:p>
    <w:bookmarkStart w:id="0" w:name="_MON_1484484130"/>
    <w:bookmarkEnd w:id="0"/>
    <w:p w:rsidR="004B6ECC" w:rsidRDefault="001540D5" w:rsidP="00F67377">
      <w:pPr>
        <w:rPr>
          <w:rFonts w:ascii="Arial" w:hAnsi="Arial" w:cs="Arial"/>
        </w:rPr>
      </w:pPr>
      <w:r w:rsidRPr="004B6ECC">
        <w:rPr>
          <w:rFonts w:ascii="Arial" w:hAnsi="Arial" w:cs="Arial"/>
        </w:rPr>
        <w:object w:dxaOrig="3000" w:dyaOrig="1907">
          <v:shape id="_x0000_i1033" type="#_x0000_t75" style="width:150.75pt;height:95.25pt" o:ole="">
            <v:imagedata r:id="rId11" o:title=""/>
          </v:shape>
          <o:OLEObject Type="Embed" ProgID="Excel.Sheet.12" ShapeID="_x0000_i1033" DrawAspect="Icon" ObjectID="_1485078976" r:id="rId12"/>
        </w:object>
      </w:r>
      <w:r w:rsidR="004B6ECC" w:rsidRPr="004B6ECC">
        <w:rPr>
          <w:rFonts w:ascii="Arial" w:hAnsi="Arial" w:cs="Arial"/>
        </w:rPr>
        <w:t xml:space="preserve"> </w:t>
      </w:r>
    </w:p>
    <w:p w:rsidR="004B6ECC" w:rsidRPr="004B6ECC" w:rsidRDefault="004B6ECC" w:rsidP="00F67377">
      <w:pPr>
        <w:rPr>
          <w:rFonts w:ascii="Arial" w:hAnsi="Arial" w:cs="Arial"/>
        </w:rPr>
      </w:pPr>
    </w:p>
    <w:p w:rsidR="004B6ECC" w:rsidRDefault="001540D5" w:rsidP="00F67377">
      <w:pPr>
        <w:rPr>
          <w:rFonts w:ascii="Arial" w:hAnsi="Arial" w:cs="Arial"/>
        </w:rPr>
      </w:pPr>
      <w:r w:rsidRPr="004B6ECC">
        <w:rPr>
          <w:rFonts w:ascii="Arial" w:hAnsi="Arial" w:cs="Arial"/>
        </w:rPr>
        <w:object w:dxaOrig="3000" w:dyaOrig="1907">
          <v:shape id="_x0000_i1035" type="#_x0000_t75" style="width:148.5pt;height:94.5pt" o:ole="">
            <v:imagedata r:id="rId13" o:title=""/>
          </v:shape>
          <o:OLEObject Type="Embed" ProgID="Excel.Sheet.12" ShapeID="_x0000_i1035" DrawAspect="Icon" ObjectID="_1485078977" r:id="rId14"/>
        </w:object>
      </w:r>
      <w:r w:rsidR="004B6ECC" w:rsidRPr="004B6ECC">
        <w:rPr>
          <w:rFonts w:ascii="Arial" w:hAnsi="Arial" w:cs="Arial"/>
        </w:rPr>
        <w:t xml:space="preserve"> </w:t>
      </w:r>
    </w:p>
    <w:p w:rsidR="004B6ECC" w:rsidRPr="004B6ECC" w:rsidRDefault="004B6ECC" w:rsidP="00F67377">
      <w:pPr>
        <w:rPr>
          <w:rFonts w:ascii="Arial" w:hAnsi="Arial" w:cs="Arial"/>
        </w:rPr>
      </w:pPr>
    </w:p>
    <w:p w:rsidR="00A85689" w:rsidRDefault="001540D5" w:rsidP="00F67377">
      <w:pPr>
        <w:rPr>
          <w:rFonts w:ascii="Arial" w:hAnsi="Arial" w:cs="Arial"/>
          <w:b/>
          <w:u w:val="single"/>
        </w:rPr>
      </w:pPr>
      <w:r w:rsidRPr="004B6ECC">
        <w:rPr>
          <w:rFonts w:ascii="Arial" w:hAnsi="Arial" w:cs="Arial"/>
        </w:rPr>
        <w:object w:dxaOrig="3000" w:dyaOrig="1907">
          <v:shape id="_x0000_i1037" type="#_x0000_t75" style="width:148.5pt;height:94.5pt" o:ole="">
            <v:imagedata r:id="rId15" o:title=""/>
          </v:shape>
          <o:OLEObject Type="Embed" ProgID="Excel.Sheet.12" ShapeID="_x0000_i1037" DrawAspect="Icon" ObjectID="_1485078978" r:id="rId16"/>
        </w:objec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Please provide the posted daily summer withdrawal capacity for each day during summers 2010-2014, in working Excel spreadsheet format.</w:t>
      </w:r>
    </w:p>
    <w:p w:rsidR="005F4287" w:rsidRPr="0031141C" w:rsidRDefault="005F4287" w:rsidP="00F67377">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C43762" w:rsidRPr="004B6ECC" w:rsidRDefault="00C43762" w:rsidP="005C6E7A">
      <w:pPr>
        <w:rPr>
          <w:rFonts w:ascii="Arial" w:hAnsi="Arial" w:cs="Arial"/>
        </w:rPr>
      </w:pPr>
    </w:p>
    <w:bookmarkStart w:id="1" w:name="_MON_1484482852"/>
    <w:bookmarkEnd w:id="1"/>
    <w:p w:rsidR="00F67377" w:rsidRDefault="001540D5" w:rsidP="005C6E7A">
      <w:pPr>
        <w:rPr>
          <w:rFonts w:ascii="Arial" w:hAnsi="Arial" w:cs="Arial"/>
          <w:sz w:val="28"/>
          <w:szCs w:val="28"/>
        </w:rPr>
      </w:pPr>
      <w:r>
        <w:rPr>
          <w:rFonts w:ascii="Arial" w:hAnsi="Arial" w:cs="Arial"/>
          <w:sz w:val="28"/>
          <w:szCs w:val="28"/>
        </w:rPr>
        <w:object w:dxaOrig="3000" w:dyaOrig="1907">
          <v:shape id="_x0000_i1039" type="#_x0000_t75" style="width:148.5pt;height:94.5pt" o:ole="">
            <v:imagedata r:id="rId17" o:title=""/>
          </v:shape>
          <o:OLEObject Type="Embed" ProgID="Excel.Sheet.12" ShapeID="_x0000_i1039" DrawAspect="Icon" ObjectID="_1485078979" r:id="rId18"/>
        </w:objec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3</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Re Watson, p. 3, starting at line 21:  Is the word “</w:t>
      </w:r>
      <w:r w:rsidRPr="00D12186">
        <w:rPr>
          <w:rFonts w:ascii="Arial" w:hAnsi="Arial" w:cs="Arial"/>
          <w:i/>
        </w:rPr>
        <w:t>below</w:t>
      </w:r>
      <w:r w:rsidRPr="00D12186">
        <w:rPr>
          <w:rFonts w:ascii="Arial" w:hAnsi="Arial" w:cs="Arial"/>
        </w:rPr>
        <w:t xml:space="preserve"> posted withdrawal capacity” correct?</w:t>
      </w: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67377" w:rsidRPr="004B6ECC" w:rsidRDefault="00B95795" w:rsidP="005C6E7A">
      <w:pPr>
        <w:rPr>
          <w:rFonts w:ascii="Arial" w:hAnsi="Arial" w:cs="Arial"/>
        </w:rPr>
      </w:pPr>
      <w:r>
        <w:rPr>
          <w:rFonts w:ascii="Arial" w:hAnsi="Arial" w:cs="Arial"/>
        </w:rPr>
        <w:t>The word is correct.  At least 1812 MMcfd of firm withdrawal capacity should be available for 85% of the summer days.</w:t>
      </w:r>
      <w:r w:rsidR="00B964AF">
        <w:rPr>
          <w:rFonts w:ascii="Arial" w:hAnsi="Arial" w:cs="Arial"/>
        </w:rPr>
        <w:t xml:space="preserve">  Firm </w:t>
      </w:r>
      <w:r w:rsidR="00BD0067">
        <w:rPr>
          <w:rFonts w:ascii="Arial" w:hAnsi="Arial" w:cs="Arial"/>
        </w:rPr>
        <w:t xml:space="preserve">capacity </w:t>
      </w:r>
      <w:r w:rsidR="00B964AF">
        <w:rPr>
          <w:rFonts w:ascii="Arial" w:hAnsi="Arial" w:cs="Arial"/>
        </w:rPr>
        <w:t>should be set below average posting levels to ensure they are fully available on most days.</w:t>
      </w:r>
    </w:p>
    <w:p w:rsidR="00F67377" w:rsidRPr="004B6ECC" w:rsidRDefault="00F67377" w:rsidP="00F67377">
      <w:pPr>
        <w:rPr>
          <w:rFonts w:ascii="Arial" w:hAnsi="Arial" w:cs="Arial"/>
        </w:rPr>
      </w:pPr>
      <w:r w:rsidRPr="004B6ECC">
        <w:rPr>
          <w:rFonts w:ascii="Arial" w:hAnsi="Arial" w:cs="Arial"/>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4</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 xml:space="preserve">Please provide </w:t>
      </w:r>
      <w:proofErr w:type="spellStart"/>
      <w:r w:rsidRPr="00D12186">
        <w:rPr>
          <w:rFonts w:ascii="Arial" w:hAnsi="Arial" w:cs="Arial"/>
        </w:rPr>
        <w:t>workpapers</w:t>
      </w:r>
      <w:proofErr w:type="spellEnd"/>
      <w:r w:rsidRPr="00D12186">
        <w:rPr>
          <w:rFonts w:ascii="Arial" w:hAnsi="Arial" w:cs="Arial"/>
        </w:rPr>
        <w:t xml:space="preserve"> detailing how setting total firm summer withdrawal at 1812 MMcfd reduces firm withdrawal rights by 50%.</w:t>
      </w: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Pr="00C43762" w:rsidRDefault="00C43762" w:rsidP="005C6E7A">
      <w:pPr>
        <w:rPr>
          <w:rFonts w:ascii="Arial" w:hAnsi="Arial" w:cs="Arial"/>
        </w:rPr>
      </w:pPr>
      <w:r w:rsidRPr="00C43762">
        <w:rPr>
          <w:rFonts w:ascii="Arial" w:hAnsi="Arial" w:cs="Arial"/>
        </w:rPr>
        <w:t xml:space="preserve">There are no </w:t>
      </w:r>
      <w:proofErr w:type="spellStart"/>
      <w:r w:rsidRPr="00C43762">
        <w:rPr>
          <w:rFonts w:ascii="Arial" w:hAnsi="Arial" w:cs="Arial"/>
        </w:rPr>
        <w:t>workpapers</w:t>
      </w:r>
      <w:proofErr w:type="spellEnd"/>
      <w:r>
        <w:rPr>
          <w:rFonts w:ascii="Arial" w:hAnsi="Arial" w:cs="Arial"/>
        </w:rPr>
        <w:t>,</w:t>
      </w:r>
      <w:r w:rsidRPr="00C43762">
        <w:rPr>
          <w:rFonts w:ascii="Arial" w:hAnsi="Arial" w:cs="Arial"/>
        </w:rPr>
        <w:t xml:space="preserve"> but the number is easily derived.  </w:t>
      </w:r>
      <w:r w:rsidR="00F87AC3">
        <w:rPr>
          <w:rFonts w:ascii="Arial" w:hAnsi="Arial" w:cs="Arial"/>
        </w:rPr>
        <w:t>The</w:t>
      </w:r>
      <w:r w:rsidRPr="00C43762">
        <w:rPr>
          <w:rFonts w:ascii="Arial" w:hAnsi="Arial" w:cs="Arial"/>
        </w:rPr>
        <w:t xml:space="preserve"> 525 </w:t>
      </w:r>
      <w:proofErr w:type="spellStart"/>
      <w:r>
        <w:rPr>
          <w:rFonts w:ascii="Arial" w:hAnsi="Arial" w:cs="Arial"/>
        </w:rPr>
        <w:t>MMcfd</w:t>
      </w:r>
      <w:proofErr w:type="spellEnd"/>
      <w:r>
        <w:rPr>
          <w:rFonts w:ascii="Arial" w:hAnsi="Arial" w:cs="Arial"/>
        </w:rPr>
        <w:t xml:space="preserve"> </w:t>
      </w:r>
      <w:r w:rsidRPr="00C43762">
        <w:rPr>
          <w:rFonts w:ascii="Arial" w:hAnsi="Arial" w:cs="Arial"/>
        </w:rPr>
        <w:t>of withdrawal allocated to the balancing function is a year</w:t>
      </w:r>
      <w:r w:rsidR="004339E5">
        <w:rPr>
          <w:rFonts w:ascii="Arial" w:hAnsi="Arial" w:cs="Arial"/>
        </w:rPr>
        <w:t xml:space="preserve">-round allocation.  Therefore, </w:t>
      </w:r>
      <w:r w:rsidR="004B6ECC">
        <w:rPr>
          <w:rFonts w:ascii="Arial" w:hAnsi="Arial" w:cs="Arial"/>
        </w:rPr>
        <w:t>1</w:t>
      </w:r>
      <w:r w:rsidRPr="00C43762">
        <w:rPr>
          <w:rFonts w:ascii="Arial" w:hAnsi="Arial" w:cs="Arial"/>
        </w:rPr>
        <w:t xml:space="preserve">812-525 = 1287 </w:t>
      </w:r>
      <w:proofErr w:type="spellStart"/>
      <w:r w:rsidRPr="00C43762">
        <w:rPr>
          <w:rFonts w:ascii="Arial" w:hAnsi="Arial" w:cs="Arial"/>
        </w:rPr>
        <w:t>MMcfd</w:t>
      </w:r>
      <w:proofErr w:type="spellEnd"/>
      <w:r>
        <w:rPr>
          <w:rFonts w:ascii="Arial" w:hAnsi="Arial" w:cs="Arial"/>
        </w:rPr>
        <w:t xml:space="preserve"> </w:t>
      </w:r>
      <w:r w:rsidR="00F87AC3">
        <w:rPr>
          <w:rFonts w:ascii="Arial" w:hAnsi="Arial" w:cs="Arial"/>
        </w:rPr>
        <w:t xml:space="preserve">available for </w:t>
      </w:r>
      <w:r>
        <w:rPr>
          <w:rFonts w:ascii="Arial" w:hAnsi="Arial" w:cs="Arial"/>
        </w:rPr>
        <w:t>firm core/unbundled storage rights during the summer</w:t>
      </w:r>
      <w:r w:rsidRPr="00C43762">
        <w:rPr>
          <w:rFonts w:ascii="Arial" w:hAnsi="Arial" w:cs="Arial"/>
        </w:rPr>
        <w:t>.  On-cycle, winter withdrawal rights for the core and unbundled storage is 3175-525</w:t>
      </w:r>
      <w:r w:rsidR="001540D5">
        <w:rPr>
          <w:rFonts w:ascii="Arial" w:hAnsi="Arial" w:cs="Arial"/>
        </w:rPr>
        <w:t xml:space="preserve"> </w:t>
      </w:r>
      <w:r w:rsidRPr="00C43762">
        <w:rPr>
          <w:rFonts w:ascii="Arial" w:hAnsi="Arial" w:cs="Arial"/>
        </w:rPr>
        <w:t>= 2650</w:t>
      </w:r>
      <w:r>
        <w:rPr>
          <w:rFonts w:ascii="Arial" w:hAnsi="Arial" w:cs="Arial"/>
        </w:rPr>
        <w:t xml:space="preserve"> </w:t>
      </w:r>
      <w:proofErr w:type="spellStart"/>
      <w:r>
        <w:rPr>
          <w:rFonts w:ascii="Arial" w:hAnsi="Arial" w:cs="Arial"/>
        </w:rPr>
        <w:t>MMcfd</w:t>
      </w:r>
      <w:proofErr w:type="spellEnd"/>
      <w:r w:rsidRPr="00C43762">
        <w:rPr>
          <w:rFonts w:ascii="Arial" w:hAnsi="Arial" w:cs="Arial"/>
        </w:rPr>
        <w:t xml:space="preserve">. </w:t>
      </w:r>
      <w:r w:rsidR="00F87AC3">
        <w:rPr>
          <w:rFonts w:ascii="Arial" w:hAnsi="Arial" w:cs="Arial"/>
        </w:rPr>
        <w:t xml:space="preserve"> </w:t>
      </w:r>
      <w:r w:rsidRPr="00C43762">
        <w:rPr>
          <w:rFonts w:ascii="Arial" w:hAnsi="Arial" w:cs="Arial"/>
        </w:rPr>
        <w:t>1287/2650 = 49%.</w:t>
      </w:r>
      <w:r>
        <w:rPr>
          <w:rFonts w:ascii="Arial" w:hAnsi="Arial" w:cs="Arial"/>
        </w:rPr>
        <w:t xml:space="preserve">  Technically, the statement should be “reduces firm withdrawal rights by 51%.</w:t>
      </w:r>
      <w:r w:rsidR="00B964AF">
        <w:rPr>
          <w:rFonts w:ascii="Arial" w:hAnsi="Arial" w:cs="Arial"/>
        </w:rPr>
        <w:t>”</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5</w:t>
      </w:r>
      <w:r w:rsidRPr="00F759E8">
        <w:rPr>
          <w:rFonts w:ascii="Arial" w:hAnsi="Arial" w:cs="Arial"/>
          <w:b/>
          <w:u w:val="single"/>
        </w:rPr>
        <w:t>:</w:t>
      </w:r>
    </w:p>
    <w:p w:rsidR="009C28F3" w:rsidRPr="00D12186" w:rsidRDefault="009C28F3" w:rsidP="009C28F3">
      <w:pPr>
        <w:pStyle w:val="ListParagraph"/>
        <w:spacing w:before="240" w:beforeAutospacing="0" w:after="240" w:afterAutospacing="0"/>
        <w:ind w:left="450" w:hanging="450"/>
        <w:rPr>
          <w:rFonts w:ascii="Arial" w:hAnsi="Arial" w:cs="Arial"/>
        </w:rPr>
      </w:pPr>
      <w:proofErr w:type="gramStart"/>
      <w:r w:rsidRPr="00D12186">
        <w:rPr>
          <w:rFonts w:ascii="Arial" w:hAnsi="Arial" w:cs="Arial"/>
        </w:rPr>
        <w:t>Re Table 3 at p. 10.</w:t>
      </w:r>
      <w:proofErr w:type="gramEnd"/>
      <w:r w:rsidRPr="00D12186">
        <w:rPr>
          <w:rFonts w:ascii="Arial" w:hAnsi="Arial" w:cs="Arial"/>
        </w:rPr>
        <w:t xml:space="preserve"> </w:t>
      </w:r>
    </w:p>
    <w:p w:rsidR="009C28F3" w:rsidRPr="00D12186" w:rsidRDefault="009C28F3" w:rsidP="009C28F3">
      <w:pPr>
        <w:pStyle w:val="ListParagraph"/>
        <w:numPr>
          <w:ilvl w:val="1"/>
          <w:numId w:val="21"/>
        </w:numPr>
        <w:spacing w:before="240" w:beforeAutospacing="0" w:after="240" w:afterAutospacing="0"/>
        <w:ind w:left="450" w:hanging="450"/>
        <w:rPr>
          <w:rFonts w:ascii="Arial" w:hAnsi="Arial" w:cs="Arial"/>
        </w:rPr>
      </w:pPr>
      <w:r w:rsidRPr="00D12186">
        <w:rPr>
          <w:rFonts w:ascii="Arial" w:hAnsi="Arial" w:cs="Arial"/>
        </w:rPr>
        <w:t xml:space="preserve">Please provide the unit cost, if any, for each function identified in the table using existing authorized (2015) costs. For example, provide the unit cost associated with “winter withdrawal for balancing,” etc. </w:t>
      </w:r>
    </w:p>
    <w:p w:rsidR="009C28F3" w:rsidRPr="00D12186" w:rsidRDefault="009C28F3" w:rsidP="009C28F3">
      <w:pPr>
        <w:pStyle w:val="ListParagraph"/>
        <w:numPr>
          <w:ilvl w:val="1"/>
          <w:numId w:val="21"/>
        </w:numPr>
        <w:spacing w:before="240" w:beforeAutospacing="0" w:after="240" w:afterAutospacing="0"/>
        <w:ind w:left="450" w:hanging="450"/>
        <w:rPr>
          <w:rFonts w:ascii="Arial" w:hAnsi="Arial" w:cs="Arial"/>
        </w:rPr>
      </w:pPr>
      <w:r w:rsidRPr="00D12186">
        <w:rPr>
          <w:rFonts w:ascii="Arial" w:hAnsi="Arial" w:cs="Arial"/>
        </w:rPr>
        <w:t xml:space="preserve">Please provide the unit cost, if any, for each function identified in the table using existing authorized (2015) costs. For example, provide the unit cost associated with “winter withdrawal for balancing,” etc. </w:t>
      </w: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F67377" w:rsidRPr="009002BA" w:rsidRDefault="00F67377" w:rsidP="005C6E7A">
      <w:pPr>
        <w:rPr>
          <w:rFonts w:ascii="Arial" w:hAnsi="Arial" w:cs="Arial"/>
        </w:rPr>
      </w:pPr>
    </w:p>
    <w:p w:rsidR="00A85689" w:rsidRDefault="009002BA" w:rsidP="00F67377">
      <w:pPr>
        <w:rPr>
          <w:rFonts w:ascii="Arial" w:hAnsi="Arial" w:cs="Arial"/>
          <w:b/>
          <w:u w:val="single"/>
        </w:rPr>
      </w:pPr>
      <w:r w:rsidRPr="009002BA">
        <w:rPr>
          <w:rFonts w:ascii="Arial" w:hAnsi="Arial" w:cs="Arial"/>
        </w:rPr>
        <w:t xml:space="preserve">Under the </w:t>
      </w:r>
      <w:r w:rsidR="00786501">
        <w:rPr>
          <w:rFonts w:ascii="Arial" w:hAnsi="Arial" w:cs="Arial"/>
        </w:rPr>
        <w:t xml:space="preserve">proposed </w:t>
      </w:r>
      <w:r w:rsidR="00F87AC3">
        <w:rPr>
          <w:rFonts w:ascii="Arial" w:hAnsi="Arial" w:cs="Arial"/>
        </w:rPr>
        <w:t xml:space="preserve">cost allocation </w:t>
      </w:r>
      <w:r w:rsidRPr="009002BA">
        <w:rPr>
          <w:rFonts w:ascii="Arial" w:hAnsi="Arial" w:cs="Arial"/>
        </w:rPr>
        <w:t xml:space="preserve">method, all unit costs are equal.  </w:t>
      </w:r>
      <w:r w:rsidR="00F87AC3">
        <w:rPr>
          <w:rFonts w:ascii="Arial" w:hAnsi="Arial" w:cs="Arial"/>
        </w:rPr>
        <w:t>The unit cost is derived by dividing t</w:t>
      </w:r>
      <w:r>
        <w:rPr>
          <w:rFonts w:ascii="Arial" w:hAnsi="Arial" w:cs="Arial"/>
        </w:rPr>
        <w:t xml:space="preserve">otal storage costs by total storage units.  The </w:t>
      </w:r>
      <w:r w:rsidR="001540D5">
        <w:rPr>
          <w:rFonts w:ascii="Arial" w:hAnsi="Arial" w:cs="Arial"/>
        </w:rPr>
        <w:t xml:space="preserve">total </w:t>
      </w:r>
      <w:r>
        <w:rPr>
          <w:rFonts w:ascii="Arial" w:hAnsi="Arial" w:cs="Arial"/>
        </w:rPr>
        <w:t xml:space="preserve">storage units consistent with Table 3 on page 10 </w:t>
      </w:r>
      <w:r w:rsidR="006D00AB">
        <w:rPr>
          <w:rFonts w:ascii="Arial" w:hAnsi="Arial" w:cs="Arial"/>
        </w:rPr>
        <w:t xml:space="preserve">of the Direct Testimony of Mr. Watson </w:t>
      </w:r>
      <w:r w:rsidR="004339E5">
        <w:rPr>
          <w:rFonts w:ascii="Arial" w:hAnsi="Arial" w:cs="Arial"/>
        </w:rPr>
        <w:t>are</w:t>
      </w:r>
      <w:r>
        <w:rPr>
          <w:rFonts w:ascii="Arial" w:hAnsi="Arial" w:cs="Arial"/>
        </w:rPr>
        <w:t xml:space="preserve"> 1,257,844,000 </w:t>
      </w:r>
      <w:proofErr w:type="spellStart"/>
      <w:r>
        <w:rPr>
          <w:rFonts w:ascii="Arial" w:hAnsi="Arial" w:cs="Arial"/>
        </w:rPr>
        <w:t>dths</w:t>
      </w:r>
      <w:proofErr w:type="spellEnd"/>
      <w:r>
        <w:rPr>
          <w:rFonts w:ascii="Arial" w:hAnsi="Arial" w:cs="Arial"/>
        </w:rPr>
        <w:t xml:space="preserve"> in 2016 </w:t>
      </w:r>
      <w:r w:rsidR="00F87AC3">
        <w:rPr>
          <w:rFonts w:ascii="Arial" w:hAnsi="Arial" w:cs="Arial"/>
        </w:rPr>
        <w:t>(</w:t>
      </w:r>
      <w:r>
        <w:rPr>
          <w:rFonts w:ascii="Arial" w:hAnsi="Arial" w:cs="Arial"/>
        </w:rPr>
        <w:t xml:space="preserve">per Table 1 of </w:t>
      </w:r>
      <w:r w:rsidR="006D00AB">
        <w:rPr>
          <w:rFonts w:ascii="Arial" w:hAnsi="Arial" w:cs="Arial"/>
        </w:rPr>
        <w:t xml:space="preserve">Mr. </w:t>
      </w:r>
      <w:r>
        <w:rPr>
          <w:rFonts w:ascii="Arial" w:hAnsi="Arial" w:cs="Arial"/>
        </w:rPr>
        <w:t xml:space="preserve">Watson’s </w:t>
      </w:r>
      <w:proofErr w:type="spellStart"/>
      <w:r>
        <w:rPr>
          <w:rFonts w:ascii="Arial" w:hAnsi="Arial" w:cs="Arial"/>
        </w:rPr>
        <w:t>Workpapers</w:t>
      </w:r>
      <w:proofErr w:type="spellEnd"/>
      <w:r w:rsidR="00F87AC3">
        <w:rPr>
          <w:rFonts w:ascii="Arial" w:hAnsi="Arial" w:cs="Arial"/>
        </w:rPr>
        <w:t>)</w:t>
      </w:r>
      <w:r>
        <w:rPr>
          <w:rFonts w:ascii="Arial" w:hAnsi="Arial" w:cs="Arial"/>
        </w:rPr>
        <w:t>.  The current authorized storage cost is $89.6 million.  Dividing one by the other produces a unit cost of 7.1 cent/dth.</w: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6</w:t>
      </w:r>
      <w:r w:rsidRPr="00F759E8">
        <w:rPr>
          <w:rFonts w:ascii="Arial" w:hAnsi="Arial" w:cs="Arial"/>
          <w:b/>
          <w:u w:val="single"/>
        </w:rPr>
        <w:t>:</w:t>
      </w:r>
    </w:p>
    <w:p w:rsidR="00F67377" w:rsidRDefault="00F67377" w:rsidP="00F67377">
      <w:pPr>
        <w:rPr>
          <w:rFonts w:ascii="Arial" w:hAnsi="Arial" w:cs="Arial"/>
        </w:rPr>
      </w:pPr>
    </w:p>
    <w:p w:rsidR="009C28F3" w:rsidRPr="00D12186" w:rsidRDefault="009C28F3" w:rsidP="009C28F3">
      <w:pPr>
        <w:pStyle w:val="ListParagraph"/>
        <w:spacing w:before="240" w:beforeAutospacing="0" w:after="240" w:afterAutospacing="0"/>
        <w:ind w:left="360" w:hanging="360"/>
        <w:rPr>
          <w:rFonts w:ascii="Arial" w:hAnsi="Arial" w:cs="Arial"/>
        </w:rPr>
      </w:pPr>
      <w:r w:rsidRPr="00D12186">
        <w:rPr>
          <w:rFonts w:ascii="Arial" w:hAnsi="Arial" w:cs="Arial"/>
        </w:rPr>
        <w:t>Re Table 3 at page 10:</w:t>
      </w:r>
    </w:p>
    <w:p w:rsidR="009C28F3" w:rsidRPr="00D12186" w:rsidRDefault="009C28F3" w:rsidP="009C28F3">
      <w:pPr>
        <w:pStyle w:val="ListParagraph"/>
        <w:numPr>
          <w:ilvl w:val="1"/>
          <w:numId w:val="22"/>
        </w:numPr>
        <w:spacing w:before="240" w:beforeAutospacing="0" w:after="240" w:afterAutospacing="0"/>
        <w:ind w:left="360"/>
        <w:rPr>
          <w:rFonts w:ascii="Arial" w:hAnsi="Arial" w:cs="Arial"/>
        </w:rPr>
      </w:pPr>
      <w:r w:rsidRPr="00D12186">
        <w:rPr>
          <w:rFonts w:ascii="Arial" w:hAnsi="Arial" w:cs="Arial"/>
        </w:rPr>
        <w:t>Please provide the same table showing existing (2015) allocations.</w:t>
      </w:r>
    </w:p>
    <w:p w:rsidR="009C28F3" w:rsidRPr="00D12186" w:rsidRDefault="009C28F3" w:rsidP="009C28F3">
      <w:pPr>
        <w:pStyle w:val="ListParagraph"/>
        <w:numPr>
          <w:ilvl w:val="1"/>
          <w:numId w:val="22"/>
        </w:numPr>
        <w:spacing w:before="240" w:beforeAutospacing="0" w:after="240" w:afterAutospacing="0"/>
        <w:ind w:left="360"/>
        <w:rPr>
          <w:rFonts w:ascii="Arial" w:hAnsi="Arial" w:cs="Arial"/>
        </w:rPr>
      </w:pPr>
      <w:r w:rsidRPr="00D12186">
        <w:rPr>
          <w:rFonts w:ascii="Arial" w:hAnsi="Arial" w:cs="Arial"/>
        </w:rPr>
        <w:t>If different from (c) above, please provide the same table showing the allocations requested and authorized in the 2013 TCAP (A.11-11-002).</w:t>
      </w: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6</w:t>
      </w:r>
      <w:r w:rsidRPr="00F759E8">
        <w:rPr>
          <w:rFonts w:ascii="Arial" w:hAnsi="Arial" w:cs="Arial"/>
          <w:b/>
          <w:u w:val="single"/>
        </w:rPr>
        <w:t>:</w:t>
      </w:r>
    </w:p>
    <w:p w:rsidR="00F67377" w:rsidRDefault="00F67377" w:rsidP="005C6E7A">
      <w:pPr>
        <w:rPr>
          <w:rFonts w:ascii="Arial" w:hAnsi="Arial" w:cs="Arial"/>
          <w:sz w:val="28"/>
          <w:szCs w:val="28"/>
        </w:rPr>
      </w:pPr>
    </w:p>
    <w:p w:rsidR="00F67377" w:rsidRPr="009E4CCD" w:rsidRDefault="009E4CCD" w:rsidP="005C6E7A">
      <w:pPr>
        <w:rPr>
          <w:rFonts w:ascii="Arial" w:hAnsi="Arial" w:cs="Arial"/>
        </w:rPr>
      </w:pPr>
      <w:proofErr w:type="spellStart"/>
      <w:r w:rsidRPr="009E4CCD">
        <w:rPr>
          <w:rFonts w:ascii="Arial" w:hAnsi="Arial" w:cs="Arial"/>
        </w:rPr>
        <w:t>SoCalGas</w:t>
      </w:r>
      <w:proofErr w:type="spellEnd"/>
      <w:r w:rsidR="00F87AC3">
        <w:rPr>
          <w:rFonts w:ascii="Arial" w:hAnsi="Arial" w:cs="Arial"/>
        </w:rPr>
        <w:t xml:space="preserve"> and SDG&amp;E are</w:t>
      </w:r>
      <w:r w:rsidRPr="009E4CCD">
        <w:rPr>
          <w:rFonts w:ascii="Arial" w:hAnsi="Arial" w:cs="Arial"/>
        </w:rPr>
        <w:t xml:space="preserve"> unable to </w:t>
      </w:r>
      <w:r w:rsidR="001540D5">
        <w:rPr>
          <w:rFonts w:ascii="Arial" w:hAnsi="Arial" w:cs="Arial"/>
        </w:rPr>
        <w:t xml:space="preserve">fully </w:t>
      </w:r>
      <w:r w:rsidRPr="009E4CCD">
        <w:rPr>
          <w:rFonts w:ascii="Arial" w:hAnsi="Arial" w:cs="Arial"/>
        </w:rPr>
        <w:t>answer this question</w:t>
      </w:r>
      <w:r w:rsidR="00F87AC3">
        <w:rPr>
          <w:rFonts w:ascii="Arial" w:hAnsi="Arial" w:cs="Arial"/>
        </w:rPr>
        <w:t xml:space="preserve"> because currently, there is not a distinction made between on-cycle and off-cycle allocations</w:t>
      </w:r>
      <w:r w:rsidRPr="009E4CCD">
        <w:rPr>
          <w:rFonts w:ascii="Arial" w:hAnsi="Arial" w:cs="Arial"/>
        </w:rPr>
        <w:t xml:space="preserve">.  Current allocations are based on annualized </w:t>
      </w:r>
      <w:r w:rsidR="001540D5">
        <w:rPr>
          <w:rFonts w:ascii="Arial" w:hAnsi="Arial" w:cs="Arial"/>
        </w:rPr>
        <w:t xml:space="preserve">capacity </w:t>
      </w:r>
      <w:r w:rsidRPr="009E4CCD">
        <w:rPr>
          <w:rFonts w:ascii="Arial" w:hAnsi="Arial" w:cs="Arial"/>
        </w:rPr>
        <w:t xml:space="preserve">numbers </w:t>
      </w:r>
      <w:r w:rsidR="00176446">
        <w:rPr>
          <w:rFonts w:ascii="Arial" w:hAnsi="Arial" w:cs="Arial"/>
        </w:rPr>
        <w:t xml:space="preserve">that are subject to significant </w:t>
      </w:r>
      <w:proofErr w:type="spellStart"/>
      <w:r w:rsidR="00176446">
        <w:rPr>
          <w:rFonts w:ascii="Arial" w:hAnsi="Arial" w:cs="Arial"/>
        </w:rPr>
        <w:t>prorationing</w:t>
      </w:r>
      <w:proofErr w:type="spellEnd"/>
      <w:r w:rsidR="00176446">
        <w:rPr>
          <w:rFonts w:ascii="Arial" w:hAnsi="Arial" w:cs="Arial"/>
        </w:rPr>
        <w:t xml:space="preserve"> in “off-cycle” periods</w:t>
      </w:r>
      <w:r w:rsidR="00F87AC3">
        <w:rPr>
          <w:rFonts w:ascii="Arial" w:hAnsi="Arial" w:cs="Arial"/>
        </w:rPr>
        <w:t>.</w:t>
      </w:r>
      <w:r w:rsidR="00176446">
        <w:rPr>
          <w:rFonts w:ascii="Arial" w:hAnsi="Arial" w:cs="Arial"/>
        </w:rPr>
        <w:t xml:space="preserve"> </w:t>
      </w:r>
      <w:r w:rsidR="00F87AC3">
        <w:rPr>
          <w:rFonts w:ascii="Arial" w:hAnsi="Arial" w:cs="Arial"/>
        </w:rPr>
        <w:t xml:space="preserve"> The current annualized numbers </w:t>
      </w:r>
      <w:r w:rsidRPr="009E4CCD">
        <w:rPr>
          <w:rFonts w:ascii="Arial" w:hAnsi="Arial" w:cs="Arial"/>
        </w:rPr>
        <w:t>a</w:t>
      </w:r>
      <w:r w:rsidR="00F87AC3">
        <w:rPr>
          <w:rFonts w:ascii="Arial" w:hAnsi="Arial" w:cs="Arial"/>
        </w:rPr>
        <w:t>re</w:t>
      </w:r>
      <w:r w:rsidRPr="009E4CCD">
        <w:rPr>
          <w:rFonts w:ascii="Arial" w:hAnsi="Arial" w:cs="Arial"/>
        </w:rPr>
        <w:t xml:space="preserve"> shown below.</w:t>
      </w:r>
    </w:p>
    <w:p w:rsidR="009E4CCD" w:rsidRPr="009E4CCD" w:rsidRDefault="009E4CCD" w:rsidP="005C6E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50"/>
        <w:gridCol w:w="2430"/>
        <w:gridCol w:w="2808"/>
      </w:tblGrid>
      <w:tr w:rsidR="009E4CCD" w:rsidRPr="00475DF2" w:rsidTr="00475DF2">
        <w:tc>
          <w:tcPr>
            <w:tcW w:w="2088" w:type="dxa"/>
            <w:shd w:val="clear" w:color="auto" w:fill="auto"/>
          </w:tcPr>
          <w:p w:rsidR="009E4CCD" w:rsidRPr="00475DF2" w:rsidRDefault="009E4CCD" w:rsidP="005C6E7A">
            <w:pPr>
              <w:rPr>
                <w:rFonts w:ascii="Arial" w:hAnsi="Arial" w:cs="Arial"/>
              </w:rPr>
            </w:pPr>
          </w:p>
        </w:tc>
        <w:tc>
          <w:tcPr>
            <w:tcW w:w="2250" w:type="dxa"/>
            <w:shd w:val="clear" w:color="auto" w:fill="auto"/>
          </w:tcPr>
          <w:p w:rsidR="009E4CCD" w:rsidRPr="00475DF2" w:rsidRDefault="009E4CCD" w:rsidP="00475DF2">
            <w:pPr>
              <w:jc w:val="center"/>
              <w:rPr>
                <w:rFonts w:ascii="Arial" w:hAnsi="Arial" w:cs="Arial"/>
              </w:rPr>
            </w:pPr>
            <w:r w:rsidRPr="00475DF2">
              <w:rPr>
                <w:rFonts w:ascii="Arial" w:hAnsi="Arial" w:cs="Arial"/>
              </w:rPr>
              <w:t>Inventory (Bcf)</w:t>
            </w:r>
          </w:p>
        </w:tc>
        <w:tc>
          <w:tcPr>
            <w:tcW w:w="2430" w:type="dxa"/>
            <w:shd w:val="clear" w:color="auto" w:fill="auto"/>
          </w:tcPr>
          <w:p w:rsidR="009E4CCD" w:rsidRPr="00475DF2" w:rsidRDefault="009E4CCD" w:rsidP="00475DF2">
            <w:pPr>
              <w:jc w:val="center"/>
              <w:rPr>
                <w:rFonts w:ascii="Arial" w:hAnsi="Arial" w:cs="Arial"/>
              </w:rPr>
            </w:pPr>
            <w:r w:rsidRPr="00475DF2">
              <w:rPr>
                <w:rFonts w:ascii="Arial" w:hAnsi="Arial" w:cs="Arial"/>
              </w:rPr>
              <w:t>Injection (MMcfd)</w:t>
            </w:r>
          </w:p>
        </w:tc>
        <w:tc>
          <w:tcPr>
            <w:tcW w:w="2808" w:type="dxa"/>
            <w:shd w:val="clear" w:color="auto" w:fill="auto"/>
          </w:tcPr>
          <w:p w:rsidR="009E4CCD" w:rsidRPr="00475DF2" w:rsidRDefault="009E4CCD" w:rsidP="00475DF2">
            <w:pPr>
              <w:jc w:val="center"/>
              <w:rPr>
                <w:rFonts w:ascii="Arial" w:hAnsi="Arial" w:cs="Arial"/>
              </w:rPr>
            </w:pPr>
            <w:r w:rsidRPr="00475DF2">
              <w:rPr>
                <w:rFonts w:ascii="Arial" w:hAnsi="Arial" w:cs="Arial"/>
              </w:rPr>
              <w:t>Withdrawal (MMcfd)</w:t>
            </w:r>
          </w:p>
        </w:tc>
      </w:tr>
      <w:tr w:rsidR="009E4CCD" w:rsidRPr="00475DF2" w:rsidTr="00475DF2">
        <w:tc>
          <w:tcPr>
            <w:tcW w:w="2088" w:type="dxa"/>
            <w:shd w:val="clear" w:color="auto" w:fill="auto"/>
          </w:tcPr>
          <w:p w:rsidR="009E4CCD" w:rsidRPr="00475DF2" w:rsidRDefault="009E4CCD" w:rsidP="005C6E7A">
            <w:pPr>
              <w:rPr>
                <w:rFonts w:ascii="Arial" w:hAnsi="Arial" w:cs="Arial"/>
              </w:rPr>
            </w:pPr>
            <w:r w:rsidRPr="00475DF2">
              <w:rPr>
                <w:rFonts w:ascii="Arial" w:hAnsi="Arial" w:cs="Arial"/>
              </w:rPr>
              <w:t>Balancing</w:t>
            </w:r>
          </w:p>
        </w:tc>
        <w:tc>
          <w:tcPr>
            <w:tcW w:w="2250" w:type="dxa"/>
            <w:shd w:val="clear" w:color="auto" w:fill="auto"/>
          </w:tcPr>
          <w:p w:rsidR="009E4CCD" w:rsidRPr="00475DF2" w:rsidRDefault="009E4CCD" w:rsidP="00475DF2">
            <w:pPr>
              <w:jc w:val="center"/>
              <w:rPr>
                <w:rFonts w:ascii="Arial" w:hAnsi="Arial" w:cs="Arial"/>
              </w:rPr>
            </w:pPr>
            <w:r w:rsidRPr="00475DF2">
              <w:rPr>
                <w:rFonts w:ascii="Arial" w:hAnsi="Arial" w:cs="Arial"/>
              </w:rPr>
              <w:t>4.2</w:t>
            </w:r>
          </w:p>
        </w:tc>
        <w:tc>
          <w:tcPr>
            <w:tcW w:w="2430" w:type="dxa"/>
            <w:shd w:val="clear" w:color="auto" w:fill="auto"/>
          </w:tcPr>
          <w:p w:rsidR="009E4CCD" w:rsidRPr="00475DF2" w:rsidRDefault="009E4CCD" w:rsidP="00475DF2">
            <w:pPr>
              <w:jc w:val="center"/>
              <w:rPr>
                <w:rFonts w:ascii="Arial" w:hAnsi="Arial" w:cs="Arial"/>
              </w:rPr>
            </w:pPr>
            <w:r w:rsidRPr="00475DF2">
              <w:rPr>
                <w:rFonts w:ascii="Arial" w:hAnsi="Arial" w:cs="Arial"/>
              </w:rPr>
              <w:t>200</w:t>
            </w:r>
          </w:p>
        </w:tc>
        <w:tc>
          <w:tcPr>
            <w:tcW w:w="2808" w:type="dxa"/>
            <w:shd w:val="clear" w:color="auto" w:fill="auto"/>
          </w:tcPr>
          <w:p w:rsidR="009E4CCD" w:rsidRPr="00475DF2" w:rsidRDefault="009E4CCD" w:rsidP="00475DF2">
            <w:pPr>
              <w:jc w:val="center"/>
              <w:rPr>
                <w:rFonts w:ascii="Arial" w:hAnsi="Arial" w:cs="Arial"/>
              </w:rPr>
            </w:pPr>
            <w:r w:rsidRPr="00475DF2">
              <w:rPr>
                <w:rFonts w:ascii="Arial" w:hAnsi="Arial" w:cs="Arial"/>
              </w:rPr>
              <w:t>340</w:t>
            </w:r>
          </w:p>
        </w:tc>
      </w:tr>
      <w:tr w:rsidR="009E4CCD" w:rsidRPr="00475DF2" w:rsidTr="00475DF2">
        <w:tc>
          <w:tcPr>
            <w:tcW w:w="2088" w:type="dxa"/>
            <w:shd w:val="clear" w:color="auto" w:fill="auto"/>
          </w:tcPr>
          <w:p w:rsidR="009E4CCD" w:rsidRPr="00475DF2" w:rsidRDefault="009E4CCD" w:rsidP="005C6E7A">
            <w:pPr>
              <w:rPr>
                <w:rFonts w:ascii="Arial" w:hAnsi="Arial" w:cs="Arial"/>
              </w:rPr>
            </w:pPr>
            <w:r w:rsidRPr="00475DF2">
              <w:rPr>
                <w:rFonts w:ascii="Arial" w:hAnsi="Arial" w:cs="Arial"/>
              </w:rPr>
              <w:t>Core</w:t>
            </w:r>
          </w:p>
        </w:tc>
        <w:tc>
          <w:tcPr>
            <w:tcW w:w="2250" w:type="dxa"/>
            <w:shd w:val="clear" w:color="auto" w:fill="auto"/>
          </w:tcPr>
          <w:p w:rsidR="009E4CCD" w:rsidRPr="00475DF2" w:rsidRDefault="009E4CCD" w:rsidP="00475DF2">
            <w:pPr>
              <w:jc w:val="center"/>
              <w:rPr>
                <w:rFonts w:ascii="Arial" w:hAnsi="Arial" w:cs="Arial"/>
              </w:rPr>
            </w:pPr>
            <w:r w:rsidRPr="00475DF2">
              <w:rPr>
                <w:rFonts w:ascii="Arial" w:hAnsi="Arial" w:cs="Arial"/>
              </w:rPr>
              <w:t>83</w:t>
            </w:r>
          </w:p>
        </w:tc>
        <w:tc>
          <w:tcPr>
            <w:tcW w:w="2430" w:type="dxa"/>
            <w:shd w:val="clear" w:color="auto" w:fill="auto"/>
          </w:tcPr>
          <w:p w:rsidR="009E4CCD" w:rsidRPr="00475DF2" w:rsidRDefault="009E4CCD" w:rsidP="00475DF2">
            <w:pPr>
              <w:jc w:val="center"/>
              <w:rPr>
                <w:rFonts w:ascii="Arial" w:hAnsi="Arial" w:cs="Arial"/>
              </w:rPr>
            </w:pPr>
            <w:r w:rsidRPr="00475DF2">
              <w:rPr>
                <w:rFonts w:ascii="Arial" w:hAnsi="Arial" w:cs="Arial"/>
              </w:rPr>
              <w:t>388</w:t>
            </w:r>
          </w:p>
        </w:tc>
        <w:tc>
          <w:tcPr>
            <w:tcW w:w="2808" w:type="dxa"/>
            <w:shd w:val="clear" w:color="auto" w:fill="auto"/>
          </w:tcPr>
          <w:p w:rsidR="009E4CCD" w:rsidRPr="00475DF2" w:rsidRDefault="009E4CCD" w:rsidP="00475DF2">
            <w:pPr>
              <w:jc w:val="center"/>
              <w:rPr>
                <w:rFonts w:ascii="Arial" w:hAnsi="Arial" w:cs="Arial"/>
              </w:rPr>
            </w:pPr>
            <w:r w:rsidRPr="00475DF2">
              <w:rPr>
                <w:rFonts w:ascii="Arial" w:hAnsi="Arial" w:cs="Arial"/>
              </w:rPr>
              <w:t>2225</w:t>
            </w:r>
          </w:p>
        </w:tc>
      </w:tr>
      <w:tr w:rsidR="009E4CCD" w:rsidRPr="00475DF2" w:rsidTr="00475DF2">
        <w:tc>
          <w:tcPr>
            <w:tcW w:w="2088" w:type="dxa"/>
            <w:shd w:val="clear" w:color="auto" w:fill="auto"/>
          </w:tcPr>
          <w:p w:rsidR="009E4CCD" w:rsidRPr="00475DF2" w:rsidRDefault="009E4CCD" w:rsidP="005C6E7A">
            <w:pPr>
              <w:rPr>
                <w:rFonts w:ascii="Arial" w:hAnsi="Arial" w:cs="Arial"/>
              </w:rPr>
            </w:pPr>
            <w:r w:rsidRPr="00475DF2">
              <w:rPr>
                <w:rFonts w:ascii="Arial" w:hAnsi="Arial" w:cs="Arial"/>
              </w:rPr>
              <w:t>Unbundled</w:t>
            </w:r>
          </w:p>
        </w:tc>
        <w:tc>
          <w:tcPr>
            <w:tcW w:w="2250" w:type="dxa"/>
            <w:shd w:val="clear" w:color="auto" w:fill="auto"/>
          </w:tcPr>
          <w:p w:rsidR="009E4CCD" w:rsidRPr="00475DF2" w:rsidRDefault="009E4CCD" w:rsidP="00475DF2">
            <w:pPr>
              <w:jc w:val="center"/>
              <w:rPr>
                <w:rFonts w:ascii="Arial" w:hAnsi="Arial" w:cs="Arial"/>
              </w:rPr>
            </w:pPr>
            <w:r w:rsidRPr="00475DF2">
              <w:rPr>
                <w:rFonts w:ascii="Arial" w:hAnsi="Arial" w:cs="Arial"/>
              </w:rPr>
              <w:t>48.9</w:t>
            </w:r>
          </w:p>
        </w:tc>
        <w:tc>
          <w:tcPr>
            <w:tcW w:w="2430" w:type="dxa"/>
            <w:shd w:val="clear" w:color="auto" w:fill="auto"/>
          </w:tcPr>
          <w:p w:rsidR="009E4CCD" w:rsidRPr="00475DF2" w:rsidRDefault="009E4CCD" w:rsidP="00475DF2">
            <w:pPr>
              <w:jc w:val="center"/>
              <w:rPr>
                <w:rFonts w:ascii="Arial" w:hAnsi="Arial" w:cs="Arial"/>
              </w:rPr>
            </w:pPr>
            <w:r w:rsidRPr="00475DF2">
              <w:rPr>
                <w:rFonts w:ascii="Arial" w:hAnsi="Arial" w:cs="Arial"/>
              </w:rPr>
              <w:t>262</w:t>
            </w:r>
          </w:p>
        </w:tc>
        <w:tc>
          <w:tcPr>
            <w:tcW w:w="2808" w:type="dxa"/>
            <w:shd w:val="clear" w:color="auto" w:fill="auto"/>
          </w:tcPr>
          <w:p w:rsidR="009E4CCD" w:rsidRPr="00475DF2" w:rsidRDefault="009E4CCD" w:rsidP="00475DF2">
            <w:pPr>
              <w:jc w:val="center"/>
              <w:rPr>
                <w:rFonts w:ascii="Arial" w:hAnsi="Arial" w:cs="Arial"/>
              </w:rPr>
            </w:pPr>
            <w:r w:rsidRPr="00475DF2">
              <w:rPr>
                <w:rFonts w:ascii="Arial" w:hAnsi="Arial" w:cs="Arial"/>
              </w:rPr>
              <w:t>630</w:t>
            </w:r>
          </w:p>
        </w:tc>
      </w:tr>
      <w:tr w:rsidR="009E4CCD" w:rsidRPr="00475DF2" w:rsidTr="00475DF2">
        <w:tc>
          <w:tcPr>
            <w:tcW w:w="2088" w:type="dxa"/>
            <w:shd w:val="clear" w:color="auto" w:fill="auto"/>
          </w:tcPr>
          <w:p w:rsidR="009E4CCD" w:rsidRPr="00475DF2" w:rsidRDefault="009E4CCD" w:rsidP="005C6E7A">
            <w:pPr>
              <w:rPr>
                <w:rFonts w:ascii="Arial" w:hAnsi="Arial" w:cs="Arial"/>
              </w:rPr>
            </w:pPr>
            <w:r w:rsidRPr="00475DF2">
              <w:rPr>
                <w:rFonts w:ascii="Arial" w:hAnsi="Arial" w:cs="Arial"/>
              </w:rPr>
              <w:t>Total</w:t>
            </w:r>
          </w:p>
        </w:tc>
        <w:tc>
          <w:tcPr>
            <w:tcW w:w="2250" w:type="dxa"/>
            <w:shd w:val="clear" w:color="auto" w:fill="auto"/>
          </w:tcPr>
          <w:p w:rsidR="009E4CCD" w:rsidRPr="00475DF2" w:rsidRDefault="009E4CCD" w:rsidP="00475DF2">
            <w:pPr>
              <w:jc w:val="center"/>
              <w:rPr>
                <w:rFonts w:ascii="Arial" w:hAnsi="Arial" w:cs="Arial"/>
              </w:rPr>
            </w:pPr>
            <w:r w:rsidRPr="00475DF2">
              <w:rPr>
                <w:rFonts w:ascii="Arial" w:hAnsi="Arial" w:cs="Arial"/>
              </w:rPr>
              <w:t>136.1</w:t>
            </w:r>
          </w:p>
        </w:tc>
        <w:tc>
          <w:tcPr>
            <w:tcW w:w="2430" w:type="dxa"/>
            <w:shd w:val="clear" w:color="auto" w:fill="auto"/>
          </w:tcPr>
          <w:p w:rsidR="009E4CCD" w:rsidRPr="00475DF2" w:rsidRDefault="009E4CCD" w:rsidP="00475DF2">
            <w:pPr>
              <w:jc w:val="center"/>
              <w:rPr>
                <w:rFonts w:ascii="Arial" w:hAnsi="Arial" w:cs="Arial"/>
              </w:rPr>
            </w:pPr>
            <w:r w:rsidRPr="00475DF2">
              <w:rPr>
                <w:rFonts w:ascii="Arial" w:hAnsi="Arial" w:cs="Arial"/>
              </w:rPr>
              <w:t>850</w:t>
            </w:r>
          </w:p>
        </w:tc>
        <w:tc>
          <w:tcPr>
            <w:tcW w:w="2808" w:type="dxa"/>
            <w:shd w:val="clear" w:color="auto" w:fill="auto"/>
          </w:tcPr>
          <w:p w:rsidR="009E4CCD" w:rsidRPr="00475DF2" w:rsidRDefault="009E4CCD" w:rsidP="00475DF2">
            <w:pPr>
              <w:jc w:val="center"/>
              <w:rPr>
                <w:rFonts w:ascii="Arial" w:hAnsi="Arial" w:cs="Arial"/>
              </w:rPr>
            </w:pPr>
            <w:r w:rsidRPr="00475DF2">
              <w:rPr>
                <w:rFonts w:ascii="Arial" w:hAnsi="Arial" w:cs="Arial"/>
              </w:rPr>
              <w:t>3195</w:t>
            </w:r>
          </w:p>
        </w:tc>
      </w:tr>
    </w:tbl>
    <w:p w:rsidR="009E4CCD" w:rsidRDefault="009E4CCD" w:rsidP="005C6E7A">
      <w:pPr>
        <w:rPr>
          <w:rFonts w:ascii="Arial" w:hAnsi="Arial" w:cs="Arial"/>
          <w:sz w:val="28"/>
          <w:szCs w:val="28"/>
        </w:rPr>
      </w:pPr>
    </w:p>
    <w:p w:rsidR="009E4CCD" w:rsidRPr="009E4CCD" w:rsidRDefault="009E4CCD"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7</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proofErr w:type="gramStart"/>
      <w:r w:rsidRPr="00D12186">
        <w:rPr>
          <w:rFonts w:ascii="Arial" w:hAnsi="Arial" w:cs="Arial"/>
        </w:rPr>
        <w:t>Re Table 3 at p. 10.</w:t>
      </w:r>
      <w:proofErr w:type="gramEnd"/>
      <w:r w:rsidRPr="00D12186">
        <w:rPr>
          <w:rFonts w:ascii="Arial" w:hAnsi="Arial" w:cs="Arial"/>
        </w:rPr>
        <w:t xml:space="preserve"> Please explain the basis for the allocation of summer withdrawal capacity among the three storage functions, providing any relevant </w:t>
      </w:r>
      <w:proofErr w:type="spellStart"/>
      <w:r w:rsidRPr="00D12186">
        <w:rPr>
          <w:rFonts w:ascii="Arial" w:hAnsi="Arial" w:cs="Arial"/>
        </w:rPr>
        <w:t>workpapers</w:t>
      </w:r>
      <w:proofErr w:type="spellEnd"/>
      <w:r w:rsidRPr="00D12186">
        <w:rPr>
          <w:rFonts w:ascii="Arial" w:hAnsi="Arial" w:cs="Arial"/>
        </w:rPr>
        <w:t xml:space="preserve"> and text explanation. </w:t>
      </w:r>
    </w:p>
    <w:p w:rsidR="00582C14" w:rsidRPr="0031141C" w:rsidRDefault="00582C14"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7</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F67377" w:rsidRDefault="006D00AB" w:rsidP="00F67377">
      <w:pPr>
        <w:rPr>
          <w:rFonts w:ascii="Arial" w:hAnsi="Arial" w:cs="Arial"/>
          <w:b/>
          <w:u w:val="single"/>
        </w:rPr>
      </w:pPr>
      <w:r>
        <w:rPr>
          <w:rFonts w:ascii="Arial" w:hAnsi="Arial" w:cs="Arial"/>
        </w:rPr>
        <w:t xml:space="preserve">See Response 4.  </w:t>
      </w:r>
      <w:r w:rsidR="009E4CCD" w:rsidRPr="009E4CCD">
        <w:rPr>
          <w:rFonts w:ascii="Arial" w:hAnsi="Arial" w:cs="Arial"/>
        </w:rPr>
        <w:t xml:space="preserve">525 </w:t>
      </w:r>
      <w:proofErr w:type="spellStart"/>
      <w:r w:rsidR="009E4CCD" w:rsidRPr="009E4CCD">
        <w:rPr>
          <w:rFonts w:ascii="Arial" w:hAnsi="Arial" w:cs="Arial"/>
        </w:rPr>
        <w:t>MMcfd</w:t>
      </w:r>
      <w:proofErr w:type="spellEnd"/>
      <w:r w:rsidR="009E4CCD" w:rsidRPr="009E4CCD">
        <w:rPr>
          <w:rFonts w:ascii="Arial" w:hAnsi="Arial" w:cs="Arial"/>
        </w:rPr>
        <w:t xml:space="preserve"> is allocated to t</w:t>
      </w:r>
      <w:r w:rsidR="001540D5">
        <w:rPr>
          <w:rFonts w:ascii="Arial" w:hAnsi="Arial" w:cs="Arial"/>
        </w:rPr>
        <w:t>he balancing function every day of</w:t>
      </w:r>
      <w:r w:rsidR="009E4CCD" w:rsidRPr="009E4CCD">
        <w:rPr>
          <w:rFonts w:ascii="Arial" w:hAnsi="Arial" w:cs="Arial"/>
        </w:rPr>
        <w:t xml:space="preserve"> the year.  </w:t>
      </w:r>
      <w:r w:rsidR="00F87AC3">
        <w:rPr>
          <w:rFonts w:ascii="Arial" w:hAnsi="Arial" w:cs="Arial"/>
        </w:rPr>
        <w:t>T</w:t>
      </w:r>
      <w:r w:rsidR="009E4CCD" w:rsidRPr="009E4CCD">
        <w:rPr>
          <w:rFonts w:ascii="Arial" w:hAnsi="Arial" w:cs="Arial"/>
        </w:rPr>
        <w:t>he remaining capacity</w:t>
      </w:r>
      <w:r w:rsidR="00F87AC3">
        <w:rPr>
          <w:rFonts w:ascii="Arial" w:hAnsi="Arial" w:cs="Arial"/>
        </w:rPr>
        <w:t xml:space="preserve"> (1287 </w:t>
      </w:r>
      <w:proofErr w:type="spellStart"/>
      <w:r w:rsidR="00F87AC3">
        <w:rPr>
          <w:rFonts w:ascii="Arial" w:hAnsi="Arial" w:cs="Arial"/>
        </w:rPr>
        <w:t>MMcfd</w:t>
      </w:r>
      <w:proofErr w:type="spellEnd"/>
      <w:r w:rsidR="00F87AC3">
        <w:rPr>
          <w:rFonts w:ascii="Arial" w:hAnsi="Arial" w:cs="Arial"/>
        </w:rPr>
        <w:t>)</w:t>
      </w:r>
      <w:r w:rsidR="009E4CCD" w:rsidRPr="009E4CCD">
        <w:rPr>
          <w:rFonts w:ascii="Arial" w:hAnsi="Arial" w:cs="Arial"/>
        </w:rPr>
        <w:t xml:space="preserve"> is allocated to the core and unbundled storage functions in </w:t>
      </w:r>
      <w:r w:rsidR="001540D5">
        <w:rPr>
          <w:rFonts w:ascii="Arial" w:hAnsi="Arial" w:cs="Arial"/>
        </w:rPr>
        <w:t xml:space="preserve">relative </w:t>
      </w:r>
      <w:r w:rsidR="009E4CCD" w:rsidRPr="009E4CCD">
        <w:rPr>
          <w:rFonts w:ascii="Arial" w:hAnsi="Arial" w:cs="Arial"/>
        </w:rPr>
        <w:t>proportion to the</w:t>
      </w:r>
      <w:r w:rsidR="009A2F1C">
        <w:rPr>
          <w:rFonts w:ascii="Arial" w:hAnsi="Arial" w:cs="Arial"/>
        </w:rPr>
        <w:t xml:space="preserve"> core and unbundled storage </w:t>
      </w:r>
      <w:r w:rsidR="009E4CCD" w:rsidRPr="009E4CCD">
        <w:rPr>
          <w:rFonts w:ascii="Arial" w:hAnsi="Arial" w:cs="Arial"/>
        </w:rPr>
        <w:t xml:space="preserve">winter </w:t>
      </w:r>
      <w:r w:rsidR="00F87AC3">
        <w:rPr>
          <w:rFonts w:ascii="Arial" w:hAnsi="Arial" w:cs="Arial"/>
        </w:rPr>
        <w:t xml:space="preserve">withdrawal </w:t>
      </w:r>
      <w:r w:rsidR="009E4CCD" w:rsidRPr="009E4CCD">
        <w:rPr>
          <w:rFonts w:ascii="Arial" w:hAnsi="Arial" w:cs="Arial"/>
        </w:rPr>
        <w:t>allocations.</w:t>
      </w:r>
      <w:r w:rsidR="009E4CCD">
        <w:rPr>
          <w:rFonts w:ascii="Arial" w:hAnsi="Arial" w:cs="Arial"/>
        </w:rPr>
        <w:t xml:space="preserve">  </w: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8</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Re. Table 4 on p. 12:  Please provide a similar table showing existing allocation of costs by function, using authorized (for 2015) embedded costs and cost allocation methods.</w:t>
      </w: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8</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B00EC7" w:rsidRPr="00B00EC7" w:rsidRDefault="00B00EC7" w:rsidP="00F67377">
      <w:pPr>
        <w:rPr>
          <w:rFonts w:ascii="Arial" w:hAnsi="Arial" w:cs="Arial"/>
        </w:rPr>
      </w:pPr>
      <w:r w:rsidRPr="00B00EC7">
        <w:rPr>
          <w:rFonts w:ascii="Arial" w:hAnsi="Arial" w:cs="Arial"/>
        </w:rPr>
        <w:t>The existing</w:t>
      </w:r>
      <w:r>
        <w:rPr>
          <w:rFonts w:ascii="Arial" w:hAnsi="Arial" w:cs="Arial"/>
        </w:rPr>
        <w:t xml:space="preserve"> </w:t>
      </w:r>
      <w:r w:rsidRPr="00B00EC7">
        <w:rPr>
          <w:rFonts w:ascii="Arial" w:hAnsi="Arial" w:cs="Arial"/>
        </w:rPr>
        <w:t>(2015) all</w:t>
      </w:r>
      <w:r w:rsidR="001540D5">
        <w:rPr>
          <w:rFonts w:ascii="Arial" w:hAnsi="Arial" w:cs="Arial"/>
        </w:rPr>
        <w:t>ocation of costs by function is</w:t>
      </w:r>
      <w:r w:rsidRPr="00B00EC7">
        <w:rPr>
          <w:rFonts w:ascii="Arial" w:hAnsi="Arial" w:cs="Arial"/>
        </w:rPr>
        <w:t xml:space="preserve"> below:</w:t>
      </w:r>
    </w:p>
    <w:p w:rsidR="00B00EC7" w:rsidRPr="00B00EC7" w:rsidRDefault="00B00EC7" w:rsidP="00F673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tblGrid>
      <w:tr w:rsidR="00B00EC7" w:rsidRPr="00C73729" w:rsidTr="00C73729">
        <w:tc>
          <w:tcPr>
            <w:tcW w:w="2268" w:type="dxa"/>
            <w:shd w:val="clear" w:color="auto" w:fill="auto"/>
          </w:tcPr>
          <w:p w:rsidR="00B00EC7" w:rsidRPr="00C73729" w:rsidRDefault="00B00EC7" w:rsidP="00F67377">
            <w:pPr>
              <w:rPr>
                <w:rFonts w:ascii="Arial" w:hAnsi="Arial" w:cs="Arial"/>
              </w:rPr>
            </w:pPr>
          </w:p>
        </w:tc>
        <w:tc>
          <w:tcPr>
            <w:tcW w:w="5400" w:type="dxa"/>
            <w:shd w:val="clear" w:color="auto" w:fill="auto"/>
          </w:tcPr>
          <w:p w:rsidR="00B00EC7" w:rsidRPr="00C73729" w:rsidRDefault="00B00EC7" w:rsidP="00C73729">
            <w:pPr>
              <w:jc w:val="center"/>
              <w:rPr>
                <w:rFonts w:ascii="Arial" w:hAnsi="Arial" w:cs="Arial"/>
                <w:b/>
              </w:rPr>
            </w:pPr>
            <w:r w:rsidRPr="00C73729">
              <w:rPr>
                <w:rFonts w:ascii="Arial" w:hAnsi="Arial" w:cs="Arial"/>
                <w:b/>
              </w:rPr>
              <w:t>2015 $MM</w:t>
            </w:r>
          </w:p>
        </w:tc>
      </w:tr>
      <w:tr w:rsidR="00B00EC7" w:rsidRPr="00C73729" w:rsidTr="00C73729">
        <w:tc>
          <w:tcPr>
            <w:tcW w:w="2268" w:type="dxa"/>
            <w:shd w:val="clear" w:color="auto" w:fill="auto"/>
          </w:tcPr>
          <w:p w:rsidR="00B00EC7" w:rsidRPr="00C73729" w:rsidRDefault="00B00EC7" w:rsidP="00F67377">
            <w:pPr>
              <w:rPr>
                <w:rFonts w:ascii="Arial" w:hAnsi="Arial" w:cs="Arial"/>
              </w:rPr>
            </w:pPr>
            <w:r w:rsidRPr="00C73729">
              <w:rPr>
                <w:rFonts w:ascii="Arial" w:hAnsi="Arial" w:cs="Arial"/>
              </w:rPr>
              <w:t>Core</w:t>
            </w:r>
          </w:p>
        </w:tc>
        <w:tc>
          <w:tcPr>
            <w:tcW w:w="5400" w:type="dxa"/>
            <w:shd w:val="clear" w:color="auto" w:fill="auto"/>
          </w:tcPr>
          <w:p w:rsidR="00B00EC7" w:rsidRPr="00C73729" w:rsidRDefault="00B00EC7" w:rsidP="00C73729">
            <w:pPr>
              <w:jc w:val="center"/>
              <w:rPr>
                <w:rFonts w:ascii="Arial" w:hAnsi="Arial" w:cs="Arial"/>
              </w:rPr>
            </w:pPr>
            <w:r w:rsidRPr="00C73729">
              <w:rPr>
                <w:rFonts w:ascii="Arial" w:hAnsi="Arial" w:cs="Arial"/>
              </w:rPr>
              <w:t>52.8</w:t>
            </w:r>
          </w:p>
        </w:tc>
      </w:tr>
      <w:tr w:rsidR="00B00EC7" w:rsidRPr="00C73729" w:rsidTr="00C73729">
        <w:tc>
          <w:tcPr>
            <w:tcW w:w="2268" w:type="dxa"/>
            <w:shd w:val="clear" w:color="auto" w:fill="auto"/>
          </w:tcPr>
          <w:p w:rsidR="00B00EC7" w:rsidRPr="00C73729" w:rsidRDefault="00B00EC7" w:rsidP="00F67377">
            <w:pPr>
              <w:rPr>
                <w:rFonts w:ascii="Arial" w:hAnsi="Arial" w:cs="Arial"/>
              </w:rPr>
            </w:pPr>
            <w:r w:rsidRPr="00C73729">
              <w:rPr>
                <w:rFonts w:ascii="Arial" w:hAnsi="Arial" w:cs="Arial"/>
              </w:rPr>
              <w:t>Balancing</w:t>
            </w:r>
          </w:p>
        </w:tc>
        <w:tc>
          <w:tcPr>
            <w:tcW w:w="5400" w:type="dxa"/>
            <w:shd w:val="clear" w:color="auto" w:fill="auto"/>
          </w:tcPr>
          <w:p w:rsidR="00B00EC7" w:rsidRPr="00C73729" w:rsidRDefault="00B00EC7" w:rsidP="00C73729">
            <w:pPr>
              <w:jc w:val="center"/>
              <w:rPr>
                <w:rFonts w:ascii="Arial" w:hAnsi="Arial" w:cs="Arial"/>
              </w:rPr>
            </w:pPr>
            <w:r w:rsidRPr="00C73729">
              <w:rPr>
                <w:rFonts w:ascii="Arial" w:hAnsi="Arial" w:cs="Arial"/>
              </w:rPr>
              <w:t>10.3</w:t>
            </w:r>
          </w:p>
        </w:tc>
      </w:tr>
      <w:tr w:rsidR="00B00EC7" w:rsidRPr="00C73729" w:rsidTr="00C73729">
        <w:tc>
          <w:tcPr>
            <w:tcW w:w="2268" w:type="dxa"/>
            <w:shd w:val="clear" w:color="auto" w:fill="auto"/>
          </w:tcPr>
          <w:p w:rsidR="00B00EC7" w:rsidRPr="00C73729" w:rsidRDefault="00B00EC7" w:rsidP="00F67377">
            <w:pPr>
              <w:rPr>
                <w:rFonts w:ascii="Arial" w:hAnsi="Arial" w:cs="Arial"/>
              </w:rPr>
            </w:pPr>
            <w:r w:rsidRPr="00C73729">
              <w:rPr>
                <w:rFonts w:ascii="Arial" w:hAnsi="Arial" w:cs="Arial"/>
              </w:rPr>
              <w:t>Unbundled</w:t>
            </w:r>
          </w:p>
        </w:tc>
        <w:tc>
          <w:tcPr>
            <w:tcW w:w="5400" w:type="dxa"/>
            <w:shd w:val="clear" w:color="auto" w:fill="auto"/>
          </w:tcPr>
          <w:p w:rsidR="00B00EC7" w:rsidRPr="00C73729" w:rsidRDefault="00B00EC7" w:rsidP="00C73729">
            <w:pPr>
              <w:jc w:val="center"/>
              <w:rPr>
                <w:rFonts w:ascii="Arial" w:hAnsi="Arial" w:cs="Arial"/>
              </w:rPr>
            </w:pPr>
            <w:r w:rsidRPr="00C73729">
              <w:rPr>
                <w:rFonts w:ascii="Arial" w:hAnsi="Arial" w:cs="Arial"/>
              </w:rPr>
              <w:t>26.5</w:t>
            </w:r>
          </w:p>
        </w:tc>
      </w:tr>
      <w:tr w:rsidR="00B00EC7" w:rsidRPr="00C73729" w:rsidTr="00C73729">
        <w:tc>
          <w:tcPr>
            <w:tcW w:w="2268" w:type="dxa"/>
            <w:shd w:val="clear" w:color="auto" w:fill="auto"/>
          </w:tcPr>
          <w:p w:rsidR="00B00EC7" w:rsidRPr="00C73729" w:rsidRDefault="00B00EC7" w:rsidP="00F67377">
            <w:pPr>
              <w:rPr>
                <w:rFonts w:ascii="Arial" w:hAnsi="Arial" w:cs="Arial"/>
              </w:rPr>
            </w:pPr>
            <w:r w:rsidRPr="00C73729">
              <w:rPr>
                <w:rFonts w:ascii="Arial" w:hAnsi="Arial" w:cs="Arial"/>
              </w:rPr>
              <w:t>Total</w:t>
            </w:r>
          </w:p>
        </w:tc>
        <w:tc>
          <w:tcPr>
            <w:tcW w:w="5400" w:type="dxa"/>
            <w:shd w:val="clear" w:color="auto" w:fill="auto"/>
          </w:tcPr>
          <w:p w:rsidR="00B00EC7" w:rsidRPr="00C73729" w:rsidRDefault="00B00EC7" w:rsidP="00C73729">
            <w:pPr>
              <w:jc w:val="center"/>
              <w:rPr>
                <w:rFonts w:ascii="Arial" w:hAnsi="Arial" w:cs="Arial"/>
              </w:rPr>
            </w:pPr>
            <w:r w:rsidRPr="00C73729">
              <w:rPr>
                <w:rFonts w:ascii="Arial" w:hAnsi="Arial" w:cs="Arial"/>
              </w:rPr>
              <w:t>89.6</w:t>
            </w:r>
          </w:p>
        </w:tc>
      </w:tr>
    </w:tbl>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9</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Re Table 4 on p. 12:  Please provide a similar table showing the results if the current cost allocation methodology were applied to the total costs of $96.19 million and $110.58 million.</w:t>
      </w:r>
    </w:p>
    <w:p w:rsidR="00582C14" w:rsidRPr="0031141C" w:rsidRDefault="00582C14"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9</w:t>
      </w:r>
      <w:r w:rsidRPr="00F759E8">
        <w:rPr>
          <w:rFonts w:ascii="Arial" w:hAnsi="Arial" w:cs="Arial"/>
          <w:b/>
          <w:u w:val="single"/>
        </w:rPr>
        <w:t>:</w:t>
      </w:r>
    </w:p>
    <w:p w:rsidR="00F67377" w:rsidRDefault="00F67377" w:rsidP="005C6E7A">
      <w:pPr>
        <w:rPr>
          <w:rFonts w:ascii="Arial" w:hAnsi="Arial" w:cs="Arial"/>
          <w:sz w:val="28"/>
          <w:szCs w:val="28"/>
        </w:rPr>
      </w:pPr>
    </w:p>
    <w:p w:rsidR="00141143" w:rsidRDefault="00FC1E9F" w:rsidP="00F67377">
      <w:pPr>
        <w:rPr>
          <w:rFonts w:ascii="Arial" w:hAnsi="Arial" w:cs="Arial"/>
        </w:rPr>
      </w:pPr>
      <w:r>
        <w:rPr>
          <w:rFonts w:ascii="Arial" w:hAnsi="Arial" w:cs="Arial"/>
        </w:rPr>
        <w:t xml:space="preserve">The </w:t>
      </w:r>
      <w:r w:rsidR="00610257">
        <w:rPr>
          <w:rFonts w:ascii="Arial" w:hAnsi="Arial" w:cs="Arial"/>
        </w:rPr>
        <w:t xml:space="preserve">current cost allocation methodology, which produced the </w:t>
      </w:r>
      <w:r>
        <w:rPr>
          <w:rFonts w:ascii="Arial" w:hAnsi="Arial" w:cs="Arial"/>
        </w:rPr>
        <w:t xml:space="preserve">costs </w:t>
      </w:r>
      <w:r w:rsidR="00D07CBF">
        <w:rPr>
          <w:rFonts w:ascii="Arial" w:hAnsi="Arial" w:cs="Arial"/>
        </w:rPr>
        <w:t xml:space="preserve">by function </w:t>
      </w:r>
      <w:r w:rsidR="00610257">
        <w:rPr>
          <w:rFonts w:ascii="Arial" w:hAnsi="Arial" w:cs="Arial"/>
        </w:rPr>
        <w:t xml:space="preserve">shown </w:t>
      </w:r>
      <w:r>
        <w:rPr>
          <w:rFonts w:ascii="Arial" w:hAnsi="Arial" w:cs="Arial"/>
        </w:rPr>
        <w:t xml:space="preserve">in </w:t>
      </w:r>
      <w:r w:rsidR="00E02E3F">
        <w:rPr>
          <w:rFonts w:ascii="Arial" w:hAnsi="Arial" w:cs="Arial"/>
        </w:rPr>
        <w:t xml:space="preserve">Response </w:t>
      </w:r>
      <w:r>
        <w:rPr>
          <w:rFonts w:ascii="Arial" w:hAnsi="Arial" w:cs="Arial"/>
        </w:rPr>
        <w:t>8</w:t>
      </w:r>
      <w:r w:rsidR="00610257">
        <w:rPr>
          <w:rFonts w:ascii="Arial" w:hAnsi="Arial" w:cs="Arial"/>
        </w:rPr>
        <w:t>,</w:t>
      </w:r>
      <w:r>
        <w:rPr>
          <w:rFonts w:ascii="Arial" w:hAnsi="Arial" w:cs="Arial"/>
        </w:rPr>
        <w:t xml:space="preserve">  </w:t>
      </w:r>
      <w:r w:rsidR="00610257">
        <w:rPr>
          <w:rFonts w:ascii="Arial" w:hAnsi="Arial" w:cs="Arial"/>
        </w:rPr>
        <w:t xml:space="preserve">was adopted by a </w:t>
      </w:r>
      <w:r>
        <w:rPr>
          <w:rFonts w:ascii="Arial" w:hAnsi="Arial" w:cs="Arial"/>
        </w:rPr>
        <w:t xml:space="preserve">settlement </w:t>
      </w:r>
      <w:r w:rsidR="00610257">
        <w:rPr>
          <w:rFonts w:ascii="Arial" w:hAnsi="Arial" w:cs="Arial"/>
        </w:rPr>
        <w:t xml:space="preserve">agreement in the 2013 TCAP, and </w:t>
      </w:r>
      <w:r>
        <w:rPr>
          <w:rFonts w:ascii="Arial" w:hAnsi="Arial" w:cs="Arial"/>
        </w:rPr>
        <w:t>assum</w:t>
      </w:r>
      <w:r w:rsidR="00610257">
        <w:rPr>
          <w:rFonts w:ascii="Arial" w:hAnsi="Arial" w:cs="Arial"/>
        </w:rPr>
        <w:t>ed</w:t>
      </w:r>
      <w:r>
        <w:rPr>
          <w:rFonts w:ascii="Arial" w:hAnsi="Arial" w:cs="Arial"/>
        </w:rPr>
        <w:t xml:space="preserve"> that </w:t>
      </w:r>
      <w:r w:rsidR="00141143">
        <w:rPr>
          <w:rFonts w:ascii="Arial" w:hAnsi="Arial" w:cs="Arial"/>
        </w:rPr>
        <w:t xml:space="preserve">total </w:t>
      </w:r>
      <w:r w:rsidR="00ED6D47">
        <w:rPr>
          <w:rFonts w:ascii="Arial" w:hAnsi="Arial" w:cs="Arial"/>
        </w:rPr>
        <w:t xml:space="preserve">storage costs were distributed </w:t>
      </w:r>
      <w:r>
        <w:rPr>
          <w:rFonts w:ascii="Arial" w:hAnsi="Arial" w:cs="Arial"/>
        </w:rPr>
        <w:t xml:space="preserve">one-third to inventory, one-third to injection, and one-third to withdrawal.  Those costs were then apportioned to </w:t>
      </w:r>
      <w:r w:rsidR="00116458">
        <w:rPr>
          <w:rFonts w:ascii="Arial" w:hAnsi="Arial" w:cs="Arial"/>
        </w:rPr>
        <w:t xml:space="preserve">the </w:t>
      </w:r>
      <w:r w:rsidR="00D07CBF">
        <w:rPr>
          <w:rFonts w:ascii="Arial" w:hAnsi="Arial" w:cs="Arial"/>
        </w:rPr>
        <w:t xml:space="preserve">core, balancing, and </w:t>
      </w:r>
      <w:r w:rsidR="00116458">
        <w:rPr>
          <w:rFonts w:ascii="Arial" w:hAnsi="Arial" w:cs="Arial"/>
        </w:rPr>
        <w:t xml:space="preserve">unbundled storage functions per </w:t>
      </w:r>
      <w:r>
        <w:rPr>
          <w:rFonts w:ascii="Arial" w:hAnsi="Arial" w:cs="Arial"/>
        </w:rPr>
        <w:t xml:space="preserve">the </w:t>
      </w:r>
      <w:r w:rsidR="00141143">
        <w:rPr>
          <w:rFonts w:ascii="Arial" w:hAnsi="Arial" w:cs="Arial"/>
        </w:rPr>
        <w:t xml:space="preserve">annualized </w:t>
      </w:r>
      <w:r w:rsidR="001540D5">
        <w:rPr>
          <w:rFonts w:ascii="Arial" w:hAnsi="Arial" w:cs="Arial"/>
        </w:rPr>
        <w:t>capacities</w:t>
      </w:r>
      <w:r w:rsidR="00610257">
        <w:rPr>
          <w:rFonts w:ascii="Arial" w:hAnsi="Arial" w:cs="Arial"/>
        </w:rPr>
        <w:t xml:space="preserve"> </w:t>
      </w:r>
      <w:r>
        <w:rPr>
          <w:rFonts w:ascii="Arial" w:hAnsi="Arial" w:cs="Arial"/>
        </w:rPr>
        <w:t>described in Re</w:t>
      </w:r>
      <w:r w:rsidR="003D2796">
        <w:rPr>
          <w:rFonts w:ascii="Arial" w:hAnsi="Arial" w:cs="Arial"/>
        </w:rPr>
        <w:t>s</w:t>
      </w:r>
      <w:r>
        <w:rPr>
          <w:rFonts w:ascii="Arial" w:hAnsi="Arial" w:cs="Arial"/>
        </w:rPr>
        <w:t xml:space="preserve">ponse 6.  </w:t>
      </w:r>
      <w:r w:rsidR="001540D5">
        <w:rPr>
          <w:rFonts w:ascii="Arial" w:hAnsi="Arial" w:cs="Arial"/>
        </w:rPr>
        <w:t>In order to answer this question,</w:t>
      </w:r>
      <w:r w:rsidR="00141143">
        <w:rPr>
          <w:rFonts w:ascii="Arial" w:hAnsi="Arial" w:cs="Arial"/>
        </w:rPr>
        <w:t xml:space="preserve"> </w:t>
      </w:r>
      <w:r w:rsidR="00610257">
        <w:rPr>
          <w:rFonts w:ascii="Arial" w:hAnsi="Arial" w:cs="Arial"/>
        </w:rPr>
        <w:t xml:space="preserve">it is </w:t>
      </w:r>
      <w:r w:rsidR="00141143">
        <w:rPr>
          <w:rFonts w:ascii="Arial" w:hAnsi="Arial" w:cs="Arial"/>
        </w:rPr>
        <w:t>assume</w:t>
      </w:r>
      <w:r w:rsidR="00610257">
        <w:rPr>
          <w:rFonts w:ascii="Arial" w:hAnsi="Arial" w:cs="Arial"/>
        </w:rPr>
        <w:t>d</w:t>
      </w:r>
      <w:r w:rsidR="00141143">
        <w:rPr>
          <w:rFonts w:ascii="Arial" w:hAnsi="Arial" w:cs="Arial"/>
        </w:rPr>
        <w:t xml:space="preserve"> that the on-cycle capacities recommended in Table 3 </w:t>
      </w:r>
      <w:r w:rsidR="006D00AB">
        <w:rPr>
          <w:rFonts w:ascii="Arial" w:hAnsi="Arial" w:cs="Arial"/>
        </w:rPr>
        <w:t xml:space="preserve">of Mr. Watson’s Direct Testimony </w:t>
      </w:r>
      <w:r w:rsidR="00141143">
        <w:rPr>
          <w:rFonts w:ascii="Arial" w:hAnsi="Arial" w:cs="Arial"/>
        </w:rPr>
        <w:t xml:space="preserve">are </w:t>
      </w:r>
      <w:r w:rsidR="001540D5">
        <w:rPr>
          <w:rFonts w:ascii="Arial" w:hAnsi="Arial" w:cs="Arial"/>
        </w:rPr>
        <w:t xml:space="preserve">actually </w:t>
      </w:r>
      <w:r w:rsidR="00141143">
        <w:rPr>
          <w:rFonts w:ascii="Arial" w:hAnsi="Arial" w:cs="Arial"/>
        </w:rPr>
        <w:t>365 day annual capacities (as in Response 6) and allocate</w:t>
      </w:r>
      <w:r w:rsidR="00610257">
        <w:rPr>
          <w:rFonts w:ascii="Arial" w:hAnsi="Arial" w:cs="Arial"/>
        </w:rPr>
        <w:t>d</w:t>
      </w:r>
      <w:r w:rsidR="00141143">
        <w:rPr>
          <w:rFonts w:ascii="Arial" w:hAnsi="Arial" w:cs="Arial"/>
        </w:rPr>
        <w:t xml:space="preserve"> injection, withdrawal and inventory costs proportiona</w:t>
      </w:r>
      <w:r w:rsidR="004A7B3F">
        <w:rPr>
          <w:rFonts w:ascii="Arial" w:hAnsi="Arial" w:cs="Arial"/>
        </w:rPr>
        <w:t>te</w:t>
      </w:r>
      <w:r w:rsidR="00141143">
        <w:rPr>
          <w:rFonts w:ascii="Arial" w:hAnsi="Arial" w:cs="Arial"/>
        </w:rPr>
        <w:t xml:space="preserve">ly among the core, balancing, and unbundled storage functions based on those </w:t>
      </w:r>
      <w:r w:rsidR="001540D5">
        <w:rPr>
          <w:rFonts w:ascii="Arial" w:hAnsi="Arial" w:cs="Arial"/>
        </w:rPr>
        <w:t>annualized on-cycle capacities</w:t>
      </w:r>
      <w:r w:rsidR="00141143">
        <w:rPr>
          <w:rFonts w:ascii="Arial" w:hAnsi="Arial" w:cs="Arial"/>
        </w:rPr>
        <w:t xml:space="preserve"> (i.e., </w:t>
      </w:r>
      <w:r w:rsidR="001540D5">
        <w:rPr>
          <w:rFonts w:ascii="Arial" w:hAnsi="Arial" w:cs="Arial"/>
        </w:rPr>
        <w:t>c</w:t>
      </w:r>
      <w:r w:rsidR="00141143">
        <w:rPr>
          <w:rFonts w:ascii="Arial" w:hAnsi="Arial" w:cs="Arial"/>
        </w:rPr>
        <w:t xml:space="preserve">ontrary to </w:t>
      </w:r>
      <w:r w:rsidR="006D00AB">
        <w:rPr>
          <w:rFonts w:ascii="Arial" w:hAnsi="Arial" w:cs="Arial"/>
        </w:rPr>
        <w:t xml:space="preserve">Mr. </w:t>
      </w:r>
      <w:r w:rsidR="00141143">
        <w:rPr>
          <w:rFonts w:ascii="Arial" w:hAnsi="Arial" w:cs="Arial"/>
        </w:rPr>
        <w:t>Watson’s recommendation, we ignore the fact that off-cycle capacities are significantly less than on-cycle capacities).  The resulting impact of the “current cost allocation methodology” applied to the $96.19 million and $110.58 million is shown below.</w:t>
      </w:r>
    </w:p>
    <w:p w:rsidR="00141143" w:rsidRDefault="00141143" w:rsidP="00F67377">
      <w:pPr>
        <w:rPr>
          <w:rFonts w:ascii="Arial" w:hAnsi="Arial" w:cs="Arial"/>
        </w:rPr>
      </w:pPr>
    </w:p>
    <w:p w:rsidR="00A85689" w:rsidRDefault="00141143" w:rsidP="00F67377">
      <w:pPr>
        <w:rPr>
          <w:rFonts w:ascii="Arial" w:hAnsi="Arial" w:cs="Arial"/>
          <w:b/>
          <w:u w:val="single"/>
        </w:rPr>
      </w:pPr>
      <w:r w:rsidRPr="00C00CE9">
        <w:rPr>
          <w:noProof/>
          <w:sz w:val="20"/>
        </w:rPr>
        <w:drawing>
          <wp:inline distT="0" distB="0" distL="0" distR="0" wp14:anchorId="667B70FC" wp14:editId="28AA606B">
            <wp:extent cx="5890263" cy="1739900"/>
            <wp:effectExtent l="0" t="0" r="0" b="0"/>
            <wp:docPr id="1" name="Picture 1" descr="cid:image003.png@01D03656.4D1D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3656.4D1DCB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888125" cy="1739268"/>
                    </a:xfrm>
                    <a:prstGeom prst="rect">
                      <a:avLst/>
                    </a:prstGeom>
                    <a:noFill/>
                    <a:ln>
                      <a:noFill/>
                    </a:ln>
                  </pic:spPr>
                </pic:pic>
              </a:graphicData>
            </a:graphic>
          </wp:inline>
        </w:drawing>
      </w:r>
    </w:p>
    <w:p w:rsidR="00C62CAA" w:rsidRDefault="00C62CAA" w:rsidP="00F67377">
      <w:pPr>
        <w:rPr>
          <w:rFonts w:ascii="Arial" w:hAnsi="Arial" w:cs="Arial"/>
          <w:b/>
          <w:u w:val="single"/>
        </w:rPr>
      </w:pPr>
    </w:p>
    <w:p w:rsidR="00141143" w:rsidRDefault="00141143">
      <w:pPr>
        <w:rPr>
          <w:rFonts w:ascii="Arial" w:hAnsi="Arial" w:cs="Arial"/>
          <w:b/>
          <w:u w:val="single"/>
        </w:rPr>
      </w:pPr>
      <w:r>
        <w:rPr>
          <w:rFonts w:ascii="Arial" w:hAnsi="Arial" w:cs="Arial"/>
          <w:b/>
          <w:u w:val="single"/>
        </w:rPr>
        <w:br w:type="page"/>
      </w: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0</w:t>
      </w:r>
      <w:r w:rsidRPr="00F759E8">
        <w:rPr>
          <w:rFonts w:ascii="Arial" w:hAnsi="Arial" w:cs="Arial"/>
          <w:b/>
          <w:u w:val="single"/>
        </w:rPr>
        <w:t>:</w:t>
      </w:r>
    </w:p>
    <w:p w:rsidR="00582C14" w:rsidRDefault="00582C14" w:rsidP="00F67377">
      <w:pPr>
        <w:rPr>
          <w:rFonts w:ascii="Arial" w:hAnsi="Arial" w:cs="Arial"/>
        </w:rPr>
      </w:pPr>
    </w:p>
    <w:p w:rsidR="009C28F3" w:rsidRPr="00D12186" w:rsidRDefault="009C28F3" w:rsidP="009C28F3">
      <w:pPr>
        <w:pStyle w:val="ListParagraph"/>
        <w:spacing w:before="240" w:beforeAutospacing="0" w:after="240" w:afterAutospacing="0"/>
        <w:ind w:left="90"/>
        <w:rPr>
          <w:rFonts w:ascii="Arial" w:hAnsi="Arial" w:cs="Arial"/>
        </w:rPr>
      </w:pPr>
      <w:r w:rsidRPr="00D12186">
        <w:rPr>
          <w:rFonts w:ascii="Arial" w:hAnsi="Arial" w:cs="Arial"/>
        </w:rPr>
        <w:t>Re cost allocation testimony at p. 11:</w:t>
      </w:r>
    </w:p>
    <w:p w:rsidR="009C28F3" w:rsidRPr="00D12186" w:rsidRDefault="009C28F3" w:rsidP="009C28F3">
      <w:pPr>
        <w:pStyle w:val="ListParagraph"/>
        <w:numPr>
          <w:ilvl w:val="1"/>
          <w:numId w:val="26"/>
        </w:numPr>
        <w:spacing w:before="240" w:beforeAutospacing="0" w:after="240" w:afterAutospacing="0"/>
        <w:ind w:left="720" w:hanging="630"/>
        <w:rPr>
          <w:rFonts w:ascii="Arial" w:hAnsi="Arial" w:cs="Arial"/>
        </w:rPr>
      </w:pPr>
      <w:r w:rsidRPr="00D12186">
        <w:rPr>
          <w:rFonts w:ascii="Arial" w:hAnsi="Arial" w:cs="Arial"/>
        </w:rPr>
        <w:t>Please provide all prepared testimony from the 2009 BCAP explaining the existing cost allocation method.</w:t>
      </w:r>
    </w:p>
    <w:p w:rsidR="009C28F3" w:rsidRPr="00D12186" w:rsidRDefault="009C28F3" w:rsidP="009C28F3">
      <w:pPr>
        <w:pStyle w:val="ListParagraph"/>
        <w:numPr>
          <w:ilvl w:val="1"/>
          <w:numId w:val="26"/>
        </w:numPr>
        <w:spacing w:before="240" w:beforeAutospacing="0" w:after="240" w:afterAutospacing="0"/>
        <w:ind w:left="720" w:hanging="630"/>
        <w:rPr>
          <w:rFonts w:ascii="Arial" w:hAnsi="Arial" w:cs="Arial"/>
        </w:rPr>
      </w:pPr>
      <w:r w:rsidRPr="00D12186">
        <w:rPr>
          <w:rFonts w:ascii="Arial" w:hAnsi="Arial" w:cs="Arial"/>
        </w:rPr>
        <w:t xml:space="preserve">Does the explanation at p. 11 mean that the unit </w:t>
      </w:r>
      <w:proofErr w:type="gramStart"/>
      <w:r w:rsidRPr="00D12186">
        <w:rPr>
          <w:rFonts w:ascii="Arial" w:hAnsi="Arial" w:cs="Arial"/>
        </w:rPr>
        <w:t>cost of</w:t>
      </w:r>
      <w:r w:rsidR="003D2796">
        <w:rPr>
          <w:rFonts w:ascii="Arial" w:hAnsi="Arial" w:cs="Arial"/>
        </w:rPr>
        <w:t xml:space="preserve"> </w:t>
      </w:r>
      <w:r w:rsidRPr="00D12186">
        <w:rPr>
          <w:rFonts w:ascii="Arial" w:hAnsi="Arial" w:cs="Arial"/>
        </w:rPr>
        <w:t>“firm summer injection” and “off-cycle withdrawal” are</w:t>
      </w:r>
      <w:proofErr w:type="gramEnd"/>
      <w:r w:rsidRPr="00D12186">
        <w:rPr>
          <w:rFonts w:ascii="Arial" w:hAnsi="Arial" w:cs="Arial"/>
        </w:rPr>
        <w:t xml:space="preserve"> treated the same for cost allocation purposes?</w:t>
      </w:r>
    </w:p>
    <w:p w:rsidR="009C28F3" w:rsidRPr="00D12186" w:rsidRDefault="009C28F3" w:rsidP="009C28F3">
      <w:pPr>
        <w:pStyle w:val="ListParagraph"/>
        <w:numPr>
          <w:ilvl w:val="1"/>
          <w:numId w:val="26"/>
        </w:numPr>
        <w:spacing w:before="240" w:beforeAutospacing="0" w:after="240" w:afterAutospacing="0"/>
        <w:ind w:left="720" w:hanging="630"/>
        <w:rPr>
          <w:rFonts w:ascii="Arial" w:hAnsi="Arial" w:cs="Arial"/>
        </w:rPr>
      </w:pPr>
      <w:r w:rsidRPr="00D12186">
        <w:rPr>
          <w:rFonts w:ascii="Arial" w:hAnsi="Arial" w:cs="Arial"/>
        </w:rPr>
        <w:t>Does the explanation at p. 11 mean that the unit cost of all injection and withdrawal services are treated exactly the same, aside from weighting each by the proper time period?</w:t>
      </w:r>
    </w:p>
    <w:p w:rsidR="009C28F3" w:rsidRPr="00D12186" w:rsidRDefault="009C28F3" w:rsidP="009C28F3">
      <w:pPr>
        <w:pStyle w:val="ListParagraph"/>
        <w:numPr>
          <w:ilvl w:val="1"/>
          <w:numId w:val="26"/>
        </w:numPr>
        <w:spacing w:before="240" w:beforeAutospacing="0" w:after="240" w:afterAutospacing="0"/>
        <w:ind w:left="720" w:hanging="630"/>
        <w:rPr>
          <w:rFonts w:ascii="Arial" w:hAnsi="Arial" w:cs="Arial"/>
        </w:rPr>
      </w:pPr>
      <w:r w:rsidRPr="00D12186">
        <w:rPr>
          <w:rFonts w:ascii="Arial" w:hAnsi="Arial" w:cs="Arial"/>
        </w:rPr>
        <w:t>Please explain the meaning of “off-cycle” withdrawal and “off-cycle” injection as those terms are used here.</w:t>
      </w:r>
    </w:p>
    <w:p w:rsidR="009C28F3" w:rsidRPr="00D12186" w:rsidRDefault="009C28F3" w:rsidP="009C28F3">
      <w:pPr>
        <w:pStyle w:val="ListParagraph"/>
        <w:numPr>
          <w:ilvl w:val="1"/>
          <w:numId w:val="26"/>
        </w:numPr>
        <w:spacing w:before="240" w:beforeAutospacing="0" w:after="240" w:afterAutospacing="0"/>
        <w:ind w:left="90" w:firstLine="0"/>
        <w:rPr>
          <w:rFonts w:ascii="Arial" w:hAnsi="Arial" w:cs="Arial"/>
        </w:rPr>
      </w:pPr>
      <w:r w:rsidRPr="00D12186">
        <w:rPr>
          <w:rFonts w:ascii="Arial" w:hAnsi="Arial" w:cs="Arial"/>
        </w:rPr>
        <w:t>Please define the summer and winter period in terms of dates.</w:t>
      </w:r>
    </w:p>
    <w:p w:rsidR="009C28F3" w:rsidRPr="0031141C" w:rsidRDefault="009C28F3" w:rsidP="009C28F3">
      <w:pPr>
        <w:rPr>
          <w:rFonts w:ascii="Arial" w:hAnsi="Arial" w:cs="Arial"/>
        </w:rPr>
      </w:pPr>
      <w:r w:rsidRPr="00D12186">
        <w:rPr>
          <w:rFonts w:ascii="Arial" w:hAnsi="Arial" w:cs="Arial"/>
        </w:rPr>
        <w:t>Please provide a copy of all analyses, reports, or other documents prepared by or on behalf of SoCalGas for its internal decision-making purposes regarding the proposed change from the existing cost allocation methodology to the PG&amp;E Gas Accord methodology.</w:t>
      </w:r>
    </w:p>
    <w:p w:rsidR="00F67377" w:rsidRPr="0031141C" w:rsidRDefault="00F67377" w:rsidP="00F67377">
      <w:pPr>
        <w:rPr>
          <w:rFonts w:ascii="Arial" w:hAnsi="Arial" w:cs="Arial"/>
        </w:rPr>
      </w:pP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0</w:t>
      </w:r>
      <w:r w:rsidRPr="00F759E8">
        <w:rPr>
          <w:rFonts w:ascii="Arial" w:hAnsi="Arial" w:cs="Arial"/>
          <w:b/>
          <w:u w:val="single"/>
        </w:rPr>
        <w:t>:</w:t>
      </w:r>
    </w:p>
    <w:p w:rsidR="00F67377" w:rsidRDefault="00F67377" w:rsidP="005C6E7A">
      <w:pPr>
        <w:rPr>
          <w:rFonts w:ascii="Arial" w:hAnsi="Arial" w:cs="Arial"/>
          <w:sz w:val="28"/>
          <w:szCs w:val="28"/>
        </w:rPr>
      </w:pPr>
    </w:p>
    <w:p w:rsidR="009002BA" w:rsidRPr="0099282B" w:rsidRDefault="0099282B" w:rsidP="0099282B">
      <w:pPr>
        <w:numPr>
          <w:ilvl w:val="0"/>
          <w:numId w:val="29"/>
        </w:numPr>
        <w:rPr>
          <w:rFonts w:ascii="Arial" w:hAnsi="Arial" w:cs="Arial"/>
          <w:sz w:val="28"/>
          <w:szCs w:val="28"/>
        </w:rPr>
      </w:pPr>
      <w:r w:rsidRPr="0099282B">
        <w:rPr>
          <w:rFonts w:ascii="Arial" w:hAnsi="Arial" w:cs="Arial"/>
        </w:rPr>
        <w:t xml:space="preserve">The </w:t>
      </w:r>
      <w:r w:rsidR="00610257">
        <w:rPr>
          <w:rFonts w:ascii="Arial" w:hAnsi="Arial" w:cs="Arial"/>
        </w:rPr>
        <w:t>existing</w:t>
      </w:r>
      <w:r w:rsidRPr="0099282B">
        <w:rPr>
          <w:rFonts w:ascii="Arial" w:hAnsi="Arial" w:cs="Arial"/>
        </w:rPr>
        <w:t xml:space="preserve"> cost allocation method was most recently explained in the 2013</w:t>
      </w:r>
      <w:r>
        <w:rPr>
          <w:rFonts w:ascii="Arial" w:hAnsi="Arial" w:cs="Arial"/>
        </w:rPr>
        <w:t xml:space="preserve"> TCAP.  </w:t>
      </w:r>
      <w:r w:rsidR="009002BA" w:rsidRPr="009002BA">
        <w:rPr>
          <w:rFonts w:ascii="Arial" w:hAnsi="Arial" w:cs="Arial"/>
        </w:rPr>
        <w:t xml:space="preserve">See Revised Updated Prepared Direct Testimony of Sim-Cheng Fung, dated March 15, 2013 in A.-11-11-02 on </w:t>
      </w:r>
      <w:proofErr w:type="spellStart"/>
      <w:r w:rsidR="009002BA" w:rsidRPr="009002BA">
        <w:rPr>
          <w:rFonts w:ascii="Arial" w:hAnsi="Arial" w:cs="Arial"/>
        </w:rPr>
        <w:t>S</w:t>
      </w:r>
      <w:r w:rsidR="001540D5">
        <w:rPr>
          <w:rFonts w:ascii="Arial" w:hAnsi="Arial" w:cs="Arial"/>
        </w:rPr>
        <w:t>o</w:t>
      </w:r>
      <w:r w:rsidR="009002BA" w:rsidRPr="009002BA">
        <w:rPr>
          <w:rFonts w:ascii="Arial" w:hAnsi="Arial" w:cs="Arial"/>
        </w:rPr>
        <w:t>C</w:t>
      </w:r>
      <w:r w:rsidR="001540D5">
        <w:rPr>
          <w:rFonts w:ascii="Arial" w:hAnsi="Arial" w:cs="Arial"/>
        </w:rPr>
        <w:t>al</w:t>
      </w:r>
      <w:r w:rsidR="009002BA" w:rsidRPr="009002BA">
        <w:rPr>
          <w:rFonts w:ascii="Arial" w:hAnsi="Arial" w:cs="Arial"/>
        </w:rPr>
        <w:t>G</w:t>
      </w:r>
      <w:r w:rsidR="001540D5">
        <w:rPr>
          <w:rFonts w:ascii="Arial" w:hAnsi="Arial" w:cs="Arial"/>
        </w:rPr>
        <w:t>as</w:t>
      </w:r>
      <w:r w:rsidR="009002BA" w:rsidRPr="009002BA">
        <w:rPr>
          <w:rFonts w:ascii="Arial" w:hAnsi="Arial" w:cs="Arial"/>
        </w:rPr>
        <w:t>’s</w:t>
      </w:r>
      <w:proofErr w:type="spellEnd"/>
      <w:r w:rsidR="009002BA" w:rsidRPr="009002BA">
        <w:rPr>
          <w:rFonts w:ascii="Arial" w:hAnsi="Arial" w:cs="Arial"/>
        </w:rPr>
        <w:t xml:space="preserve"> website</w:t>
      </w:r>
      <w:r>
        <w:rPr>
          <w:rFonts w:ascii="Arial" w:hAnsi="Arial" w:cs="Arial"/>
        </w:rPr>
        <w:t xml:space="preserve">: </w:t>
      </w:r>
      <w:hyperlink r:id="rId21" w:history="1">
        <w:r w:rsidRPr="00320C68">
          <w:rPr>
            <w:rStyle w:val="Hyperlink"/>
            <w:rFonts w:ascii="Arial" w:hAnsi="Arial" w:cs="Arial"/>
          </w:rPr>
          <w:t>http://socalgas.com/regulatory/A1111002.shtml</w:t>
        </w:r>
      </w:hyperlink>
      <w:r w:rsidR="009002BA" w:rsidRPr="0099282B">
        <w:rPr>
          <w:rFonts w:ascii="Arial" w:hAnsi="Arial" w:cs="Arial"/>
        </w:rPr>
        <w:t>.</w:t>
      </w:r>
    </w:p>
    <w:p w:rsidR="00BA33B3" w:rsidRPr="00FC7DCE" w:rsidRDefault="00171183" w:rsidP="00FC7DCE">
      <w:pPr>
        <w:numPr>
          <w:ilvl w:val="0"/>
          <w:numId w:val="29"/>
        </w:numPr>
        <w:rPr>
          <w:rFonts w:ascii="Arial" w:hAnsi="Arial" w:cs="Arial"/>
        </w:rPr>
      </w:pPr>
      <w:r w:rsidRPr="00FC7DCE">
        <w:rPr>
          <w:rFonts w:ascii="Arial" w:hAnsi="Arial" w:cs="Arial"/>
        </w:rPr>
        <w:t>Yes, all firm units are treated the same.</w:t>
      </w:r>
    </w:p>
    <w:p w:rsidR="00BA33B3" w:rsidRPr="00171183" w:rsidRDefault="00171183" w:rsidP="00B00EC7">
      <w:pPr>
        <w:numPr>
          <w:ilvl w:val="0"/>
          <w:numId w:val="29"/>
        </w:numPr>
        <w:rPr>
          <w:rFonts w:ascii="Arial" w:hAnsi="Arial" w:cs="Arial"/>
        </w:rPr>
      </w:pPr>
      <w:r w:rsidRPr="00171183">
        <w:rPr>
          <w:rFonts w:ascii="Arial" w:hAnsi="Arial" w:cs="Arial"/>
        </w:rPr>
        <w:t>Yes.</w:t>
      </w:r>
    </w:p>
    <w:p w:rsidR="00171183" w:rsidRPr="00171183" w:rsidRDefault="00171183" w:rsidP="00B00EC7">
      <w:pPr>
        <w:numPr>
          <w:ilvl w:val="0"/>
          <w:numId w:val="29"/>
        </w:numPr>
        <w:rPr>
          <w:rFonts w:ascii="Arial" w:hAnsi="Arial" w:cs="Arial"/>
        </w:rPr>
      </w:pPr>
      <w:r w:rsidRPr="00171183">
        <w:rPr>
          <w:rFonts w:ascii="Arial" w:hAnsi="Arial" w:cs="Arial"/>
        </w:rPr>
        <w:t>Off-cycle for withdrawal means April-October.  Off-cycle for injection means November-March.</w:t>
      </w:r>
    </w:p>
    <w:p w:rsidR="00171183" w:rsidRPr="00171183" w:rsidRDefault="00171183" w:rsidP="00B00EC7">
      <w:pPr>
        <w:numPr>
          <w:ilvl w:val="0"/>
          <w:numId w:val="29"/>
        </w:numPr>
        <w:rPr>
          <w:rFonts w:ascii="Arial" w:hAnsi="Arial" w:cs="Arial"/>
        </w:rPr>
      </w:pPr>
      <w:r w:rsidRPr="00171183">
        <w:rPr>
          <w:rFonts w:ascii="Arial" w:hAnsi="Arial" w:cs="Arial"/>
        </w:rPr>
        <w:t xml:space="preserve">Summer = April-October; </w:t>
      </w:r>
      <w:proofErr w:type="gramStart"/>
      <w:r w:rsidRPr="00171183">
        <w:rPr>
          <w:rFonts w:ascii="Arial" w:hAnsi="Arial" w:cs="Arial"/>
        </w:rPr>
        <w:t>Winter</w:t>
      </w:r>
      <w:proofErr w:type="gramEnd"/>
      <w:r w:rsidRPr="00171183">
        <w:rPr>
          <w:rFonts w:ascii="Arial" w:hAnsi="Arial" w:cs="Arial"/>
        </w:rPr>
        <w:t xml:space="preserve"> = November-March.</w:t>
      </w:r>
    </w:p>
    <w:p w:rsidR="0099282B" w:rsidRDefault="0099282B" w:rsidP="00F67377">
      <w:pPr>
        <w:rPr>
          <w:rFonts w:ascii="Arial" w:hAnsi="Arial" w:cs="Arial"/>
        </w:rPr>
      </w:pPr>
    </w:p>
    <w:p w:rsidR="00A85689" w:rsidRDefault="00084A21" w:rsidP="00F67377">
      <w:pPr>
        <w:rPr>
          <w:rFonts w:ascii="Arial" w:hAnsi="Arial" w:cs="Arial"/>
          <w:b/>
          <w:u w:val="single"/>
        </w:rPr>
      </w:pPr>
      <w:r>
        <w:rPr>
          <w:rFonts w:ascii="Arial" w:hAnsi="Arial" w:cs="Arial"/>
        </w:rPr>
        <w:t>Please see response 1 for t</w:t>
      </w:r>
      <w:r w:rsidR="0099282B">
        <w:rPr>
          <w:rFonts w:ascii="Arial" w:hAnsi="Arial" w:cs="Arial"/>
        </w:rPr>
        <w:t xml:space="preserve">he </w:t>
      </w:r>
      <w:proofErr w:type="spellStart"/>
      <w:r>
        <w:rPr>
          <w:rFonts w:ascii="Arial" w:hAnsi="Arial" w:cs="Arial"/>
        </w:rPr>
        <w:t>workpapers</w:t>
      </w:r>
      <w:proofErr w:type="spellEnd"/>
      <w:r>
        <w:rPr>
          <w:rFonts w:ascii="Arial" w:hAnsi="Arial" w:cs="Arial"/>
        </w:rPr>
        <w:t xml:space="preserve"> used to analyze the new cost allocation methodology.</w:t>
      </w:r>
      <w:r w:rsidR="00F67377" w:rsidRPr="00171183">
        <w:rPr>
          <w:rFonts w:ascii="Arial" w:hAnsi="Arial" w:cs="Arial"/>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1</w:t>
      </w:r>
      <w:r w:rsidRPr="00F759E8">
        <w:rPr>
          <w:rFonts w:ascii="Arial" w:hAnsi="Arial" w:cs="Arial"/>
          <w:b/>
          <w:u w:val="single"/>
        </w:rPr>
        <w:t>:</w:t>
      </w:r>
    </w:p>
    <w:p w:rsidR="009C28F3" w:rsidRPr="00D12186" w:rsidRDefault="009C28F3" w:rsidP="009C28F3">
      <w:pPr>
        <w:pStyle w:val="ListParagraph"/>
        <w:spacing w:before="240" w:beforeAutospacing="0" w:after="240" w:afterAutospacing="0"/>
        <w:rPr>
          <w:rFonts w:ascii="Arial" w:hAnsi="Arial" w:cs="Arial"/>
        </w:rPr>
      </w:pPr>
      <w:r w:rsidRPr="00D12186">
        <w:rPr>
          <w:rFonts w:ascii="Arial" w:hAnsi="Arial" w:cs="Arial"/>
        </w:rPr>
        <w:t>Please provide, in Excel format, the maximum daily core (Gas Acquisition) storage injection and withdrawal capacity used each day 2010-2014.</w:t>
      </w:r>
    </w:p>
    <w:p w:rsidR="00582C14" w:rsidRPr="0031141C" w:rsidRDefault="00582C14" w:rsidP="00F67377">
      <w:pPr>
        <w:rPr>
          <w:rFonts w:ascii="Arial" w:hAnsi="Arial" w:cs="Arial"/>
        </w:rPr>
      </w:pP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1</w:t>
      </w:r>
      <w:r w:rsidRPr="00F759E8">
        <w:rPr>
          <w:rFonts w:ascii="Arial" w:hAnsi="Arial" w:cs="Arial"/>
          <w:b/>
          <w:u w:val="single"/>
        </w:rPr>
        <w:t>:</w:t>
      </w:r>
    </w:p>
    <w:p w:rsidR="00B334E9" w:rsidRDefault="00B334E9" w:rsidP="005C6E7A">
      <w:pPr>
        <w:rPr>
          <w:rFonts w:ascii="Arial" w:hAnsi="Arial" w:cs="Arial"/>
          <w:sz w:val="28"/>
          <w:szCs w:val="28"/>
        </w:rPr>
      </w:pPr>
    </w:p>
    <w:p w:rsidR="00F67377" w:rsidRPr="004339E5" w:rsidRDefault="004339E5" w:rsidP="00F67377">
      <w:pPr>
        <w:rPr>
          <w:rFonts w:ascii="Arial" w:hAnsi="Arial" w:cs="Arial"/>
        </w:rPr>
      </w:pPr>
      <w:proofErr w:type="spellStart"/>
      <w:r w:rsidRPr="004339E5">
        <w:rPr>
          <w:rFonts w:ascii="Arial" w:hAnsi="Arial" w:cs="Arial"/>
        </w:rPr>
        <w:t>SoCalGas</w:t>
      </w:r>
      <w:proofErr w:type="spellEnd"/>
      <w:r w:rsidRPr="004339E5">
        <w:rPr>
          <w:rFonts w:ascii="Arial" w:hAnsi="Arial" w:cs="Arial"/>
        </w:rPr>
        <w:t xml:space="preserve"> and SDG&amp;E object to this question on the grounds that it provide</w:t>
      </w:r>
      <w:r>
        <w:rPr>
          <w:rFonts w:ascii="Arial" w:hAnsi="Arial" w:cs="Arial"/>
        </w:rPr>
        <w:t>s confidential customer-</w:t>
      </w:r>
      <w:r w:rsidRPr="004339E5">
        <w:rPr>
          <w:rFonts w:ascii="Arial" w:hAnsi="Arial" w:cs="Arial"/>
        </w:rPr>
        <w:t xml:space="preserve">specific </w:t>
      </w:r>
      <w:r>
        <w:rPr>
          <w:rFonts w:ascii="Arial" w:hAnsi="Arial" w:cs="Arial"/>
        </w:rPr>
        <w:t>data</w:t>
      </w:r>
      <w:r w:rsidRPr="004339E5">
        <w:rPr>
          <w:rFonts w:ascii="Arial" w:hAnsi="Arial" w:cs="Arial"/>
        </w:rPr>
        <w:t>.</w:t>
      </w:r>
      <w:r w:rsidR="00F67377" w:rsidRPr="004339E5">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2</w:t>
      </w:r>
      <w:r w:rsidRPr="00F759E8">
        <w:rPr>
          <w:rFonts w:ascii="Arial" w:hAnsi="Arial" w:cs="Arial"/>
          <w:b/>
          <w:u w:val="single"/>
        </w:rPr>
        <w:t>:</w:t>
      </w:r>
    </w:p>
    <w:p w:rsidR="00F67377" w:rsidRPr="0031141C" w:rsidRDefault="00F67377" w:rsidP="00F67377">
      <w:pPr>
        <w:rPr>
          <w:rFonts w:ascii="Arial" w:hAnsi="Arial" w:cs="Arial"/>
        </w:rPr>
      </w:pPr>
    </w:p>
    <w:p w:rsidR="009C28F3" w:rsidRPr="00D12186" w:rsidRDefault="009C28F3" w:rsidP="009C28F3">
      <w:pPr>
        <w:pStyle w:val="ListParagraph"/>
        <w:spacing w:before="240" w:beforeAutospacing="0" w:after="240" w:afterAutospacing="0"/>
        <w:ind w:left="90" w:hanging="90"/>
        <w:rPr>
          <w:rFonts w:ascii="Arial" w:hAnsi="Arial" w:cs="Arial"/>
        </w:rPr>
      </w:pPr>
      <w:r w:rsidRPr="00D12186">
        <w:rPr>
          <w:rFonts w:ascii="Arial" w:hAnsi="Arial" w:cs="Arial"/>
        </w:rPr>
        <w:t xml:space="preserve">Re: the unbundled storage sharing mechanism at pp. 13-15:  </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Assume that the Commission adopts the Sempra Utilities’ forecast of $15.44 million for unbundled storage cost for 2016, and the Sempra Utilities record $26 million in unbundled storage revenues in 2016.  Please calculate the shares that would go to ratepayers and shareholders under the existing 90/10 allocation and the proposed 60/40 allocation.</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Please provide the amounts of the annual Unbundled Storage Revenue figures reflected in Figure 1 on page 14.</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 xml:space="preserve">For each year from 2004 through 2014, inclusive, please provide the amount of costs associated with the resources involved with marketing unbundled storage (as referred to on page 14).  </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 xml:space="preserve">For each year from 2004 through 2014, inclusive, please provide the amount of costs associated with the resources involved with managing unbundled storage (as referred to on page 14).  </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Please describe any and all ways known to SoCalGas in which it could have creatively and aggressively marketed its unbundled storage asset in 2012-2014 but chose not to do so due at least in part to the amount of pre-tax earnings it would likely realize from the marketing effort.</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Please provide a copy of all analyses, reports, or other documents prepared by or on behalf of SoCalGas for its internal decision-making purposes regarding the proposed change from a 90/10 allocation to a 60/40 allocation.</w:t>
      </w:r>
    </w:p>
    <w:p w:rsidR="009C28F3" w:rsidRPr="00D12186" w:rsidRDefault="009C28F3" w:rsidP="009C28F3">
      <w:pPr>
        <w:pStyle w:val="ListParagraph"/>
        <w:numPr>
          <w:ilvl w:val="1"/>
          <w:numId w:val="28"/>
        </w:numPr>
        <w:spacing w:before="240" w:beforeAutospacing="0" w:after="240" w:afterAutospacing="0"/>
        <w:ind w:left="720" w:hanging="720"/>
        <w:rPr>
          <w:rFonts w:ascii="Arial" w:hAnsi="Arial" w:cs="Arial"/>
        </w:rPr>
      </w:pPr>
      <w:r w:rsidRPr="00D12186">
        <w:rPr>
          <w:rFonts w:ascii="Arial" w:hAnsi="Arial" w:cs="Arial"/>
        </w:rPr>
        <w:t>Please provide all analyses, reports, or other documents prepared by or on behalf of SoCalGas for determining that a 60/40 allocation would provide the most reasonable allocation as compared to other allocations, such as 75/25.</w:t>
      </w:r>
    </w:p>
    <w:p w:rsidR="00F67377" w:rsidRDefault="00F67377" w:rsidP="00F67377">
      <w:pPr>
        <w:rPr>
          <w:rFonts w:ascii="Arial" w:hAnsi="Arial" w:cs="Arial"/>
        </w:rPr>
      </w:pPr>
    </w:p>
    <w:p w:rsidR="009002BA" w:rsidRDefault="009002BA" w:rsidP="00F67377">
      <w:pPr>
        <w:rPr>
          <w:rFonts w:ascii="Arial" w:hAnsi="Arial" w:cs="Arial"/>
        </w:rPr>
      </w:pPr>
    </w:p>
    <w:p w:rsidR="009002BA" w:rsidRDefault="009002BA" w:rsidP="00F67377">
      <w:pPr>
        <w:rPr>
          <w:rFonts w:ascii="Arial" w:hAnsi="Arial" w:cs="Arial"/>
        </w:rPr>
      </w:pPr>
    </w:p>
    <w:p w:rsidR="009F0A41" w:rsidRDefault="009F0A41" w:rsidP="00F67377">
      <w:pPr>
        <w:rPr>
          <w:rFonts w:ascii="Arial" w:hAnsi="Arial" w:cs="Arial"/>
        </w:rPr>
      </w:pPr>
    </w:p>
    <w:p w:rsidR="009F0A41" w:rsidRDefault="009F0A41" w:rsidP="00F67377">
      <w:pPr>
        <w:rPr>
          <w:rFonts w:ascii="Arial" w:hAnsi="Arial" w:cs="Arial"/>
        </w:rPr>
      </w:pPr>
    </w:p>
    <w:p w:rsidR="009002BA" w:rsidRDefault="009002BA" w:rsidP="00F67377">
      <w:pPr>
        <w:rPr>
          <w:rFonts w:ascii="Arial" w:hAnsi="Arial" w:cs="Arial"/>
        </w:rPr>
      </w:pPr>
    </w:p>
    <w:p w:rsidR="009002BA" w:rsidRPr="0031141C" w:rsidRDefault="009002BA"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610257" w:rsidRDefault="00CA22F1" w:rsidP="00341971">
      <w:pPr>
        <w:numPr>
          <w:ilvl w:val="0"/>
          <w:numId w:val="30"/>
        </w:numPr>
        <w:rPr>
          <w:rFonts w:ascii="Arial" w:hAnsi="Arial" w:cs="Arial"/>
        </w:rPr>
      </w:pPr>
      <w:r w:rsidRPr="0099282B">
        <w:rPr>
          <w:rFonts w:ascii="Arial" w:hAnsi="Arial" w:cs="Arial"/>
        </w:rPr>
        <w:t>$26</w:t>
      </w:r>
      <w:r w:rsidR="009002BA" w:rsidRPr="0099282B">
        <w:rPr>
          <w:rFonts w:ascii="Arial" w:hAnsi="Arial" w:cs="Arial"/>
        </w:rPr>
        <w:t>.</w:t>
      </w:r>
      <w:r w:rsidR="002D151C" w:rsidRPr="0099282B">
        <w:rPr>
          <w:rFonts w:ascii="Arial" w:hAnsi="Arial" w:cs="Arial"/>
        </w:rPr>
        <w:t xml:space="preserve">0 </w:t>
      </w:r>
      <w:r w:rsidRPr="0099282B">
        <w:rPr>
          <w:rFonts w:ascii="Arial" w:hAnsi="Arial" w:cs="Arial"/>
        </w:rPr>
        <w:t>- $15.4</w:t>
      </w:r>
      <w:r w:rsidR="002D151C" w:rsidRPr="0099282B">
        <w:rPr>
          <w:rFonts w:ascii="Arial" w:hAnsi="Arial" w:cs="Arial"/>
        </w:rPr>
        <w:t>4</w:t>
      </w:r>
      <w:r w:rsidRPr="0099282B">
        <w:rPr>
          <w:rFonts w:ascii="Arial" w:hAnsi="Arial" w:cs="Arial"/>
        </w:rPr>
        <w:t xml:space="preserve"> = $</w:t>
      </w:r>
      <w:r w:rsidR="002D151C" w:rsidRPr="0099282B">
        <w:rPr>
          <w:rFonts w:ascii="Arial" w:hAnsi="Arial" w:cs="Arial"/>
        </w:rPr>
        <w:t>10.56</w:t>
      </w:r>
      <w:r w:rsidRPr="0099282B">
        <w:rPr>
          <w:rFonts w:ascii="Arial" w:hAnsi="Arial" w:cs="Arial"/>
        </w:rPr>
        <w:t xml:space="preserve"> M</w:t>
      </w:r>
      <w:r w:rsidR="009002BA" w:rsidRPr="0099282B">
        <w:rPr>
          <w:rFonts w:ascii="Arial" w:hAnsi="Arial" w:cs="Arial"/>
        </w:rPr>
        <w:t>M</w:t>
      </w:r>
      <w:r w:rsidRPr="0099282B">
        <w:rPr>
          <w:rFonts w:ascii="Arial" w:hAnsi="Arial" w:cs="Arial"/>
        </w:rPr>
        <w:t>.</w:t>
      </w:r>
    </w:p>
    <w:p w:rsidR="0099282B" w:rsidRPr="00610257" w:rsidRDefault="00610257" w:rsidP="00084A21">
      <w:pPr>
        <w:ind w:left="720" w:firstLine="720"/>
        <w:rPr>
          <w:rFonts w:ascii="Arial" w:hAnsi="Arial" w:cs="Arial"/>
        </w:rPr>
      </w:pPr>
      <w:r>
        <w:rPr>
          <w:rFonts w:ascii="Arial" w:hAnsi="Arial" w:cs="Arial"/>
        </w:rPr>
        <w:t xml:space="preserve">90/10: </w:t>
      </w:r>
      <w:r w:rsidR="00CA22F1" w:rsidRPr="00610257">
        <w:rPr>
          <w:rFonts w:ascii="Arial" w:hAnsi="Arial" w:cs="Arial"/>
        </w:rPr>
        <w:t xml:space="preserve">90% </w:t>
      </w:r>
      <w:r>
        <w:rPr>
          <w:rFonts w:ascii="Arial" w:hAnsi="Arial" w:cs="Arial"/>
        </w:rPr>
        <w:t xml:space="preserve">(ratepayers) </w:t>
      </w:r>
      <w:r w:rsidR="00CA22F1" w:rsidRPr="00610257">
        <w:rPr>
          <w:rFonts w:ascii="Arial" w:hAnsi="Arial" w:cs="Arial"/>
        </w:rPr>
        <w:t>= $</w:t>
      </w:r>
      <w:r w:rsidR="002D151C" w:rsidRPr="00610257">
        <w:rPr>
          <w:rFonts w:ascii="Arial" w:hAnsi="Arial" w:cs="Arial"/>
        </w:rPr>
        <w:t>9.</w:t>
      </w:r>
      <w:r w:rsidR="00414CA1" w:rsidRPr="00610257">
        <w:rPr>
          <w:rFonts w:ascii="Arial" w:hAnsi="Arial" w:cs="Arial"/>
        </w:rPr>
        <w:t>5</w:t>
      </w:r>
      <w:r w:rsidR="002D151C" w:rsidRPr="00610257">
        <w:rPr>
          <w:rFonts w:ascii="Arial" w:hAnsi="Arial" w:cs="Arial"/>
        </w:rPr>
        <w:t xml:space="preserve"> </w:t>
      </w:r>
      <w:r w:rsidR="00D052C8" w:rsidRPr="00610257">
        <w:rPr>
          <w:rFonts w:ascii="Arial" w:hAnsi="Arial" w:cs="Arial"/>
        </w:rPr>
        <w:t>M</w:t>
      </w:r>
      <w:r w:rsidR="009002BA" w:rsidRPr="00610257">
        <w:rPr>
          <w:rFonts w:ascii="Arial" w:hAnsi="Arial" w:cs="Arial"/>
        </w:rPr>
        <w:t>M</w:t>
      </w:r>
      <w:r w:rsidR="00D052C8" w:rsidRPr="00610257">
        <w:rPr>
          <w:rFonts w:ascii="Arial" w:hAnsi="Arial" w:cs="Arial"/>
        </w:rPr>
        <w:t xml:space="preserve">.  10% </w:t>
      </w:r>
      <w:r>
        <w:rPr>
          <w:rFonts w:ascii="Arial" w:hAnsi="Arial" w:cs="Arial"/>
        </w:rPr>
        <w:t xml:space="preserve">(shareholders) </w:t>
      </w:r>
      <w:r w:rsidR="00D052C8" w:rsidRPr="00610257">
        <w:rPr>
          <w:rFonts w:ascii="Arial" w:hAnsi="Arial" w:cs="Arial"/>
        </w:rPr>
        <w:t xml:space="preserve">= </w:t>
      </w:r>
      <w:r w:rsidR="009002BA" w:rsidRPr="00610257">
        <w:rPr>
          <w:rFonts w:ascii="Arial" w:hAnsi="Arial" w:cs="Arial"/>
        </w:rPr>
        <w:t>$</w:t>
      </w:r>
      <w:r w:rsidR="00D052C8" w:rsidRPr="00610257">
        <w:rPr>
          <w:rFonts w:ascii="Arial" w:hAnsi="Arial" w:cs="Arial"/>
        </w:rPr>
        <w:t>1.1 MM.</w:t>
      </w:r>
    </w:p>
    <w:p w:rsidR="0099282B" w:rsidRDefault="00610257" w:rsidP="00084A21">
      <w:pPr>
        <w:ind w:left="720" w:firstLine="720"/>
        <w:rPr>
          <w:rFonts w:ascii="Arial" w:hAnsi="Arial" w:cs="Arial"/>
        </w:rPr>
      </w:pPr>
      <w:r>
        <w:rPr>
          <w:rFonts w:ascii="Arial" w:hAnsi="Arial" w:cs="Arial"/>
        </w:rPr>
        <w:t>60/40:</w:t>
      </w:r>
      <w:r w:rsidR="009002BA" w:rsidRPr="0099282B">
        <w:rPr>
          <w:rFonts w:ascii="Arial" w:hAnsi="Arial" w:cs="Arial"/>
        </w:rPr>
        <w:t xml:space="preserve"> 60% </w:t>
      </w:r>
      <w:r>
        <w:rPr>
          <w:rFonts w:ascii="Arial" w:hAnsi="Arial" w:cs="Arial"/>
        </w:rPr>
        <w:t xml:space="preserve">(ratepayers) </w:t>
      </w:r>
      <w:r w:rsidR="009002BA" w:rsidRPr="0099282B">
        <w:rPr>
          <w:rFonts w:ascii="Arial" w:hAnsi="Arial" w:cs="Arial"/>
        </w:rPr>
        <w:t>= $6.</w:t>
      </w:r>
      <w:r w:rsidR="00414CA1" w:rsidRPr="0099282B">
        <w:rPr>
          <w:rFonts w:ascii="Arial" w:hAnsi="Arial" w:cs="Arial"/>
        </w:rPr>
        <w:t xml:space="preserve">3 </w:t>
      </w:r>
      <w:r w:rsidR="009002BA" w:rsidRPr="0099282B">
        <w:rPr>
          <w:rFonts w:ascii="Arial" w:hAnsi="Arial" w:cs="Arial"/>
        </w:rPr>
        <w:t xml:space="preserve">MM.  40% </w:t>
      </w:r>
      <w:r>
        <w:rPr>
          <w:rFonts w:ascii="Arial" w:hAnsi="Arial" w:cs="Arial"/>
        </w:rPr>
        <w:t>(shareholders)</w:t>
      </w:r>
      <w:r w:rsidR="00084A21">
        <w:rPr>
          <w:rFonts w:ascii="Arial" w:hAnsi="Arial" w:cs="Arial"/>
        </w:rPr>
        <w:t xml:space="preserve"> </w:t>
      </w:r>
      <w:r w:rsidR="009002BA" w:rsidRPr="0099282B">
        <w:rPr>
          <w:rFonts w:ascii="Arial" w:hAnsi="Arial" w:cs="Arial"/>
        </w:rPr>
        <w:t>= $4.</w:t>
      </w:r>
      <w:r w:rsidR="00414CA1" w:rsidRPr="0099282B">
        <w:rPr>
          <w:rFonts w:ascii="Arial" w:hAnsi="Arial" w:cs="Arial"/>
        </w:rPr>
        <w:t xml:space="preserve">2 </w:t>
      </w:r>
      <w:r w:rsidR="009002BA" w:rsidRPr="0099282B">
        <w:rPr>
          <w:rFonts w:ascii="Arial" w:hAnsi="Arial" w:cs="Arial"/>
        </w:rPr>
        <w:t>MM.</w:t>
      </w:r>
    </w:p>
    <w:p w:rsidR="0099282B" w:rsidRDefault="0099282B" w:rsidP="0099282B">
      <w:pPr>
        <w:ind w:left="720"/>
        <w:rPr>
          <w:rFonts w:ascii="Arial" w:hAnsi="Arial" w:cs="Arial"/>
        </w:rPr>
      </w:pPr>
    </w:p>
    <w:p w:rsidR="007A0FCA" w:rsidRPr="0099282B" w:rsidRDefault="001540D5" w:rsidP="0099282B">
      <w:pPr>
        <w:pStyle w:val="ListParagraph"/>
        <w:numPr>
          <w:ilvl w:val="0"/>
          <w:numId w:val="30"/>
        </w:numPr>
        <w:rPr>
          <w:rFonts w:ascii="Arial" w:hAnsi="Arial" w:cs="Arial"/>
        </w:rPr>
      </w:pPr>
      <w:r>
        <w:rPr>
          <w:rFonts w:ascii="Arial" w:hAnsi="Arial" w:cs="Arial"/>
        </w:rPr>
        <w:t>Please see below</w:t>
      </w:r>
      <w:r w:rsidR="007A0FCA" w:rsidRPr="0099282B">
        <w:rPr>
          <w:rFonts w:ascii="Arial" w:hAnsi="Arial" w:cs="Arial"/>
        </w:rPr>
        <w:t xml:space="preserve"> Figure 1 with data labels add</w:t>
      </w:r>
      <w:r w:rsidR="0099282B" w:rsidRPr="0099282B">
        <w:rPr>
          <w:rFonts w:ascii="Arial" w:hAnsi="Arial" w:cs="Arial"/>
        </w:rPr>
        <w:t>e</w:t>
      </w:r>
      <w:r>
        <w:rPr>
          <w:rFonts w:ascii="Arial" w:hAnsi="Arial" w:cs="Arial"/>
        </w:rPr>
        <w:t>d.</w:t>
      </w:r>
      <w:r w:rsidR="00E02E3F">
        <w:rPr>
          <w:noProof/>
        </w:rPr>
        <w:drawing>
          <wp:inline distT="0" distB="0" distL="0" distR="0" wp14:anchorId="0F14BABA" wp14:editId="294C17DC">
            <wp:extent cx="5946140" cy="2587625"/>
            <wp:effectExtent l="0" t="0" r="16510" b="2222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0FCA" w:rsidRDefault="007A0FCA" w:rsidP="007A0FCA">
      <w:pPr>
        <w:rPr>
          <w:rFonts w:ascii="Arial" w:hAnsi="Arial" w:cs="Arial"/>
          <w:sz w:val="28"/>
          <w:szCs w:val="28"/>
        </w:rPr>
      </w:pPr>
    </w:p>
    <w:p w:rsidR="00F60593" w:rsidRDefault="0099282B" w:rsidP="0099282B">
      <w:pPr>
        <w:ind w:firstLine="360"/>
        <w:rPr>
          <w:rFonts w:ascii="Arial" w:hAnsi="Arial" w:cs="Arial"/>
        </w:rPr>
      </w:pPr>
      <w:proofErr w:type="gramStart"/>
      <w:r>
        <w:rPr>
          <w:rFonts w:ascii="Arial" w:hAnsi="Arial" w:cs="Arial"/>
        </w:rPr>
        <w:t>c</w:t>
      </w:r>
      <w:proofErr w:type="gramEnd"/>
      <w:r>
        <w:rPr>
          <w:rFonts w:ascii="Arial" w:hAnsi="Arial" w:cs="Arial"/>
        </w:rPr>
        <w:t xml:space="preserve"> and </w:t>
      </w:r>
      <w:r w:rsidR="007A0FCA" w:rsidRPr="007A0FCA">
        <w:rPr>
          <w:rFonts w:ascii="Arial" w:hAnsi="Arial" w:cs="Arial"/>
        </w:rPr>
        <w:t xml:space="preserve">d.  No </w:t>
      </w:r>
      <w:r w:rsidR="00DE2D8E">
        <w:rPr>
          <w:rFonts w:ascii="Arial" w:hAnsi="Arial" w:cs="Arial"/>
        </w:rPr>
        <w:t xml:space="preserve">such </w:t>
      </w:r>
      <w:r w:rsidR="007A0FCA" w:rsidRPr="007A0FCA">
        <w:rPr>
          <w:rFonts w:ascii="Arial" w:hAnsi="Arial" w:cs="Arial"/>
        </w:rPr>
        <w:t>h</w:t>
      </w:r>
      <w:r>
        <w:rPr>
          <w:rFonts w:ascii="Arial" w:hAnsi="Arial" w:cs="Arial"/>
        </w:rPr>
        <w:t>istorical detail is available.</w:t>
      </w:r>
    </w:p>
    <w:p w:rsidR="00F60593" w:rsidRPr="0099282B" w:rsidRDefault="00F60593" w:rsidP="0099282B">
      <w:pPr>
        <w:pStyle w:val="ListParagraph"/>
        <w:numPr>
          <w:ilvl w:val="0"/>
          <w:numId w:val="31"/>
        </w:numPr>
        <w:rPr>
          <w:rFonts w:ascii="Arial" w:hAnsi="Arial" w:cs="Arial"/>
        </w:rPr>
      </w:pPr>
      <w:r w:rsidRPr="0099282B">
        <w:rPr>
          <w:rFonts w:ascii="Arial" w:hAnsi="Arial" w:cs="Arial"/>
        </w:rPr>
        <w:t>SoCalGa</w:t>
      </w:r>
      <w:r w:rsidR="001540D5">
        <w:rPr>
          <w:rFonts w:ascii="Arial" w:hAnsi="Arial" w:cs="Arial"/>
        </w:rPr>
        <w:t xml:space="preserve">s had 75/25 sharing in 2012.  </w:t>
      </w:r>
      <w:proofErr w:type="spellStart"/>
      <w:r w:rsidR="001540D5">
        <w:rPr>
          <w:rFonts w:ascii="Arial" w:hAnsi="Arial" w:cs="Arial"/>
        </w:rPr>
        <w:t>SoCalGas</w:t>
      </w:r>
      <w:proofErr w:type="spellEnd"/>
      <w:r w:rsidRPr="0099282B">
        <w:rPr>
          <w:rFonts w:ascii="Arial" w:hAnsi="Arial" w:cs="Arial"/>
        </w:rPr>
        <w:t xml:space="preserve"> did not realize it </w:t>
      </w:r>
      <w:r w:rsidR="00610257">
        <w:rPr>
          <w:rFonts w:ascii="Arial" w:hAnsi="Arial" w:cs="Arial"/>
        </w:rPr>
        <w:t xml:space="preserve">would </w:t>
      </w:r>
      <w:r w:rsidR="009F0A41" w:rsidRPr="0099282B">
        <w:rPr>
          <w:rFonts w:ascii="Arial" w:hAnsi="Arial" w:cs="Arial"/>
        </w:rPr>
        <w:t xml:space="preserve">remain in </w:t>
      </w:r>
      <w:r w:rsidRPr="0099282B">
        <w:rPr>
          <w:rFonts w:ascii="Arial" w:hAnsi="Arial" w:cs="Arial"/>
        </w:rPr>
        <w:t>the 90/10 range for 2013 until late in the year.  In 2014</w:t>
      </w:r>
      <w:r w:rsidR="00307CC8">
        <w:rPr>
          <w:rFonts w:ascii="Arial" w:hAnsi="Arial" w:cs="Arial"/>
        </w:rPr>
        <w:t>,</w:t>
      </w:r>
      <w:r w:rsidRPr="0099282B">
        <w:rPr>
          <w:rFonts w:ascii="Arial" w:hAnsi="Arial" w:cs="Arial"/>
        </w:rPr>
        <w:t xml:space="preserve"> SoCalGas maintained aggr</w:t>
      </w:r>
      <w:r w:rsidR="00307CC8">
        <w:rPr>
          <w:rFonts w:ascii="Arial" w:hAnsi="Arial" w:cs="Arial"/>
        </w:rPr>
        <w:t>essive marketing efforts, but</w:t>
      </w:r>
      <w:r w:rsidRPr="0099282B">
        <w:rPr>
          <w:rFonts w:ascii="Arial" w:hAnsi="Arial" w:cs="Arial"/>
        </w:rPr>
        <w:t xml:space="preserve"> has begun </w:t>
      </w:r>
      <w:r w:rsidR="00B551FF" w:rsidRPr="0099282B">
        <w:rPr>
          <w:rFonts w:ascii="Arial" w:hAnsi="Arial" w:cs="Arial"/>
        </w:rPr>
        <w:t>reconsidering t</w:t>
      </w:r>
      <w:r w:rsidR="00DB5741" w:rsidRPr="0099282B">
        <w:rPr>
          <w:rFonts w:ascii="Arial" w:hAnsi="Arial" w:cs="Arial"/>
        </w:rPr>
        <w:t xml:space="preserve">he future of the program if the 2014 market </w:t>
      </w:r>
      <w:r w:rsidR="00B551FF" w:rsidRPr="0099282B">
        <w:rPr>
          <w:rFonts w:ascii="Arial" w:hAnsi="Arial" w:cs="Arial"/>
        </w:rPr>
        <w:t xml:space="preserve">and cost </w:t>
      </w:r>
      <w:r w:rsidR="00DB5741" w:rsidRPr="0099282B">
        <w:rPr>
          <w:rFonts w:ascii="Arial" w:hAnsi="Arial" w:cs="Arial"/>
        </w:rPr>
        <w:t xml:space="preserve">picture </w:t>
      </w:r>
      <w:r w:rsidRPr="0099282B">
        <w:rPr>
          <w:rFonts w:ascii="Arial" w:hAnsi="Arial" w:cs="Arial"/>
        </w:rPr>
        <w:t>becomes a long-term situation.</w:t>
      </w:r>
    </w:p>
    <w:p w:rsidR="0099282B" w:rsidRDefault="00F60593" w:rsidP="0099282B">
      <w:pPr>
        <w:pStyle w:val="ListParagraph"/>
        <w:numPr>
          <w:ilvl w:val="0"/>
          <w:numId w:val="31"/>
        </w:numPr>
        <w:rPr>
          <w:rFonts w:ascii="Arial" w:hAnsi="Arial" w:cs="Arial"/>
        </w:rPr>
      </w:pPr>
      <w:r w:rsidRPr="0099282B">
        <w:rPr>
          <w:rFonts w:ascii="Arial" w:hAnsi="Arial" w:cs="Arial"/>
        </w:rPr>
        <w:t xml:space="preserve">There is no such analysis.  SoCalGas had an obligation </w:t>
      </w:r>
      <w:r w:rsidR="00307CC8">
        <w:rPr>
          <w:rFonts w:ascii="Arial" w:hAnsi="Arial" w:cs="Arial"/>
        </w:rPr>
        <w:t xml:space="preserve">for this TCAP </w:t>
      </w:r>
      <w:r w:rsidRPr="0099282B">
        <w:rPr>
          <w:rFonts w:ascii="Arial" w:hAnsi="Arial" w:cs="Arial"/>
        </w:rPr>
        <w:t>to consider what sharing mechanism was needed to replace the one negotiated in Settlement talks in 2009</w:t>
      </w:r>
      <w:r w:rsidR="006D00AB">
        <w:rPr>
          <w:rFonts w:ascii="Arial" w:hAnsi="Arial" w:cs="Arial"/>
        </w:rPr>
        <w:t xml:space="preserve"> in A</w:t>
      </w:r>
      <w:r w:rsidR="004339E5">
        <w:rPr>
          <w:rFonts w:ascii="Arial" w:hAnsi="Arial" w:cs="Arial"/>
        </w:rPr>
        <w:t>.</w:t>
      </w:r>
      <w:r w:rsidR="006D00AB">
        <w:rPr>
          <w:rFonts w:ascii="Arial" w:hAnsi="Arial" w:cs="Arial"/>
        </w:rPr>
        <w:t>08-02-</w:t>
      </w:r>
      <w:bookmarkStart w:id="2" w:name="_GoBack"/>
      <w:bookmarkEnd w:id="2"/>
      <w:r w:rsidR="006D00AB">
        <w:rPr>
          <w:rFonts w:ascii="Arial" w:hAnsi="Arial" w:cs="Arial"/>
        </w:rPr>
        <w:t>001 and adopted in D.08-12-020</w:t>
      </w:r>
      <w:r w:rsidRPr="0099282B">
        <w:rPr>
          <w:rFonts w:ascii="Arial" w:hAnsi="Arial" w:cs="Arial"/>
        </w:rPr>
        <w:t>.  Returning to something close to the earlier 50/50 sharing mechanism seemed warranted.</w:t>
      </w:r>
    </w:p>
    <w:p w:rsidR="00F60593" w:rsidRPr="0099282B" w:rsidRDefault="00F60593" w:rsidP="0099282B">
      <w:pPr>
        <w:pStyle w:val="ListParagraph"/>
        <w:numPr>
          <w:ilvl w:val="0"/>
          <w:numId w:val="31"/>
        </w:numPr>
        <w:rPr>
          <w:rFonts w:ascii="Arial" w:hAnsi="Arial" w:cs="Arial"/>
        </w:rPr>
      </w:pPr>
      <w:r w:rsidRPr="0099282B">
        <w:rPr>
          <w:rFonts w:ascii="Arial" w:hAnsi="Arial" w:cs="Arial"/>
        </w:rPr>
        <w:t xml:space="preserve">See </w:t>
      </w:r>
      <w:r w:rsidR="006D00AB">
        <w:rPr>
          <w:rFonts w:ascii="Arial" w:hAnsi="Arial" w:cs="Arial"/>
        </w:rPr>
        <w:t xml:space="preserve">Response </w:t>
      </w:r>
      <w:r w:rsidRPr="0099282B">
        <w:rPr>
          <w:rFonts w:ascii="Arial" w:hAnsi="Arial" w:cs="Arial"/>
        </w:rPr>
        <w:t xml:space="preserve">f.  </w:t>
      </w:r>
    </w:p>
    <w:sectPr w:rsidR="00F60593" w:rsidRPr="0099282B" w:rsidSect="00AF3427">
      <w:headerReference w:type="default" r:id="rId23"/>
      <w:footerReference w:type="default" r:id="rId2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A5" w:rsidRDefault="006129A5">
      <w:r>
        <w:separator/>
      </w:r>
    </w:p>
  </w:endnote>
  <w:endnote w:type="continuationSeparator" w:id="0">
    <w:p w:rsidR="006129A5" w:rsidRDefault="0061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307CC8">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A5" w:rsidRDefault="006129A5">
      <w:r>
        <w:separator/>
      </w:r>
    </w:p>
  </w:footnote>
  <w:footnote w:type="continuationSeparator" w:id="0">
    <w:p w:rsidR="006129A5" w:rsidRDefault="0061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E2B21" w:rsidRDefault="00EE2B21" w:rsidP="00EE2B21">
    <w:pPr>
      <w:jc w:val="center"/>
      <w:rPr>
        <w:rFonts w:ascii="Arial" w:hAnsi="Arial" w:cs="Arial"/>
        <w:b/>
        <w:caps/>
      </w:rPr>
    </w:pPr>
    <w:r>
      <w:rPr>
        <w:rFonts w:ascii="Arial" w:hAnsi="Arial" w:cs="Arial"/>
        <w:b/>
        <w:caps/>
      </w:rPr>
      <w:t>triennial cost allocation proceeding phase 1 application</w:t>
    </w:r>
  </w:p>
  <w:p w:rsidR="00EE2B21" w:rsidRDefault="00EE2B21" w:rsidP="00EE2B21">
    <w:pPr>
      <w:jc w:val="center"/>
      <w:rPr>
        <w:rFonts w:ascii="Arial" w:hAnsi="Arial" w:cs="Arial"/>
        <w:b/>
        <w:caps/>
      </w:rPr>
    </w:pPr>
    <w:r>
      <w:rPr>
        <w:rFonts w:ascii="Arial" w:hAnsi="Arial" w:cs="Arial"/>
        <w:b/>
        <w:caps/>
      </w:rPr>
      <w:t xml:space="preserve">of southern california gas company &amp; </w:t>
    </w:r>
  </w:p>
  <w:p w:rsidR="00EE2B21" w:rsidRDefault="00EE2B21" w:rsidP="00EE2B21">
    <w:pPr>
      <w:jc w:val="center"/>
      <w:rPr>
        <w:rFonts w:ascii="Arial" w:hAnsi="Arial" w:cs="Arial"/>
        <w:b/>
        <w:caps/>
      </w:rPr>
    </w:pPr>
    <w:r>
      <w:rPr>
        <w:rFonts w:ascii="Arial" w:hAnsi="Arial" w:cs="Arial"/>
        <w:b/>
        <w:caps/>
      </w:rPr>
      <w:t>san diego gas &amp; electric company for authority to revise their</w:t>
    </w:r>
  </w:p>
  <w:p w:rsidR="00EE2B21" w:rsidRPr="00EE2B21" w:rsidRDefault="00EE2B21" w:rsidP="00EE2B21">
    <w:pPr>
      <w:jc w:val="center"/>
      <w:rPr>
        <w:rFonts w:ascii="Arial" w:hAnsi="Arial" w:cs="Arial"/>
        <w:b/>
        <w:caps/>
      </w:rPr>
    </w:pPr>
    <w:r>
      <w:rPr>
        <w:rFonts w:ascii="Arial" w:hAnsi="Arial" w:cs="Arial"/>
        <w:b/>
        <w:caps/>
      </w:rPr>
      <w:t>natural gas rates effective january 1, 2016</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(A.14-12-</w:t>
    </w:r>
    <w:r w:rsidR="00E46E42">
      <w:rPr>
        <w:rFonts w:ascii="Arial" w:hAnsi="Arial" w:cs="Arial"/>
        <w:b/>
      </w:rPr>
      <w:t>017</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9C28F3">
      <w:rPr>
        <w:rFonts w:ascii="Arial" w:hAnsi="Arial" w:cs="Arial"/>
        <w:b/>
      </w:rPr>
      <w:t>DATA REQUEST TURN-SCG-01</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A77D20"/>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086BC0"/>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FB7033"/>
    <w:multiLevelType w:val="hybridMultilevel"/>
    <w:tmpl w:val="7FAC7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765CC"/>
    <w:multiLevelType w:val="hybridMultilevel"/>
    <w:tmpl w:val="0A606492"/>
    <w:lvl w:ilvl="0" w:tplc="5B289E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21620B1"/>
    <w:multiLevelType w:val="hybridMultilevel"/>
    <w:tmpl w:val="57E69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5">
    <w:nsid w:val="341D7AB5"/>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4A07A3"/>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B31307"/>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400E83"/>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97267D6"/>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233CA1"/>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8"/>
  </w:num>
  <w:num w:numId="3">
    <w:abstractNumId w:val="6"/>
  </w:num>
  <w:num w:numId="4">
    <w:abstractNumId w:val="26"/>
  </w:num>
  <w:num w:numId="5">
    <w:abstractNumId w:val="20"/>
  </w:num>
  <w:num w:numId="6">
    <w:abstractNumId w:val="25"/>
  </w:num>
  <w:num w:numId="7">
    <w:abstractNumId w:val="16"/>
  </w:num>
  <w:num w:numId="8">
    <w:abstractNumId w:val="27"/>
  </w:num>
  <w:num w:numId="9">
    <w:abstractNumId w:val="24"/>
  </w:num>
  <w:num w:numId="10">
    <w:abstractNumId w:val="9"/>
  </w:num>
  <w:num w:numId="11">
    <w:abstractNumId w:val="5"/>
  </w:num>
  <w:num w:numId="12">
    <w:abstractNumId w:val="3"/>
  </w:num>
  <w:num w:numId="13">
    <w:abstractNumId w:val="2"/>
  </w:num>
  <w:num w:numId="14">
    <w:abstractNumId w:val="22"/>
  </w:num>
  <w:num w:numId="15">
    <w:abstractNumId w:val="23"/>
  </w:num>
  <w:num w:numId="16">
    <w:abstractNumId w:val="19"/>
  </w:num>
  <w:num w:numId="17">
    <w:abstractNumId w:val="1"/>
  </w:num>
  <w:num w:numId="18">
    <w:abstractNumId w:val="12"/>
  </w:num>
  <w:num w:numId="19">
    <w:abstractNumId w:val="4"/>
  </w:num>
  <w:num w:numId="20">
    <w:abstractNumId w:val="14"/>
  </w:num>
  <w:num w:numId="21">
    <w:abstractNumId w:val="7"/>
  </w:num>
  <w:num w:numId="22">
    <w:abstractNumId w:val="18"/>
  </w:num>
  <w:num w:numId="23">
    <w:abstractNumId w:val="29"/>
  </w:num>
  <w:num w:numId="24">
    <w:abstractNumId w:val="17"/>
  </w:num>
  <w:num w:numId="25">
    <w:abstractNumId w:val="21"/>
  </w:num>
  <w:num w:numId="26">
    <w:abstractNumId w:val="15"/>
  </w:num>
  <w:num w:numId="27">
    <w:abstractNumId w:val="30"/>
  </w:num>
  <w:num w:numId="28">
    <w:abstractNumId w:val="8"/>
  </w:num>
  <w:num w:numId="29">
    <w:abstractNumId w:val="13"/>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308C9"/>
    <w:rsid w:val="000427F1"/>
    <w:rsid w:val="000445AE"/>
    <w:rsid w:val="000446FA"/>
    <w:rsid w:val="00050DEA"/>
    <w:rsid w:val="00054200"/>
    <w:rsid w:val="00062FD1"/>
    <w:rsid w:val="00084A21"/>
    <w:rsid w:val="000973D6"/>
    <w:rsid w:val="000C0E9E"/>
    <w:rsid w:val="000D5EF6"/>
    <w:rsid w:val="000E2012"/>
    <w:rsid w:val="000E32F6"/>
    <w:rsid w:val="000E5737"/>
    <w:rsid w:val="000F0C29"/>
    <w:rsid w:val="00116458"/>
    <w:rsid w:val="00130F5D"/>
    <w:rsid w:val="00141143"/>
    <w:rsid w:val="001540D5"/>
    <w:rsid w:val="00171183"/>
    <w:rsid w:val="00171E47"/>
    <w:rsid w:val="00171F7F"/>
    <w:rsid w:val="001723F2"/>
    <w:rsid w:val="001754B0"/>
    <w:rsid w:val="00176446"/>
    <w:rsid w:val="001B2C3E"/>
    <w:rsid w:val="001D2EF8"/>
    <w:rsid w:val="001D4131"/>
    <w:rsid w:val="001E4A11"/>
    <w:rsid w:val="001F22D6"/>
    <w:rsid w:val="001F2F28"/>
    <w:rsid w:val="002021F9"/>
    <w:rsid w:val="00214711"/>
    <w:rsid w:val="00215B6F"/>
    <w:rsid w:val="00217318"/>
    <w:rsid w:val="002447CF"/>
    <w:rsid w:val="00252B2E"/>
    <w:rsid w:val="002725F6"/>
    <w:rsid w:val="002749B8"/>
    <w:rsid w:val="002B5005"/>
    <w:rsid w:val="002B7CDB"/>
    <w:rsid w:val="002C2AFC"/>
    <w:rsid w:val="002C432D"/>
    <w:rsid w:val="002C6B97"/>
    <w:rsid w:val="002D151C"/>
    <w:rsid w:val="002D7E7D"/>
    <w:rsid w:val="002E095B"/>
    <w:rsid w:val="00300C57"/>
    <w:rsid w:val="00307CC8"/>
    <w:rsid w:val="0031070C"/>
    <w:rsid w:val="0031141C"/>
    <w:rsid w:val="00335AB8"/>
    <w:rsid w:val="003405A5"/>
    <w:rsid w:val="00341971"/>
    <w:rsid w:val="00347683"/>
    <w:rsid w:val="00347ECE"/>
    <w:rsid w:val="00367398"/>
    <w:rsid w:val="00380248"/>
    <w:rsid w:val="003C64AC"/>
    <w:rsid w:val="003D2796"/>
    <w:rsid w:val="003D2DD6"/>
    <w:rsid w:val="003E4896"/>
    <w:rsid w:val="003E7642"/>
    <w:rsid w:val="00405FCB"/>
    <w:rsid w:val="00414CA1"/>
    <w:rsid w:val="004339E5"/>
    <w:rsid w:val="00442D6C"/>
    <w:rsid w:val="00443AB5"/>
    <w:rsid w:val="00445088"/>
    <w:rsid w:val="004628EB"/>
    <w:rsid w:val="00466628"/>
    <w:rsid w:val="004710C7"/>
    <w:rsid w:val="00475DF2"/>
    <w:rsid w:val="004A11B8"/>
    <w:rsid w:val="004A7B3F"/>
    <w:rsid w:val="004B00F4"/>
    <w:rsid w:val="004B1982"/>
    <w:rsid w:val="004B6ECC"/>
    <w:rsid w:val="004D1DD7"/>
    <w:rsid w:val="004E361C"/>
    <w:rsid w:val="00507F24"/>
    <w:rsid w:val="005476B2"/>
    <w:rsid w:val="00560746"/>
    <w:rsid w:val="005757EF"/>
    <w:rsid w:val="00581DF1"/>
    <w:rsid w:val="00582C14"/>
    <w:rsid w:val="00586657"/>
    <w:rsid w:val="005945FF"/>
    <w:rsid w:val="00596EB7"/>
    <w:rsid w:val="005A54EE"/>
    <w:rsid w:val="005C452D"/>
    <w:rsid w:val="005C5391"/>
    <w:rsid w:val="005C6E7A"/>
    <w:rsid w:val="005F1AAE"/>
    <w:rsid w:val="005F3983"/>
    <w:rsid w:val="005F4287"/>
    <w:rsid w:val="00610257"/>
    <w:rsid w:val="006129A5"/>
    <w:rsid w:val="006177F4"/>
    <w:rsid w:val="0063481C"/>
    <w:rsid w:val="00636BCF"/>
    <w:rsid w:val="0064053C"/>
    <w:rsid w:val="0065774B"/>
    <w:rsid w:val="00657A12"/>
    <w:rsid w:val="00657ADE"/>
    <w:rsid w:val="00663B29"/>
    <w:rsid w:val="0067709F"/>
    <w:rsid w:val="00685B80"/>
    <w:rsid w:val="00686DC5"/>
    <w:rsid w:val="00687D80"/>
    <w:rsid w:val="00693014"/>
    <w:rsid w:val="006B0927"/>
    <w:rsid w:val="006B49A6"/>
    <w:rsid w:val="006B5580"/>
    <w:rsid w:val="006D00AB"/>
    <w:rsid w:val="006E6D13"/>
    <w:rsid w:val="007022E5"/>
    <w:rsid w:val="00717106"/>
    <w:rsid w:val="00724B83"/>
    <w:rsid w:val="00726B5A"/>
    <w:rsid w:val="0073787F"/>
    <w:rsid w:val="00751C4C"/>
    <w:rsid w:val="007603F9"/>
    <w:rsid w:val="007638A3"/>
    <w:rsid w:val="00764EE6"/>
    <w:rsid w:val="007758C7"/>
    <w:rsid w:val="00786501"/>
    <w:rsid w:val="00792FC7"/>
    <w:rsid w:val="00794553"/>
    <w:rsid w:val="00797B94"/>
    <w:rsid w:val="007A0FCA"/>
    <w:rsid w:val="007B59E1"/>
    <w:rsid w:val="007E1BBA"/>
    <w:rsid w:val="0080163C"/>
    <w:rsid w:val="0081001C"/>
    <w:rsid w:val="0081307A"/>
    <w:rsid w:val="008405C2"/>
    <w:rsid w:val="00846D35"/>
    <w:rsid w:val="00854D38"/>
    <w:rsid w:val="008A0C1E"/>
    <w:rsid w:val="008A0CDC"/>
    <w:rsid w:val="008A3929"/>
    <w:rsid w:val="008B0407"/>
    <w:rsid w:val="008B29B7"/>
    <w:rsid w:val="008B45FF"/>
    <w:rsid w:val="008C558B"/>
    <w:rsid w:val="008F2A13"/>
    <w:rsid w:val="009002BA"/>
    <w:rsid w:val="009014E2"/>
    <w:rsid w:val="00924832"/>
    <w:rsid w:val="00927C7F"/>
    <w:rsid w:val="009308B2"/>
    <w:rsid w:val="009353A5"/>
    <w:rsid w:val="00967F6A"/>
    <w:rsid w:val="009742EE"/>
    <w:rsid w:val="0099282B"/>
    <w:rsid w:val="00994689"/>
    <w:rsid w:val="009951BE"/>
    <w:rsid w:val="00996B85"/>
    <w:rsid w:val="009A2F1C"/>
    <w:rsid w:val="009C28F3"/>
    <w:rsid w:val="009E04A7"/>
    <w:rsid w:val="009E2A12"/>
    <w:rsid w:val="009E4CCD"/>
    <w:rsid w:val="009E6BC2"/>
    <w:rsid w:val="009F0A41"/>
    <w:rsid w:val="00A10FA0"/>
    <w:rsid w:val="00A17B4A"/>
    <w:rsid w:val="00A21C4E"/>
    <w:rsid w:val="00A540FF"/>
    <w:rsid w:val="00A558C1"/>
    <w:rsid w:val="00A65A2F"/>
    <w:rsid w:val="00A67A4C"/>
    <w:rsid w:val="00A76001"/>
    <w:rsid w:val="00A85689"/>
    <w:rsid w:val="00A8757F"/>
    <w:rsid w:val="00AA7D9B"/>
    <w:rsid w:val="00AC3331"/>
    <w:rsid w:val="00AC79BC"/>
    <w:rsid w:val="00AE603A"/>
    <w:rsid w:val="00AF1AE8"/>
    <w:rsid w:val="00AF1FFF"/>
    <w:rsid w:val="00AF3427"/>
    <w:rsid w:val="00AF3B02"/>
    <w:rsid w:val="00AF70D5"/>
    <w:rsid w:val="00B00EC7"/>
    <w:rsid w:val="00B1595B"/>
    <w:rsid w:val="00B177D4"/>
    <w:rsid w:val="00B23DF8"/>
    <w:rsid w:val="00B30845"/>
    <w:rsid w:val="00B32CAC"/>
    <w:rsid w:val="00B334E9"/>
    <w:rsid w:val="00B50348"/>
    <w:rsid w:val="00B551FF"/>
    <w:rsid w:val="00B95795"/>
    <w:rsid w:val="00B964AF"/>
    <w:rsid w:val="00BA33B3"/>
    <w:rsid w:val="00BB2092"/>
    <w:rsid w:val="00BB7C5A"/>
    <w:rsid w:val="00BC556D"/>
    <w:rsid w:val="00BD0067"/>
    <w:rsid w:val="00BD1AC1"/>
    <w:rsid w:val="00BD3336"/>
    <w:rsid w:val="00BE54FA"/>
    <w:rsid w:val="00C00BF1"/>
    <w:rsid w:val="00C141A5"/>
    <w:rsid w:val="00C4302A"/>
    <w:rsid w:val="00C43762"/>
    <w:rsid w:val="00C44CE1"/>
    <w:rsid w:val="00C478AC"/>
    <w:rsid w:val="00C50AFA"/>
    <w:rsid w:val="00C6106E"/>
    <w:rsid w:val="00C62CAA"/>
    <w:rsid w:val="00C73729"/>
    <w:rsid w:val="00C96585"/>
    <w:rsid w:val="00CA22F1"/>
    <w:rsid w:val="00CB1F14"/>
    <w:rsid w:val="00CB2B75"/>
    <w:rsid w:val="00CB3FD9"/>
    <w:rsid w:val="00CD2A4C"/>
    <w:rsid w:val="00CD3A2B"/>
    <w:rsid w:val="00D00E73"/>
    <w:rsid w:val="00D052C8"/>
    <w:rsid w:val="00D07CBF"/>
    <w:rsid w:val="00D14DA0"/>
    <w:rsid w:val="00D27711"/>
    <w:rsid w:val="00D42A9F"/>
    <w:rsid w:val="00D51BAE"/>
    <w:rsid w:val="00D61BB1"/>
    <w:rsid w:val="00D62B84"/>
    <w:rsid w:val="00D66C29"/>
    <w:rsid w:val="00D80DD1"/>
    <w:rsid w:val="00DB3DF1"/>
    <w:rsid w:val="00DB5741"/>
    <w:rsid w:val="00DE2D8E"/>
    <w:rsid w:val="00DE6A98"/>
    <w:rsid w:val="00E00708"/>
    <w:rsid w:val="00E02E3F"/>
    <w:rsid w:val="00E20F09"/>
    <w:rsid w:val="00E25E1B"/>
    <w:rsid w:val="00E42C0C"/>
    <w:rsid w:val="00E44F2B"/>
    <w:rsid w:val="00E46E42"/>
    <w:rsid w:val="00E54E2E"/>
    <w:rsid w:val="00E77426"/>
    <w:rsid w:val="00E802E5"/>
    <w:rsid w:val="00E82FDE"/>
    <w:rsid w:val="00E84D1A"/>
    <w:rsid w:val="00E86619"/>
    <w:rsid w:val="00EA0F7A"/>
    <w:rsid w:val="00EA1173"/>
    <w:rsid w:val="00EC4C69"/>
    <w:rsid w:val="00EC666E"/>
    <w:rsid w:val="00ED0B44"/>
    <w:rsid w:val="00ED0D66"/>
    <w:rsid w:val="00ED6D47"/>
    <w:rsid w:val="00EE2B21"/>
    <w:rsid w:val="00EF0C48"/>
    <w:rsid w:val="00F01063"/>
    <w:rsid w:val="00F033B8"/>
    <w:rsid w:val="00F3113C"/>
    <w:rsid w:val="00F438E8"/>
    <w:rsid w:val="00F47E8C"/>
    <w:rsid w:val="00F57D42"/>
    <w:rsid w:val="00F60593"/>
    <w:rsid w:val="00F66FE5"/>
    <w:rsid w:val="00F67377"/>
    <w:rsid w:val="00F70FE1"/>
    <w:rsid w:val="00F759E8"/>
    <w:rsid w:val="00F86603"/>
    <w:rsid w:val="00F87AC3"/>
    <w:rsid w:val="00F918F2"/>
    <w:rsid w:val="00F9456E"/>
    <w:rsid w:val="00FB1C4C"/>
    <w:rsid w:val="00FB2385"/>
    <w:rsid w:val="00FB69DF"/>
    <w:rsid w:val="00FC1E9F"/>
    <w:rsid w:val="00FC7891"/>
    <w:rsid w:val="00FC7DCE"/>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9C28F3"/>
    <w:pPr>
      <w:spacing w:before="100" w:beforeAutospacing="1" w:after="100" w:afterAutospacing="1"/>
    </w:pPr>
  </w:style>
  <w:style w:type="paragraph" w:customStyle="1" w:styleId="Default">
    <w:name w:val="Default"/>
    <w:rsid w:val="009C28F3"/>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9E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DCE"/>
    <w:rPr>
      <w:sz w:val="16"/>
      <w:szCs w:val="16"/>
    </w:rPr>
  </w:style>
  <w:style w:type="paragraph" w:styleId="CommentText">
    <w:name w:val="annotation text"/>
    <w:basedOn w:val="Normal"/>
    <w:link w:val="CommentTextChar"/>
    <w:uiPriority w:val="99"/>
    <w:semiHidden/>
    <w:unhideWhenUsed/>
    <w:rsid w:val="00FC7DCE"/>
    <w:rPr>
      <w:sz w:val="20"/>
      <w:szCs w:val="20"/>
    </w:rPr>
  </w:style>
  <w:style w:type="character" w:customStyle="1" w:styleId="CommentTextChar">
    <w:name w:val="Comment Text Char"/>
    <w:basedOn w:val="DefaultParagraphFont"/>
    <w:link w:val="CommentText"/>
    <w:uiPriority w:val="99"/>
    <w:semiHidden/>
    <w:rsid w:val="00FC7DCE"/>
  </w:style>
  <w:style w:type="paragraph" w:styleId="CommentSubject">
    <w:name w:val="annotation subject"/>
    <w:basedOn w:val="CommentText"/>
    <w:next w:val="CommentText"/>
    <w:link w:val="CommentSubjectChar"/>
    <w:uiPriority w:val="99"/>
    <w:semiHidden/>
    <w:unhideWhenUsed/>
    <w:rsid w:val="00FC7DCE"/>
    <w:rPr>
      <w:b/>
      <w:bCs/>
    </w:rPr>
  </w:style>
  <w:style w:type="character" w:customStyle="1" w:styleId="CommentSubjectChar">
    <w:name w:val="Comment Subject Char"/>
    <w:basedOn w:val="CommentTextChar"/>
    <w:link w:val="CommentSubject"/>
    <w:uiPriority w:val="99"/>
    <w:semiHidden/>
    <w:rsid w:val="00FC7DCE"/>
    <w:rPr>
      <w:b/>
      <w:bCs/>
    </w:rPr>
  </w:style>
  <w:style w:type="character" w:styleId="Hyperlink">
    <w:name w:val="Hyperlink"/>
    <w:basedOn w:val="DefaultParagraphFont"/>
    <w:uiPriority w:val="99"/>
    <w:unhideWhenUsed/>
    <w:rsid w:val="009928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9C28F3"/>
    <w:pPr>
      <w:spacing w:before="100" w:beforeAutospacing="1" w:after="100" w:afterAutospacing="1"/>
    </w:pPr>
  </w:style>
  <w:style w:type="paragraph" w:customStyle="1" w:styleId="Default">
    <w:name w:val="Default"/>
    <w:rsid w:val="009C28F3"/>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9E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DCE"/>
    <w:rPr>
      <w:sz w:val="16"/>
      <w:szCs w:val="16"/>
    </w:rPr>
  </w:style>
  <w:style w:type="paragraph" w:styleId="CommentText">
    <w:name w:val="annotation text"/>
    <w:basedOn w:val="Normal"/>
    <w:link w:val="CommentTextChar"/>
    <w:uiPriority w:val="99"/>
    <w:semiHidden/>
    <w:unhideWhenUsed/>
    <w:rsid w:val="00FC7DCE"/>
    <w:rPr>
      <w:sz w:val="20"/>
      <w:szCs w:val="20"/>
    </w:rPr>
  </w:style>
  <w:style w:type="character" w:customStyle="1" w:styleId="CommentTextChar">
    <w:name w:val="Comment Text Char"/>
    <w:basedOn w:val="DefaultParagraphFont"/>
    <w:link w:val="CommentText"/>
    <w:uiPriority w:val="99"/>
    <w:semiHidden/>
    <w:rsid w:val="00FC7DCE"/>
  </w:style>
  <w:style w:type="paragraph" w:styleId="CommentSubject">
    <w:name w:val="annotation subject"/>
    <w:basedOn w:val="CommentText"/>
    <w:next w:val="CommentText"/>
    <w:link w:val="CommentSubjectChar"/>
    <w:uiPriority w:val="99"/>
    <w:semiHidden/>
    <w:unhideWhenUsed/>
    <w:rsid w:val="00FC7DCE"/>
    <w:rPr>
      <w:b/>
      <w:bCs/>
    </w:rPr>
  </w:style>
  <w:style w:type="character" w:customStyle="1" w:styleId="CommentSubjectChar">
    <w:name w:val="Comment Subject Char"/>
    <w:basedOn w:val="CommentTextChar"/>
    <w:link w:val="CommentSubject"/>
    <w:uiPriority w:val="99"/>
    <w:semiHidden/>
    <w:rsid w:val="00FC7DCE"/>
    <w:rPr>
      <w:b/>
      <w:bCs/>
    </w:rPr>
  </w:style>
  <w:style w:type="character" w:styleId="Hyperlink">
    <w:name w:val="Hyperlink"/>
    <w:basedOn w:val="DefaultParagraphFont"/>
    <w:uiPriority w:val="99"/>
    <w:unhideWhenUsed/>
    <w:rsid w:val="00992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calgas.com/regulatory/A1111002.shtml" TargetMode="Externa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image" Target="cid:image003.png@01D03656.4D1DCB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P2SAW\Desktop\TCAP%20filing\Copy%20of%20GRC%20UBS%20earnings%20workpaper%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baseline="0"/>
            </a:pPr>
            <a:r>
              <a:rPr lang="en-US" sz="1200" b="0" i="0" baseline="0"/>
              <a:t>Unbundled Storage Revenues $MM</a:t>
            </a:r>
          </a:p>
        </c:rich>
      </c:tx>
      <c:layout>
        <c:manualLayout>
          <c:xMode val="edge"/>
          <c:yMode val="edge"/>
          <c:x val="0.52774207278144281"/>
          <c:y val="0"/>
        </c:manualLayout>
      </c:layout>
      <c:overlay val="0"/>
    </c:title>
    <c:autoTitleDeleted val="0"/>
    <c:plotArea>
      <c:layout>
        <c:manualLayout>
          <c:layoutTarget val="inner"/>
          <c:xMode val="edge"/>
          <c:yMode val="edge"/>
          <c:x val="0.12250240594925635"/>
          <c:y val="0.15626166520851559"/>
          <c:w val="0.84971981627296589"/>
          <c:h val="0.56321996208807235"/>
        </c:manualLayout>
      </c:layout>
      <c:lineChart>
        <c:grouping val="standard"/>
        <c:varyColors val="0"/>
        <c:ser>
          <c:idx val="0"/>
          <c:order val="0"/>
          <c:tx>
            <c:strRef>
              <c:f>summary!$C$1</c:f>
              <c:strCache>
                <c:ptCount val="1"/>
                <c:pt idx="0">
                  <c:v>Unbundled Storage Revenues ($MM)</c:v>
                </c:pt>
              </c:strCache>
            </c:strRef>
          </c:tx>
          <c:marker>
            <c:symbol val="square"/>
            <c:size val="5"/>
          </c:marker>
          <c:dLbls>
            <c:showLegendKey val="0"/>
            <c:showVal val="1"/>
            <c:showCatName val="0"/>
            <c:showSerName val="0"/>
            <c:showPercent val="0"/>
            <c:showBubbleSize val="0"/>
            <c:showLeaderLines val="0"/>
          </c:dLbls>
          <c:cat>
            <c:numRef>
              <c:f>summary!$B$2:$B$16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summary!$C$2:$C$16</c:f>
              <c:numCache>
                <c:formatCode>_("$"* #,##0.0_);_("$"* \(#,##0.0\);_("$"* "-"??_);_(@_)</c:formatCode>
                <c:ptCount val="15"/>
                <c:pt idx="0">
                  <c:v>19.226000000000003</c:v>
                </c:pt>
                <c:pt idx="1">
                  <c:v>32.92</c:v>
                </c:pt>
                <c:pt idx="2">
                  <c:v>42.040000000000006</c:v>
                </c:pt>
                <c:pt idx="3">
                  <c:v>46.974000000000004</c:v>
                </c:pt>
                <c:pt idx="4">
                  <c:v>48.816000000000003</c:v>
                </c:pt>
                <c:pt idx="5">
                  <c:v>60.674354000000001</c:v>
                </c:pt>
                <c:pt idx="6">
                  <c:v>72.242612000000008</c:v>
                </c:pt>
                <c:pt idx="7">
                  <c:v>77.624033999999995</c:v>
                </c:pt>
                <c:pt idx="8">
                  <c:v>75.408000000000001</c:v>
                </c:pt>
                <c:pt idx="9">
                  <c:v>82.378153077875851</c:v>
                </c:pt>
                <c:pt idx="10">
                  <c:v>73.814320169650003</c:v>
                </c:pt>
                <c:pt idx="11">
                  <c:v>50.197595999999997</c:v>
                </c:pt>
                <c:pt idx="12">
                  <c:v>46.703606999999998</c:v>
                </c:pt>
                <c:pt idx="13">
                  <c:v>34.052923999999997</c:v>
                </c:pt>
                <c:pt idx="14">
                  <c:v>26.4</c:v>
                </c:pt>
              </c:numCache>
            </c:numRef>
          </c:val>
          <c:smooth val="0"/>
        </c:ser>
        <c:dLbls>
          <c:showLegendKey val="0"/>
          <c:showVal val="0"/>
          <c:showCatName val="0"/>
          <c:showSerName val="0"/>
          <c:showPercent val="0"/>
          <c:showBubbleSize val="0"/>
        </c:dLbls>
        <c:marker val="1"/>
        <c:smooth val="0"/>
        <c:axId val="87114880"/>
        <c:axId val="87116416"/>
      </c:lineChart>
      <c:catAx>
        <c:axId val="87114880"/>
        <c:scaling>
          <c:orientation val="minMax"/>
        </c:scaling>
        <c:delete val="0"/>
        <c:axPos val="b"/>
        <c:numFmt formatCode="General" sourceLinked="1"/>
        <c:majorTickMark val="out"/>
        <c:minorTickMark val="none"/>
        <c:tickLblPos val="nextTo"/>
        <c:txPr>
          <a:bodyPr/>
          <a:lstStyle/>
          <a:p>
            <a:pPr>
              <a:defRPr sz="800" baseline="0"/>
            </a:pPr>
            <a:endParaRPr lang="en-US"/>
          </a:p>
        </c:txPr>
        <c:crossAx val="87116416"/>
        <c:crosses val="autoZero"/>
        <c:auto val="1"/>
        <c:lblAlgn val="ctr"/>
        <c:lblOffset val="100"/>
        <c:noMultiLvlLbl val="0"/>
      </c:catAx>
      <c:valAx>
        <c:axId val="87116416"/>
        <c:scaling>
          <c:orientation val="minMax"/>
          <c:max val="85"/>
          <c:min val="15"/>
        </c:scaling>
        <c:delete val="0"/>
        <c:axPos val="l"/>
        <c:majorGridlines/>
        <c:numFmt formatCode="_(&quot;$&quot;* #,##0.0_);_(&quot;$&quot;* \(#,##0.0\);_(&quot;$&quot;* &quot;-&quot;??_);_(@_)" sourceLinked="1"/>
        <c:majorTickMark val="out"/>
        <c:minorTickMark val="none"/>
        <c:tickLblPos val="nextTo"/>
        <c:crossAx val="87114880"/>
        <c:crosses val="autoZero"/>
        <c:crossBetween val="between"/>
      </c:valAx>
    </c:plotArea>
    <c:legend>
      <c:legendPos val="b"/>
      <c:layout/>
      <c:overlay val="0"/>
      <c:txPr>
        <a:bodyPr/>
        <a:lstStyle/>
        <a:p>
          <a:pPr>
            <a:defRPr sz="900" baseline="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0D24-FE33-43BB-8E4F-5A3BBB39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1480</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2015-02-09T16:55:00Z</dcterms:created>
  <dcterms:modified xsi:type="dcterms:W3CDTF">2015-02-10T21:10:00Z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_NewReviewCycle">
    <vt:lpwstr/>
  </property>
</Properties>
</file>