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D20" w:rsidRDefault="00084D20" w:rsidP="00084D20">
      <w:pPr>
        <w:pBdr>
          <w:bottom w:val="double" w:sz="6" w:space="1" w:color="auto"/>
        </w:pBdr>
        <w:tabs>
          <w:tab w:val="right" w:pos="11070"/>
        </w:tabs>
        <w:rPr>
          <w:rFonts w:ascii="Arial" w:hAnsi="Arial"/>
          <w:i/>
        </w:rPr>
      </w:pPr>
      <w:r>
        <w:rPr>
          <w:rFonts w:ascii="Arial" w:hAnsi="Arial"/>
          <w:sz w:val="16"/>
        </w:rPr>
        <w:t xml:space="preserve">STATE OF CALIFORNIA                                                                                                                   </w:t>
      </w:r>
      <w:r w:rsidRPr="00E84AB2">
        <w:rPr>
          <w:rFonts w:ascii="Arial" w:hAnsi="Arial"/>
          <w:sz w:val="16"/>
        </w:rPr>
        <w:t>Edmund G. Brown Jr., Governor</w:t>
      </w:r>
    </w:p>
    <w:p w:rsidR="00084D20" w:rsidRDefault="00084D20" w:rsidP="00084D20">
      <w:pPr>
        <w:framePr w:hSpace="180" w:wrap="around" w:vAnchor="text" w:hAnchor="page" w:x="9637" w:y="173"/>
      </w:pPr>
      <w:r>
        <w:rPr>
          <w:noProof/>
        </w:rPr>
        <w:drawing>
          <wp:inline distT="0" distB="0" distL="0" distR="0">
            <wp:extent cx="6731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609600"/>
                    </a:xfrm>
                    <a:prstGeom prst="rect">
                      <a:avLst/>
                    </a:prstGeom>
                    <a:noFill/>
                    <a:ln>
                      <a:noFill/>
                    </a:ln>
                  </pic:spPr>
                </pic:pic>
              </a:graphicData>
            </a:graphic>
          </wp:inline>
        </w:drawing>
      </w:r>
    </w:p>
    <w:p w:rsidR="00084D20" w:rsidRDefault="00084D20" w:rsidP="00084D20">
      <w:pPr>
        <w:tabs>
          <w:tab w:val="right" w:pos="11070"/>
        </w:tabs>
        <w:spacing w:before="80"/>
        <w:rPr>
          <w:rFonts w:ascii="Arial" w:hAnsi="Arial"/>
        </w:rPr>
      </w:pPr>
      <w:r>
        <w:rPr>
          <w:rFonts w:ascii="Arial" w:hAnsi="Arial"/>
        </w:rPr>
        <w:t>PUBLIC UTILITIES COMMISSION</w:t>
      </w:r>
    </w:p>
    <w:p w:rsidR="00084D20" w:rsidRDefault="00084D20" w:rsidP="00084D20">
      <w:pPr>
        <w:tabs>
          <w:tab w:val="right" w:pos="11070"/>
        </w:tabs>
        <w:spacing w:before="80"/>
        <w:rPr>
          <w:rFonts w:ascii="Arial" w:hAnsi="Arial"/>
          <w:sz w:val="12"/>
        </w:rPr>
      </w:pPr>
      <w:r>
        <w:rPr>
          <w:rFonts w:ascii="Arial" w:hAnsi="Arial"/>
          <w:sz w:val="12"/>
        </w:rPr>
        <w:t>505 VAN NESS AVENUE</w:t>
      </w:r>
    </w:p>
    <w:p w:rsidR="00084D20" w:rsidRDefault="00084D20" w:rsidP="00084D20">
      <w:pPr>
        <w:tabs>
          <w:tab w:val="right" w:pos="11070"/>
        </w:tabs>
        <w:spacing w:before="80"/>
        <w:rPr>
          <w:rFonts w:ascii="Arial" w:hAnsi="Arial"/>
          <w:sz w:val="12"/>
        </w:rPr>
      </w:pPr>
      <w:r>
        <w:rPr>
          <w:rFonts w:ascii="Arial" w:hAnsi="Arial"/>
          <w:sz w:val="12"/>
        </w:rPr>
        <w:t>SAN FRANCISCO, CA  94102-3298</w:t>
      </w:r>
    </w:p>
    <w:p w:rsidR="00084D20" w:rsidRDefault="00084D20" w:rsidP="00084D20">
      <w:pPr>
        <w:rPr>
          <w:sz w:val="26"/>
        </w:rPr>
      </w:pPr>
    </w:p>
    <w:p w:rsidR="00084D20" w:rsidRDefault="00084D20" w:rsidP="00084D20">
      <w:pPr>
        <w:rPr>
          <w:sz w:val="26"/>
        </w:rPr>
      </w:pPr>
    </w:p>
    <w:p w:rsidR="00084D20" w:rsidRPr="0081667D" w:rsidRDefault="00084D20" w:rsidP="00376621">
      <w:pPr>
        <w:jc w:val="center"/>
        <w:rPr>
          <w:b/>
          <w:sz w:val="24"/>
          <w:szCs w:val="24"/>
        </w:rPr>
      </w:pPr>
      <w:r w:rsidRPr="0081667D">
        <w:rPr>
          <w:b/>
          <w:sz w:val="24"/>
          <w:szCs w:val="24"/>
        </w:rPr>
        <w:t xml:space="preserve">Data Request </w:t>
      </w:r>
      <w:r w:rsidR="005E2EE0">
        <w:rPr>
          <w:b/>
          <w:sz w:val="24"/>
          <w:szCs w:val="24"/>
        </w:rPr>
        <w:t>#3</w:t>
      </w:r>
      <w:r w:rsidR="000952C9">
        <w:rPr>
          <w:b/>
          <w:sz w:val="24"/>
          <w:szCs w:val="24"/>
        </w:rPr>
        <w:t xml:space="preserve"> </w:t>
      </w:r>
      <w:r w:rsidRPr="0081667D">
        <w:rPr>
          <w:b/>
          <w:sz w:val="24"/>
          <w:szCs w:val="24"/>
        </w:rPr>
        <w:t>to</w:t>
      </w:r>
      <w:r>
        <w:rPr>
          <w:b/>
          <w:sz w:val="24"/>
          <w:szCs w:val="24"/>
        </w:rPr>
        <w:t xml:space="preserve"> San Diego Gas &amp; Electric Company</w:t>
      </w:r>
      <w:r w:rsidR="001B2951">
        <w:rPr>
          <w:b/>
          <w:sz w:val="24"/>
          <w:szCs w:val="24"/>
        </w:rPr>
        <w:t xml:space="preserve"> Regarding its </w:t>
      </w:r>
      <w:r w:rsidR="00376621">
        <w:rPr>
          <w:b/>
          <w:sz w:val="24"/>
          <w:szCs w:val="24"/>
        </w:rPr>
        <w:t>SB 350 Transportation Electrification</w:t>
      </w:r>
      <w:r w:rsidR="000952C9">
        <w:rPr>
          <w:b/>
          <w:sz w:val="24"/>
          <w:szCs w:val="24"/>
        </w:rPr>
        <w:t xml:space="preserve"> </w:t>
      </w:r>
      <w:r w:rsidR="003B6212">
        <w:rPr>
          <w:b/>
          <w:sz w:val="24"/>
          <w:szCs w:val="24"/>
        </w:rPr>
        <w:t>Proposals</w:t>
      </w:r>
      <w:r w:rsidR="001B2951">
        <w:rPr>
          <w:b/>
          <w:sz w:val="24"/>
          <w:szCs w:val="24"/>
        </w:rPr>
        <w:t xml:space="preserve"> Filed in A.17-01-020</w:t>
      </w:r>
    </w:p>
    <w:p w:rsidR="00084D20" w:rsidRPr="0081667D" w:rsidRDefault="00084D20" w:rsidP="00084D20">
      <w:pPr>
        <w:rPr>
          <w:sz w:val="24"/>
          <w:szCs w:val="24"/>
        </w:rPr>
      </w:pPr>
    </w:p>
    <w:p w:rsidR="00084D20" w:rsidRPr="0081667D" w:rsidRDefault="00084D20" w:rsidP="00084D20">
      <w:pPr>
        <w:rPr>
          <w:sz w:val="24"/>
          <w:szCs w:val="24"/>
        </w:rPr>
      </w:pPr>
      <w:r w:rsidRPr="0081667D">
        <w:rPr>
          <w:b/>
          <w:sz w:val="24"/>
          <w:szCs w:val="24"/>
        </w:rPr>
        <w:t xml:space="preserve">Date: </w:t>
      </w:r>
      <w:r w:rsidR="00BD31E6">
        <w:rPr>
          <w:sz w:val="24"/>
          <w:szCs w:val="24"/>
        </w:rPr>
        <w:t>August 3</w:t>
      </w:r>
      <w:r w:rsidR="006F5515">
        <w:rPr>
          <w:sz w:val="24"/>
          <w:szCs w:val="24"/>
        </w:rPr>
        <w:t>, 2017</w:t>
      </w:r>
    </w:p>
    <w:p w:rsidR="00084D20" w:rsidRPr="0081667D" w:rsidRDefault="00084D20" w:rsidP="00084D20">
      <w:pPr>
        <w:rPr>
          <w:sz w:val="24"/>
          <w:szCs w:val="24"/>
        </w:rPr>
      </w:pPr>
      <w:r w:rsidRPr="0081667D">
        <w:rPr>
          <w:b/>
          <w:sz w:val="24"/>
          <w:szCs w:val="24"/>
        </w:rPr>
        <w:t xml:space="preserve">Response Due: </w:t>
      </w:r>
      <w:r w:rsidR="00BD31E6">
        <w:rPr>
          <w:sz w:val="24"/>
          <w:szCs w:val="24"/>
        </w:rPr>
        <w:t>August 11</w:t>
      </w:r>
      <w:r w:rsidR="00376621" w:rsidRPr="00376621">
        <w:rPr>
          <w:sz w:val="24"/>
          <w:szCs w:val="24"/>
        </w:rPr>
        <w:t>, 2017</w:t>
      </w:r>
    </w:p>
    <w:p w:rsidR="00084D20" w:rsidRPr="0081667D" w:rsidRDefault="00084D20" w:rsidP="00084D20">
      <w:pPr>
        <w:rPr>
          <w:sz w:val="24"/>
          <w:szCs w:val="24"/>
        </w:rPr>
      </w:pPr>
    </w:p>
    <w:p w:rsidR="00084D20" w:rsidRPr="00DC4727" w:rsidRDefault="00084D20" w:rsidP="00084D20">
      <w:pPr>
        <w:rPr>
          <w:sz w:val="24"/>
          <w:szCs w:val="24"/>
        </w:rPr>
      </w:pPr>
      <w:r>
        <w:rPr>
          <w:b/>
          <w:sz w:val="24"/>
          <w:szCs w:val="24"/>
        </w:rPr>
        <w:t xml:space="preserve">To: </w:t>
      </w:r>
      <w:r>
        <w:rPr>
          <w:b/>
          <w:sz w:val="24"/>
          <w:szCs w:val="24"/>
        </w:rPr>
        <w:tab/>
      </w:r>
      <w:r>
        <w:rPr>
          <w:b/>
          <w:sz w:val="24"/>
          <w:szCs w:val="24"/>
        </w:rPr>
        <w:tab/>
      </w:r>
      <w:r w:rsidR="006F5515">
        <w:rPr>
          <w:sz w:val="24"/>
          <w:szCs w:val="24"/>
        </w:rPr>
        <w:t>Jennifer Wright</w:t>
      </w:r>
    </w:p>
    <w:p w:rsidR="00084D20" w:rsidRPr="00DC4727" w:rsidRDefault="00084D20" w:rsidP="00084D20">
      <w:pPr>
        <w:ind w:left="720" w:firstLine="720"/>
        <w:rPr>
          <w:sz w:val="24"/>
          <w:szCs w:val="24"/>
        </w:rPr>
      </w:pPr>
      <w:r w:rsidRPr="00DC4727">
        <w:rPr>
          <w:sz w:val="24"/>
          <w:szCs w:val="24"/>
        </w:rPr>
        <w:t>San Diego Gas &amp; Electric Company</w:t>
      </w:r>
    </w:p>
    <w:p w:rsidR="006F5515" w:rsidRPr="006F5515" w:rsidRDefault="00B16D0B" w:rsidP="006F5515">
      <w:pPr>
        <w:ind w:left="720" w:firstLine="720"/>
        <w:rPr>
          <w:sz w:val="24"/>
          <w:szCs w:val="24"/>
        </w:rPr>
      </w:pPr>
      <w:hyperlink r:id="rId10" w:history="1">
        <w:r w:rsidR="006F5515" w:rsidRPr="006F5515">
          <w:rPr>
            <w:rStyle w:val="Hyperlink"/>
            <w:sz w:val="24"/>
            <w:szCs w:val="24"/>
          </w:rPr>
          <w:t>jwright@semprautilities.com</w:t>
        </w:r>
      </w:hyperlink>
    </w:p>
    <w:p w:rsidR="006F5515" w:rsidRDefault="006F5515" w:rsidP="006F5515">
      <w:pPr>
        <w:ind w:left="720" w:firstLine="720"/>
        <w:rPr>
          <w:sz w:val="24"/>
          <w:szCs w:val="24"/>
        </w:rPr>
      </w:pPr>
      <w:r w:rsidRPr="006F5515">
        <w:rPr>
          <w:sz w:val="24"/>
          <w:szCs w:val="24"/>
        </w:rPr>
        <w:t>(858) 654-1891</w:t>
      </w:r>
    </w:p>
    <w:p w:rsidR="00E02E43" w:rsidRDefault="00E02E43" w:rsidP="006F5515">
      <w:pPr>
        <w:ind w:left="720" w:firstLine="720"/>
        <w:rPr>
          <w:sz w:val="24"/>
          <w:szCs w:val="24"/>
        </w:rPr>
      </w:pPr>
    </w:p>
    <w:p w:rsidR="00084D20" w:rsidRDefault="00084D20" w:rsidP="00084D20">
      <w:pPr>
        <w:rPr>
          <w:sz w:val="24"/>
          <w:szCs w:val="24"/>
        </w:rPr>
      </w:pPr>
    </w:p>
    <w:p w:rsidR="00084D20" w:rsidRPr="0081667D" w:rsidRDefault="00084D20" w:rsidP="00084D20">
      <w:pPr>
        <w:rPr>
          <w:sz w:val="24"/>
          <w:szCs w:val="24"/>
        </w:rPr>
      </w:pPr>
      <w:r w:rsidRPr="0081667D">
        <w:rPr>
          <w:b/>
          <w:sz w:val="24"/>
          <w:szCs w:val="24"/>
        </w:rPr>
        <w:t xml:space="preserve">From: </w:t>
      </w:r>
      <w:r w:rsidRPr="0081667D">
        <w:rPr>
          <w:b/>
          <w:sz w:val="24"/>
          <w:szCs w:val="24"/>
        </w:rPr>
        <w:tab/>
      </w:r>
      <w:r w:rsidRPr="0081667D">
        <w:rPr>
          <w:b/>
          <w:sz w:val="24"/>
          <w:szCs w:val="24"/>
        </w:rPr>
        <w:tab/>
      </w:r>
      <w:r>
        <w:rPr>
          <w:sz w:val="24"/>
          <w:szCs w:val="24"/>
        </w:rPr>
        <w:t>Amy Mesrobian</w:t>
      </w:r>
    </w:p>
    <w:p w:rsidR="00084D20" w:rsidRPr="0081667D" w:rsidRDefault="00084D20" w:rsidP="00084D20">
      <w:pPr>
        <w:rPr>
          <w:sz w:val="24"/>
          <w:szCs w:val="24"/>
        </w:rPr>
      </w:pPr>
      <w:r w:rsidRPr="0081667D">
        <w:rPr>
          <w:sz w:val="24"/>
          <w:szCs w:val="24"/>
        </w:rPr>
        <w:tab/>
      </w:r>
      <w:r w:rsidRPr="0081667D">
        <w:rPr>
          <w:sz w:val="24"/>
          <w:szCs w:val="24"/>
        </w:rPr>
        <w:tab/>
        <w:t>CPUC Energy Division</w:t>
      </w:r>
    </w:p>
    <w:p w:rsidR="00084D20" w:rsidRPr="0081667D" w:rsidRDefault="00084D20" w:rsidP="00084D20">
      <w:pPr>
        <w:rPr>
          <w:sz w:val="24"/>
          <w:szCs w:val="24"/>
        </w:rPr>
      </w:pPr>
      <w:r w:rsidRPr="0081667D">
        <w:rPr>
          <w:sz w:val="24"/>
          <w:szCs w:val="24"/>
        </w:rPr>
        <w:tab/>
      </w:r>
      <w:r w:rsidRPr="0081667D">
        <w:rPr>
          <w:sz w:val="24"/>
          <w:szCs w:val="24"/>
        </w:rPr>
        <w:tab/>
      </w:r>
      <w:hyperlink r:id="rId11" w:history="1">
        <w:r w:rsidRPr="00B44C8D">
          <w:rPr>
            <w:rStyle w:val="Hyperlink"/>
            <w:sz w:val="24"/>
            <w:szCs w:val="24"/>
          </w:rPr>
          <w:t>amy.mesrobian@cpuc.ca.gov</w:t>
        </w:r>
      </w:hyperlink>
    </w:p>
    <w:p w:rsidR="00084D20" w:rsidRDefault="00084D20" w:rsidP="00084D20">
      <w:pPr>
        <w:rPr>
          <w:sz w:val="24"/>
          <w:szCs w:val="24"/>
        </w:rPr>
      </w:pPr>
      <w:r>
        <w:rPr>
          <w:sz w:val="24"/>
          <w:szCs w:val="24"/>
        </w:rPr>
        <w:tab/>
      </w:r>
      <w:r>
        <w:rPr>
          <w:sz w:val="24"/>
          <w:szCs w:val="24"/>
        </w:rPr>
        <w:tab/>
        <w:t>(415) 703-3175</w:t>
      </w:r>
    </w:p>
    <w:p w:rsidR="006F5515" w:rsidRDefault="006F5515" w:rsidP="00084D20">
      <w:pPr>
        <w:rPr>
          <w:sz w:val="24"/>
          <w:szCs w:val="24"/>
        </w:rPr>
      </w:pPr>
    </w:p>
    <w:p w:rsidR="006F5515" w:rsidRDefault="006F5515" w:rsidP="00084D20">
      <w:pPr>
        <w:rPr>
          <w:sz w:val="24"/>
          <w:szCs w:val="24"/>
        </w:rPr>
      </w:pPr>
      <w:r>
        <w:rPr>
          <w:sz w:val="24"/>
          <w:szCs w:val="24"/>
        </w:rPr>
        <w:tab/>
      </w:r>
      <w:r>
        <w:rPr>
          <w:sz w:val="24"/>
          <w:szCs w:val="24"/>
        </w:rPr>
        <w:tab/>
        <w:t>Carrie Sisto</w:t>
      </w:r>
    </w:p>
    <w:p w:rsidR="006F5515" w:rsidRDefault="006F5515" w:rsidP="00084D20">
      <w:pPr>
        <w:rPr>
          <w:sz w:val="24"/>
          <w:szCs w:val="24"/>
        </w:rPr>
      </w:pPr>
      <w:r>
        <w:rPr>
          <w:sz w:val="24"/>
          <w:szCs w:val="24"/>
        </w:rPr>
        <w:tab/>
      </w:r>
      <w:r>
        <w:rPr>
          <w:sz w:val="24"/>
          <w:szCs w:val="24"/>
        </w:rPr>
        <w:tab/>
        <w:t>CPUC Energy Division</w:t>
      </w:r>
    </w:p>
    <w:p w:rsidR="006F5515" w:rsidRDefault="006F5515" w:rsidP="00084D20">
      <w:pPr>
        <w:rPr>
          <w:sz w:val="24"/>
          <w:szCs w:val="24"/>
        </w:rPr>
      </w:pPr>
      <w:r>
        <w:rPr>
          <w:sz w:val="24"/>
          <w:szCs w:val="24"/>
        </w:rPr>
        <w:tab/>
      </w:r>
      <w:r>
        <w:rPr>
          <w:sz w:val="24"/>
          <w:szCs w:val="24"/>
        </w:rPr>
        <w:tab/>
      </w:r>
      <w:hyperlink r:id="rId12" w:history="1">
        <w:r w:rsidRPr="00E87C76">
          <w:rPr>
            <w:rStyle w:val="Hyperlink"/>
            <w:sz w:val="24"/>
            <w:szCs w:val="24"/>
          </w:rPr>
          <w:t>Carolyn.sisto@cpuc.ca.gov</w:t>
        </w:r>
      </w:hyperlink>
    </w:p>
    <w:p w:rsidR="006F5515" w:rsidRPr="0081667D" w:rsidRDefault="006F5515" w:rsidP="00084D20">
      <w:pPr>
        <w:rPr>
          <w:sz w:val="24"/>
          <w:szCs w:val="24"/>
        </w:rPr>
      </w:pPr>
      <w:r>
        <w:rPr>
          <w:sz w:val="24"/>
          <w:szCs w:val="24"/>
        </w:rPr>
        <w:tab/>
      </w:r>
      <w:r>
        <w:rPr>
          <w:sz w:val="24"/>
          <w:szCs w:val="24"/>
        </w:rPr>
        <w:tab/>
        <w:t>(415) 703-2872</w:t>
      </w:r>
    </w:p>
    <w:p w:rsidR="00084D20" w:rsidRDefault="00084D20" w:rsidP="00084D20">
      <w:pPr>
        <w:rPr>
          <w:sz w:val="24"/>
          <w:szCs w:val="24"/>
        </w:rPr>
      </w:pPr>
    </w:p>
    <w:p w:rsidR="00160CCD" w:rsidRDefault="00D76AFC" w:rsidP="00084D20">
      <w:pPr>
        <w:rPr>
          <w:sz w:val="24"/>
          <w:szCs w:val="24"/>
        </w:rPr>
      </w:pPr>
      <w:r>
        <w:rPr>
          <w:sz w:val="24"/>
          <w:szCs w:val="24"/>
        </w:rPr>
        <w:t xml:space="preserve">SDG&amp;E should provide answers to the following questions in one document and supporting documentation in an attached Excel file. </w:t>
      </w:r>
      <w:r w:rsidR="00160CCD" w:rsidRPr="006F5515">
        <w:rPr>
          <w:sz w:val="24"/>
          <w:szCs w:val="24"/>
        </w:rPr>
        <w:t>In light of the Prehearing Co</w:t>
      </w:r>
      <w:r w:rsidR="00160CCD">
        <w:rPr>
          <w:sz w:val="24"/>
          <w:szCs w:val="24"/>
        </w:rPr>
        <w:t>nference held on March 16, 2017,</w:t>
      </w:r>
      <w:r w:rsidR="00160CCD" w:rsidRPr="006F5515">
        <w:rPr>
          <w:sz w:val="24"/>
          <w:szCs w:val="24"/>
        </w:rPr>
        <w:t xml:space="preserve"> the Administrative Law Judge may instruct </w:t>
      </w:r>
      <w:r w:rsidR="00160CCD">
        <w:rPr>
          <w:sz w:val="24"/>
          <w:szCs w:val="24"/>
        </w:rPr>
        <w:t>SDG&amp;E</w:t>
      </w:r>
      <w:r w:rsidR="00160CCD" w:rsidRPr="006F5515">
        <w:rPr>
          <w:sz w:val="24"/>
          <w:szCs w:val="24"/>
        </w:rPr>
        <w:t xml:space="preserve"> to formally file their Data Responses.</w:t>
      </w:r>
    </w:p>
    <w:p w:rsidR="00160CCD" w:rsidRDefault="00160CCD" w:rsidP="00084D20">
      <w:pPr>
        <w:rPr>
          <w:sz w:val="24"/>
          <w:szCs w:val="24"/>
        </w:rPr>
      </w:pPr>
    </w:p>
    <w:p w:rsidR="00202F9C" w:rsidRPr="003B7E3D" w:rsidRDefault="005E2EE0" w:rsidP="00084D20">
      <w:pPr>
        <w:rPr>
          <w:b/>
          <w:sz w:val="24"/>
          <w:szCs w:val="24"/>
          <w:u w:val="single"/>
        </w:rPr>
      </w:pPr>
      <w:r>
        <w:rPr>
          <w:b/>
          <w:sz w:val="24"/>
          <w:szCs w:val="24"/>
          <w:u w:val="single"/>
        </w:rPr>
        <w:t>Cost recovery</w:t>
      </w:r>
    </w:p>
    <w:p w:rsidR="005E2EE0" w:rsidRDefault="005E2EE0" w:rsidP="005E2EE0">
      <w:pPr>
        <w:numPr>
          <w:ilvl w:val="0"/>
          <w:numId w:val="9"/>
        </w:numPr>
        <w:rPr>
          <w:sz w:val="24"/>
          <w:szCs w:val="24"/>
        </w:rPr>
      </w:pPr>
      <w:r>
        <w:rPr>
          <w:sz w:val="24"/>
          <w:szCs w:val="24"/>
        </w:rPr>
        <w:t xml:space="preserve">SDG&amp;E “proposes to record revenues associated with the authorized revenue requirement as well as capital-related costs” in the balancing account (NGJ-1). </w:t>
      </w:r>
    </w:p>
    <w:p w:rsidR="005E2EE0" w:rsidRPr="001F50E8" w:rsidRDefault="005E2EE0" w:rsidP="005E2EE0">
      <w:pPr>
        <w:numPr>
          <w:ilvl w:val="1"/>
          <w:numId w:val="9"/>
        </w:numPr>
        <w:rPr>
          <w:sz w:val="24"/>
          <w:szCs w:val="24"/>
        </w:rPr>
      </w:pPr>
      <w:r>
        <w:rPr>
          <w:sz w:val="24"/>
          <w:szCs w:val="24"/>
        </w:rPr>
        <w:t>How would SDG&amp;E separately track the revenues associated with the program and record them in the new balancing account?</w:t>
      </w:r>
    </w:p>
    <w:p w:rsidR="004B502D" w:rsidRDefault="005E2EE0" w:rsidP="005E2EE0">
      <w:pPr>
        <w:numPr>
          <w:ilvl w:val="0"/>
          <w:numId w:val="9"/>
        </w:numPr>
        <w:rPr>
          <w:sz w:val="24"/>
          <w:szCs w:val="24"/>
        </w:rPr>
      </w:pPr>
      <w:r>
        <w:rPr>
          <w:sz w:val="24"/>
          <w:szCs w:val="24"/>
        </w:rPr>
        <w:t>“</w:t>
      </w:r>
      <w:r w:rsidRPr="005E2EE0">
        <w:rPr>
          <w:sz w:val="24"/>
          <w:szCs w:val="24"/>
        </w:rPr>
        <w:t>SDG&amp;E is also seeking approval to roll forward for recovery in its post 2019</w:t>
      </w:r>
      <w:r>
        <w:rPr>
          <w:sz w:val="24"/>
          <w:szCs w:val="24"/>
        </w:rPr>
        <w:t xml:space="preserve"> </w:t>
      </w:r>
      <w:r w:rsidRPr="005E2EE0">
        <w:rPr>
          <w:sz w:val="24"/>
          <w:szCs w:val="24"/>
        </w:rPr>
        <w:t>GRC any undepreciated book value of plant balances associated with these six priority review</w:t>
      </w:r>
      <w:r>
        <w:rPr>
          <w:sz w:val="24"/>
          <w:szCs w:val="24"/>
        </w:rPr>
        <w:t xml:space="preserve"> </w:t>
      </w:r>
      <w:r w:rsidRPr="005E2EE0">
        <w:rPr>
          <w:sz w:val="24"/>
          <w:szCs w:val="24"/>
        </w:rPr>
        <w:t>projects.</w:t>
      </w:r>
      <w:r>
        <w:rPr>
          <w:sz w:val="24"/>
          <w:szCs w:val="24"/>
        </w:rPr>
        <w:t>” (MAC1-2).</w:t>
      </w:r>
    </w:p>
    <w:p w:rsidR="005E2EE0" w:rsidRDefault="005E2EE0" w:rsidP="005E2EE0">
      <w:pPr>
        <w:numPr>
          <w:ilvl w:val="1"/>
          <w:numId w:val="9"/>
        </w:numPr>
        <w:rPr>
          <w:sz w:val="24"/>
          <w:szCs w:val="24"/>
        </w:rPr>
      </w:pPr>
      <w:r>
        <w:rPr>
          <w:sz w:val="24"/>
          <w:szCs w:val="24"/>
        </w:rPr>
        <w:t>Please clarify what “roll forward” means.</w:t>
      </w:r>
    </w:p>
    <w:p w:rsidR="005E2EE0" w:rsidRDefault="005E2EE0" w:rsidP="005E2EE0">
      <w:pPr>
        <w:numPr>
          <w:ilvl w:val="1"/>
          <w:numId w:val="9"/>
        </w:numPr>
        <w:rPr>
          <w:sz w:val="24"/>
          <w:szCs w:val="24"/>
        </w:rPr>
      </w:pPr>
      <w:r>
        <w:rPr>
          <w:sz w:val="24"/>
          <w:szCs w:val="24"/>
        </w:rPr>
        <w:t>Is SDG&amp;E asking for pre-approval of these costs, or stating that they may include the costs in their next GRC application?</w:t>
      </w:r>
    </w:p>
    <w:p w:rsidR="005E2EE0" w:rsidRDefault="005E2EE0" w:rsidP="005E2EE0">
      <w:pPr>
        <w:numPr>
          <w:ilvl w:val="0"/>
          <w:numId w:val="9"/>
        </w:numPr>
        <w:rPr>
          <w:sz w:val="24"/>
          <w:szCs w:val="24"/>
        </w:rPr>
      </w:pPr>
      <w:r>
        <w:rPr>
          <w:sz w:val="24"/>
          <w:szCs w:val="24"/>
        </w:rPr>
        <w:t>SDG&amp;E states that the balancing account under/over-collection will be amortized in rates the next year (NGJ-2).</w:t>
      </w:r>
    </w:p>
    <w:p w:rsidR="005E2EE0" w:rsidRDefault="005E2EE0" w:rsidP="005E2EE0">
      <w:pPr>
        <w:numPr>
          <w:ilvl w:val="1"/>
          <w:numId w:val="9"/>
        </w:numPr>
        <w:rPr>
          <w:sz w:val="24"/>
          <w:szCs w:val="24"/>
        </w:rPr>
      </w:pPr>
      <w:r>
        <w:rPr>
          <w:sz w:val="24"/>
          <w:szCs w:val="24"/>
        </w:rPr>
        <w:t>Which rate component would the balancing account be applied to?</w:t>
      </w:r>
    </w:p>
    <w:p w:rsidR="005E2EE0" w:rsidRDefault="005E2EE0" w:rsidP="005E2EE0">
      <w:pPr>
        <w:numPr>
          <w:ilvl w:val="1"/>
          <w:numId w:val="9"/>
        </w:numPr>
        <w:rPr>
          <w:sz w:val="24"/>
          <w:szCs w:val="24"/>
        </w:rPr>
      </w:pPr>
      <w:r>
        <w:rPr>
          <w:sz w:val="24"/>
          <w:szCs w:val="24"/>
        </w:rPr>
        <w:lastRenderedPageBreak/>
        <w:t>Would the TE balancing account under/over-collections be applied to another balancing account?</w:t>
      </w:r>
    </w:p>
    <w:p w:rsidR="005E2EE0" w:rsidRDefault="005E2EE0" w:rsidP="005E2EE0">
      <w:pPr>
        <w:numPr>
          <w:ilvl w:val="0"/>
          <w:numId w:val="9"/>
        </w:numPr>
        <w:rPr>
          <w:sz w:val="24"/>
          <w:szCs w:val="24"/>
        </w:rPr>
      </w:pPr>
      <w:r>
        <w:rPr>
          <w:sz w:val="24"/>
          <w:szCs w:val="24"/>
        </w:rPr>
        <w:t xml:space="preserve">SDG&amp;E discusses its “post-2019 GRC.” </w:t>
      </w:r>
    </w:p>
    <w:p w:rsidR="005E2EE0" w:rsidRDefault="005E2EE0" w:rsidP="005E2EE0">
      <w:pPr>
        <w:numPr>
          <w:ilvl w:val="1"/>
          <w:numId w:val="9"/>
        </w:numPr>
        <w:rPr>
          <w:sz w:val="24"/>
          <w:szCs w:val="24"/>
        </w:rPr>
      </w:pPr>
      <w:r>
        <w:rPr>
          <w:sz w:val="24"/>
          <w:szCs w:val="24"/>
        </w:rPr>
        <w:t>When does SDG&amp;E expect to file this?</w:t>
      </w:r>
    </w:p>
    <w:p w:rsidR="005E2EE0" w:rsidRDefault="005E2EE0" w:rsidP="005E2EE0">
      <w:pPr>
        <w:numPr>
          <w:ilvl w:val="1"/>
          <w:numId w:val="9"/>
        </w:numPr>
        <w:rPr>
          <w:sz w:val="24"/>
          <w:szCs w:val="24"/>
        </w:rPr>
      </w:pPr>
      <w:r>
        <w:rPr>
          <w:sz w:val="24"/>
          <w:szCs w:val="24"/>
        </w:rPr>
        <w:t>Which years will it cover?</w:t>
      </w:r>
    </w:p>
    <w:p w:rsidR="00D76AFC" w:rsidRDefault="00D76AFC" w:rsidP="00D76AFC">
      <w:pPr>
        <w:numPr>
          <w:ilvl w:val="0"/>
          <w:numId w:val="9"/>
        </w:numPr>
        <w:rPr>
          <w:sz w:val="24"/>
          <w:szCs w:val="24"/>
        </w:rPr>
      </w:pPr>
      <w:r>
        <w:rPr>
          <w:sz w:val="24"/>
          <w:szCs w:val="24"/>
        </w:rPr>
        <w:t>Please provide a citation for the FERC Code of Federal Regulations that SDG&amp;E cites for the useful life of capital equipment (MAC-11).</w:t>
      </w:r>
    </w:p>
    <w:p w:rsidR="00D76AFC" w:rsidRDefault="00D76AFC" w:rsidP="00D76AFC">
      <w:pPr>
        <w:numPr>
          <w:ilvl w:val="1"/>
          <w:numId w:val="9"/>
        </w:numPr>
        <w:rPr>
          <w:sz w:val="24"/>
          <w:szCs w:val="24"/>
        </w:rPr>
      </w:pPr>
      <w:r>
        <w:rPr>
          <w:sz w:val="24"/>
          <w:szCs w:val="24"/>
        </w:rPr>
        <w:t>Are these the same values that were approved in SDG&amp;E’s most recent GRC? If not, explain why SDG&amp;E proposes different values in this application.</w:t>
      </w:r>
    </w:p>
    <w:p w:rsidR="00B16D0B" w:rsidRPr="00B16D0B" w:rsidRDefault="00B16D0B" w:rsidP="00B16D0B">
      <w:pPr>
        <w:pStyle w:val="ListParagraph"/>
        <w:numPr>
          <w:ilvl w:val="0"/>
          <w:numId w:val="9"/>
        </w:numPr>
        <w:rPr>
          <w:sz w:val="24"/>
          <w:szCs w:val="24"/>
        </w:rPr>
      </w:pPr>
      <w:r>
        <w:rPr>
          <w:sz w:val="24"/>
          <w:szCs w:val="24"/>
        </w:rPr>
        <w:t>SDG&amp;E states in its reply brief that its revenue requirement goes through 2067</w:t>
      </w:r>
      <w:r>
        <w:rPr>
          <w:rStyle w:val="FootnoteReference"/>
          <w:sz w:val="24"/>
          <w:szCs w:val="24"/>
        </w:rPr>
        <w:footnoteReference w:id="1"/>
      </w:r>
      <w:r>
        <w:rPr>
          <w:sz w:val="24"/>
          <w:szCs w:val="24"/>
        </w:rPr>
        <w:t xml:space="preserve">. </w:t>
      </w:r>
      <w:r w:rsidRPr="00B16D0B">
        <w:rPr>
          <w:sz w:val="24"/>
          <w:szCs w:val="24"/>
        </w:rPr>
        <w:t>In both tabs of the attached Excel spreadsheet, complete one table with separate line items explaining the capital costs and expenses and operations and maintenance costs and expenses for each proposed project</w:t>
      </w:r>
      <w:r>
        <w:rPr>
          <w:sz w:val="24"/>
          <w:szCs w:val="24"/>
        </w:rPr>
        <w:t xml:space="preserve"> through the full </w:t>
      </w:r>
      <w:r>
        <w:rPr>
          <w:sz w:val="24"/>
          <w:szCs w:val="24"/>
        </w:rPr>
        <w:t>expected</w:t>
      </w:r>
      <w:r>
        <w:rPr>
          <w:sz w:val="24"/>
          <w:szCs w:val="24"/>
        </w:rPr>
        <w:t xml:space="preserve"> lifetime of the assets</w:t>
      </w:r>
      <w:r w:rsidRPr="00B16D0B">
        <w:rPr>
          <w:sz w:val="24"/>
          <w:szCs w:val="24"/>
        </w:rPr>
        <w:t xml:space="preserve">. In the first tab, provide the cost details without escalators and loaders. In the second tab, provide the cost details with escalators and loaders. </w:t>
      </w:r>
    </w:p>
    <w:p w:rsidR="00B16D0B" w:rsidRPr="005E2EE0" w:rsidRDefault="00B16D0B" w:rsidP="00B16D0B">
      <w:pPr>
        <w:ind w:left="1440"/>
        <w:rPr>
          <w:sz w:val="24"/>
          <w:szCs w:val="24"/>
        </w:rPr>
      </w:pPr>
      <w:bookmarkStart w:id="0" w:name="_GoBack"/>
      <w:bookmarkEnd w:id="0"/>
    </w:p>
    <w:sectPr w:rsidR="00B16D0B" w:rsidRPr="005E2EE0" w:rsidSect="001C0D7A">
      <w:headerReference w:type="default" r:id="rId13"/>
      <w:footerReference w:type="even" r:id="rId14"/>
      <w:footerReference w:type="default" r:id="rId15"/>
      <w:pgSz w:w="12240" w:h="15840" w:code="1"/>
      <w:pgMar w:top="720" w:right="1440" w:bottom="1152" w:left="1440" w:header="720" w:footer="1008"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F91" w:rsidRDefault="00DA703A">
      <w:r>
        <w:separator/>
      </w:r>
    </w:p>
  </w:endnote>
  <w:endnote w:type="continuationSeparator" w:id="0">
    <w:p w:rsidR="008E0F91" w:rsidRDefault="00DA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67D" w:rsidRDefault="001B29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1667D" w:rsidRDefault="00B16D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67D" w:rsidRDefault="001B2951">
    <w:pPr>
      <w:pStyle w:val="Footer"/>
      <w:framePr w:wrap="around" w:vAnchor="text" w:hAnchor="margin" w:xAlign="center" w:y="1"/>
      <w:rPr>
        <w:rStyle w:val="PageNumber"/>
      </w:rPr>
    </w:pPr>
    <w:r>
      <w:rPr>
        <w:rStyle w:val="PageNumber"/>
      </w:rPr>
      <w:tab/>
    </w:r>
  </w:p>
  <w:p w:rsidR="0081667D" w:rsidRDefault="00B16D0B">
    <w:pPr>
      <w:pStyle w:val="Footer"/>
      <w:framePr w:wrap="around" w:vAnchor="text" w:hAnchor="margin" w:xAlign="center" w:y="1"/>
      <w:rPr>
        <w:rStyle w:val="PageNumber"/>
      </w:rPr>
    </w:pPr>
  </w:p>
  <w:p w:rsidR="0081667D" w:rsidRDefault="00B16D0B">
    <w:pPr>
      <w:pStyle w:val="Footer"/>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F91" w:rsidRDefault="00DA703A">
      <w:r>
        <w:separator/>
      </w:r>
    </w:p>
  </w:footnote>
  <w:footnote w:type="continuationSeparator" w:id="0">
    <w:p w:rsidR="008E0F91" w:rsidRDefault="00DA703A">
      <w:r>
        <w:continuationSeparator/>
      </w:r>
    </w:p>
  </w:footnote>
  <w:footnote w:id="1">
    <w:p w:rsidR="00B16D0B" w:rsidRDefault="00B16D0B">
      <w:pPr>
        <w:pStyle w:val="FootnoteText"/>
      </w:pPr>
      <w:r>
        <w:rPr>
          <w:rStyle w:val="FootnoteReference"/>
        </w:rPr>
        <w:footnoteRef/>
      </w:r>
      <w:r>
        <w:t xml:space="preserve"> SDG&amp;E Reply Brief, </w:t>
      </w:r>
      <w:proofErr w:type="spellStart"/>
      <w:r>
        <w:t>pg</w:t>
      </w:r>
      <w:proofErr w:type="spellEnd"/>
      <w:r>
        <w:t xml:space="preserve">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67D" w:rsidRPr="0081667D" w:rsidRDefault="001B2951">
    <w:pPr>
      <w:pStyle w:val="Header"/>
      <w:rPr>
        <w:rFonts w:ascii="Calibri" w:hAnsi="Calibri"/>
        <w:sz w:val="22"/>
        <w:szCs w:val="22"/>
      </w:rPr>
    </w:pPr>
    <w:r w:rsidRPr="0081667D">
      <w:rPr>
        <w:rFonts w:ascii="Calibri" w:hAnsi="Calibri"/>
        <w:sz w:val="22"/>
        <w:szCs w:val="22"/>
      </w:rPr>
      <w:t xml:space="preserve">Page </w:t>
    </w:r>
    <w:r w:rsidRPr="0081667D">
      <w:rPr>
        <w:rFonts w:ascii="Calibri" w:hAnsi="Calibri"/>
        <w:sz w:val="22"/>
        <w:szCs w:val="22"/>
      </w:rPr>
      <w:fldChar w:fldCharType="begin"/>
    </w:r>
    <w:r w:rsidRPr="0081667D">
      <w:rPr>
        <w:rFonts w:ascii="Calibri" w:hAnsi="Calibri"/>
        <w:sz w:val="22"/>
        <w:szCs w:val="22"/>
      </w:rPr>
      <w:instrText xml:space="preserve"> PAGE </w:instrText>
    </w:r>
    <w:r w:rsidRPr="0081667D">
      <w:rPr>
        <w:rFonts w:ascii="Calibri" w:hAnsi="Calibri"/>
        <w:sz w:val="22"/>
        <w:szCs w:val="22"/>
      </w:rPr>
      <w:fldChar w:fldCharType="separate"/>
    </w:r>
    <w:r w:rsidR="00B16D0B">
      <w:rPr>
        <w:rFonts w:ascii="Calibri" w:hAnsi="Calibri"/>
        <w:noProof/>
        <w:sz w:val="22"/>
        <w:szCs w:val="22"/>
      </w:rPr>
      <w:t>2</w:t>
    </w:r>
    <w:r w:rsidRPr="0081667D">
      <w:rPr>
        <w:rFonts w:ascii="Calibri" w:hAnsi="Calibri"/>
        <w:sz w:val="22"/>
        <w:szCs w:val="22"/>
      </w:rPr>
      <w:fldChar w:fldCharType="end"/>
    </w:r>
    <w:r w:rsidRPr="0081667D">
      <w:rPr>
        <w:rFonts w:ascii="Calibri" w:hAnsi="Calibri"/>
        <w:sz w:val="22"/>
        <w:szCs w:val="22"/>
      </w:rPr>
      <w:t xml:space="preserve"> </w:t>
    </w:r>
  </w:p>
  <w:p w:rsidR="0081667D" w:rsidRDefault="00B16D0B">
    <w:pPr>
      <w:pStyle w:val="Header"/>
      <w:rPr>
        <w:sz w:val="22"/>
        <w:szCs w:val="22"/>
      </w:rPr>
    </w:pPr>
  </w:p>
  <w:p w:rsidR="0081667D" w:rsidRDefault="00B16D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E32"/>
    <w:multiLevelType w:val="hybridMultilevel"/>
    <w:tmpl w:val="C5C48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370D5"/>
    <w:multiLevelType w:val="hybridMultilevel"/>
    <w:tmpl w:val="C5C48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13091"/>
    <w:multiLevelType w:val="hybridMultilevel"/>
    <w:tmpl w:val="0BBEC7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1024D"/>
    <w:multiLevelType w:val="hybridMultilevel"/>
    <w:tmpl w:val="2B8E5D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473EAA"/>
    <w:multiLevelType w:val="hybridMultilevel"/>
    <w:tmpl w:val="5C8E0D0A"/>
    <w:lvl w:ilvl="0" w:tplc="B824BCA6">
      <w:start w:val="1"/>
      <w:numFmt w:val="bullet"/>
      <w:lvlText w:val="•"/>
      <w:lvlJc w:val="left"/>
      <w:pPr>
        <w:tabs>
          <w:tab w:val="num" w:pos="720"/>
        </w:tabs>
        <w:ind w:left="720" w:hanging="360"/>
      </w:pPr>
      <w:rPr>
        <w:rFonts w:ascii="Arial" w:hAnsi="Arial" w:hint="default"/>
      </w:rPr>
    </w:lvl>
    <w:lvl w:ilvl="1" w:tplc="9C90BCF4" w:tentative="1">
      <w:start w:val="1"/>
      <w:numFmt w:val="bullet"/>
      <w:lvlText w:val="•"/>
      <w:lvlJc w:val="left"/>
      <w:pPr>
        <w:tabs>
          <w:tab w:val="num" w:pos="1440"/>
        </w:tabs>
        <w:ind w:left="1440" w:hanging="360"/>
      </w:pPr>
      <w:rPr>
        <w:rFonts w:ascii="Arial" w:hAnsi="Arial" w:hint="default"/>
      </w:rPr>
    </w:lvl>
    <w:lvl w:ilvl="2" w:tplc="96722A70" w:tentative="1">
      <w:start w:val="1"/>
      <w:numFmt w:val="bullet"/>
      <w:lvlText w:val="•"/>
      <w:lvlJc w:val="left"/>
      <w:pPr>
        <w:tabs>
          <w:tab w:val="num" w:pos="2160"/>
        </w:tabs>
        <w:ind w:left="2160" w:hanging="360"/>
      </w:pPr>
      <w:rPr>
        <w:rFonts w:ascii="Arial" w:hAnsi="Arial" w:hint="default"/>
      </w:rPr>
    </w:lvl>
    <w:lvl w:ilvl="3" w:tplc="5BE83D8A" w:tentative="1">
      <w:start w:val="1"/>
      <w:numFmt w:val="bullet"/>
      <w:lvlText w:val="•"/>
      <w:lvlJc w:val="left"/>
      <w:pPr>
        <w:tabs>
          <w:tab w:val="num" w:pos="2880"/>
        </w:tabs>
        <w:ind w:left="2880" w:hanging="360"/>
      </w:pPr>
      <w:rPr>
        <w:rFonts w:ascii="Arial" w:hAnsi="Arial" w:hint="default"/>
      </w:rPr>
    </w:lvl>
    <w:lvl w:ilvl="4" w:tplc="5AB2F4B2" w:tentative="1">
      <w:start w:val="1"/>
      <w:numFmt w:val="bullet"/>
      <w:lvlText w:val="•"/>
      <w:lvlJc w:val="left"/>
      <w:pPr>
        <w:tabs>
          <w:tab w:val="num" w:pos="3600"/>
        </w:tabs>
        <w:ind w:left="3600" w:hanging="360"/>
      </w:pPr>
      <w:rPr>
        <w:rFonts w:ascii="Arial" w:hAnsi="Arial" w:hint="default"/>
      </w:rPr>
    </w:lvl>
    <w:lvl w:ilvl="5" w:tplc="F6DCFCC4" w:tentative="1">
      <w:start w:val="1"/>
      <w:numFmt w:val="bullet"/>
      <w:lvlText w:val="•"/>
      <w:lvlJc w:val="left"/>
      <w:pPr>
        <w:tabs>
          <w:tab w:val="num" w:pos="4320"/>
        </w:tabs>
        <w:ind w:left="4320" w:hanging="360"/>
      </w:pPr>
      <w:rPr>
        <w:rFonts w:ascii="Arial" w:hAnsi="Arial" w:hint="default"/>
      </w:rPr>
    </w:lvl>
    <w:lvl w:ilvl="6" w:tplc="94142E84" w:tentative="1">
      <w:start w:val="1"/>
      <w:numFmt w:val="bullet"/>
      <w:lvlText w:val="•"/>
      <w:lvlJc w:val="left"/>
      <w:pPr>
        <w:tabs>
          <w:tab w:val="num" w:pos="5040"/>
        </w:tabs>
        <w:ind w:left="5040" w:hanging="360"/>
      </w:pPr>
      <w:rPr>
        <w:rFonts w:ascii="Arial" w:hAnsi="Arial" w:hint="default"/>
      </w:rPr>
    </w:lvl>
    <w:lvl w:ilvl="7" w:tplc="F2FA1D44" w:tentative="1">
      <w:start w:val="1"/>
      <w:numFmt w:val="bullet"/>
      <w:lvlText w:val="•"/>
      <w:lvlJc w:val="left"/>
      <w:pPr>
        <w:tabs>
          <w:tab w:val="num" w:pos="5760"/>
        </w:tabs>
        <w:ind w:left="5760" w:hanging="360"/>
      </w:pPr>
      <w:rPr>
        <w:rFonts w:ascii="Arial" w:hAnsi="Arial" w:hint="default"/>
      </w:rPr>
    </w:lvl>
    <w:lvl w:ilvl="8" w:tplc="19F41168" w:tentative="1">
      <w:start w:val="1"/>
      <w:numFmt w:val="bullet"/>
      <w:lvlText w:val="•"/>
      <w:lvlJc w:val="left"/>
      <w:pPr>
        <w:tabs>
          <w:tab w:val="num" w:pos="6480"/>
        </w:tabs>
        <w:ind w:left="6480" w:hanging="360"/>
      </w:pPr>
      <w:rPr>
        <w:rFonts w:ascii="Arial" w:hAnsi="Arial" w:hint="default"/>
      </w:rPr>
    </w:lvl>
  </w:abstractNum>
  <w:abstractNum w:abstractNumId="5">
    <w:nsid w:val="593C2E0A"/>
    <w:multiLevelType w:val="hybridMultilevel"/>
    <w:tmpl w:val="C5C48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573F73"/>
    <w:multiLevelType w:val="hybridMultilevel"/>
    <w:tmpl w:val="C5C48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58411B"/>
    <w:multiLevelType w:val="hybridMultilevel"/>
    <w:tmpl w:val="C5C48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FA1134"/>
    <w:multiLevelType w:val="hybridMultilevel"/>
    <w:tmpl w:val="C5C48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3"/>
  </w:num>
  <w:num w:numId="5">
    <w:abstractNumId w:val="5"/>
  </w:num>
  <w:num w:numId="6">
    <w:abstractNumId w:val="0"/>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D20"/>
    <w:rsid w:val="000313A2"/>
    <w:rsid w:val="00084D20"/>
    <w:rsid w:val="000952C9"/>
    <w:rsid w:val="000B4602"/>
    <w:rsid w:val="000C3089"/>
    <w:rsid w:val="000E2C31"/>
    <w:rsid w:val="00123FC3"/>
    <w:rsid w:val="00142B58"/>
    <w:rsid w:val="00152FC3"/>
    <w:rsid w:val="00160CCD"/>
    <w:rsid w:val="001866CE"/>
    <w:rsid w:val="0019724D"/>
    <w:rsid w:val="001B069A"/>
    <w:rsid w:val="001B20BE"/>
    <w:rsid w:val="001B2951"/>
    <w:rsid w:val="001D7494"/>
    <w:rsid w:val="001D7F3A"/>
    <w:rsid w:val="001F1983"/>
    <w:rsid w:val="001F50E8"/>
    <w:rsid w:val="001F5E06"/>
    <w:rsid w:val="00202F9C"/>
    <w:rsid w:val="00214847"/>
    <w:rsid w:val="00240B48"/>
    <w:rsid w:val="00256787"/>
    <w:rsid w:val="002648A3"/>
    <w:rsid w:val="00297D42"/>
    <w:rsid w:val="002E4CC7"/>
    <w:rsid w:val="0031703B"/>
    <w:rsid w:val="003438E0"/>
    <w:rsid w:val="0035779D"/>
    <w:rsid w:val="00376621"/>
    <w:rsid w:val="00387D73"/>
    <w:rsid w:val="003B6212"/>
    <w:rsid w:val="003B7E3D"/>
    <w:rsid w:val="003D29E0"/>
    <w:rsid w:val="00406373"/>
    <w:rsid w:val="00441155"/>
    <w:rsid w:val="004476EA"/>
    <w:rsid w:val="00465961"/>
    <w:rsid w:val="00473501"/>
    <w:rsid w:val="004B502D"/>
    <w:rsid w:val="004C590C"/>
    <w:rsid w:val="004C6EF4"/>
    <w:rsid w:val="00533FFD"/>
    <w:rsid w:val="005344D2"/>
    <w:rsid w:val="00562450"/>
    <w:rsid w:val="00565D96"/>
    <w:rsid w:val="00593331"/>
    <w:rsid w:val="005E2EE0"/>
    <w:rsid w:val="00604188"/>
    <w:rsid w:val="00661B97"/>
    <w:rsid w:val="006F069C"/>
    <w:rsid w:val="006F5515"/>
    <w:rsid w:val="00704FBD"/>
    <w:rsid w:val="0075272C"/>
    <w:rsid w:val="0078761F"/>
    <w:rsid w:val="007F7271"/>
    <w:rsid w:val="00842E79"/>
    <w:rsid w:val="0085107D"/>
    <w:rsid w:val="008E0F91"/>
    <w:rsid w:val="008F4CE9"/>
    <w:rsid w:val="009B126C"/>
    <w:rsid w:val="00A1678B"/>
    <w:rsid w:val="00A372E3"/>
    <w:rsid w:val="00AC48F0"/>
    <w:rsid w:val="00AF6CA1"/>
    <w:rsid w:val="00B16D0B"/>
    <w:rsid w:val="00B178EA"/>
    <w:rsid w:val="00B26787"/>
    <w:rsid w:val="00B54E0D"/>
    <w:rsid w:val="00B86E43"/>
    <w:rsid w:val="00B904A4"/>
    <w:rsid w:val="00BD31E6"/>
    <w:rsid w:val="00CA6E16"/>
    <w:rsid w:val="00D355C5"/>
    <w:rsid w:val="00D45C02"/>
    <w:rsid w:val="00D71ED0"/>
    <w:rsid w:val="00D76AFC"/>
    <w:rsid w:val="00DA703A"/>
    <w:rsid w:val="00DB7681"/>
    <w:rsid w:val="00DC4727"/>
    <w:rsid w:val="00E02E43"/>
    <w:rsid w:val="00E3748D"/>
    <w:rsid w:val="00E55FF0"/>
    <w:rsid w:val="00ED3016"/>
    <w:rsid w:val="00F504D9"/>
    <w:rsid w:val="00F9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D2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4D20"/>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rsid w:val="00084D20"/>
    <w:rPr>
      <w:rFonts w:ascii="Times New Roman" w:eastAsia="Times New Roman" w:hAnsi="Times New Roman" w:cs="Times New Roman"/>
      <w:sz w:val="24"/>
      <w:szCs w:val="24"/>
    </w:rPr>
  </w:style>
  <w:style w:type="paragraph" w:styleId="Footer">
    <w:name w:val="footer"/>
    <w:basedOn w:val="Normal"/>
    <w:link w:val="FooterChar"/>
    <w:rsid w:val="00084D20"/>
    <w:pPr>
      <w:tabs>
        <w:tab w:val="center" w:pos="4320"/>
        <w:tab w:val="right" w:pos="8640"/>
      </w:tabs>
    </w:pPr>
    <w:rPr>
      <w:rFonts w:ascii="Times New Roman" w:eastAsia="Times New Roman" w:hAnsi="Times New Roman"/>
      <w:sz w:val="24"/>
      <w:szCs w:val="24"/>
    </w:rPr>
  </w:style>
  <w:style w:type="character" w:customStyle="1" w:styleId="FooterChar">
    <w:name w:val="Footer Char"/>
    <w:basedOn w:val="DefaultParagraphFont"/>
    <w:link w:val="Footer"/>
    <w:rsid w:val="00084D20"/>
    <w:rPr>
      <w:rFonts w:ascii="Times New Roman" w:eastAsia="Times New Roman" w:hAnsi="Times New Roman" w:cs="Times New Roman"/>
      <w:sz w:val="24"/>
      <w:szCs w:val="24"/>
    </w:rPr>
  </w:style>
  <w:style w:type="character" w:styleId="PageNumber">
    <w:name w:val="page number"/>
    <w:basedOn w:val="DefaultParagraphFont"/>
    <w:rsid w:val="00084D20"/>
  </w:style>
  <w:style w:type="character" w:styleId="Hyperlink">
    <w:name w:val="Hyperlink"/>
    <w:rsid w:val="00084D20"/>
    <w:rPr>
      <w:color w:val="0000FF"/>
      <w:u w:val="single"/>
    </w:rPr>
  </w:style>
  <w:style w:type="paragraph" w:styleId="BalloonText">
    <w:name w:val="Balloon Text"/>
    <w:basedOn w:val="Normal"/>
    <w:link w:val="BalloonTextChar"/>
    <w:uiPriority w:val="99"/>
    <w:semiHidden/>
    <w:unhideWhenUsed/>
    <w:rsid w:val="00084D20"/>
    <w:rPr>
      <w:rFonts w:ascii="Tahoma" w:hAnsi="Tahoma" w:cs="Tahoma"/>
      <w:sz w:val="16"/>
      <w:szCs w:val="16"/>
    </w:rPr>
  </w:style>
  <w:style w:type="character" w:customStyle="1" w:styleId="BalloonTextChar">
    <w:name w:val="Balloon Text Char"/>
    <w:basedOn w:val="DefaultParagraphFont"/>
    <w:link w:val="BalloonText"/>
    <w:uiPriority w:val="99"/>
    <w:semiHidden/>
    <w:rsid w:val="00084D20"/>
    <w:rPr>
      <w:rFonts w:ascii="Tahoma" w:eastAsia="Calibri" w:hAnsi="Tahoma" w:cs="Tahoma"/>
      <w:sz w:val="16"/>
      <w:szCs w:val="16"/>
    </w:rPr>
  </w:style>
  <w:style w:type="paragraph" w:styleId="ListParagraph">
    <w:name w:val="List Paragraph"/>
    <w:basedOn w:val="Normal"/>
    <w:uiPriority w:val="34"/>
    <w:qFormat/>
    <w:rsid w:val="000E2C31"/>
    <w:pPr>
      <w:ind w:left="720"/>
      <w:contextualSpacing/>
    </w:pPr>
  </w:style>
  <w:style w:type="character" w:styleId="CommentReference">
    <w:name w:val="annotation reference"/>
    <w:basedOn w:val="DefaultParagraphFont"/>
    <w:uiPriority w:val="99"/>
    <w:semiHidden/>
    <w:unhideWhenUsed/>
    <w:rsid w:val="001F1983"/>
    <w:rPr>
      <w:sz w:val="16"/>
      <w:szCs w:val="16"/>
    </w:rPr>
  </w:style>
  <w:style w:type="paragraph" w:styleId="CommentText">
    <w:name w:val="annotation text"/>
    <w:basedOn w:val="Normal"/>
    <w:link w:val="CommentTextChar"/>
    <w:uiPriority w:val="99"/>
    <w:semiHidden/>
    <w:unhideWhenUsed/>
    <w:rsid w:val="001F1983"/>
    <w:rPr>
      <w:sz w:val="20"/>
      <w:szCs w:val="20"/>
    </w:rPr>
  </w:style>
  <w:style w:type="character" w:customStyle="1" w:styleId="CommentTextChar">
    <w:name w:val="Comment Text Char"/>
    <w:basedOn w:val="DefaultParagraphFont"/>
    <w:link w:val="CommentText"/>
    <w:uiPriority w:val="99"/>
    <w:semiHidden/>
    <w:rsid w:val="001F198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1983"/>
    <w:rPr>
      <w:b/>
      <w:bCs/>
    </w:rPr>
  </w:style>
  <w:style w:type="character" w:customStyle="1" w:styleId="CommentSubjectChar">
    <w:name w:val="Comment Subject Char"/>
    <w:basedOn w:val="CommentTextChar"/>
    <w:link w:val="CommentSubject"/>
    <w:uiPriority w:val="99"/>
    <w:semiHidden/>
    <w:rsid w:val="001F1983"/>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B54E0D"/>
    <w:rPr>
      <w:sz w:val="20"/>
      <w:szCs w:val="20"/>
    </w:rPr>
  </w:style>
  <w:style w:type="character" w:customStyle="1" w:styleId="FootnoteTextChar">
    <w:name w:val="Footnote Text Char"/>
    <w:basedOn w:val="DefaultParagraphFont"/>
    <w:link w:val="FootnoteText"/>
    <w:uiPriority w:val="99"/>
    <w:semiHidden/>
    <w:rsid w:val="00B54E0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54E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D2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4D20"/>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rsid w:val="00084D20"/>
    <w:rPr>
      <w:rFonts w:ascii="Times New Roman" w:eastAsia="Times New Roman" w:hAnsi="Times New Roman" w:cs="Times New Roman"/>
      <w:sz w:val="24"/>
      <w:szCs w:val="24"/>
    </w:rPr>
  </w:style>
  <w:style w:type="paragraph" w:styleId="Footer">
    <w:name w:val="footer"/>
    <w:basedOn w:val="Normal"/>
    <w:link w:val="FooterChar"/>
    <w:rsid w:val="00084D20"/>
    <w:pPr>
      <w:tabs>
        <w:tab w:val="center" w:pos="4320"/>
        <w:tab w:val="right" w:pos="8640"/>
      </w:tabs>
    </w:pPr>
    <w:rPr>
      <w:rFonts w:ascii="Times New Roman" w:eastAsia="Times New Roman" w:hAnsi="Times New Roman"/>
      <w:sz w:val="24"/>
      <w:szCs w:val="24"/>
    </w:rPr>
  </w:style>
  <w:style w:type="character" w:customStyle="1" w:styleId="FooterChar">
    <w:name w:val="Footer Char"/>
    <w:basedOn w:val="DefaultParagraphFont"/>
    <w:link w:val="Footer"/>
    <w:rsid w:val="00084D20"/>
    <w:rPr>
      <w:rFonts w:ascii="Times New Roman" w:eastAsia="Times New Roman" w:hAnsi="Times New Roman" w:cs="Times New Roman"/>
      <w:sz w:val="24"/>
      <w:szCs w:val="24"/>
    </w:rPr>
  </w:style>
  <w:style w:type="character" w:styleId="PageNumber">
    <w:name w:val="page number"/>
    <w:basedOn w:val="DefaultParagraphFont"/>
    <w:rsid w:val="00084D20"/>
  </w:style>
  <w:style w:type="character" w:styleId="Hyperlink">
    <w:name w:val="Hyperlink"/>
    <w:rsid w:val="00084D20"/>
    <w:rPr>
      <w:color w:val="0000FF"/>
      <w:u w:val="single"/>
    </w:rPr>
  </w:style>
  <w:style w:type="paragraph" w:styleId="BalloonText">
    <w:name w:val="Balloon Text"/>
    <w:basedOn w:val="Normal"/>
    <w:link w:val="BalloonTextChar"/>
    <w:uiPriority w:val="99"/>
    <w:semiHidden/>
    <w:unhideWhenUsed/>
    <w:rsid w:val="00084D20"/>
    <w:rPr>
      <w:rFonts w:ascii="Tahoma" w:hAnsi="Tahoma" w:cs="Tahoma"/>
      <w:sz w:val="16"/>
      <w:szCs w:val="16"/>
    </w:rPr>
  </w:style>
  <w:style w:type="character" w:customStyle="1" w:styleId="BalloonTextChar">
    <w:name w:val="Balloon Text Char"/>
    <w:basedOn w:val="DefaultParagraphFont"/>
    <w:link w:val="BalloonText"/>
    <w:uiPriority w:val="99"/>
    <w:semiHidden/>
    <w:rsid w:val="00084D20"/>
    <w:rPr>
      <w:rFonts w:ascii="Tahoma" w:eastAsia="Calibri" w:hAnsi="Tahoma" w:cs="Tahoma"/>
      <w:sz w:val="16"/>
      <w:szCs w:val="16"/>
    </w:rPr>
  </w:style>
  <w:style w:type="paragraph" w:styleId="ListParagraph">
    <w:name w:val="List Paragraph"/>
    <w:basedOn w:val="Normal"/>
    <w:uiPriority w:val="34"/>
    <w:qFormat/>
    <w:rsid w:val="000E2C31"/>
    <w:pPr>
      <w:ind w:left="720"/>
      <w:contextualSpacing/>
    </w:pPr>
  </w:style>
  <w:style w:type="character" w:styleId="CommentReference">
    <w:name w:val="annotation reference"/>
    <w:basedOn w:val="DefaultParagraphFont"/>
    <w:uiPriority w:val="99"/>
    <w:semiHidden/>
    <w:unhideWhenUsed/>
    <w:rsid w:val="001F1983"/>
    <w:rPr>
      <w:sz w:val="16"/>
      <w:szCs w:val="16"/>
    </w:rPr>
  </w:style>
  <w:style w:type="paragraph" w:styleId="CommentText">
    <w:name w:val="annotation text"/>
    <w:basedOn w:val="Normal"/>
    <w:link w:val="CommentTextChar"/>
    <w:uiPriority w:val="99"/>
    <w:semiHidden/>
    <w:unhideWhenUsed/>
    <w:rsid w:val="001F1983"/>
    <w:rPr>
      <w:sz w:val="20"/>
      <w:szCs w:val="20"/>
    </w:rPr>
  </w:style>
  <w:style w:type="character" w:customStyle="1" w:styleId="CommentTextChar">
    <w:name w:val="Comment Text Char"/>
    <w:basedOn w:val="DefaultParagraphFont"/>
    <w:link w:val="CommentText"/>
    <w:uiPriority w:val="99"/>
    <w:semiHidden/>
    <w:rsid w:val="001F198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1983"/>
    <w:rPr>
      <w:b/>
      <w:bCs/>
    </w:rPr>
  </w:style>
  <w:style w:type="character" w:customStyle="1" w:styleId="CommentSubjectChar">
    <w:name w:val="Comment Subject Char"/>
    <w:basedOn w:val="CommentTextChar"/>
    <w:link w:val="CommentSubject"/>
    <w:uiPriority w:val="99"/>
    <w:semiHidden/>
    <w:rsid w:val="001F1983"/>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B54E0D"/>
    <w:rPr>
      <w:sz w:val="20"/>
      <w:szCs w:val="20"/>
    </w:rPr>
  </w:style>
  <w:style w:type="character" w:customStyle="1" w:styleId="FootnoteTextChar">
    <w:name w:val="Footnote Text Char"/>
    <w:basedOn w:val="DefaultParagraphFont"/>
    <w:link w:val="FootnoteText"/>
    <w:uiPriority w:val="99"/>
    <w:semiHidden/>
    <w:rsid w:val="00B54E0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54E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58517">
      <w:bodyDiv w:val="1"/>
      <w:marLeft w:val="0"/>
      <w:marRight w:val="0"/>
      <w:marTop w:val="0"/>
      <w:marBottom w:val="0"/>
      <w:divBdr>
        <w:top w:val="none" w:sz="0" w:space="0" w:color="auto"/>
        <w:left w:val="none" w:sz="0" w:space="0" w:color="auto"/>
        <w:bottom w:val="none" w:sz="0" w:space="0" w:color="auto"/>
        <w:right w:val="none" w:sz="0" w:space="0" w:color="auto"/>
      </w:divBdr>
      <w:divsChild>
        <w:div w:id="770273999">
          <w:marLeft w:val="547"/>
          <w:marRight w:val="0"/>
          <w:marTop w:val="72"/>
          <w:marBottom w:val="0"/>
          <w:divBdr>
            <w:top w:val="none" w:sz="0" w:space="0" w:color="auto"/>
            <w:left w:val="none" w:sz="0" w:space="0" w:color="auto"/>
            <w:bottom w:val="none" w:sz="0" w:space="0" w:color="auto"/>
            <w:right w:val="none" w:sz="0" w:space="0" w:color="auto"/>
          </w:divBdr>
        </w:div>
      </w:divsChild>
    </w:div>
    <w:div w:id="606231934">
      <w:bodyDiv w:val="1"/>
      <w:marLeft w:val="0"/>
      <w:marRight w:val="0"/>
      <w:marTop w:val="0"/>
      <w:marBottom w:val="0"/>
      <w:divBdr>
        <w:top w:val="none" w:sz="0" w:space="0" w:color="auto"/>
        <w:left w:val="none" w:sz="0" w:space="0" w:color="auto"/>
        <w:bottom w:val="none" w:sz="0" w:space="0" w:color="auto"/>
        <w:right w:val="none" w:sz="0" w:space="0" w:color="auto"/>
      </w:divBdr>
    </w:div>
    <w:div w:id="1011417723">
      <w:bodyDiv w:val="1"/>
      <w:marLeft w:val="0"/>
      <w:marRight w:val="0"/>
      <w:marTop w:val="0"/>
      <w:marBottom w:val="0"/>
      <w:divBdr>
        <w:top w:val="none" w:sz="0" w:space="0" w:color="auto"/>
        <w:left w:val="none" w:sz="0" w:space="0" w:color="auto"/>
        <w:bottom w:val="none" w:sz="0" w:space="0" w:color="auto"/>
        <w:right w:val="none" w:sz="0" w:space="0" w:color="auto"/>
      </w:divBdr>
    </w:div>
    <w:div w:id="1811247170">
      <w:bodyDiv w:val="1"/>
      <w:marLeft w:val="0"/>
      <w:marRight w:val="0"/>
      <w:marTop w:val="0"/>
      <w:marBottom w:val="0"/>
      <w:divBdr>
        <w:top w:val="none" w:sz="0" w:space="0" w:color="auto"/>
        <w:left w:val="none" w:sz="0" w:space="0" w:color="auto"/>
        <w:bottom w:val="none" w:sz="0" w:space="0" w:color="auto"/>
        <w:right w:val="none" w:sz="0" w:space="0" w:color="auto"/>
      </w:divBdr>
      <w:divsChild>
        <w:div w:id="66198733">
          <w:marLeft w:val="547"/>
          <w:marRight w:val="0"/>
          <w:marTop w:val="96"/>
          <w:marBottom w:val="0"/>
          <w:divBdr>
            <w:top w:val="none" w:sz="0" w:space="0" w:color="auto"/>
            <w:left w:val="none" w:sz="0" w:space="0" w:color="auto"/>
            <w:bottom w:val="none" w:sz="0" w:space="0" w:color="auto"/>
            <w:right w:val="none" w:sz="0" w:space="0" w:color="auto"/>
          </w:divBdr>
        </w:div>
      </w:divsChild>
    </w:div>
    <w:div w:id="196315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rolyn.sisto@cpuc.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y.mesrobian@cpuc.ca.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wright@semprautilitie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5480C-49D3-43E6-908C-F232C8E0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Sisto, Carolyn</dc:creator>
  <cp:lastModifiedBy>Sisto, Carolyn</cp:lastModifiedBy>
  <cp:revision>25</cp:revision>
  <dcterms:created xsi:type="dcterms:W3CDTF">2017-06-02T22:30:00Z</dcterms:created>
  <dcterms:modified xsi:type="dcterms:W3CDTF">2017-08-03T23:13:00Z</dcterms:modified>
</cp:coreProperties>
</file>