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6F1E4" w14:textId="484F4263" w:rsidR="008057C0" w:rsidRPr="008057C0" w:rsidRDefault="008057C0" w:rsidP="008057C0">
      <w:pPr>
        <w:pStyle w:val="StyleExhibits"/>
        <w:jc w:val="center"/>
        <w:rPr>
          <w:b/>
          <w:sz w:val="28"/>
          <w:szCs w:val="28"/>
        </w:rPr>
      </w:pPr>
      <w:r>
        <w:rPr>
          <w:b/>
          <w:sz w:val="28"/>
          <w:szCs w:val="28"/>
        </w:rPr>
        <w:t>NERC CIP-013</w:t>
      </w:r>
      <w:r w:rsidRPr="008057C0">
        <w:rPr>
          <w:b/>
          <w:sz w:val="28"/>
          <w:szCs w:val="28"/>
        </w:rPr>
        <w:t xml:space="preserve"> REQUIREMENTS</w:t>
      </w:r>
    </w:p>
    <w:p w14:paraId="142AA1B4" w14:textId="77777777" w:rsidR="008057C0" w:rsidRPr="00DB105A" w:rsidRDefault="008057C0" w:rsidP="008057C0">
      <w:pPr>
        <w:pStyle w:val="StyleExhibits"/>
        <w:jc w:val="both"/>
      </w:pPr>
    </w:p>
    <w:p w14:paraId="428A431E" w14:textId="66D9270D" w:rsidR="008057C0" w:rsidRDefault="00B97C8B" w:rsidP="003A672F">
      <w:pPr>
        <w:pStyle w:val="StyleExhibits"/>
        <w:rPr>
          <w:sz w:val="22"/>
          <w:szCs w:val="22"/>
        </w:rPr>
      </w:pPr>
      <w:r>
        <w:rPr>
          <w:sz w:val="22"/>
          <w:szCs w:val="22"/>
        </w:rPr>
        <w:t xml:space="preserve">Upon execution of </w:t>
      </w:r>
      <w:r w:rsidR="00263F7B">
        <w:rPr>
          <w:sz w:val="22"/>
          <w:szCs w:val="22"/>
        </w:rPr>
        <w:t>the Purchase Order</w:t>
      </w:r>
      <w:r w:rsidR="00BA1A61">
        <w:rPr>
          <w:sz w:val="22"/>
          <w:szCs w:val="22"/>
        </w:rPr>
        <w:t xml:space="preserve"> by and between you and</w:t>
      </w:r>
      <w:r w:rsidR="00263F7B">
        <w:rPr>
          <w:sz w:val="22"/>
          <w:szCs w:val="22"/>
        </w:rPr>
        <w:t xml:space="preserve"> </w:t>
      </w:r>
      <w:r w:rsidR="00BA1A61">
        <w:rPr>
          <w:sz w:val="22"/>
          <w:szCs w:val="22"/>
        </w:rPr>
        <w:t>San Diego Gas &amp; Electric Company (“</w:t>
      </w:r>
      <w:r w:rsidR="00BA1A61" w:rsidRPr="00D91CE6">
        <w:rPr>
          <w:b/>
          <w:bCs/>
          <w:sz w:val="22"/>
          <w:szCs w:val="22"/>
        </w:rPr>
        <w:t>Company</w:t>
      </w:r>
      <w:r w:rsidR="00BA1A61">
        <w:rPr>
          <w:sz w:val="22"/>
          <w:szCs w:val="22"/>
        </w:rPr>
        <w:t>”)</w:t>
      </w:r>
      <w:r w:rsidR="00F24643">
        <w:rPr>
          <w:sz w:val="22"/>
          <w:szCs w:val="22"/>
        </w:rPr>
        <w:t xml:space="preserve"> </w:t>
      </w:r>
      <w:r w:rsidR="00E30127">
        <w:rPr>
          <w:sz w:val="22"/>
          <w:szCs w:val="22"/>
        </w:rPr>
        <w:t xml:space="preserve">for hardware </w:t>
      </w:r>
      <w:r w:rsidR="00C97401">
        <w:rPr>
          <w:sz w:val="22"/>
          <w:szCs w:val="22"/>
        </w:rPr>
        <w:t>(which may include embedded software</w:t>
      </w:r>
      <w:r w:rsidR="00607293">
        <w:rPr>
          <w:sz w:val="22"/>
          <w:szCs w:val="22"/>
        </w:rPr>
        <w:t>)</w:t>
      </w:r>
      <w:r w:rsidR="00C97401">
        <w:rPr>
          <w:sz w:val="22"/>
          <w:szCs w:val="22"/>
        </w:rPr>
        <w:t xml:space="preserve"> or other equipment</w:t>
      </w:r>
      <w:r w:rsidR="00DE5501">
        <w:rPr>
          <w:sz w:val="22"/>
          <w:szCs w:val="22"/>
        </w:rPr>
        <w:t xml:space="preserve"> (collectively, “</w:t>
      </w:r>
      <w:r w:rsidR="00DE5501" w:rsidRPr="00CA6D66">
        <w:rPr>
          <w:b/>
          <w:bCs/>
          <w:sz w:val="22"/>
          <w:szCs w:val="22"/>
        </w:rPr>
        <w:t>Equipment</w:t>
      </w:r>
      <w:r w:rsidR="00DE5501">
        <w:rPr>
          <w:sz w:val="22"/>
          <w:szCs w:val="22"/>
        </w:rPr>
        <w:t>”)</w:t>
      </w:r>
      <w:r w:rsidR="00263F7B">
        <w:rPr>
          <w:sz w:val="22"/>
          <w:szCs w:val="22"/>
        </w:rPr>
        <w:t>,</w:t>
      </w:r>
      <w:r w:rsidR="003D24D4">
        <w:rPr>
          <w:sz w:val="22"/>
          <w:szCs w:val="22"/>
        </w:rPr>
        <w:t xml:space="preserve"> </w:t>
      </w:r>
      <w:r w:rsidR="00D669DA">
        <w:rPr>
          <w:sz w:val="22"/>
          <w:szCs w:val="22"/>
        </w:rPr>
        <w:t>these</w:t>
      </w:r>
      <w:r w:rsidR="003D24D4">
        <w:rPr>
          <w:sz w:val="22"/>
          <w:szCs w:val="22"/>
        </w:rPr>
        <w:t xml:space="preserve"> additional</w:t>
      </w:r>
      <w:r w:rsidR="003978C9">
        <w:rPr>
          <w:sz w:val="22"/>
          <w:szCs w:val="22"/>
        </w:rPr>
        <w:t xml:space="preserve"> terms and conditions</w:t>
      </w:r>
      <w:r w:rsidR="00797627">
        <w:rPr>
          <w:sz w:val="22"/>
          <w:szCs w:val="22"/>
        </w:rPr>
        <w:t xml:space="preserve"> shall be incorporated therein</w:t>
      </w:r>
      <w:r w:rsidR="00F446F0">
        <w:rPr>
          <w:sz w:val="22"/>
          <w:szCs w:val="22"/>
        </w:rPr>
        <w:t xml:space="preserve">. </w:t>
      </w:r>
      <w:r w:rsidR="006A78F3">
        <w:rPr>
          <w:sz w:val="22"/>
          <w:szCs w:val="22"/>
        </w:rPr>
        <w:t>The</w:t>
      </w:r>
      <w:r w:rsidR="00304BB8">
        <w:rPr>
          <w:sz w:val="22"/>
          <w:szCs w:val="22"/>
        </w:rPr>
        <w:t>se</w:t>
      </w:r>
      <w:r w:rsidR="006A78F3">
        <w:rPr>
          <w:sz w:val="22"/>
          <w:szCs w:val="22"/>
        </w:rPr>
        <w:t xml:space="preserve"> </w:t>
      </w:r>
      <w:r w:rsidR="00F24643">
        <w:rPr>
          <w:sz w:val="22"/>
          <w:szCs w:val="22"/>
        </w:rPr>
        <w:t xml:space="preserve">obligations and requirements </w:t>
      </w:r>
      <w:r w:rsidR="006A78F3">
        <w:rPr>
          <w:sz w:val="22"/>
          <w:szCs w:val="22"/>
        </w:rPr>
        <w:t xml:space="preserve">shall not </w:t>
      </w:r>
      <w:r w:rsidR="0068394C">
        <w:rPr>
          <w:sz w:val="22"/>
          <w:szCs w:val="22"/>
        </w:rPr>
        <w:t xml:space="preserve">reduce or otherwise limit </w:t>
      </w:r>
      <w:r w:rsidR="006A78F3">
        <w:rPr>
          <w:sz w:val="22"/>
          <w:szCs w:val="22"/>
        </w:rPr>
        <w:t>any obligations set forth in the Purchase Order</w:t>
      </w:r>
      <w:r w:rsidR="00D669DA">
        <w:rPr>
          <w:sz w:val="22"/>
          <w:szCs w:val="22"/>
        </w:rPr>
        <w:t xml:space="preserve"> or any controlling master agreement</w:t>
      </w:r>
      <w:r w:rsidR="006A78F3">
        <w:rPr>
          <w:sz w:val="22"/>
          <w:szCs w:val="22"/>
        </w:rPr>
        <w:t>.</w:t>
      </w:r>
      <w:r w:rsidR="00847744">
        <w:rPr>
          <w:sz w:val="22"/>
          <w:szCs w:val="22"/>
        </w:rPr>
        <w:t xml:space="preserve"> </w:t>
      </w:r>
      <w:r w:rsidR="00847744" w:rsidRPr="00847744">
        <w:rPr>
          <w:sz w:val="22"/>
          <w:szCs w:val="22"/>
        </w:rPr>
        <w:t xml:space="preserve">The references set forth herein (e.g., R1.2.2) concern NERC CIP-013 and are for convenience and reference only. </w:t>
      </w:r>
    </w:p>
    <w:p w14:paraId="4D3DAFBD" w14:textId="77777777" w:rsidR="003A672F" w:rsidRDefault="003A672F" w:rsidP="003A672F">
      <w:pPr>
        <w:pStyle w:val="StyleExhibits"/>
        <w:rPr>
          <w:sz w:val="22"/>
          <w:szCs w:val="22"/>
        </w:rPr>
      </w:pPr>
    </w:p>
    <w:p w14:paraId="5F7FF241" w14:textId="38CBD17B" w:rsidR="00904BA4" w:rsidRDefault="00E20D93" w:rsidP="00E8581D">
      <w:pPr>
        <w:pStyle w:val="StyleExhibits"/>
        <w:numPr>
          <w:ilvl w:val="0"/>
          <w:numId w:val="4"/>
        </w:numPr>
        <w:ind w:left="720" w:hanging="720"/>
        <w:rPr>
          <w:sz w:val="22"/>
          <w:szCs w:val="22"/>
        </w:rPr>
      </w:pPr>
      <w:r w:rsidRPr="008E51DC">
        <w:rPr>
          <w:sz w:val="22"/>
          <w:szCs w:val="22"/>
          <w:u w:val="single"/>
        </w:rPr>
        <w:t>Response Plan</w:t>
      </w:r>
      <w:r>
        <w:rPr>
          <w:sz w:val="22"/>
          <w:szCs w:val="22"/>
        </w:rPr>
        <w:t xml:space="preserve">. </w:t>
      </w:r>
    </w:p>
    <w:p w14:paraId="4FFDE138" w14:textId="7E3030F3" w:rsidR="00904BA4" w:rsidRDefault="00904BA4" w:rsidP="00904BA4">
      <w:pPr>
        <w:pStyle w:val="StyleExhibits"/>
        <w:rPr>
          <w:sz w:val="22"/>
          <w:szCs w:val="22"/>
          <w:u w:val="single"/>
        </w:rPr>
      </w:pPr>
    </w:p>
    <w:p w14:paraId="75394EAE" w14:textId="1F3C6249" w:rsidR="00E20D93" w:rsidRPr="00904BA4" w:rsidRDefault="00DA0D31" w:rsidP="00904BA4">
      <w:pPr>
        <w:pStyle w:val="StyleExhibits"/>
        <w:rPr>
          <w:sz w:val="22"/>
          <w:szCs w:val="22"/>
        </w:rPr>
      </w:pPr>
      <w:r>
        <w:rPr>
          <w:sz w:val="22"/>
          <w:szCs w:val="22"/>
        </w:rPr>
        <w:t>You</w:t>
      </w:r>
      <w:r w:rsidR="00E20D93" w:rsidRPr="00904BA4">
        <w:rPr>
          <w:sz w:val="22"/>
          <w:szCs w:val="22"/>
        </w:rPr>
        <w:t xml:space="preserve"> shall develop and implement p</w:t>
      </w:r>
      <w:r w:rsidR="00E20D93" w:rsidRPr="00CA6D66">
        <w:rPr>
          <w:sz w:val="22"/>
          <w:szCs w:val="22"/>
        </w:rPr>
        <w:t xml:space="preserve">olicies and procedures to address </w:t>
      </w:r>
      <w:r w:rsidR="003630AA" w:rsidRPr="00CA6D66">
        <w:rPr>
          <w:sz w:val="22"/>
          <w:szCs w:val="22"/>
        </w:rPr>
        <w:t xml:space="preserve">a </w:t>
      </w:r>
      <w:r w:rsidR="00E20D93" w:rsidRPr="00CA6D66">
        <w:rPr>
          <w:sz w:val="22"/>
          <w:szCs w:val="22"/>
        </w:rPr>
        <w:t>Security Incident (“</w:t>
      </w:r>
      <w:r w:rsidR="00E20D93" w:rsidRPr="00D22924">
        <w:rPr>
          <w:b/>
          <w:sz w:val="22"/>
        </w:rPr>
        <w:t>Response Plan</w:t>
      </w:r>
      <w:r w:rsidR="00E20D93" w:rsidRPr="00CA6D66">
        <w:rPr>
          <w:sz w:val="22"/>
          <w:szCs w:val="22"/>
        </w:rPr>
        <w:t>”)</w:t>
      </w:r>
      <w:r w:rsidR="003630AA" w:rsidRPr="00CA6D66">
        <w:rPr>
          <w:sz w:val="22"/>
          <w:szCs w:val="22"/>
        </w:rPr>
        <w:t xml:space="preserve">. </w:t>
      </w:r>
      <w:r w:rsidR="00144E52" w:rsidRPr="00CA6D66">
        <w:rPr>
          <w:sz w:val="22"/>
          <w:szCs w:val="22"/>
        </w:rPr>
        <w:t>A “</w:t>
      </w:r>
      <w:r w:rsidR="00144E52" w:rsidRPr="00D22924">
        <w:rPr>
          <w:b/>
          <w:sz w:val="22"/>
        </w:rPr>
        <w:t>Security Incident</w:t>
      </w:r>
      <w:r w:rsidR="00144E52" w:rsidRPr="00CA6D66">
        <w:rPr>
          <w:sz w:val="22"/>
          <w:szCs w:val="22"/>
        </w:rPr>
        <w:t>” shall</w:t>
      </w:r>
      <w:r w:rsidR="00144E52" w:rsidRPr="00904BA4">
        <w:rPr>
          <w:sz w:val="22"/>
          <w:szCs w:val="22"/>
        </w:rPr>
        <w:t xml:space="preserve"> mean </w:t>
      </w:r>
      <w:r w:rsidR="00D82AF8" w:rsidRPr="00904BA4">
        <w:rPr>
          <w:sz w:val="22"/>
          <w:szCs w:val="22"/>
        </w:rPr>
        <w:t xml:space="preserve">any act, error or omission, negligence, misconduct, or breach that compromises or is suspected to compromise </w:t>
      </w:r>
      <w:r w:rsidR="00FD3E02">
        <w:rPr>
          <w:sz w:val="22"/>
          <w:szCs w:val="22"/>
        </w:rPr>
        <w:t xml:space="preserve">(i) </w:t>
      </w:r>
      <w:r w:rsidR="00BC4DA5">
        <w:rPr>
          <w:sz w:val="22"/>
          <w:szCs w:val="22"/>
        </w:rPr>
        <w:t xml:space="preserve">the </w:t>
      </w:r>
      <w:r w:rsidR="00E14893">
        <w:rPr>
          <w:sz w:val="22"/>
          <w:szCs w:val="22"/>
        </w:rPr>
        <w:t>c</w:t>
      </w:r>
      <w:r w:rsidR="00BC4DA5">
        <w:rPr>
          <w:sz w:val="22"/>
          <w:szCs w:val="22"/>
        </w:rPr>
        <w:t>ybersecurity</w:t>
      </w:r>
      <w:r w:rsidR="00E14EA9">
        <w:rPr>
          <w:sz w:val="22"/>
          <w:szCs w:val="22"/>
        </w:rPr>
        <w:t xml:space="preserve"> of </w:t>
      </w:r>
      <w:r w:rsidR="00F141B7">
        <w:rPr>
          <w:sz w:val="22"/>
          <w:szCs w:val="22"/>
        </w:rPr>
        <w:t>y</w:t>
      </w:r>
      <w:r w:rsidR="00912B5D">
        <w:rPr>
          <w:sz w:val="22"/>
          <w:szCs w:val="22"/>
        </w:rPr>
        <w:t>our</w:t>
      </w:r>
      <w:r w:rsidR="00BA5CE9">
        <w:rPr>
          <w:sz w:val="22"/>
          <w:szCs w:val="22"/>
        </w:rPr>
        <w:t xml:space="preserve"> Equipment</w:t>
      </w:r>
      <w:r w:rsidR="000C2560">
        <w:rPr>
          <w:sz w:val="22"/>
          <w:szCs w:val="22"/>
        </w:rPr>
        <w:t>;</w:t>
      </w:r>
      <w:r w:rsidR="00F93957" w:rsidRPr="00904BA4">
        <w:rPr>
          <w:sz w:val="22"/>
          <w:szCs w:val="22"/>
        </w:rPr>
        <w:t xml:space="preserve"> </w:t>
      </w:r>
      <w:r w:rsidR="00D82AF8" w:rsidRPr="00904BA4">
        <w:rPr>
          <w:sz w:val="22"/>
          <w:szCs w:val="22"/>
        </w:rPr>
        <w:t xml:space="preserve">or </w:t>
      </w:r>
      <w:r w:rsidR="000C2560">
        <w:rPr>
          <w:sz w:val="22"/>
          <w:szCs w:val="22"/>
        </w:rPr>
        <w:t xml:space="preserve">(ii) </w:t>
      </w:r>
      <w:r w:rsidR="00D82AF8" w:rsidRPr="00904BA4">
        <w:rPr>
          <w:sz w:val="22"/>
          <w:szCs w:val="22"/>
        </w:rPr>
        <w:t xml:space="preserve">the physical, technical, administrative, or organizational safeguards put in place by </w:t>
      </w:r>
      <w:r w:rsidR="00B36C75">
        <w:rPr>
          <w:sz w:val="22"/>
          <w:szCs w:val="22"/>
        </w:rPr>
        <w:t>y</w:t>
      </w:r>
      <w:r w:rsidR="00912B5D">
        <w:rPr>
          <w:sz w:val="22"/>
          <w:szCs w:val="22"/>
        </w:rPr>
        <w:t>ou</w:t>
      </w:r>
      <w:r w:rsidR="00D82AF8" w:rsidRPr="00904BA4">
        <w:rPr>
          <w:sz w:val="22"/>
          <w:szCs w:val="22"/>
        </w:rPr>
        <w:t xml:space="preserve"> that relate to </w:t>
      </w:r>
      <w:r w:rsidR="00AF5315">
        <w:rPr>
          <w:sz w:val="22"/>
          <w:szCs w:val="22"/>
        </w:rPr>
        <w:t xml:space="preserve">the </w:t>
      </w:r>
      <w:r w:rsidR="00BC5E24">
        <w:rPr>
          <w:sz w:val="22"/>
          <w:szCs w:val="22"/>
        </w:rPr>
        <w:t>cybersecurity contemplated in (i) hereof</w:t>
      </w:r>
      <w:r w:rsidR="00F93957" w:rsidRPr="00904BA4">
        <w:rPr>
          <w:sz w:val="22"/>
          <w:szCs w:val="22"/>
        </w:rPr>
        <w:t>.</w:t>
      </w:r>
      <w:r w:rsidR="00587120" w:rsidRPr="00904BA4">
        <w:rPr>
          <w:sz w:val="22"/>
          <w:szCs w:val="22"/>
        </w:rPr>
        <w:t xml:space="preserve"> </w:t>
      </w:r>
      <w:r w:rsidR="009A7630">
        <w:rPr>
          <w:sz w:val="22"/>
          <w:szCs w:val="22"/>
        </w:rPr>
        <w:t>In addition,</w:t>
      </w:r>
      <w:r w:rsidR="00122DE7">
        <w:rPr>
          <w:sz w:val="22"/>
          <w:szCs w:val="22"/>
        </w:rPr>
        <w:t xml:space="preserve"> the Response Plan shall require </w:t>
      </w:r>
      <w:r w:rsidR="00D669DA">
        <w:rPr>
          <w:sz w:val="22"/>
          <w:szCs w:val="22"/>
        </w:rPr>
        <w:t xml:space="preserve">your </w:t>
      </w:r>
      <w:r w:rsidR="00122DE7">
        <w:rPr>
          <w:sz w:val="22"/>
          <w:szCs w:val="22"/>
        </w:rPr>
        <w:t xml:space="preserve">cooperation </w:t>
      </w:r>
      <w:r w:rsidR="00122DE7" w:rsidRPr="00122DE7">
        <w:rPr>
          <w:sz w:val="22"/>
          <w:szCs w:val="22"/>
        </w:rPr>
        <w:t xml:space="preserve">with Company in investigating the occurrence, including making available all relevant records, logs, files, data reporting, and other materials required to comply with applicable law or as otherwise </w:t>
      </w:r>
      <w:r w:rsidR="00122DE7">
        <w:rPr>
          <w:sz w:val="22"/>
          <w:szCs w:val="22"/>
        </w:rPr>
        <w:t xml:space="preserve">requested </w:t>
      </w:r>
      <w:r w:rsidR="00122DE7" w:rsidRPr="00122DE7">
        <w:rPr>
          <w:sz w:val="22"/>
          <w:szCs w:val="22"/>
        </w:rPr>
        <w:t>by Company</w:t>
      </w:r>
      <w:r w:rsidR="001966F1">
        <w:rPr>
          <w:sz w:val="22"/>
          <w:szCs w:val="22"/>
        </w:rPr>
        <w:t>.</w:t>
      </w:r>
      <w:r w:rsidR="00706DAD">
        <w:rPr>
          <w:sz w:val="22"/>
          <w:szCs w:val="22"/>
        </w:rPr>
        <w:t xml:space="preserve"> See R1.2.2. </w:t>
      </w:r>
    </w:p>
    <w:p w14:paraId="4D400D81" w14:textId="632ECC43" w:rsidR="00E20D93" w:rsidRPr="00E20D93" w:rsidRDefault="00E20D93" w:rsidP="00E20D93">
      <w:pPr>
        <w:pStyle w:val="StyleExhibits"/>
        <w:ind w:left="720"/>
        <w:rPr>
          <w:sz w:val="22"/>
          <w:szCs w:val="22"/>
        </w:rPr>
      </w:pPr>
    </w:p>
    <w:p w14:paraId="4E951E02" w14:textId="581A7786" w:rsidR="00751B34" w:rsidRDefault="00C452AC" w:rsidP="00A911D7">
      <w:pPr>
        <w:pStyle w:val="StyleExhibits"/>
        <w:numPr>
          <w:ilvl w:val="0"/>
          <w:numId w:val="4"/>
        </w:numPr>
        <w:ind w:left="720" w:hanging="720"/>
        <w:rPr>
          <w:sz w:val="22"/>
          <w:szCs w:val="22"/>
        </w:rPr>
      </w:pPr>
      <w:r>
        <w:rPr>
          <w:sz w:val="22"/>
          <w:szCs w:val="22"/>
          <w:u w:val="single"/>
        </w:rPr>
        <w:t xml:space="preserve">Notice and </w:t>
      </w:r>
      <w:r w:rsidR="00660789" w:rsidRPr="0025535D">
        <w:rPr>
          <w:sz w:val="22"/>
          <w:szCs w:val="22"/>
          <w:u w:val="single"/>
        </w:rPr>
        <w:t>Incident Response</w:t>
      </w:r>
      <w:r w:rsidR="00660789">
        <w:rPr>
          <w:sz w:val="22"/>
          <w:szCs w:val="22"/>
        </w:rPr>
        <w:t>.</w:t>
      </w:r>
    </w:p>
    <w:p w14:paraId="743D8896" w14:textId="0A683D4E" w:rsidR="00836307" w:rsidRDefault="00836307" w:rsidP="0025535D">
      <w:pPr>
        <w:pStyle w:val="StyleExhibits"/>
        <w:ind w:left="720"/>
        <w:rPr>
          <w:sz w:val="22"/>
          <w:szCs w:val="22"/>
        </w:rPr>
      </w:pPr>
    </w:p>
    <w:p w14:paraId="283DA6D3" w14:textId="6A935213" w:rsidR="00660789" w:rsidRDefault="00EC4484" w:rsidP="00836307">
      <w:pPr>
        <w:pStyle w:val="StyleExhibits"/>
        <w:numPr>
          <w:ilvl w:val="1"/>
          <w:numId w:val="4"/>
        </w:numPr>
        <w:ind w:left="0" w:firstLine="720"/>
        <w:rPr>
          <w:sz w:val="22"/>
          <w:szCs w:val="22"/>
        </w:rPr>
      </w:pPr>
      <w:r w:rsidRPr="0025535D">
        <w:rPr>
          <w:sz w:val="22"/>
          <w:szCs w:val="22"/>
          <w:u w:val="single"/>
        </w:rPr>
        <w:t>Notice to Company</w:t>
      </w:r>
      <w:r>
        <w:rPr>
          <w:sz w:val="22"/>
          <w:szCs w:val="22"/>
        </w:rPr>
        <w:t xml:space="preserve">. </w:t>
      </w:r>
      <w:r w:rsidR="0000691F">
        <w:rPr>
          <w:sz w:val="22"/>
          <w:szCs w:val="22"/>
        </w:rPr>
        <w:t>You</w:t>
      </w:r>
      <w:r w:rsidR="00F16CFA" w:rsidRPr="00F16CFA">
        <w:rPr>
          <w:sz w:val="22"/>
          <w:szCs w:val="22"/>
        </w:rPr>
        <w:t xml:space="preserve"> </w:t>
      </w:r>
      <w:r w:rsidR="009D6FC2">
        <w:rPr>
          <w:sz w:val="22"/>
          <w:szCs w:val="22"/>
        </w:rPr>
        <w:t xml:space="preserve">shall notify </w:t>
      </w:r>
      <w:r w:rsidR="00B5037E" w:rsidRPr="00F16CFA">
        <w:rPr>
          <w:sz w:val="22"/>
          <w:szCs w:val="22"/>
        </w:rPr>
        <w:t>the Sempra Energy Security Operations Center (</w:t>
      </w:r>
      <w:hyperlink r:id="rId11" w:history="1">
        <w:r w:rsidR="00B5037E" w:rsidRPr="00C24B2D">
          <w:rPr>
            <w:rStyle w:val="Hyperlink"/>
            <w:sz w:val="22"/>
            <w:szCs w:val="22"/>
          </w:rPr>
          <w:t>SOC@sempra.com</w:t>
        </w:r>
      </w:hyperlink>
      <w:r w:rsidR="00B5037E" w:rsidRPr="00836307">
        <w:rPr>
          <w:sz w:val="22"/>
          <w:szCs w:val="22"/>
        </w:rPr>
        <w:t xml:space="preserve"> (858) 613-3278)</w:t>
      </w:r>
      <w:r w:rsidR="00B5037E">
        <w:rPr>
          <w:sz w:val="22"/>
          <w:szCs w:val="22"/>
        </w:rPr>
        <w:t xml:space="preserve"> </w:t>
      </w:r>
      <w:r w:rsidR="0026554A" w:rsidRPr="00691F61">
        <w:rPr>
          <w:color w:val="000000"/>
          <w:sz w:val="22"/>
          <w:szCs w:val="22"/>
        </w:rPr>
        <w:t xml:space="preserve">as soon as </w:t>
      </w:r>
      <w:r w:rsidR="00B10E96">
        <w:rPr>
          <w:color w:val="000000"/>
          <w:sz w:val="22"/>
          <w:szCs w:val="22"/>
        </w:rPr>
        <w:t xml:space="preserve">possible, </w:t>
      </w:r>
      <w:r w:rsidR="0026554A" w:rsidRPr="00691F61">
        <w:rPr>
          <w:color w:val="000000"/>
          <w:sz w:val="22"/>
          <w:szCs w:val="22"/>
        </w:rPr>
        <w:t xml:space="preserve">but no later than twenty-four (24) hours </w:t>
      </w:r>
      <w:r w:rsidR="00B10E96">
        <w:rPr>
          <w:color w:val="000000"/>
          <w:sz w:val="22"/>
          <w:szCs w:val="22"/>
        </w:rPr>
        <w:t>after</w:t>
      </w:r>
      <w:r w:rsidR="0026554A" w:rsidRPr="00691F61">
        <w:rPr>
          <w:color w:val="000000"/>
          <w:sz w:val="22"/>
          <w:szCs w:val="22"/>
        </w:rPr>
        <w:t xml:space="preserve"> becoming aware</w:t>
      </w:r>
      <w:r w:rsidR="00E705C9">
        <w:rPr>
          <w:color w:val="000000"/>
          <w:sz w:val="22"/>
          <w:szCs w:val="22"/>
        </w:rPr>
        <w:t>,</w:t>
      </w:r>
      <w:r w:rsidR="0026554A" w:rsidRPr="00691F61">
        <w:rPr>
          <w:color w:val="000000"/>
          <w:sz w:val="22"/>
          <w:szCs w:val="22"/>
        </w:rPr>
        <w:t xml:space="preserve"> of </w:t>
      </w:r>
      <w:r w:rsidR="0037260D">
        <w:rPr>
          <w:sz w:val="22"/>
          <w:szCs w:val="22"/>
        </w:rPr>
        <w:t>a</w:t>
      </w:r>
      <w:r w:rsidR="00DA2EB0">
        <w:rPr>
          <w:sz w:val="22"/>
          <w:szCs w:val="22"/>
        </w:rPr>
        <w:t>n internal or external</w:t>
      </w:r>
      <w:r w:rsidR="0037260D">
        <w:rPr>
          <w:sz w:val="22"/>
          <w:szCs w:val="22"/>
        </w:rPr>
        <w:t xml:space="preserve"> </w:t>
      </w:r>
      <w:r w:rsidR="0037260D" w:rsidRPr="00AD4E7B">
        <w:rPr>
          <w:sz w:val="22"/>
          <w:szCs w:val="22"/>
        </w:rPr>
        <w:t>Security Incident</w:t>
      </w:r>
      <w:r w:rsidR="000A0351">
        <w:rPr>
          <w:sz w:val="22"/>
          <w:szCs w:val="22"/>
        </w:rPr>
        <w:t xml:space="preserve"> or possible Security Incident</w:t>
      </w:r>
      <w:r w:rsidR="00F16CFA" w:rsidRPr="00836307">
        <w:rPr>
          <w:sz w:val="22"/>
          <w:szCs w:val="22"/>
        </w:rPr>
        <w:t xml:space="preserve">. </w:t>
      </w:r>
      <w:r w:rsidR="00C2026C">
        <w:rPr>
          <w:sz w:val="22"/>
          <w:szCs w:val="22"/>
        </w:rPr>
        <w:t xml:space="preserve">Such notification shall include mitigation efforts to the extent they are not described in the Response </w:t>
      </w:r>
      <w:r w:rsidR="00787461">
        <w:rPr>
          <w:sz w:val="22"/>
          <w:szCs w:val="22"/>
        </w:rPr>
        <w:t>P</w:t>
      </w:r>
      <w:r w:rsidR="00C2026C">
        <w:rPr>
          <w:sz w:val="22"/>
          <w:szCs w:val="22"/>
        </w:rPr>
        <w:t>lan</w:t>
      </w:r>
      <w:r w:rsidR="00F40C09">
        <w:rPr>
          <w:sz w:val="22"/>
          <w:szCs w:val="22"/>
        </w:rPr>
        <w:t>.</w:t>
      </w:r>
      <w:r w:rsidR="00555AE6">
        <w:rPr>
          <w:sz w:val="22"/>
          <w:szCs w:val="22"/>
        </w:rPr>
        <w:t xml:space="preserve">  See R1.2.1</w:t>
      </w:r>
      <w:r w:rsidR="004A3446">
        <w:rPr>
          <w:sz w:val="22"/>
          <w:szCs w:val="22"/>
        </w:rPr>
        <w:t>.</w:t>
      </w:r>
    </w:p>
    <w:p w14:paraId="160066D0" w14:textId="0EA60974" w:rsidR="00CE71A8" w:rsidRPr="0025535D" w:rsidRDefault="00CE71A8" w:rsidP="0025535D">
      <w:pPr>
        <w:pStyle w:val="StyleExhibits"/>
        <w:ind w:left="720"/>
        <w:rPr>
          <w:sz w:val="22"/>
          <w:szCs w:val="22"/>
        </w:rPr>
      </w:pPr>
    </w:p>
    <w:p w14:paraId="1C12757D" w14:textId="3211E42F" w:rsidR="00CE71A8" w:rsidRDefault="00CE71A8" w:rsidP="00CE71A8">
      <w:pPr>
        <w:pStyle w:val="StyleExhibits"/>
        <w:numPr>
          <w:ilvl w:val="1"/>
          <w:numId w:val="4"/>
        </w:numPr>
        <w:ind w:left="0" w:firstLine="720"/>
        <w:rPr>
          <w:sz w:val="22"/>
          <w:szCs w:val="22"/>
        </w:rPr>
      </w:pPr>
      <w:r w:rsidRPr="00C94BC9">
        <w:rPr>
          <w:sz w:val="22"/>
          <w:szCs w:val="22"/>
          <w:u w:val="single"/>
        </w:rPr>
        <w:t xml:space="preserve">Notice to </w:t>
      </w:r>
      <w:r w:rsidR="000F4467">
        <w:rPr>
          <w:sz w:val="22"/>
          <w:szCs w:val="22"/>
          <w:u w:val="single"/>
        </w:rPr>
        <w:t>Third</w:t>
      </w:r>
      <w:r w:rsidRPr="00C94BC9">
        <w:rPr>
          <w:sz w:val="22"/>
          <w:szCs w:val="22"/>
          <w:u w:val="single"/>
        </w:rPr>
        <w:t xml:space="preserve"> Party</w:t>
      </w:r>
      <w:r>
        <w:rPr>
          <w:sz w:val="22"/>
          <w:szCs w:val="22"/>
        </w:rPr>
        <w:t xml:space="preserve">. If </w:t>
      </w:r>
      <w:r w:rsidRPr="0061520D">
        <w:rPr>
          <w:sz w:val="22"/>
          <w:szCs w:val="22"/>
        </w:rPr>
        <w:t xml:space="preserve">a Security Incident </w:t>
      </w:r>
      <w:r>
        <w:rPr>
          <w:sz w:val="22"/>
          <w:szCs w:val="22"/>
        </w:rPr>
        <w:t xml:space="preserve">requires notification </w:t>
      </w:r>
      <w:r w:rsidRPr="0061520D">
        <w:rPr>
          <w:sz w:val="22"/>
          <w:szCs w:val="22"/>
        </w:rPr>
        <w:t xml:space="preserve">to any </w:t>
      </w:r>
      <w:r>
        <w:rPr>
          <w:sz w:val="22"/>
          <w:szCs w:val="22"/>
        </w:rPr>
        <w:t xml:space="preserve">third party, </w:t>
      </w:r>
      <w:r w:rsidRPr="0061520D">
        <w:rPr>
          <w:sz w:val="22"/>
          <w:szCs w:val="22"/>
        </w:rPr>
        <w:t>Company will have sole control over the timing</w:t>
      </w:r>
      <w:r>
        <w:rPr>
          <w:sz w:val="22"/>
          <w:szCs w:val="22"/>
        </w:rPr>
        <w:t>, content</w:t>
      </w:r>
      <w:r w:rsidRPr="0061520D">
        <w:rPr>
          <w:sz w:val="22"/>
          <w:szCs w:val="22"/>
        </w:rPr>
        <w:t xml:space="preserve"> and method of providing such notification. </w:t>
      </w:r>
    </w:p>
    <w:p w14:paraId="646F15E5" w14:textId="736BAD85" w:rsidR="001843DC" w:rsidRDefault="001843DC" w:rsidP="0025535D">
      <w:pPr>
        <w:pStyle w:val="StyleExhibits"/>
        <w:ind w:left="720"/>
        <w:rPr>
          <w:sz w:val="22"/>
          <w:szCs w:val="22"/>
        </w:rPr>
      </w:pPr>
    </w:p>
    <w:p w14:paraId="13C85389" w14:textId="662D57C9" w:rsidR="001843DC" w:rsidRDefault="001843DC" w:rsidP="00CE71A8">
      <w:pPr>
        <w:pStyle w:val="StyleExhibits"/>
        <w:numPr>
          <w:ilvl w:val="1"/>
          <w:numId w:val="4"/>
        </w:numPr>
        <w:ind w:left="0" w:firstLine="720"/>
        <w:rPr>
          <w:sz w:val="22"/>
          <w:szCs w:val="22"/>
        </w:rPr>
      </w:pPr>
      <w:r w:rsidRPr="0025535D">
        <w:rPr>
          <w:sz w:val="22"/>
          <w:szCs w:val="22"/>
          <w:u w:val="single"/>
        </w:rPr>
        <w:t>Incident Response Coordination</w:t>
      </w:r>
      <w:r>
        <w:rPr>
          <w:sz w:val="22"/>
          <w:szCs w:val="22"/>
        </w:rPr>
        <w:t>.</w:t>
      </w:r>
      <w:r w:rsidR="00134DAF">
        <w:rPr>
          <w:sz w:val="22"/>
          <w:szCs w:val="22"/>
        </w:rPr>
        <w:t xml:space="preserve"> </w:t>
      </w:r>
      <w:r w:rsidR="001D5A72">
        <w:rPr>
          <w:sz w:val="22"/>
          <w:szCs w:val="22"/>
        </w:rPr>
        <w:t>Within ten (10) business days</w:t>
      </w:r>
      <w:r w:rsidR="00F361C9">
        <w:rPr>
          <w:sz w:val="22"/>
          <w:szCs w:val="22"/>
        </w:rPr>
        <w:t xml:space="preserve"> </w:t>
      </w:r>
      <w:r w:rsidR="00EE2036">
        <w:rPr>
          <w:sz w:val="22"/>
          <w:szCs w:val="22"/>
        </w:rPr>
        <w:t>of the completion of the Security Incident investigation,</w:t>
      </w:r>
      <w:r w:rsidR="00616931">
        <w:rPr>
          <w:sz w:val="22"/>
          <w:szCs w:val="22"/>
        </w:rPr>
        <w:t xml:space="preserve"> </w:t>
      </w:r>
      <w:r w:rsidR="00AF6468">
        <w:rPr>
          <w:sz w:val="22"/>
          <w:szCs w:val="22"/>
        </w:rPr>
        <w:t>you</w:t>
      </w:r>
      <w:r w:rsidR="00616931">
        <w:rPr>
          <w:sz w:val="22"/>
          <w:szCs w:val="22"/>
        </w:rPr>
        <w:t xml:space="preserve"> shall</w:t>
      </w:r>
      <w:r w:rsidR="00673E41">
        <w:rPr>
          <w:sz w:val="22"/>
          <w:szCs w:val="22"/>
        </w:rPr>
        <w:t xml:space="preserve"> </w:t>
      </w:r>
      <w:r w:rsidR="00471333">
        <w:rPr>
          <w:sz w:val="22"/>
          <w:szCs w:val="22"/>
        </w:rPr>
        <w:t xml:space="preserve">provide </w:t>
      </w:r>
      <w:r w:rsidR="00673E41">
        <w:rPr>
          <w:sz w:val="22"/>
          <w:szCs w:val="22"/>
        </w:rPr>
        <w:t>recommend</w:t>
      </w:r>
      <w:r w:rsidR="0097410D">
        <w:rPr>
          <w:sz w:val="22"/>
          <w:szCs w:val="22"/>
        </w:rPr>
        <w:t>ed</w:t>
      </w:r>
      <w:r w:rsidR="00673E41">
        <w:rPr>
          <w:sz w:val="22"/>
          <w:szCs w:val="22"/>
        </w:rPr>
        <w:t xml:space="preserve"> actions</w:t>
      </w:r>
      <w:r w:rsidR="00850C56">
        <w:rPr>
          <w:sz w:val="22"/>
          <w:szCs w:val="22"/>
        </w:rPr>
        <w:t>, including mitigation controls,</w:t>
      </w:r>
      <w:r w:rsidR="00673E41">
        <w:rPr>
          <w:sz w:val="22"/>
          <w:szCs w:val="22"/>
        </w:rPr>
        <w:t xml:space="preserve"> to be taken by Company on Company control systems to reduce the risk of a recurrence of the same or a similar Security Incide</w:t>
      </w:r>
      <w:r w:rsidR="00FC33CB">
        <w:rPr>
          <w:sz w:val="22"/>
          <w:szCs w:val="22"/>
        </w:rPr>
        <w:t>nt.</w:t>
      </w:r>
      <w:r w:rsidR="00B07C2C">
        <w:rPr>
          <w:sz w:val="22"/>
          <w:szCs w:val="22"/>
        </w:rPr>
        <w:t xml:space="preserve"> In addition,</w:t>
      </w:r>
      <w:r w:rsidR="00F87318">
        <w:rPr>
          <w:sz w:val="22"/>
          <w:szCs w:val="22"/>
        </w:rPr>
        <w:t xml:space="preserve"> </w:t>
      </w:r>
      <w:r w:rsidR="00B964FD">
        <w:rPr>
          <w:sz w:val="22"/>
          <w:szCs w:val="22"/>
        </w:rPr>
        <w:t>you</w:t>
      </w:r>
      <w:r w:rsidR="00F87318">
        <w:rPr>
          <w:sz w:val="22"/>
          <w:szCs w:val="22"/>
        </w:rPr>
        <w:t xml:space="preserve"> shall</w:t>
      </w:r>
      <w:r w:rsidR="006659D9">
        <w:rPr>
          <w:sz w:val="22"/>
          <w:szCs w:val="22"/>
        </w:rPr>
        <w:t xml:space="preserve"> </w:t>
      </w:r>
      <w:r w:rsidR="006659D9">
        <w:rPr>
          <w:color w:val="000000"/>
          <w:sz w:val="22"/>
          <w:szCs w:val="22"/>
        </w:rPr>
        <w:t>make</w:t>
      </w:r>
      <w:r w:rsidR="006659D9" w:rsidRPr="00691F61">
        <w:rPr>
          <w:color w:val="000000"/>
          <w:sz w:val="22"/>
          <w:szCs w:val="22"/>
        </w:rPr>
        <w:t xml:space="preserve"> available all relevant records, logs, files, data reporting, and other materials </w:t>
      </w:r>
      <w:r w:rsidR="00F95707">
        <w:rPr>
          <w:color w:val="000000"/>
          <w:sz w:val="22"/>
          <w:szCs w:val="22"/>
        </w:rPr>
        <w:t xml:space="preserve">to assist Company </w:t>
      </w:r>
      <w:r w:rsidR="00C474D2">
        <w:rPr>
          <w:color w:val="000000"/>
          <w:sz w:val="22"/>
          <w:szCs w:val="22"/>
        </w:rPr>
        <w:t xml:space="preserve">in any recovery efforts undertaken by </w:t>
      </w:r>
      <w:r w:rsidR="006659D9" w:rsidRPr="00691F61">
        <w:rPr>
          <w:color w:val="000000"/>
          <w:sz w:val="22"/>
          <w:szCs w:val="22"/>
        </w:rPr>
        <w:t>Company</w:t>
      </w:r>
      <w:r w:rsidR="00C474D2">
        <w:rPr>
          <w:color w:val="000000"/>
          <w:sz w:val="22"/>
          <w:szCs w:val="22"/>
        </w:rPr>
        <w:t>.</w:t>
      </w:r>
      <w:r w:rsidR="009C1AB6">
        <w:rPr>
          <w:color w:val="000000"/>
          <w:sz w:val="22"/>
          <w:szCs w:val="22"/>
        </w:rPr>
        <w:t xml:space="preserve">  See R1.2.1</w:t>
      </w:r>
      <w:r w:rsidR="00A01726">
        <w:rPr>
          <w:color w:val="000000"/>
          <w:sz w:val="22"/>
          <w:szCs w:val="22"/>
        </w:rPr>
        <w:t xml:space="preserve"> and R1.2.2</w:t>
      </w:r>
      <w:r w:rsidR="009C1AB6">
        <w:rPr>
          <w:color w:val="000000"/>
          <w:sz w:val="22"/>
          <w:szCs w:val="22"/>
        </w:rPr>
        <w:t>.</w:t>
      </w:r>
    </w:p>
    <w:p w14:paraId="6520B582" w14:textId="77777777" w:rsidR="00836307" w:rsidRPr="00836307" w:rsidRDefault="00836307" w:rsidP="0025535D">
      <w:pPr>
        <w:pStyle w:val="StyleExhibits"/>
        <w:ind w:left="720"/>
        <w:rPr>
          <w:sz w:val="22"/>
          <w:szCs w:val="22"/>
        </w:rPr>
      </w:pPr>
    </w:p>
    <w:p w14:paraId="7C6AD95B" w14:textId="783CFBC5" w:rsidR="00C60040" w:rsidRDefault="0022686A" w:rsidP="00D22924">
      <w:pPr>
        <w:pStyle w:val="StyleExhibits"/>
        <w:numPr>
          <w:ilvl w:val="0"/>
          <w:numId w:val="4"/>
        </w:numPr>
        <w:ind w:left="0" w:firstLine="0"/>
        <w:rPr>
          <w:sz w:val="22"/>
          <w:szCs w:val="22"/>
        </w:rPr>
      </w:pPr>
      <w:r w:rsidRPr="0022686A">
        <w:rPr>
          <w:sz w:val="22"/>
          <w:szCs w:val="22"/>
          <w:u w:val="single"/>
        </w:rPr>
        <w:t>Access Restrictions</w:t>
      </w:r>
      <w:r>
        <w:rPr>
          <w:sz w:val="22"/>
          <w:szCs w:val="22"/>
        </w:rPr>
        <w:t xml:space="preserve">. </w:t>
      </w:r>
    </w:p>
    <w:p w14:paraId="615D10AB" w14:textId="77777777" w:rsidR="00C60040" w:rsidRDefault="00C60040" w:rsidP="00C60040">
      <w:pPr>
        <w:pStyle w:val="StyleExhibits"/>
        <w:rPr>
          <w:sz w:val="22"/>
          <w:szCs w:val="22"/>
          <w:u w:val="single"/>
        </w:rPr>
      </w:pPr>
    </w:p>
    <w:p w14:paraId="7390D9C5" w14:textId="2BC5606A" w:rsidR="00AB7ACF" w:rsidRDefault="002B7E69" w:rsidP="00D22924">
      <w:pPr>
        <w:pStyle w:val="StyleExhibits"/>
        <w:rPr>
          <w:sz w:val="22"/>
          <w:szCs w:val="22"/>
        </w:rPr>
      </w:pPr>
      <w:r>
        <w:rPr>
          <w:sz w:val="22"/>
          <w:szCs w:val="22"/>
        </w:rPr>
        <w:t>You</w:t>
      </w:r>
      <w:r w:rsidR="001A66DE">
        <w:rPr>
          <w:sz w:val="22"/>
          <w:szCs w:val="22"/>
        </w:rPr>
        <w:t xml:space="preserve"> shall </w:t>
      </w:r>
      <w:r w:rsidR="00E92530">
        <w:rPr>
          <w:sz w:val="22"/>
          <w:szCs w:val="22"/>
        </w:rPr>
        <w:t xml:space="preserve">(i) </w:t>
      </w:r>
      <w:r w:rsidR="001A66DE">
        <w:rPr>
          <w:sz w:val="22"/>
          <w:szCs w:val="22"/>
        </w:rPr>
        <w:t>not</w:t>
      </w:r>
      <w:r w:rsidR="00A144F0">
        <w:rPr>
          <w:sz w:val="22"/>
          <w:szCs w:val="22"/>
        </w:rPr>
        <w:t xml:space="preserve"> permit </w:t>
      </w:r>
      <w:r>
        <w:rPr>
          <w:sz w:val="22"/>
          <w:szCs w:val="22"/>
        </w:rPr>
        <w:t xml:space="preserve">your employees or anyone operating on your behalf </w:t>
      </w:r>
      <w:r w:rsidR="001309C5">
        <w:rPr>
          <w:sz w:val="22"/>
          <w:szCs w:val="22"/>
        </w:rPr>
        <w:t xml:space="preserve">to </w:t>
      </w:r>
      <w:r w:rsidR="002C48BD">
        <w:rPr>
          <w:sz w:val="22"/>
          <w:szCs w:val="22"/>
        </w:rPr>
        <w:t>access Company’s property, systems, or networks</w:t>
      </w:r>
      <w:r w:rsidR="007A7C9E">
        <w:rPr>
          <w:sz w:val="22"/>
          <w:szCs w:val="22"/>
        </w:rPr>
        <w:t xml:space="preserve"> except to the extent required for</w:t>
      </w:r>
      <w:r w:rsidR="00DE5501">
        <w:rPr>
          <w:sz w:val="22"/>
          <w:szCs w:val="22"/>
        </w:rPr>
        <w:t xml:space="preserve"> installation </w:t>
      </w:r>
      <w:r w:rsidR="007B667B">
        <w:rPr>
          <w:sz w:val="22"/>
          <w:szCs w:val="22"/>
        </w:rPr>
        <w:t xml:space="preserve">the Equipment </w:t>
      </w:r>
      <w:r w:rsidR="000651DA">
        <w:rPr>
          <w:sz w:val="22"/>
          <w:szCs w:val="22"/>
        </w:rPr>
        <w:t>a</w:t>
      </w:r>
      <w:r w:rsidR="00E92530">
        <w:rPr>
          <w:sz w:val="22"/>
          <w:szCs w:val="22"/>
        </w:rPr>
        <w:t>nd</w:t>
      </w:r>
      <w:r w:rsidR="0004597F">
        <w:rPr>
          <w:sz w:val="22"/>
          <w:szCs w:val="22"/>
        </w:rPr>
        <w:t xml:space="preserve"> </w:t>
      </w:r>
      <w:r w:rsidR="00E92530">
        <w:rPr>
          <w:sz w:val="22"/>
          <w:szCs w:val="22"/>
        </w:rPr>
        <w:t xml:space="preserve">(ii) </w:t>
      </w:r>
      <w:r w:rsidR="007469EF">
        <w:rPr>
          <w:sz w:val="22"/>
          <w:szCs w:val="22"/>
        </w:rPr>
        <w:t>take all necessary action</w:t>
      </w:r>
      <w:r w:rsidR="00E13050">
        <w:rPr>
          <w:sz w:val="22"/>
          <w:szCs w:val="22"/>
        </w:rPr>
        <w:t>(s)</w:t>
      </w:r>
      <w:r w:rsidR="007469EF">
        <w:rPr>
          <w:sz w:val="22"/>
          <w:szCs w:val="22"/>
        </w:rPr>
        <w:t xml:space="preserve"> to immediately </w:t>
      </w:r>
      <w:r w:rsidR="00E92530">
        <w:rPr>
          <w:sz w:val="22"/>
          <w:szCs w:val="22"/>
        </w:rPr>
        <w:t xml:space="preserve">remove </w:t>
      </w:r>
      <w:r w:rsidR="00176D52">
        <w:rPr>
          <w:sz w:val="22"/>
          <w:szCs w:val="22"/>
        </w:rPr>
        <w:t xml:space="preserve">access to the </w:t>
      </w:r>
      <w:r w:rsidR="00E710EF">
        <w:rPr>
          <w:sz w:val="22"/>
          <w:szCs w:val="22"/>
        </w:rPr>
        <w:t>Company</w:t>
      </w:r>
      <w:r w:rsidR="005C0E53">
        <w:rPr>
          <w:sz w:val="22"/>
          <w:szCs w:val="22"/>
        </w:rPr>
        <w:t>’</w:t>
      </w:r>
      <w:r w:rsidR="00947D86">
        <w:rPr>
          <w:sz w:val="22"/>
          <w:szCs w:val="22"/>
        </w:rPr>
        <w:t>s property, network, or systems (</w:t>
      </w:r>
      <w:r w:rsidR="001F7AE0">
        <w:rPr>
          <w:sz w:val="22"/>
          <w:szCs w:val="22"/>
        </w:rPr>
        <w:t xml:space="preserve">and </w:t>
      </w:r>
      <w:r w:rsidR="001C5C5C">
        <w:rPr>
          <w:sz w:val="22"/>
          <w:szCs w:val="22"/>
        </w:rPr>
        <w:t>immediately</w:t>
      </w:r>
      <w:r w:rsidR="00FA256C">
        <w:rPr>
          <w:sz w:val="22"/>
          <w:szCs w:val="22"/>
        </w:rPr>
        <w:t>,</w:t>
      </w:r>
      <w:r w:rsidR="001C5C5C">
        <w:rPr>
          <w:sz w:val="22"/>
          <w:szCs w:val="22"/>
        </w:rPr>
        <w:t xml:space="preserve"> </w:t>
      </w:r>
      <w:r w:rsidR="001F7AE0">
        <w:rPr>
          <w:sz w:val="22"/>
          <w:szCs w:val="22"/>
        </w:rPr>
        <w:t xml:space="preserve">notify Company </w:t>
      </w:r>
      <w:r w:rsidR="00AF787D">
        <w:rPr>
          <w:sz w:val="22"/>
          <w:szCs w:val="22"/>
        </w:rPr>
        <w:t xml:space="preserve">in writing </w:t>
      </w:r>
      <w:r w:rsidR="001F7AE0">
        <w:rPr>
          <w:sz w:val="22"/>
          <w:szCs w:val="22"/>
        </w:rPr>
        <w:t xml:space="preserve">of such removal) </w:t>
      </w:r>
      <w:r w:rsidR="009B62CB">
        <w:rPr>
          <w:sz w:val="22"/>
          <w:szCs w:val="22"/>
        </w:rPr>
        <w:t xml:space="preserve">upon </w:t>
      </w:r>
      <w:r w:rsidR="002D7E1B">
        <w:rPr>
          <w:sz w:val="22"/>
          <w:szCs w:val="22"/>
        </w:rPr>
        <w:t xml:space="preserve">such installation of the Equipment. </w:t>
      </w:r>
    </w:p>
    <w:p w14:paraId="4AAE0214" w14:textId="74E30850" w:rsidR="00385396" w:rsidRDefault="00385396" w:rsidP="00D22924">
      <w:pPr>
        <w:pStyle w:val="StyleExhibits"/>
        <w:ind w:left="2160"/>
        <w:rPr>
          <w:sz w:val="22"/>
          <w:szCs w:val="22"/>
        </w:rPr>
      </w:pPr>
    </w:p>
    <w:p w14:paraId="5A18AEA9" w14:textId="3C783BEA" w:rsidR="0086787B" w:rsidRPr="0061520D" w:rsidRDefault="00E7044E" w:rsidP="007A2106">
      <w:pPr>
        <w:pStyle w:val="StyleExhibits"/>
        <w:numPr>
          <w:ilvl w:val="0"/>
          <w:numId w:val="4"/>
        </w:numPr>
        <w:ind w:left="720" w:hanging="720"/>
        <w:rPr>
          <w:sz w:val="22"/>
          <w:szCs w:val="22"/>
        </w:rPr>
      </w:pPr>
      <w:r w:rsidRPr="00E7044E">
        <w:rPr>
          <w:sz w:val="22"/>
          <w:szCs w:val="22"/>
          <w:u w:val="single"/>
        </w:rPr>
        <w:t>Supply Chain Standards</w:t>
      </w:r>
      <w:r w:rsidR="003606E3">
        <w:rPr>
          <w:sz w:val="22"/>
          <w:szCs w:val="22"/>
          <w:u w:val="single"/>
        </w:rPr>
        <w:t xml:space="preserve">; </w:t>
      </w:r>
      <w:r w:rsidR="008839ED" w:rsidRPr="008839ED">
        <w:rPr>
          <w:sz w:val="22"/>
          <w:szCs w:val="22"/>
          <w:u w:val="single"/>
        </w:rPr>
        <w:t>Hardware, Firmware, Software, and Patch Integrity</w:t>
      </w:r>
      <w:r>
        <w:rPr>
          <w:sz w:val="22"/>
          <w:szCs w:val="22"/>
        </w:rPr>
        <w:t>.</w:t>
      </w:r>
      <w:r w:rsidR="00DA30E9">
        <w:rPr>
          <w:sz w:val="22"/>
          <w:szCs w:val="22"/>
        </w:rPr>
        <w:t xml:space="preserve">  </w:t>
      </w:r>
    </w:p>
    <w:p w14:paraId="527707AF" w14:textId="77777777" w:rsidR="0086787B" w:rsidRPr="000B4AD6" w:rsidRDefault="0086787B" w:rsidP="00D22924">
      <w:pPr>
        <w:pStyle w:val="StyleExhibits"/>
        <w:rPr>
          <w:sz w:val="22"/>
          <w:szCs w:val="22"/>
        </w:rPr>
      </w:pPr>
    </w:p>
    <w:p w14:paraId="021BD8CB" w14:textId="310BC5FC" w:rsidR="006F04B6" w:rsidRPr="0086787B" w:rsidRDefault="00A966D3" w:rsidP="0086787B">
      <w:pPr>
        <w:pStyle w:val="StyleExhibits"/>
        <w:rPr>
          <w:sz w:val="22"/>
          <w:szCs w:val="22"/>
        </w:rPr>
      </w:pPr>
      <w:r w:rsidRPr="00592A9E">
        <w:rPr>
          <w:sz w:val="22"/>
          <w:szCs w:val="22"/>
        </w:rPr>
        <w:t>You</w:t>
      </w:r>
      <w:r w:rsidR="007C55B0" w:rsidRPr="00592A9E">
        <w:rPr>
          <w:sz w:val="22"/>
          <w:szCs w:val="22"/>
        </w:rPr>
        <w:t xml:space="preserve"> shall establish,</w:t>
      </w:r>
      <w:r w:rsidR="005A182D" w:rsidRPr="00592A9E">
        <w:rPr>
          <w:sz w:val="22"/>
          <w:szCs w:val="22"/>
        </w:rPr>
        <w:t xml:space="preserve"> document, and</w:t>
      </w:r>
      <w:r w:rsidR="005A182D" w:rsidRPr="0086787B">
        <w:rPr>
          <w:sz w:val="22"/>
          <w:szCs w:val="22"/>
        </w:rPr>
        <w:t xml:space="preserve"> implement appropriate risk management practices for supply chain delivery of </w:t>
      </w:r>
      <w:r w:rsidR="007129E1" w:rsidRPr="0086787B">
        <w:rPr>
          <w:sz w:val="22"/>
          <w:szCs w:val="22"/>
        </w:rPr>
        <w:t xml:space="preserve">the Equipment </w:t>
      </w:r>
      <w:r w:rsidR="005A182D" w:rsidRPr="0086787B">
        <w:rPr>
          <w:sz w:val="22"/>
          <w:szCs w:val="22"/>
        </w:rPr>
        <w:t>(including</w:t>
      </w:r>
      <w:r w:rsidR="00793B72" w:rsidRPr="0086787B">
        <w:rPr>
          <w:sz w:val="22"/>
          <w:szCs w:val="22"/>
        </w:rPr>
        <w:t xml:space="preserve"> </w:t>
      </w:r>
      <w:r w:rsidR="008101E9" w:rsidRPr="0086787B">
        <w:rPr>
          <w:sz w:val="22"/>
          <w:szCs w:val="22"/>
        </w:rPr>
        <w:t xml:space="preserve">patches, </w:t>
      </w:r>
      <w:r w:rsidR="00793B72" w:rsidRPr="0086787B">
        <w:rPr>
          <w:sz w:val="22"/>
          <w:szCs w:val="22"/>
        </w:rPr>
        <w:t>enhancements, updates, or upgrades</w:t>
      </w:r>
      <w:r w:rsidR="00E42608" w:rsidRPr="0086787B">
        <w:rPr>
          <w:sz w:val="22"/>
          <w:szCs w:val="22"/>
        </w:rPr>
        <w:t xml:space="preserve">, the </w:t>
      </w:r>
      <w:r w:rsidR="0072769A" w:rsidRPr="0086787B">
        <w:rPr>
          <w:sz w:val="22"/>
          <w:szCs w:val="22"/>
        </w:rPr>
        <w:t>“</w:t>
      </w:r>
      <w:r w:rsidR="007D5B9B" w:rsidRPr="00D22924">
        <w:rPr>
          <w:b/>
          <w:sz w:val="22"/>
        </w:rPr>
        <w:t>Supply Chain Documentation</w:t>
      </w:r>
      <w:r w:rsidR="007D5B9B" w:rsidRPr="0086787B">
        <w:rPr>
          <w:sz w:val="22"/>
          <w:szCs w:val="22"/>
        </w:rPr>
        <w:t>”)</w:t>
      </w:r>
      <w:r w:rsidR="003E230C" w:rsidRPr="0086787B">
        <w:rPr>
          <w:sz w:val="22"/>
          <w:szCs w:val="22"/>
        </w:rPr>
        <w:t>.</w:t>
      </w:r>
      <w:r w:rsidR="00D83D85" w:rsidRPr="0086787B">
        <w:rPr>
          <w:sz w:val="22"/>
          <w:szCs w:val="22"/>
        </w:rPr>
        <w:t xml:space="preserve"> The Supply Chain Documentation shall include, without limitation, </w:t>
      </w:r>
      <w:r w:rsidR="00E42608" w:rsidRPr="0086787B">
        <w:rPr>
          <w:sz w:val="22"/>
          <w:szCs w:val="22"/>
        </w:rPr>
        <w:t xml:space="preserve">your </w:t>
      </w:r>
      <w:r w:rsidR="00D83D85" w:rsidRPr="0086787B">
        <w:rPr>
          <w:sz w:val="22"/>
          <w:szCs w:val="22"/>
        </w:rPr>
        <w:t xml:space="preserve">chain of </w:t>
      </w:r>
      <w:r w:rsidR="00D83D85" w:rsidRPr="0086787B">
        <w:rPr>
          <w:sz w:val="22"/>
          <w:szCs w:val="22"/>
        </w:rPr>
        <w:lastRenderedPageBreak/>
        <w:t>custody practices</w:t>
      </w:r>
      <w:r w:rsidR="002974F9" w:rsidRPr="0086787B">
        <w:rPr>
          <w:sz w:val="22"/>
          <w:szCs w:val="22"/>
        </w:rPr>
        <w:t>, inventory management,</w:t>
      </w:r>
      <w:r w:rsidR="00DE34A8" w:rsidRPr="0086787B">
        <w:rPr>
          <w:sz w:val="22"/>
          <w:szCs w:val="22"/>
        </w:rPr>
        <w:t xml:space="preserve"> encryption methods </w:t>
      </w:r>
      <w:r w:rsidR="00BF2334" w:rsidRPr="0086787B">
        <w:rPr>
          <w:sz w:val="22"/>
          <w:szCs w:val="22"/>
        </w:rPr>
        <w:t xml:space="preserve">to ensure </w:t>
      </w:r>
      <w:r w:rsidR="00AA7FFE" w:rsidRPr="0086787B">
        <w:rPr>
          <w:sz w:val="22"/>
          <w:szCs w:val="22"/>
        </w:rPr>
        <w:t>digital deliver</w:t>
      </w:r>
      <w:r w:rsidR="00E65BCD" w:rsidRPr="0086787B">
        <w:rPr>
          <w:sz w:val="22"/>
          <w:szCs w:val="22"/>
        </w:rPr>
        <w:t>y</w:t>
      </w:r>
      <w:r w:rsidR="00AA7FFE" w:rsidRPr="0086787B">
        <w:rPr>
          <w:sz w:val="22"/>
          <w:szCs w:val="22"/>
        </w:rPr>
        <w:t xml:space="preserve"> remains as specified</w:t>
      </w:r>
      <w:r w:rsidR="003A4C87" w:rsidRPr="0086787B">
        <w:rPr>
          <w:sz w:val="22"/>
          <w:szCs w:val="22"/>
        </w:rPr>
        <w:t xml:space="preserve"> </w:t>
      </w:r>
      <w:r w:rsidR="00D875C0" w:rsidRPr="0086787B">
        <w:rPr>
          <w:sz w:val="22"/>
          <w:szCs w:val="22"/>
        </w:rPr>
        <w:t>and</w:t>
      </w:r>
      <w:r w:rsidR="001D13FF" w:rsidRPr="0086787B">
        <w:rPr>
          <w:sz w:val="22"/>
          <w:szCs w:val="22"/>
        </w:rPr>
        <w:t xml:space="preserve"> set forth in the </w:t>
      </w:r>
      <w:r w:rsidR="00592A9E" w:rsidRPr="0086787B">
        <w:rPr>
          <w:sz w:val="22"/>
          <w:szCs w:val="22"/>
        </w:rPr>
        <w:t>Purchase Order</w:t>
      </w:r>
      <w:r w:rsidR="00AA7FFE" w:rsidRPr="0086787B">
        <w:rPr>
          <w:sz w:val="22"/>
          <w:szCs w:val="22"/>
        </w:rPr>
        <w:t>.</w:t>
      </w:r>
      <w:r w:rsidR="00D1250C" w:rsidRPr="0086787B">
        <w:rPr>
          <w:sz w:val="22"/>
          <w:szCs w:val="22"/>
        </w:rPr>
        <w:t xml:space="preserve"> </w:t>
      </w:r>
      <w:r w:rsidR="00290001" w:rsidRPr="0086787B">
        <w:rPr>
          <w:sz w:val="22"/>
          <w:szCs w:val="22"/>
        </w:rPr>
        <w:t xml:space="preserve">In addition, </w:t>
      </w:r>
      <w:r w:rsidR="00592A9E" w:rsidRPr="0086787B">
        <w:rPr>
          <w:sz w:val="22"/>
          <w:szCs w:val="22"/>
        </w:rPr>
        <w:t xml:space="preserve">you </w:t>
      </w:r>
      <w:r w:rsidR="004F42A7" w:rsidRPr="0086787B">
        <w:rPr>
          <w:sz w:val="22"/>
          <w:szCs w:val="22"/>
        </w:rPr>
        <w:t>shall publish or provide a has</w:t>
      </w:r>
      <w:r w:rsidR="007E3A3B" w:rsidRPr="0086787B">
        <w:rPr>
          <w:sz w:val="22"/>
          <w:szCs w:val="22"/>
        </w:rPr>
        <w:t>h</w:t>
      </w:r>
      <w:r w:rsidR="004F42A7" w:rsidRPr="0086787B">
        <w:rPr>
          <w:sz w:val="22"/>
          <w:szCs w:val="22"/>
        </w:rPr>
        <w:t xml:space="preserve"> </w:t>
      </w:r>
      <w:r w:rsidR="006C7885" w:rsidRPr="0086787B">
        <w:rPr>
          <w:sz w:val="22"/>
          <w:szCs w:val="22"/>
        </w:rPr>
        <w:t xml:space="preserve">satisfying the requirements of </w:t>
      </w:r>
      <w:r w:rsidR="00AD6D8F" w:rsidRPr="0086787B">
        <w:rPr>
          <w:sz w:val="22"/>
          <w:szCs w:val="22"/>
        </w:rPr>
        <w:t>the Federal Information Processing Standard (FIPS) Security Requirements for Cryptographic Modules</w:t>
      </w:r>
      <w:r w:rsidR="00D669DA">
        <w:rPr>
          <w:sz w:val="22"/>
          <w:szCs w:val="22"/>
        </w:rPr>
        <w:t xml:space="preserve"> </w:t>
      </w:r>
      <w:r w:rsidR="00AD6D8F" w:rsidRPr="0086787B">
        <w:rPr>
          <w:sz w:val="22"/>
          <w:szCs w:val="22"/>
        </w:rPr>
        <w:t>140-2</w:t>
      </w:r>
      <w:r w:rsidR="006C7885" w:rsidRPr="0086787B">
        <w:rPr>
          <w:sz w:val="22"/>
          <w:szCs w:val="22"/>
        </w:rPr>
        <w:t xml:space="preserve"> (or its successor standard)</w:t>
      </w:r>
      <w:r w:rsidR="00403B70" w:rsidRPr="0086787B">
        <w:rPr>
          <w:sz w:val="22"/>
          <w:szCs w:val="22"/>
        </w:rPr>
        <w:t xml:space="preserve"> for software or patches provided to Company hereunder</w:t>
      </w:r>
      <w:r w:rsidR="00E32F43" w:rsidRPr="0086787B">
        <w:rPr>
          <w:sz w:val="22"/>
          <w:szCs w:val="22"/>
        </w:rPr>
        <w:t xml:space="preserve"> (collectively, “</w:t>
      </w:r>
      <w:r w:rsidR="00E32F43" w:rsidRPr="00D22924">
        <w:rPr>
          <w:b/>
          <w:sz w:val="22"/>
        </w:rPr>
        <w:t>Patches</w:t>
      </w:r>
      <w:r w:rsidR="00E32F43" w:rsidRPr="0086787B">
        <w:rPr>
          <w:sz w:val="22"/>
          <w:szCs w:val="22"/>
        </w:rPr>
        <w:t>”)</w:t>
      </w:r>
      <w:r w:rsidR="00403B70" w:rsidRPr="0086787B">
        <w:rPr>
          <w:sz w:val="22"/>
          <w:szCs w:val="22"/>
        </w:rPr>
        <w:t xml:space="preserve">. </w:t>
      </w:r>
      <w:r w:rsidR="009F2DF7" w:rsidRPr="0086787B">
        <w:rPr>
          <w:sz w:val="22"/>
          <w:szCs w:val="22"/>
        </w:rPr>
        <w:t>If such ha</w:t>
      </w:r>
      <w:r w:rsidR="00F67B03" w:rsidRPr="0086787B">
        <w:rPr>
          <w:sz w:val="22"/>
          <w:szCs w:val="22"/>
        </w:rPr>
        <w:t xml:space="preserve">sh is unavailable, </w:t>
      </w:r>
      <w:r w:rsidR="007A503F">
        <w:rPr>
          <w:sz w:val="22"/>
          <w:szCs w:val="22"/>
        </w:rPr>
        <w:t>y</w:t>
      </w:r>
      <w:r w:rsidR="00AD08C6">
        <w:rPr>
          <w:sz w:val="22"/>
          <w:szCs w:val="22"/>
        </w:rPr>
        <w:t>ou</w:t>
      </w:r>
      <w:r w:rsidR="00AD08C6" w:rsidRPr="0086787B">
        <w:rPr>
          <w:sz w:val="22"/>
          <w:szCs w:val="22"/>
        </w:rPr>
        <w:t xml:space="preserve"> </w:t>
      </w:r>
      <w:r w:rsidR="00F67B03" w:rsidRPr="0086787B">
        <w:rPr>
          <w:sz w:val="22"/>
          <w:szCs w:val="22"/>
        </w:rPr>
        <w:t xml:space="preserve">shall provide </w:t>
      </w:r>
      <w:r w:rsidR="00AD6D8F" w:rsidRPr="0086787B">
        <w:rPr>
          <w:sz w:val="22"/>
          <w:szCs w:val="22"/>
        </w:rPr>
        <w:t xml:space="preserve">similar standard information on the </w:t>
      </w:r>
      <w:r w:rsidR="0035356E" w:rsidRPr="0086787B">
        <w:rPr>
          <w:sz w:val="22"/>
          <w:szCs w:val="22"/>
        </w:rPr>
        <w:t>P</w:t>
      </w:r>
      <w:r w:rsidR="00AD6D8F" w:rsidRPr="0086787B">
        <w:rPr>
          <w:sz w:val="22"/>
          <w:szCs w:val="22"/>
        </w:rPr>
        <w:t>atches to enable Company to</w:t>
      </w:r>
      <w:r w:rsidR="000507A7" w:rsidRPr="0086787B">
        <w:rPr>
          <w:sz w:val="22"/>
          <w:szCs w:val="22"/>
        </w:rPr>
        <w:t xml:space="preserve"> </w:t>
      </w:r>
      <w:r w:rsidR="00AD6D8F" w:rsidRPr="0086787B">
        <w:rPr>
          <w:sz w:val="22"/>
          <w:szCs w:val="22"/>
        </w:rPr>
        <w:t xml:space="preserve">independently verify the integrity of the </w:t>
      </w:r>
      <w:r w:rsidR="000F485F" w:rsidRPr="0086787B">
        <w:rPr>
          <w:sz w:val="22"/>
          <w:szCs w:val="22"/>
        </w:rPr>
        <w:t>P</w:t>
      </w:r>
      <w:r w:rsidR="00AD6D8F" w:rsidRPr="0086787B">
        <w:rPr>
          <w:sz w:val="22"/>
          <w:szCs w:val="22"/>
        </w:rPr>
        <w:t>atches.</w:t>
      </w:r>
      <w:r w:rsidR="009A6476" w:rsidRPr="0086787B">
        <w:rPr>
          <w:sz w:val="22"/>
          <w:szCs w:val="22"/>
        </w:rPr>
        <w:t xml:space="preserve"> </w:t>
      </w:r>
      <w:r w:rsidR="00F944E4" w:rsidRPr="0086787B">
        <w:rPr>
          <w:sz w:val="22"/>
          <w:szCs w:val="22"/>
        </w:rPr>
        <w:t xml:space="preserve"> </w:t>
      </w:r>
      <w:r w:rsidR="009A6476" w:rsidRPr="0086787B">
        <w:rPr>
          <w:sz w:val="22"/>
          <w:szCs w:val="22"/>
        </w:rPr>
        <w:t>See R1.2.5.</w:t>
      </w:r>
    </w:p>
    <w:p w14:paraId="2D52E29C" w14:textId="6E1EBE3C" w:rsidR="00E20D93" w:rsidRPr="00C54DE5" w:rsidRDefault="00E20D93" w:rsidP="00D22924">
      <w:pPr>
        <w:pStyle w:val="Style11TimesRoman12"/>
        <w:numPr>
          <w:ilvl w:val="0"/>
          <w:numId w:val="0"/>
        </w:numPr>
        <w:spacing w:after="0" w:line="240" w:lineRule="auto"/>
        <w:rPr>
          <w:sz w:val="22"/>
          <w:szCs w:val="22"/>
        </w:rPr>
      </w:pPr>
    </w:p>
    <w:p w14:paraId="331BF0C6" w14:textId="77777777" w:rsidR="00F413EA" w:rsidRDefault="008E58C8" w:rsidP="00D22924">
      <w:pPr>
        <w:pStyle w:val="StyleExhibits"/>
        <w:numPr>
          <w:ilvl w:val="0"/>
          <w:numId w:val="4"/>
        </w:numPr>
        <w:ind w:left="0" w:firstLine="0"/>
        <w:rPr>
          <w:sz w:val="22"/>
          <w:szCs w:val="22"/>
        </w:rPr>
      </w:pPr>
      <w:r w:rsidRPr="0086787B">
        <w:rPr>
          <w:sz w:val="22"/>
          <w:szCs w:val="22"/>
          <w:u w:val="single"/>
        </w:rPr>
        <w:t>Viruses</w:t>
      </w:r>
      <w:r w:rsidRPr="0086787B">
        <w:rPr>
          <w:sz w:val="22"/>
          <w:szCs w:val="22"/>
        </w:rPr>
        <w:t xml:space="preserve">. </w:t>
      </w:r>
    </w:p>
    <w:p w14:paraId="19D35FBE" w14:textId="77777777" w:rsidR="00F413EA" w:rsidRDefault="00F413EA" w:rsidP="00F413EA">
      <w:pPr>
        <w:pStyle w:val="StyleExhibits"/>
        <w:rPr>
          <w:sz w:val="22"/>
          <w:szCs w:val="22"/>
        </w:rPr>
      </w:pPr>
    </w:p>
    <w:p w14:paraId="5CB82091" w14:textId="3F707DA5" w:rsidR="00CF0253" w:rsidRPr="0086787B" w:rsidRDefault="008E51DE" w:rsidP="00C54DE5">
      <w:pPr>
        <w:pStyle w:val="StyleExhibits"/>
        <w:rPr>
          <w:sz w:val="22"/>
          <w:szCs w:val="22"/>
        </w:rPr>
      </w:pPr>
      <w:r w:rsidRPr="0086787B">
        <w:rPr>
          <w:sz w:val="22"/>
          <w:szCs w:val="22"/>
        </w:rPr>
        <w:t>You</w:t>
      </w:r>
      <w:r w:rsidR="008E58C8" w:rsidRPr="0086787B">
        <w:rPr>
          <w:sz w:val="22"/>
          <w:szCs w:val="22"/>
        </w:rPr>
        <w:t xml:space="preserve"> expressly warrant to Company that it will use its best efforts to ensure that no computer viruses, malware, or similar items are introduced into Company’s computing and network environment by the </w:t>
      </w:r>
      <w:r w:rsidR="00140D95" w:rsidRPr="0086787B">
        <w:rPr>
          <w:sz w:val="22"/>
          <w:szCs w:val="22"/>
        </w:rPr>
        <w:t xml:space="preserve">Equipment </w:t>
      </w:r>
      <w:r w:rsidR="008E58C8" w:rsidRPr="0086787B">
        <w:rPr>
          <w:sz w:val="22"/>
          <w:szCs w:val="22"/>
        </w:rPr>
        <w:t xml:space="preserve">or Patches.  </w:t>
      </w:r>
    </w:p>
    <w:p w14:paraId="2BDD2D93" w14:textId="77777777" w:rsidR="00140D95" w:rsidRPr="0086787B" w:rsidRDefault="00140D95" w:rsidP="00140D95">
      <w:pPr>
        <w:pStyle w:val="StyleExhibits"/>
        <w:rPr>
          <w:sz w:val="22"/>
          <w:szCs w:val="22"/>
        </w:rPr>
      </w:pPr>
    </w:p>
    <w:p w14:paraId="6B6AFD30" w14:textId="08CB7211" w:rsidR="00D64109" w:rsidRPr="00D64109" w:rsidRDefault="00D64109" w:rsidP="00D64109">
      <w:pPr>
        <w:pStyle w:val="StyleExhibits"/>
        <w:numPr>
          <w:ilvl w:val="0"/>
          <w:numId w:val="4"/>
        </w:numPr>
        <w:ind w:left="720" w:hanging="720"/>
        <w:rPr>
          <w:sz w:val="22"/>
          <w:szCs w:val="22"/>
        </w:rPr>
      </w:pPr>
      <w:r w:rsidRPr="0086787B">
        <w:rPr>
          <w:sz w:val="22"/>
          <w:szCs w:val="22"/>
          <w:u w:val="single"/>
        </w:rPr>
        <w:t>Vulnerabilities and Defect</w:t>
      </w:r>
      <w:r w:rsidRPr="00301613">
        <w:rPr>
          <w:sz w:val="22"/>
          <w:szCs w:val="22"/>
          <w:u w:val="single"/>
        </w:rPr>
        <w:t>s</w:t>
      </w:r>
      <w:r w:rsidR="00301613">
        <w:rPr>
          <w:sz w:val="22"/>
          <w:szCs w:val="22"/>
        </w:rPr>
        <w:t>.</w:t>
      </w:r>
    </w:p>
    <w:p w14:paraId="028007E9" w14:textId="77777777" w:rsidR="00D64109" w:rsidRPr="00D64109" w:rsidRDefault="00D64109" w:rsidP="00D64109">
      <w:pPr>
        <w:pStyle w:val="StyleExhibits"/>
        <w:rPr>
          <w:sz w:val="22"/>
          <w:szCs w:val="22"/>
        </w:rPr>
      </w:pPr>
    </w:p>
    <w:p w14:paraId="04BC37A9" w14:textId="0B5531BD" w:rsidR="00D64109" w:rsidRPr="00D64109" w:rsidRDefault="00AC5134" w:rsidP="00D64109">
      <w:pPr>
        <w:pStyle w:val="StyleExhibits"/>
        <w:rPr>
          <w:sz w:val="22"/>
          <w:szCs w:val="22"/>
        </w:rPr>
      </w:pPr>
      <w:r>
        <w:rPr>
          <w:sz w:val="22"/>
          <w:szCs w:val="22"/>
        </w:rPr>
        <w:t>You</w:t>
      </w:r>
      <w:r w:rsidR="00301613">
        <w:rPr>
          <w:sz w:val="22"/>
          <w:szCs w:val="22"/>
        </w:rPr>
        <w:t xml:space="preserve">, </w:t>
      </w:r>
      <w:r w:rsidR="00DA1814">
        <w:rPr>
          <w:sz w:val="22"/>
          <w:szCs w:val="22"/>
        </w:rPr>
        <w:t xml:space="preserve">at </w:t>
      </w:r>
      <w:r>
        <w:rPr>
          <w:sz w:val="22"/>
          <w:szCs w:val="22"/>
        </w:rPr>
        <w:t xml:space="preserve">your </w:t>
      </w:r>
      <w:r w:rsidR="00DA1814">
        <w:rPr>
          <w:sz w:val="22"/>
          <w:szCs w:val="22"/>
        </w:rPr>
        <w:t>sole expense,</w:t>
      </w:r>
      <w:r w:rsidR="00D64109" w:rsidRPr="00D64109">
        <w:rPr>
          <w:sz w:val="22"/>
          <w:szCs w:val="22"/>
        </w:rPr>
        <w:t xml:space="preserve"> </w:t>
      </w:r>
      <w:r w:rsidR="005F302B">
        <w:rPr>
          <w:sz w:val="22"/>
          <w:szCs w:val="22"/>
        </w:rPr>
        <w:t>shall</w:t>
      </w:r>
      <w:r w:rsidR="005F302B" w:rsidRPr="00D64109">
        <w:rPr>
          <w:sz w:val="22"/>
          <w:szCs w:val="22"/>
        </w:rPr>
        <w:t xml:space="preserve"> </w:t>
      </w:r>
      <w:r w:rsidR="00D64109" w:rsidRPr="00D64109">
        <w:rPr>
          <w:sz w:val="22"/>
          <w:szCs w:val="22"/>
        </w:rPr>
        <w:t xml:space="preserve">maintain a vulnerability and defect tracking </w:t>
      </w:r>
      <w:r w:rsidR="00BA060B">
        <w:rPr>
          <w:sz w:val="22"/>
          <w:szCs w:val="22"/>
        </w:rPr>
        <w:t xml:space="preserve">and remediation </w:t>
      </w:r>
      <w:r w:rsidR="00D64109" w:rsidRPr="00D64109">
        <w:rPr>
          <w:sz w:val="22"/>
          <w:szCs w:val="22"/>
        </w:rPr>
        <w:t xml:space="preserve">process which </w:t>
      </w:r>
      <w:r w:rsidR="00AE74B1">
        <w:rPr>
          <w:sz w:val="22"/>
          <w:szCs w:val="22"/>
        </w:rPr>
        <w:t xml:space="preserve">(i) </w:t>
      </w:r>
      <w:r w:rsidR="00D64109" w:rsidRPr="00D64109">
        <w:rPr>
          <w:sz w:val="22"/>
          <w:szCs w:val="22"/>
        </w:rPr>
        <w:t xml:space="preserve">reviews </w:t>
      </w:r>
      <w:r w:rsidR="00D64109" w:rsidRPr="00B60F7D">
        <w:rPr>
          <w:sz w:val="22"/>
          <w:szCs w:val="22"/>
        </w:rPr>
        <w:t xml:space="preserve">potential </w:t>
      </w:r>
      <w:r w:rsidR="00545EA0" w:rsidRPr="00C54DE5">
        <w:rPr>
          <w:sz w:val="22"/>
          <w:szCs w:val="22"/>
        </w:rPr>
        <w:t xml:space="preserve">vulnerabilities </w:t>
      </w:r>
      <w:r w:rsidR="00FE1654" w:rsidRPr="00C54DE5">
        <w:rPr>
          <w:sz w:val="22"/>
          <w:szCs w:val="22"/>
        </w:rPr>
        <w:t>and</w:t>
      </w:r>
      <w:r w:rsidR="00FE1654" w:rsidRPr="00B60F7D">
        <w:rPr>
          <w:sz w:val="22"/>
          <w:szCs w:val="22"/>
        </w:rPr>
        <w:t xml:space="preserve"> </w:t>
      </w:r>
      <w:r w:rsidR="00D64109" w:rsidRPr="00B60F7D">
        <w:rPr>
          <w:sz w:val="22"/>
          <w:szCs w:val="22"/>
        </w:rPr>
        <w:t>defects</w:t>
      </w:r>
      <w:r w:rsidR="00AF595B">
        <w:rPr>
          <w:sz w:val="22"/>
          <w:szCs w:val="22"/>
        </w:rPr>
        <w:t>,</w:t>
      </w:r>
      <w:r w:rsidR="00A63C75">
        <w:rPr>
          <w:sz w:val="22"/>
          <w:szCs w:val="22"/>
        </w:rPr>
        <w:t xml:space="preserve"> that may or may have not been publicly disclosed,</w:t>
      </w:r>
      <w:r w:rsidR="00D64109" w:rsidRPr="00D64109">
        <w:rPr>
          <w:sz w:val="22"/>
          <w:szCs w:val="22"/>
        </w:rPr>
        <w:t xml:space="preserve"> for their security impact to </w:t>
      </w:r>
      <w:r>
        <w:rPr>
          <w:sz w:val="22"/>
          <w:szCs w:val="22"/>
        </w:rPr>
        <w:t>the Equipment</w:t>
      </w:r>
      <w:r w:rsidR="00D669DA">
        <w:rPr>
          <w:sz w:val="22"/>
          <w:szCs w:val="22"/>
        </w:rPr>
        <w:t>,</w:t>
      </w:r>
      <w:r>
        <w:rPr>
          <w:sz w:val="22"/>
          <w:szCs w:val="22"/>
        </w:rPr>
        <w:t xml:space="preserve"> </w:t>
      </w:r>
      <w:r w:rsidR="00CF2262">
        <w:rPr>
          <w:sz w:val="22"/>
          <w:szCs w:val="22"/>
        </w:rPr>
        <w:t>and</w:t>
      </w:r>
      <w:r w:rsidR="00DA1814">
        <w:rPr>
          <w:sz w:val="22"/>
          <w:szCs w:val="22"/>
        </w:rPr>
        <w:t xml:space="preserve"> (ii) </w:t>
      </w:r>
      <w:r w:rsidR="00D64109" w:rsidRPr="00D64109">
        <w:rPr>
          <w:sz w:val="22"/>
          <w:szCs w:val="22"/>
        </w:rPr>
        <w:t>test</w:t>
      </w:r>
      <w:r w:rsidR="00F20EB4">
        <w:rPr>
          <w:sz w:val="22"/>
          <w:szCs w:val="22"/>
        </w:rPr>
        <w:t>s</w:t>
      </w:r>
      <w:r w:rsidR="00D64109" w:rsidRPr="00D64109">
        <w:rPr>
          <w:sz w:val="22"/>
          <w:szCs w:val="22"/>
        </w:rPr>
        <w:t xml:space="preserve"> and remediate</w:t>
      </w:r>
      <w:r w:rsidR="00F20EB4">
        <w:rPr>
          <w:sz w:val="22"/>
          <w:szCs w:val="22"/>
        </w:rPr>
        <w:t>s</w:t>
      </w:r>
      <w:r w:rsidR="00D64109" w:rsidRPr="00D64109">
        <w:rPr>
          <w:sz w:val="22"/>
          <w:szCs w:val="22"/>
        </w:rPr>
        <w:t xml:space="preserve"> </w:t>
      </w:r>
      <w:r w:rsidR="00D713A0">
        <w:rPr>
          <w:sz w:val="22"/>
          <w:szCs w:val="22"/>
        </w:rPr>
        <w:t xml:space="preserve">all software vulnerabilities </w:t>
      </w:r>
      <w:r w:rsidR="00D64109" w:rsidRPr="00D64109">
        <w:rPr>
          <w:sz w:val="22"/>
          <w:szCs w:val="22"/>
        </w:rPr>
        <w:t>posted to the National Vulnerability Database (</w:t>
      </w:r>
      <w:hyperlink r:id="rId12" w:history="1">
        <w:r w:rsidR="00CF2262" w:rsidRPr="00BF7B85">
          <w:rPr>
            <w:rStyle w:val="Hyperlink"/>
            <w:sz w:val="22"/>
            <w:szCs w:val="22"/>
          </w:rPr>
          <w:t>http://nvd.nist.gov/</w:t>
        </w:r>
      </w:hyperlink>
      <w:r w:rsidR="00CF2262">
        <w:rPr>
          <w:sz w:val="22"/>
          <w:szCs w:val="22"/>
        </w:rPr>
        <w:t>)</w:t>
      </w:r>
      <w:r w:rsidR="00D64109" w:rsidRPr="00D64109">
        <w:rPr>
          <w:sz w:val="22"/>
          <w:szCs w:val="22"/>
        </w:rPr>
        <w:t xml:space="preserve"> and by Open Web Application Security Project (</w:t>
      </w:r>
      <w:hyperlink r:id="rId13" w:history="1">
        <w:r w:rsidR="00CF2262" w:rsidRPr="00BF7B85">
          <w:rPr>
            <w:rStyle w:val="Hyperlink"/>
            <w:sz w:val="22"/>
            <w:szCs w:val="22"/>
          </w:rPr>
          <w:t>www.owasp.org</w:t>
        </w:r>
      </w:hyperlink>
      <w:r w:rsidR="00CF2262">
        <w:rPr>
          <w:sz w:val="22"/>
          <w:szCs w:val="22"/>
        </w:rPr>
        <w:t>)</w:t>
      </w:r>
      <w:r w:rsidR="00D64109" w:rsidRPr="00D64109">
        <w:rPr>
          <w:sz w:val="22"/>
          <w:szCs w:val="22"/>
        </w:rPr>
        <w:t xml:space="preserve"> within thirty (30) days of </w:t>
      </w:r>
      <w:r w:rsidR="004B3671">
        <w:rPr>
          <w:sz w:val="22"/>
          <w:szCs w:val="22"/>
        </w:rPr>
        <w:t xml:space="preserve">such software vulnerabilities </w:t>
      </w:r>
      <w:r w:rsidR="00D64109" w:rsidRPr="00D64109">
        <w:rPr>
          <w:sz w:val="22"/>
          <w:szCs w:val="22"/>
        </w:rPr>
        <w:t xml:space="preserve">being posted.  </w:t>
      </w:r>
      <w:r w:rsidR="00C26DD8" w:rsidRPr="006B2921">
        <w:rPr>
          <w:sz w:val="22"/>
          <w:szCs w:val="22"/>
        </w:rPr>
        <w:t>In addition</w:t>
      </w:r>
      <w:r w:rsidR="00073CE3" w:rsidRPr="006B2921">
        <w:rPr>
          <w:sz w:val="22"/>
          <w:szCs w:val="22"/>
        </w:rPr>
        <w:t xml:space="preserve">, </w:t>
      </w:r>
      <w:r w:rsidR="00D619B6" w:rsidRPr="00C54DE5">
        <w:rPr>
          <w:sz w:val="22"/>
          <w:szCs w:val="22"/>
        </w:rPr>
        <w:t>y</w:t>
      </w:r>
      <w:r w:rsidR="00446019" w:rsidRPr="00C54DE5">
        <w:rPr>
          <w:sz w:val="22"/>
          <w:szCs w:val="22"/>
        </w:rPr>
        <w:t>ou</w:t>
      </w:r>
      <w:r w:rsidR="00073CE3" w:rsidRPr="006B2921">
        <w:rPr>
          <w:sz w:val="22"/>
          <w:szCs w:val="22"/>
        </w:rPr>
        <w:t xml:space="preserve"> shall</w:t>
      </w:r>
      <w:r w:rsidR="00D64109" w:rsidRPr="006B2921">
        <w:rPr>
          <w:sz w:val="22"/>
          <w:szCs w:val="22"/>
        </w:rPr>
        <w:t xml:space="preserve"> </w:t>
      </w:r>
      <w:r w:rsidR="00CF160A" w:rsidRPr="006B2921">
        <w:rPr>
          <w:sz w:val="22"/>
          <w:szCs w:val="22"/>
        </w:rPr>
        <w:t xml:space="preserve">disclose any such vulnerabilities or defects to Company and </w:t>
      </w:r>
      <w:r w:rsidR="00D64109" w:rsidRPr="006B2921">
        <w:rPr>
          <w:sz w:val="22"/>
          <w:szCs w:val="22"/>
        </w:rPr>
        <w:t xml:space="preserve">provide documentation detailing such </w:t>
      </w:r>
      <w:r w:rsidR="007112C8" w:rsidRPr="006B2921">
        <w:rPr>
          <w:sz w:val="22"/>
          <w:szCs w:val="22"/>
        </w:rPr>
        <w:t>vulnerabilities or defects</w:t>
      </w:r>
      <w:r w:rsidR="00A12DAC" w:rsidRPr="00C54DE5">
        <w:rPr>
          <w:sz w:val="22"/>
          <w:szCs w:val="22"/>
        </w:rPr>
        <w:t xml:space="preserve"> contemplated in the preceding sentence to Company</w:t>
      </w:r>
      <w:r w:rsidR="0001477F" w:rsidRPr="006B2921">
        <w:rPr>
          <w:sz w:val="22"/>
          <w:szCs w:val="22"/>
        </w:rPr>
        <w:t>,</w:t>
      </w:r>
      <w:r w:rsidR="0031519D" w:rsidRPr="006B2921">
        <w:rPr>
          <w:sz w:val="22"/>
          <w:szCs w:val="22"/>
        </w:rPr>
        <w:t xml:space="preserve"> including </w:t>
      </w:r>
      <w:r w:rsidR="00DF35FE" w:rsidRPr="00C54DE5">
        <w:rPr>
          <w:sz w:val="22"/>
          <w:szCs w:val="22"/>
        </w:rPr>
        <w:t>y</w:t>
      </w:r>
      <w:r w:rsidR="00446019" w:rsidRPr="00C54DE5">
        <w:rPr>
          <w:sz w:val="22"/>
          <w:szCs w:val="22"/>
        </w:rPr>
        <w:t>our</w:t>
      </w:r>
      <w:r w:rsidR="0031519D" w:rsidRPr="006B2921">
        <w:rPr>
          <w:sz w:val="22"/>
          <w:szCs w:val="22"/>
        </w:rPr>
        <w:t xml:space="preserve"> e</w:t>
      </w:r>
      <w:r w:rsidR="00834101" w:rsidRPr="006B2921">
        <w:rPr>
          <w:sz w:val="22"/>
          <w:szCs w:val="22"/>
        </w:rPr>
        <w:t>fforts to mitigate</w:t>
      </w:r>
      <w:r w:rsidR="00A740C4" w:rsidRPr="006B2921">
        <w:rPr>
          <w:sz w:val="22"/>
          <w:szCs w:val="22"/>
        </w:rPr>
        <w:t xml:space="preserve"> those vulnerabilities or defects,</w:t>
      </w:r>
      <w:r w:rsidR="0001477F" w:rsidRPr="006B2921">
        <w:rPr>
          <w:sz w:val="22"/>
          <w:szCs w:val="22"/>
        </w:rPr>
        <w:t xml:space="preserve"> </w:t>
      </w:r>
      <w:r w:rsidR="00BD264B" w:rsidRPr="006B2921">
        <w:rPr>
          <w:sz w:val="22"/>
          <w:szCs w:val="22"/>
        </w:rPr>
        <w:t xml:space="preserve">and </w:t>
      </w:r>
      <w:r w:rsidR="00A1351E" w:rsidRPr="00C54DE5">
        <w:rPr>
          <w:sz w:val="22"/>
          <w:szCs w:val="22"/>
        </w:rPr>
        <w:t>your</w:t>
      </w:r>
      <w:r w:rsidR="00BD264B" w:rsidRPr="006B2921">
        <w:rPr>
          <w:sz w:val="22"/>
          <w:szCs w:val="22"/>
        </w:rPr>
        <w:t xml:space="preserve"> recommended actions, compensating security controls</w:t>
      </w:r>
      <w:r w:rsidR="00D8227C" w:rsidRPr="006B2921">
        <w:rPr>
          <w:sz w:val="22"/>
          <w:szCs w:val="22"/>
        </w:rPr>
        <w:t>, mitigations, and/or procedural workarounds</w:t>
      </w:r>
      <w:r w:rsidR="00DF69B1" w:rsidRPr="006B2921">
        <w:rPr>
          <w:sz w:val="22"/>
          <w:szCs w:val="22"/>
        </w:rPr>
        <w:t xml:space="preserve">, </w:t>
      </w:r>
      <w:r w:rsidR="0001477F" w:rsidRPr="006B2921">
        <w:rPr>
          <w:sz w:val="22"/>
          <w:szCs w:val="22"/>
        </w:rPr>
        <w:t>at no cost,</w:t>
      </w:r>
      <w:r w:rsidR="00D64109" w:rsidRPr="006B2921">
        <w:rPr>
          <w:sz w:val="22"/>
          <w:szCs w:val="22"/>
        </w:rPr>
        <w:t xml:space="preserve"> </w:t>
      </w:r>
      <w:r w:rsidR="007112C8" w:rsidRPr="006B2921">
        <w:rPr>
          <w:sz w:val="22"/>
          <w:szCs w:val="22"/>
        </w:rPr>
        <w:t xml:space="preserve">to </w:t>
      </w:r>
      <w:r w:rsidR="00D64109" w:rsidRPr="006B2921">
        <w:rPr>
          <w:sz w:val="22"/>
          <w:szCs w:val="22"/>
        </w:rPr>
        <w:t>Company</w:t>
      </w:r>
      <w:r w:rsidR="0001477F" w:rsidRPr="006B2921">
        <w:rPr>
          <w:sz w:val="22"/>
          <w:szCs w:val="22"/>
        </w:rPr>
        <w:t>.</w:t>
      </w:r>
      <w:r w:rsidR="00F944E4" w:rsidRPr="006B2921">
        <w:rPr>
          <w:sz w:val="22"/>
          <w:szCs w:val="22"/>
        </w:rPr>
        <w:t xml:space="preserve">  See R1.2.4.</w:t>
      </w:r>
    </w:p>
    <w:p w14:paraId="6C4D4C06" w14:textId="6C6A732B" w:rsidR="00A06668" w:rsidRDefault="00A06668" w:rsidP="00D64109">
      <w:pPr>
        <w:pStyle w:val="StyleExhibits"/>
        <w:rPr>
          <w:sz w:val="22"/>
          <w:szCs w:val="22"/>
        </w:rPr>
      </w:pPr>
    </w:p>
    <w:p w14:paraId="1C8BD36E" w14:textId="7D4127CF" w:rsidR="00A06668" w:rsidRPr="00A06668" w:rsidRDefault="00A06668" w:rsidP="00A06668">
      <w:pPr>
        <w:pStyle w:val="StyleExhibits"/>
        <w:numPr>
          <w:ilvl w:val="0"/>
          <w:numId w:val="4"/>
        </w:numPr>
        <w:ind w:left="720" w:hanging="720"/>
        <w:rPr>
          <w:sz w:val="22"/>
          <w:szCs w:val="22"/>
        </w:rPr>
      </w:pPr>
      <w:r w:rsidRPr="00A06668">
        <w:rPr>
          <w:sz w:val="22"/>
          <w:szCs w:val="22"/>
          <w:u w:val="single"/>
        </w:rPr>
        <w:t>Conflicts</w:t>
      </w:r>
      <w:r>
        <w:rPr>
          <w:sz w:val="22"/>
          <w:szCs w:val="22"/>
        </w:rPr>
        <w:t>.</w:t>
      </w:r>
    </w:p>
    <w:p w14:paraId="3B3AEC04" w14:textId="77777777" w:rsidR="00A06668" w:rsidRPr="00A06668" w:rsidRDefault="00A06668" w:rsidP="00A06668">
      <w:pPr>
        <w:pStyle w:val="StyleExhibits"/>
        <w:rPr>
          <w:sz w:val="22"/>
          <w:szCs w:val="22"/>
        </w:rPr>
      </w:pPr>
    </w:p>
    <w:p w14:paraId="4AD13587" w14:textId="4E7E4461" w:rsidR="00A06668" w:rsidRPr="006F04B6" w:rsidRDefault="00A06668" w:rsidP="00A06668">
      <w:pPr>
        <w:pStyle w:val="StyleExhibits"/>
        <w:rPr>
          <w:sz w:val="22"/>
          <w:szCs w:val="22"/>
        </w:rPr>
      </w:pPr>
      <w:r w:rsidRPr="00A06668">
        <w:rPr>
          <w:sz w:val="22"/>
          <w:szCs w:val="22"/>
        </w:rPr>
        <w:t>Nothing contained herein shall be construed to limit any of</w:t>
      </w:r>
      <w:r w:rsidR="007A503F">
        <w:rPr>
          <w:sz w:val="22"/>
          <w:szCs w:val="22"/>
        </w:rPr>
        <w:t xml:space="preserve"> your</w:t>
      </w:r>
      <w:r w:rsidRPr="00A06668">
        <w:rPr>
          <w:sz w:val="22"/>
          <w:szCs w:val="22"/>
        </w:rPr>
        <w:t xml:space="preserve"> obligations regarding nondisclosure or information protection</w:t>
      </w:r>
      <w:r w:rsidR="00D669DA">
        <w:rPr>
          <w:sz w:val="22"/>
          <w:szCs w:val="22"/>
        </w:rPr>
        <w:t>s</w:t>
      </w:r>
      <w:r w:rsidRPr="00A06668">
        <w:rPr>
          <w:sz w:val="22"/>
          <w:szCs w:val="22"/>
        </w:rPr>
        <w:t xml:space="preserve"> contained elsewhere in </w:t>
      </w:r>
      <w:r w:rsidR="00D669DA">
        <w:rPr>
          <w:sz w:val="22"/>
          <w:szCs w:val="22"/>
        </w:rPr>
        <w:t>the Purchase Order or the controlling master agreement</w:t>
      </w:r>
      <w:bookmarkStart w:id="0" w:name="_GoBack"/>
      <w:bookmarkEnd w:id="0"/>
      <w:r w:rsidRPr="00A06668">
        <w:rPr>
          <w:sz w:val="22"/>
          <w:szCs w:val="22"/>
        </w:rPr>
        <w:t>.</w:t>
      </w:r>
    </w:p>
    <w:sectPr w:rsidR="00A06668" w:rsidRPr="006F04B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65BC5" w14:textId="77777777" w:rsidR="00A43052" w:rsidRDefault="00A43052" w:rsidP="008057C0">
      <w:pPr>
        <w:spacing w:after="0" w:line="240" w:lineRule="auto"/>
      </w:pPr>
      <w:r>
        <w:separator/>
      </w:r>
    </w:p>
  </w:endnote>
  <w:endnote w:type="continuationSeparator" w:id="0">
    <w:p w14:paraId="27E5553C" w14:textId="77777777" w:rsidR="00A43052" w:rsidRDefault="00A43052" w:rsidP="008057C0">
      <w:pPr>
        <w:spacing w:after="0" w:line="240" w:lineRule="auto"/>
      </w:pPr>
      <w:r>
        <w:continuationSeparator/>
      </w:r>
    </w:p>
  </w:endnote>
  <w:endnote w:type="continuationNotice" w:id="1">
    <w:p w14:paraId="3B6512B1" w14:textId="77777777" w:rsidR="00A43052" w:rsidRDefault="00A430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79577" w14:textId="77777777" w:rsidR="008057C0" w:rsidRDefault="008057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E01C6" w14:textId="77777777" w:rsidR="008057C0" w:rsidRDefault="008057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A6359" w14:textId="77777777" w:rsidR="008057C0" w:rsidRDefault="008057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9AD08" w14:textId="77777777" w:rsidR="00A43052" w:rsidRDefault="00A43052" w:rsidP="008057C0">
      <w:pPr>
        <w:spacing w:after="0" w:line="240" w:lineRule="auto"/>
      </w:pPr>
      <w:r>
        <w:separator/>
      </w:r>
    </w:p>
  </w:footnote>
  <w:footnote w:type="continuationSeparator" w:id="0">
    <w:p w14:paraId="40086919" w14:textId="77777777" w:rsidR="00A43052" w:rsidRDefault="00A43052" w:rsidP="008057C0">
      <w:pPr>
        <w:spacing w:after="0" w:line="240" w:lineRule="auto"/>
      </w:pPr>
      <w:r>
        <w:continuationSeparator/>
      </w:r>
    </w:p>
  </w:footnote>
  <w:footnote w:type="continuationNotice" w:id="1">
    <w:p w14:paraId="3B5F6777" w14:textId="77777777" w:rsidR="00A43052" w:rsidRDefault="00A430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16487" w14:textId="77777777" w:rsidR="008057C0" w:rsidRDefault="008057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176A0" w14:textId="7DD58625" w:rsidR="008057C0" w:rsidRDefault="008057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CA736" w14:textId="77777777" w:rsidR="008057C0" w:rsidRDefault="008057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247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5C6EED"/>
    <w:multiLevelType w:val="multilevel"/>
    <w:tmpl w:val="755CED2A"/>
    <w:lvl w:ilvl="0">
      <w:start w:val="1"/>
      <w:numFmt w:val="none"/>
      <w:pStyle w:val="RestartNumberingLanguage"/>
      <w:lvlText w:val="%1"/>
      <w:lvlJc w:val="left"/>
      <w:pPr>
        <w:ind w:left="0" w:firstLine="0"/>
      </w:pPr>
      <w:rPr>
        <w:rFonts w:hint="default"/>
      </w:rPr>
    </w:lvl>
    <w:lvl w:ilvl="1">
      <w:start w:val="1"/>
      <w:numFmt w:val="decimal"/>
      <w:pStyle w:val="Style1TimesRoman12"/>
      <w:lvlText w:val="%1%2."/>
      <w:lvlJc w:val="left"/>
      <w:pPr>
        <w:ind w:left="0" w:firstLine="0"/>
      </w:pPr>
      <w:rPr>
        <w:rFonts w:hint="default"/>
        <w:b/>
      </w:rPr>
    </w:lvl>
    <w:lvl w:ilvl="2">
      <w:start w:val="1"/>
      <w:numFmt w:val="decimal"/>
      <w:pStyle w:val="Style11TimesRoman12"/>
      <w:lvlText w:val="%1%2.%3."/>
      <w:lvlJc w:val="left"/>
      <w:pPr>
        <w:tabs>
          <w:tab w:val="num" w:pos="360"/>
        </w:tabs>
        <w:ind w:left="360" w:firstLine="0"/>
      </w:pPr>
      <w:rPr>
        <w:rFonts w:hint="default"/>
        <w:b w:val="0"/>
      </w:rPr>
    </w:lvl>
    <w:lvl w:ilvl="3">
      <w:start w:val="1"/>
      <w:numFmt w:val="lowerLetter"/>
      <w:pStyle w:val="Style111TimesRoman12"/>
      <w:lvlText w:val="(%4)"/>
      <w:lvlJc w:val="left"/>
      <w:pPr>
        <w:tabs>
          <w:tab w:val="num" w:pos="720"/>
        </w:tabs>
        <w:ind w:left="720" w:firstLine="0"/>
      </w:pPr>
      <w:rPr>
        <w:rFonts w:ascii="Times New Roman" w:eastAsiaTheme="minorHAnsi" w:hAnsi="Times New Roman" w:cstheme="minorBidi"/>
      </w:rPr>
    </w:lvl>
    <w:lvl w:ilvl="4">
      <w:start w:val="1"/>
      <w:numFmt w:val="decimal"/>
      <w:pStyle w:val="Style1111TimesRoman12"/>
      <w:lvlText w:val="%1%2.%3.%4.%5."/>
      <w:lvlJc w:val="left"/>
      <w:pPr>
        <w:tabs>
          <w:tab w:val="num" w:pos="1080"/>
        </w:tabs>
        <w:ind w:left="108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0E12B7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DE3461"/>
    <w:multiLevelType w:val="hybridMultilevel"/>
    <w:tmpl w:val="145EB5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C754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7E63FC2"/>
    <w:multiLevelType w:val="hybridMultilevel"/>
    <w:tmpl w:val="A246C8D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7260A88"/>
    <w:multiLevelType w:val="hybridMultilevel"/>
    <w:tmpl w:val="A246C8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EA612EA"/>
    <w:multiLevelType w:val="hybridMultilevel"/>
    <w:tmpl w:val="54F6F108"/>
    <w:lvl w:ilvl="0" w:tplc="956CF1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7601EF"/>
    <w:multiLevelType w:val="hybridMultilevel"/>
    <w:tmpl w:val="8DEABD14"/>
    <w:lvl w:ilvl="0" w:tplc="4B009B94">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2"/>
  </w:num>
  <w:num w:numId="5">
    <w:abstractNumId w:val="4"/>
  </w:num>
  <w:num w:numId="6">
    <w:abstractNumId w:val="8"/>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4C6F399-5CB4-4CA1-B875-294822CD32E3}"/>
    <w:docVar w:name="dgnword-eventsink" w:val="431062440"/>
  </w:docVars>
  <w:rsids>
    <w:rsidRoot w:val="008057C0"/>
    <w:rsid w:val="0000691F"/>
    <w:rsid w:val="00007375"/>
    <w:rsid w:val="0001477F"/>
    <w:rsid w:val="00014F73"/>
    <w:rsid w:val="00030817"/>
    <w:rsid w:val="00033FA9"/>
    <w:rsid w:val="00035D72"/>
    <w:rsid w:val="00036327"/>
    <w:rsid w:val="000406B2"/>
    <w:rsid w:val="0004175B"/>
    <w:rsid w:val="00042302"/>
    <w:rsid w:val="00043783"/>
    <w:rsid w:val="0004597F"/>
    <w:rsid w:val="000507A7"/>
    <w:rsid w:val="00051BE1"/>
    <w:rsid w:val="000545A7"/>
    <w:rsid w:val="00057A5D"/>
    <w:rsid w:val="00062841"/>
    <w:rsid w:val="000651DA"/>
    <w:rsid w:val="00073714"/>
    <w:rsid w:val="00073CE3"/>
    <w:rsid w:val="00074918"/>
    <w:rsid w:val="00075459"/>
    <w:rsid w:val="00083789"/>
    <w:rsid w:val="00083A5E"/>
    <w:rsid w:val="00085FC6"/>
    <w:rsid w:val="0009309E"/>
    <w:rsid w:val="0009603D"/>
    <w:rsid w:val="000A0351"/>
    <w:rsid w:val="000A33B4"/>
    <w:rsid w:val="000A7071"/>
    <w:rsid w:val="000B4AD6"/>
    <w:rsid w:val="000B523B"/>
    <w:rsid w:val="000B7B45"/>
    <w:rsid w:val="000C2560"/>
    <w:rsid w:val="000C29B3"/>
    <w:rsid w:val="000C6A73"/>
    <w:rsid w:val="000D0D78"/>
    <w:rsid w:val="000D284D"/>
    <w:rsid w:val="000E0ED3"/>
    <w:rsid w:val="000E2C98"/>
    <w:rsid w:val="000E567E"/>
    <w:rsid w:val="000F4467"/>
    <w:rsid w:val="000F485F"/>
    <w:rsid w:val="000F512A"/>
    <w:rsid w:val="00103D6D"/>
    <w:rsid w:val="00121A76"/>
    <w:rsid w:val="00121B35"/>
    <w:rsid w:val="00122DE7"/>
    <w:rsid w:val="001239E2"/>
    <w:rsid w:val="00124ED8"/>
    <w:rsid w:val="0012609F"/>
    <w:rsid w:val="00127C0B"/>
    <w:rsid w:val="001309C5"/>
    <w:rsid w:val="00132A3A"/>
    <w:rsid w:val="00134DAF"/>
    <w:rsid w:val="00140D95"/>
    <w:rsid w:val="00142E72"/>
    <w:rsid w:val="00144AA2"/>
    <w:rsid w:val="00144E52"/>
    <w:rsid w:val="00145A16"/>
    <w:rsid w:val="00147336"/>
    <w:rsid w:val="00156BCC"/>
    <w:rsid w:val="0016659A"/>
    <w:rsid w:val="00172BE0"/>
    <w:rsid w:val="0017477F"/>
    <w:rsid w:val="00175923"/>
    <w:rsid w:val="00176D52"/>
    <w:rsid w:val="001843DC"/>
    <w:rsid w:val="001966F1"/>
    <w:rsid w:val="001A0891"/>
    <w:rsid w:val="001A348D"/>
    <w:rsid w:val="001A66DE"/>
    <w:rsid w:val="001A726C"/>
    <w:rsid w:val="001B10DC"/>
    <w:rsid w:val="001B65A7"/>
    <w:rsid w:val="001C0801"/>
    <w:rsid w:val="001C423B"/>
    <w:rsid w:val="001C516C"/>
    <w:rsid w:val="001C579B"/>
    <w:rsid w:val="001C5C5C"/>
    <w:rsid w:val="001C6A46"/>
    <w:rsid w:val="001D13FF"/>
    <w:rsid w:val="001D5A72"/>
    <w:rsid w:val="001E5739"/>
    <w:rsid w:val="001E583A"/>
    <w:rsid w:val="001F1FD2"/>
    <w:rsid w:val="001F4E78"/>
    <w:rsid w:val="001F7AE0"/>
    <w:rsid w:val="001F7F62"/>
    <w:rsid w:val="002146AB"/>
    <w:rsid w:val="00216EA9"/>
    <w:rsid w:val="0021767A"/>
    <w:rsid w:val="002208C5"/>
    <w:rsid w:val="002267C3"/>
    <w:rsid w:val="0022686A"/>
    <w:rsid w:val="00240767"/>
    <w:rsid w:val="00241A8D"/>
    <w:rsid w:val="00247666"/>
    <w:rsid w:val="0024780E"/>
    <w:rsid w:val="0025535D"/>
    <w:rsid w:val="00256762"/>
    <w:rsid w:val="00257ED1"/>
    <w:rsid w:val="00263F7B"/>
    <w:rsid w:val="0026554A"/>
    <w:rsid w:val="00281A23"/>
    <w:rsid w:val="00286281"/>
    <w:rsid w:val="0028749B"/>
    <w:rsid w:val="00287B1C"/>
    <w:rsid w:val="00290001"/>
    <w:rsid w:val="002972A0"/>
    <w:rsid w:val="002974F9"/>
    <w:rsid w:val="002B742F"/>
    <w:rsid w:val="002B7E69"/>
    <w:rsid w:val="002C2A69"/>
    <w:rsid w:val="002C3817"/>
    <w:rsid w:val="002C48BD"/>
    <w:rsid w:val="002C6952"/>
    <w:rsid w:val="002D20F9"/>
    <w:rsid w:val="002D3A72"/>
    <w:rsid w:val="002D7B16"/>
    <w:rsid w:val="002D7C48"/>
    <w:rsid w:val="002D7E1B"/>
    <w:rsid w:val="002F3E05"/>
    <w:rsid w:val="002F5379"/>
    <w:rsid w:val="002F5CDE"/>
    <w:rsid w:val="00301613"/>
    <w:rsid w:val="00304BB8"/>
    <w:rsid w:val="00305099"/>
    <w:rsid w:val="00307264"/>
    <w:rsid w:val="00307724"/>
    <w:rsid w:val="00311D18"/>
    <w:rsid w:val="0031519D"/>
    <w:rsid w:val="00317BAB"/>
    <w:rsid w:val="00317E3F"/>
    <w:rsid w:val="003350B4"/>
    <w:rsid w:val="003356C9"/>
    <w:rsid w:val="0035356E"/>
    <w:rsid w:val="00355F2E"/>
    <w:rsid w:val="00356D01"/>
    <w:rsid w:val="003571D5"/>
    <w:rsid w:val="003577D2"/>
    <w:rsid w:val="003606E3"/>
    <w:rsid w:val="003630AA"/>
    <w:rsid w:val="00366397"/>
    <w:rsid w:val="0037260D"/>
    <w:rsid w:val="00376E6A"/>
    <w:rsid w:val="00385396"/>
    <w:rsid w:val="00386656"/>
    <w:rsid w:val="00396FC4"/>
    <w:rsid w:val="003978C9"/>
    <w:rsid w:val="003A4C87"/>
    <w:rsid w:val="003A672F"/>
    <w:rsid w:val="003C0F0C"/>
    <w:rsid w:val="003C4DA4"/>
    <w:rsid w:val="003D1E00"/>
    <w:rsid w:val="003D24D4"/>
    <w:rsid w:val="003D4014"/>
    <w:rsid w:val="003E230C"/>
    <w:rsid w:val="003E3470"/>
    <w:rsid w:val="003E6077"/>
    <w:rsid w:val="003E6D6F"/>
    <w:rsid w:val="003F61D8"/>
    <w:rsid w:val="00403B70"/>
    <w:rsid w:val="00405B96"/>
    <w:rsid w:val="004136D9"/>
    <w:rsid w:val="00414BCA"/>
    <w:rsid w:val="0042066F"/>
    <w:rsid w:val="0042408C"/>
    <w:rsid w:val="00430013"/>
    <w:rsid w:val="004439BC"/>
    <w:rsid w:val="00446019"/>
    <w:rsid w:val="00447D0C"/>
    <w:rsid w:val="0045149A"/>
    <w:rsid w:val="00464863"/>
    <w:rsid w:val="00464F45"/>
    <w:rsid w:val="0047069B"/>
    <w:rsid w:val="00471333"/>
    <w:rsid w:val="004804A1"/>
    <w:rsid w:val="0048300B"/>
    <w:rsid w:val="0048419C"/>
    <w:rsid w:val="00486D55"/>
    <w:rsid w:val="0049094A"/>
    <w:rsid w:val="00493B8B"/>
    <w:rsid w:val="00493CCD"/>
    <w:rsid w:val="00497287"/>
    <w:rsid w:val="00497752"/>
    <w:rsid w:val="00497E63"/>
    <w:rsid w:val="004A3446"/>
    <w:rsid w:val="004A3508"/>
    <w:rsid w:val="004A534F"/>
    <w:rsid w:val="004A6153"/>
    <w:rsid w:val="004A6219"/>
    <w:rsid w:val="004A7126"/>
    <w:rsid w:val="004B0799"/>
    <w:rsid w:val="004B3671"/>
    <w:rsid w:val="004B78BF"/>
    <w:rsid w:val="004C180B"/>
    <w:rsid w:val="004C2F24"/>
    <w:rsid w:val="004C5B97"/>
    <w:rsid w:val="004C7378"/>
    <w:rsid w:val="004C7D55"/>
    <w:rsid w:val="004D342F"/>
    <w:rsid w:val="004D3731"/>
    <w:rsid w:val="004E2425"/>
    <w:rsid w:val="004E7387"/>
    <w:rsid w:val="004F42A7"/>
    <w:rsid w:val="004F58C5"/>
    <w:rsid w:val="00506D0B"/>
    <w:rsid w:val="00512351"/>
    <w:rsid w:val="00512B3B"/>
    <w:rsid w:val="005149E7"/>
    <w:rsid w:val="0051646F"/>
    <w:rsid w:val="00520E50"/>
    <w:rsid w:val="00521BFD"/>
    <w:rsid w:val="0052493A"/>
    <w:rsid w:val="005249E6"/>
    <w:rsid w:val="00524F5D"/>
    <w:rsid w:val="0053179A"/>
    <w:rsid w:val="00532050"/>
    <w:rsid w:val="0053457D"/>
    <w:rsid w:val="0054321D"/>
    <w:rsid w:val="00545EA0"/>
    <w:rsid w:val="00555AE6"/>
    <w:rsid w:val="00560846"/>
    <w:rsid w:val="00564F6E"/>
    <w:rsid w:val="00566F3F"/>
    <w:rsid w:val="00570033"/>
    <w:rsid w:val="0057266A"/>
    <w:rsid w:val="00572996"/>
    <w:rsid w:val="00573B5D"/>
    <w:rsid w:val="00582226"/>
    <w:rsid w:val="00585B34"/>
    <w:rsid w:val="0058676A"/>
    <w:rsid w:val="00587120"/>
    <w:rsid w:val="00592343"/>
    <w:rsid w:val="00592A9E"/>
    <w:rsid w:val="005931E5"/>
    <w:rsid w:val="00596FDC"/>
    <w:rsid w:val="005A182D"/>
    <w:rsid w:val="005A2ED4"/>
    <w:rsid w:val="005A5355"/>
    <w:rsid w:val="005B01FC"/>
    <w:rsid w:val="005C0E53"/>
    <w:rsid w:val="005C6FEA"/>
    <w:rsid w:val="005D0ECF"/>
    <w:rsid w:val="005D71E2"/>
    <w:rsid w:val="005F0B39"/>
    <w:rsid w:val="005F302B"/>
    <w:rsid w:val="006021A9"/>
    <w:rsid w:val="00604E41"/>
    <w:rsid w:val="0060528D"/>
    <w:rsid w:val="00606B67"/>
    <w:rsid w:val="00607293"/>
    <w:rsid w:val="006135E7"/>
    <w:rsid w:val="00614A75"/>
    <w:rsid w:val="0061520D"/>
    <w:rsid w:val="00615EB0"/>
    <w:rsid w:val="00616931"/>
    <w:rsid w:val="00617DFB"/>
    <w:rsid w:val="0062148D"/>
    <w:rsid w:val="00642CA4"/>
    <w:rsid w:val="00642E64"/>
    <w:rsid w:val="00644CEC"/>
    <w:rsid w:val="006463C6"/>
    <w:rsid w:val="00651538"/>
    <w:rsid w:val="00652B15"/>
    <w:rsid w:val="00656C98"/>
    <w:rsid w:val="00660789"/>
    <w:rsid w:val="006659D9"/>
    <w:rsid w:val="006706A5"/>
    <w:rsid w:val="00673E41"/>
    <w:rsid w:val="0068156F"/>
    <w:rsid w:val="0068394C"/>
    <w:rsid w:val="00685B2C"/>
    <w:rsid w:val="00694FDF"/>
    <w:rsid w:val="006A7608"/>
    <w:rsid w:val="006A78F3"/>
    <w:rsid w:val="006B1207"/>
    <w:rsid w:val="006B2921"/>
    <w:rsid w:val="006C3F15"/>
    <w:rsid w:val="006C7885"/>
    <w:rsid w:val="006D04F3"/>
    <w:rsid w:val="006D6C87"/>
    <w:rsid w:val="006D77BA"/>
    <w:rsid w:val="006D7B97"/>
    <w:rsid w:val="006E5EFC"/>
    <w:rsid w:val="006F04B6"/>
    <w:rsid w:val="00701BD2"/>
    <w:rsid w:val="00701DC5"/>
    <w:rsid w:val="00706DAD"/>
    <w:rsid w:val="00706ED2"/>
    <w:rsid w:val="007072EC"/>
    <w:rsid w:val="007112C8"/>
    <w:rsid w:val="007129E1"/>
    <w:rsid w:val="007200FF"/>
    <w:rsid w:val="007227A6"/>
    <w:rsid w:val="0072769A"/>
    <w:rsid w:val="00727F5A"/>
    <w:rsid w:val="0073158B"/>
    <w:rsid w:val="00733A5E"/>
    <w:rsid w:val="0073580F"/>
    <w:rsid w:val="00742DD6"/>
    <w:rsid w:val="00744FBE"/>
    <w:rsid w:val="007469EF"/>
    <w:rsid w:val="00751B34"/>
    <w:rsid w:val="00752B6D"/>
    <w:rsid w:val="00753801"/>
    <w:rsid w:val="00755D3C"/>
    <w:rsid w:val="00760F74"/>
    <w:rsid w:val="00763A4F"/>
    <w:rsid w:val="007646D8"/>
    <w:rsid w:val="0076479B"/>
    <w:rsid w:val="0076690C"/>
    <w:rsid w:val="00770FB3"/>
    <w:rsid w:val="00771B35"/>
    <w:rsid w:val="00772889"/>
    <w:rsid w:val="007767A5"/>
    <w:rsid w:val="00776F02"/>
    <w:rsid w:val="007807CF"/>
    <w:rsid w:val="00787461"/>
    <w:rsid w:val="00790D54"/>
    <w:rsid w:val="00793B72"/>
    <w:rsid w:val="0079659C"/>
    <w:rsid w:val="00797627"/>
    <w:rsid w:val="007A2106"/>
    <w:rsid w:val="007A503F"/>
    <w:rsid w:val="007A5911"/>
    <w:rsid w:val="007A7B2F"/>
    <w:rsid w:val="007A7C9E"/>
    <w:rsid w:val="007A7DB7"/>
    <w:rsid w:val="007B1119"/>
    <w:rsid w:val="007B127F"/>
    <w:rsid w:val="007B353C"/>
    <w:rsid w:val="007B667B"/>
    <w:rsid w:val="007B6B14"/>
    <w:rsid w:val="007C0498"/>
    <w:rsid w:val="007C1122"/>
    <w:rsid w:val="007C2054"/>
    <w:rsid w:val="007C5323"/>
    <w:rsid w:val="007C55B0"/>
    <w:rsid w:val="007C691D"/>
    <w:rsid w:val="007D20CD"/>
    <w:rsid w:val="007D38FC"/>
    <w:rsid w:val="007D47BD"/>
    <w:rsid w:val="007D4A12"/>
    <w:rsid w:val="007D5B9B"/>
    <w:rsid w:val="007E3A3B"/>
    <w:rsid w:val="007E50F0"/>
    <w:rsid w:val="007F2F9E"/>
    <w:rsid w:val="007F34DE"/>
    <w:rsid w:val="00801362"/>
    <w:rsid w:val="0080553F"/>
    <w:rsid w:val="008057C0"/>
    <w:rsid w:val="008101E9"/>
    <w:rsid w:val="0081660C"/>
    <w:rsid w:val="00834101"/>
    <w:rsid w:val="00836307"/>
    <w:rsid w:val="008453F1"/>
    <w:rsid w:val="00845C97"/>
    <w:rsid w:val="00845D6B"/>
    <w:rsid w:val="00847744"/>
    <w:rsid w:val="00850C56"/>
    <w:rsid w:val="0085168C"/>
    <w:rsid w:val="00854C08"/>
    <w:rsid w:val="008619E9"/>
    <w:rsid w:val="0086787B"/>
    <w:rsid w:val="00870CC3"/>
    <w:rsid w:val="00870D52"/>
    <w:rsid w:val="008746B4"/>
    <w:rsid w:val="0087761F"/>
    <w:rsid w:val="00883374"/>
    <w:rsid w:val="00883657"/>
    <w:rsid w:val="008839ED"/>
    <w:rsid w:val="00884595"/>
    <w:rsid w:val="008924AE"/>
    <w:rsid w:val="008A297D"/>
    <w:rsid w:val="008A4EE5"/>
    <w:rsid w:val="008A5C1C"/>
    <w:rsid w:val="008A6331"/>
    <w:rsid w:val="008A63BB"/>
    <w:rsid w:val="008A6C98"/>
    <w:rsid w:val="008B6EAD"/>
    <w:rsid w:val="008D4308"/>
    <w:rsid w:val="008E0B7F"/>
    <w:rsid w:val="008E306A"/>
    <w:rsid w:val="008E51DC"/>
    <w:rsid w:val="008E51DE"/>
    <w:rsid w:val="008E58C8"/>
    <w:rsid w:val="008E7712"/>
    <w:rsid w:val="008F3FA7"/>
    <w:rsid w:val="008F5ADF"/>
    <w:rsid w:val="008F6E16"/>
    <w:rsid w:val="00901CDA"/>
    <w:rsid w:val="00903218"/>
    <w:rsid w:val="00904BA4"/>
    <w:rsid w:val="00907CE2"/>
    <w:rsid w:val="00912B5D"/>
    <w:rsid w:val="0091309A"/>
    <w:rsid w:val="009232E9"/>
    <w:rsid w:val="00934FB7"/>
    <w:rsid w:val="009414E3"/>
    <w:rsid w:val="009437F7"/>
    <w:rsid w:val="00947D86"/>
    <w:rsid w:val="00951760"/>
    <w:rsid w:val="00952267"/>
    <w:rsid w:val="00963614"/>
    <w:rsid w:val="009641C4"/>
    <w:rsid w:val="00966663"/>
    <w:rsid w:val="0097410D"/>
    <w:rsid w:val="00991DC8"/>
    <w:rsid w:val="00994DEC"/>
    <w:rsid w:val="00996BFA"/>
    <w:rsid w:val="00996D1F"/>
    <w:rsid w:val="0099717D"/>
    <w:rsid w:val="009A6476"/>
    <w:rsid w:val="009A7630"/>
    <w:rsid w:val="009B11A1"/>
    <w:rsid w:val="009B62CB"/>
    <w:rsid w:val="009B6DCC"/>
    <w:rsid w:val="009C1AB6"/>
    <w:rsid w:val="009C3C24"/>
    <w:rsid w:val="009C3F71"/>
    <w:rsid w:val="009D34FF"/>
    <w:rsid w:val="009D4EB0"/>
    <w:rsid w:val="009D66D6"/>
    <w:rsid w:val="009D6FC2"/>
    <w:rsid w:val="009E0255"/>
    <w:rsid w:val="009E1C51"/>
    <w:rsid w:val="009E20DE"/>
    <w:rsid w:val="009E2E9B"/>
    <w:rsid w:val="009E4266"/>
    <w:rsid w:val="009F251A"/>
    <w:rsid w:val="009F2C0F"/>
    <w:rsid w:val="009F2DF7"/>
    <w:rsid w:val="009F75F9"/>
    <w:rsid w:val="009F77C7"/>
    <w:rsid w:val="00A01726"/>
    <w:rsid w:val="00A031B8"/>
    <w:rsid w:val="00A04F1A"/>
    <w:rsid w:val="00A06668"/>
    <w:rsid w:val="00A074EE"/>
    <w:rsid w:val="00A1022D"/>
    <w:rsid w:val="00A11CD9"/>
    <w:rsid w:val="00A1279F"/>
    <w:rsid w:val="00A128B0"/>
    <w:rsid w:val="00A12DAC"/>
    <w:rsid w:val="00A1351E"/>
    <w:rsid w:val="00A144F0"/>
    <w:rsid w:val="00A24AC7"/>
    <w:rsid w:val="00A26AB7"/>
    <w:rsid w:val="00A31180"/>
    <w:rsid w:val="00A32863"/>
    <w:rsid w:val="00A32FED"/>
    <w:rsid w:val="00A4205B"/>
    <w:rsid w:val="00A43052"/>
    <w:rsid w:val="00A43407"/>
    <w:rsid w:val="00A44F8D"/>
    <w:rsid w:val="00A51944"/>
    <w:rsid w:val="00A53A69"/>
    <w:rsid w:val="00A54E73"/>
    <w:rsid w:val="00A55EAC"/>
    <w:rsid w:val="00A6107B"/>
    <w:rsid w:val="00A63C75"/>
    <w:rsid w:val="00A63D27"/>
    <w:rsid w:val="00A64E4A"/>
    <w:rsid w:val="00A740C4"/>
    <w:rsid w:val="00A759E1"/>
    <w:rsid w:val="00A7640C"/>
    <w:rsid w:val="00A81E14"/>
    <w:rsid w:val="00A84D8C"/>
    <w:rsid w:val="00A85C73"/>
    <w:rsid w:val="00A90CE5"/>
    <w:rsid w:val="00A911D7"/>
    <w:rsid w:val="00A9602D"/>
    <w:rsid w:val="00A966D3"/>
    <w:rsid w:val="00A96993"/>
    <w:rsid w:val="00A97090"/>
    <w:rsid w:val="00AA3D16"/>
    <w:rsid w:val="00AA7FFE"/>
    <w:rsid w:val="00AB0195"/>
    <w:rsid w:val="00AB3488"/>
    <w:rsid w:val="00AB3839"/>
    <w:rsid w:val="00AB66EE"/>
    <w:rsid w:val="00AB7ACF"/>
    <w:rsid w:val="00AC5134"/>
    <w:rsid w:val="00AC6558"/>
    <w:rsid w:val="00AD08C6"/>
    <w:rsid w:val="00AD407C"/>
    <w:rsid w:val="00AD4E7B"/>
    <w:rsid w:val="00AD61FA"/>
    <w:rsid w:val="00AD6D8F"/>
    <w:rsid w:val="00AE0F6D"/>
    <w:rsid w:val="00AE0F8A"/>
    <w:rsid w:val="00AE2937"/>
    <w:rsid w:val="00AE56CF"/>
    <w:rsid w:val="00AE6527"/>
    <w:rsid w:val="00AE74B1"/>
    <w:rsid w:val="00AF5315"/>
    <w:rsid w:val="00AF595B"/>
    <w:rsid w:val="00AF6468"/>
    <w:rsid w:val="00AF787D"/>
    <w:rsid w:val="00B013E5"/>
    <w:rsid w:val="00B01940"/>
    <w:rsid w:val="00B03E1C"/>
    <w:rsid w:val="00B043A4"/>
    <w:rsid w:val="00B04F23"/>
    <w:rsid w:val="00B076B7"/>
    <w:rsid w:val="00B07C2C"/>
    <w:rsid w:val="00B10E96"/>
    <w:rsid w:val="00B13E3C"/>
    <w:rsid w:val="00B13E82"/>
    <w:rsid w:val="00B268DB"/>
    <w:rsid w:val="00B33176"/>
    <w:rsid w:val="00B36C75"/>
    <w:rsid w:val="00B40196"/>
    <w:rsid w:val="00B411D5"/>
    <w:rsid w:val="00B5037E"/>
    <w:rsid w:val="00B53FC2"/>
    <w:rsid w:val="00B567EF"/>
    <w:rsid w:val="00B57B54"/>
    <w:rsid w:val="00B60CC6"/>
    <w:rsid w:val="00B60F7D"/>
    <w:rsid w:val="00B62FC7"/>
    <w:rsid w:val="00B639AE"/>
    <w:rsid w:val="00B64AD3"/>
    <w:rsid w:val="00B66337"/>
    <w:rsid w:val="00B82549"/>
    <w:rsid w:val="00B84DFD"/>
    <w:rsid w:val="00B905E4"/>
    <w:rsid w:val="00B939D9"/>
    <w:rsid w:val="00B964FD"/>
    <w:rsid w:val="00B97C8B"/>
    <w:rsid w:val="00B97D64"/>
    <w:rsid w:val="00BA060B"/>
    <w:rsid w:val="00BA0651"/>
    <w:rsid w:val="00BA1A61"/>
    <w:rsid w:val="00BA20EC"/>
    <w:rsid w:val="00BA33D0"/>
    <w:rsid w:val="00BA49A8"/>
    <w:rsid w:val="00BA4A29"/>
    <w:rsid w:val="00BA4B6C"/>
    <w:rsid w:val="00BA5CE9"/>
    <w:rsid w:val="00BA5FB3"/>
    <w:rsid w:val="00BC4DA5"/>
    <w:rsid w:val="00BC5C44"/>
    <w:rsid w:val="00BC5E24"/>
    <w:rsid w:val="00BC7EDD"/>
    <w:rsid w:val="00BD1FFD"/>
    <w:rsid w:val="00BD264B"/>
    <w:rsid w:val="00BE7798"/>
    <w:rsid w:val="00BF2334"/>
    <w:rsid w:val="00BF77D4"/>
    <w:rsid w:val="00C0598D"/>
    <w:rsid w:val="00C2026C"/>
    <w:rsid w:val="00C21E6F"/>
    <w:rsid w:val="00C26DD8"/>
    <w:rsid w:val="00C27152"/>
    <w:rsid w:val="00C27B30"/>
    <w:rsid w:val="00C3190B"/>
    <w:rsid w:val="00C34FF6"/>
    <w:rsid w:val="00C452AC"/>
    <w:rsid w:val="00C474D2"/>
    <w:rsid w:val="00C54DE5"/>
    <w:rsid w:val="00C60040"/>
    <w:rsid w:val="00C61D61"/>
    <w:rsid w:val="00C6628A"/>
    <w:rsid w:val="00C7200D"/>
    <w:rsid w:val="00C74ADC"/>
    <w:rsid w:val="00C83A80"/>
    <w:rsid w:val="00C84EB3"/>
    <w:rsid w:val="00C914ED"/>
    <w:rsid w:val="00C93438"/>
    <w:rsid w:val="00C94BC9"/>
    <w:rsid w:val="00C95519"/>
    <w:rsid w:val="00C97401"/>
    <w:rsid w:val="00CA05AA"/>
    <w:rsid w:val="00CA6D66"/>
    <w:rsid w:val="00CC521A"/>
    <w:rsid w:val="00CC5967"/>
    <w:rsid w:val="00CC75C9"/>
    <w:rsid w:val="00CD2192"/>
    <w:rsid w:val="00CD329F"/>
    <w:rsid w:val="00CD340A"/>
    <w:rsid w:val="00CE2340"/>
    <w:rsid w:val="00CE3372"/>
    <w:rsid w:val="00CE65FF"/>
    <w:rsid w:val="00CE71A8"/>
    <w:rsid w:val="00CF0253"/>
    <w:rsid w:val="00CF156A"/>
    <w:rsid w:val="00CF160A"/>
    <w:rsid w:val="00CF2262"/>
    <w:rsid w:val="00D028AE"/>
    <w:rsid w:val="00D034B3"/>
    <w:rsid w:val="00D03981"/>
    <w:rsid w:val="00D04033"/>
    <w:rsid w:val="00D045FA"/>
    <w:rsid w:val="00D05385"/>
    <w:rsid w:val="00D100ED"/>
    <w:rsid w:val="00D11516"/>
    <w:rsid w:val="00D1250C"/>
    <w:rsid w:val="00D13EDC"/>
    <w:rsid w:val="00D1426F"/>
    <w:rsid w:val="00D2244A"/>
    <w:rsid w:val="00D22924"/>
    <w:rsid w:val="00D23838"/>
    <w:rsid w:val="00D23ED9"/>
    <w:rsid w:val="00D464B6"/>
    <w:rsid w:val="00D51503"/>
    <w:rsid w:val="00D51B01"/>
    <w:rsid w:val="00D52414"/>
    <w:rsid w:val="00D54583"/>
    <w:rsid w:val="00D559B3"/>
    <w:rsid w:val="00D619B6"/>
    <w:rsid w:val="00D61FE8"/>
    <w:rsid w:val="00D64109"/>
    <w:rsid w:val="00D64272"/>
    <w:rsid w:val="00D669DA"/>
    <w:rsid w:val="00D70011"/>
    <w:rsid w:val="00D713A0"/>
    <w:rsid w:val="00D808C4"/>
    <w:rsid w:val="00D8227C"/>
    <w:rsid w:val="00D82AF8"/>
    <w:rsid w:val="00D83D85"/>
    <w:rsid w:val="00D8554E"/>
    <w:rsid w:val="00D875C0"/>
    <w:rsid w:val="00D90023"/>
    <w:rsid w:val="00D96E19"/>
    <w:rsid w:val="00DA0D31"/>
    <w:rsid w:val="00DA1814"/>
    <w:rsid w:val="00DA2EB0"/>
    <w:rsid w:val="00DA30E9"/>
    <w:rsid w:val="00DB1E0C"/>
    <w:rsid w:val="00DB656A"/>
    <w:rsid w:val="00DB6C5A"/>
    <w:rsid w:val="00DC0180"/>
    <w:rsid w:val="00DE34A8"/>
    <w:rsid w:val="00DE38EB"/>
    <w:rsid w:val="00DE42AA"/>
    <w:rsid w:val="00DE5501"/>
    <w:rsid w:val="00DF15C9"/>
    <w:rsid w:val="00DF35FE"/>
    <w:rsid w:val="00DF58BE"/>
    <w:rsid w:val="00DF69B1"/>
    <w:rsid w:val="00E02C10"/>
    <w:rsid w:val="00E03EBC"/>
    <w:rsid w:val="00E040A9"/>
    <w:rsid w:val="00E04933"/>
    <w:rsid w:val="00E07761"/>
    <w:rsid w:val="00E13050"/>
    <w:rsid w:val="00E14893"/>
    <w:rsid w:val="00E14EA9"/>
    <w:rsid w:val="00E20D93"/>
    <w:rsid w:val="00E22A86"/>
    <w:rsid w:val="00E30127"/>
    <w:rsid w:val="00E32F43"/>
    <w:rsid w:val="00E37450"/>
    <w:rsid w:val="00E42608"/>
    <w:rsid w:val="00E43348"/>
    <w:rsid w:val="00E54129"/>
    <w:rsid w:val="00E5547B"/>
    <w:rsid w:val="00E60EE8"/>
    <w:rsid w:val="00E6401E"/>
    <w:rsid w:val="00E65BCD"/>
    <w:rsid w:val="00E66BB3"/>
    <w:rsid w:val="00E7044E"/>
    <w:rsid w:val="00E70572"/>
    <w:rsid w:val="00E705C9"/>
    <w:rsid w:val="00E710EF"/>
    <w:rsid w:val="00E76D45"/>
    <w:rsid w:val="00E822D8"/>
    <w:rsid w:val="00E832D0"/>
    <w:rsid w:val="00E8581D"/>
    <w:rsid w:val="00E85FF5"/>
    <w:rsid w:val="00E865BA"/>
    <w:rsid w:val="00E90230"/>
    <w:rsid w:val="00E917A1"/>
    <w:rsid w:val="00E92530"/>
    <w:rsid w:val="00E95A0A"/>
    <w:rsid w:val="00E975E8"/>
    <w:rsid w:val="00EA5255"/>
    <w:rsid w:val="00EA6905"/>
    <w:rsid w:val="00EB31BB"/>
    <w:rsid w:val="00EB346E"/>
    <w:rsid w:val="00EC4484"/>
    <w:rsid w:val="00EC52FE"/>
    <w:rsid w:val="00EC63C7"/>
    <w:rsid w:val="00ED2355"/>
    <w:rsid w:val="00ED3E4E"/>
    <w:rsid w:val="00ED522D"/>
    <w:rsid w:val="00EE0B1B"/>
    <w:rsid w:val="00EE2036"/>
    <w:rsid w:val="00EE4099"/>
    <w:rsid w:val="00EE4D66"/>
    <w:rsid w:val="00EF68A2"/>
    <w:rsid w:val="00EF6BA1"/>
    <w:rsid w:val="00F03508"/>
    <w:rsid w:val="00F070B6"/>
    <w:rsid w:val="00F0758D"/>
    <w:rsid w:val="00F07A4C"/>
    <w:rsid w:val="00F11876"/>
    <w:rsid w:val="00F134DE"/>
    <w:rsid w:val="00F141B7"/>
    <w:rsid w:val="00F16905"/>
    <w:rsid w:val="00F16CFA"/>
    <w:rsid w:val="00F20EB4"/>
    <w:rsid w:val="00F24643"/>
    <w:rsid w:val="00F277E1"/>
    <w:rsid w:val="00F31D4D"/>
    <w:rsid w:val="00F35D49"/>
    <w:rsid w:val="00F361C9"/>
    <w:rsid w:val="00F40C09"/>
    <w:rsid w:val="00F413EA"/>
    <w:rsid w:val="00F41410"/>
    <w:rsid w:val="00F43223"/>
    <w:rsid w:val="00F446F0"/>
    <w:rsid w:val="00F52B31"/>
    <w:rsid w:val="00F554AF"/>
    <w:rsid w:val="00F60C96"/>
    <w:rsid w:val="00F62531"/>
    <w:rsid w:val="00F64104"/>
    <w:rsid w:val="00F67B03"/>
    <w:rsid w:val="00F87318"/>
    <w:rsid w:val="00F93957"/>
    <w:rsid w:val="00F944E4"/>
    <w:rsid w:val="00F945FB"/>
    <w:rsid w:val="00F95707"/>
    <w:rsid w:val="00FA256C"/>
    <w:rsid w:val="00FA47A9"/>
    <w:rsid w:val="00FB04F1"/>
    <w:rsid w:val="00FB1855"/>
    <w:rsid w:val="00FC11BB"/>
    <w:rsid w:val="00FC1A4C"/>
    <w:rsid w:val="00FC33CB"/>
    <w:rsid w:val="00FC473B"/>
    <w:rsid w:val="00FC6553"/>
    <w:rsid w:val="00FD1F99"/>
    <w:rsid w:val="00FD3910"/>
    <w:rsid w:val="00FD3E02"/>
    <w:rsid w:val="00FE0D7E"/>
    <w:rsid w:val="00FE1654"/>
    <w:rsid w:val="00FE5253"/>
    <w:rsid w:val="00FF05A8"/>
    <w:rsid w:val="00FF4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B535E"/>
  <w15:chartTrackingRefBased/>
  <w15:docId w15:val="{4F7BDF94-1B2C-4079-AE42-F4821983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00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300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Exhibits">
    <w:name w:val="Style Exhibits"/>
    <w:basedOn w:val="NoSpacing"/>
    <w:qFormat/>
    <w:rsid w:val="008057C0"/>
    <w:rPr>
      <w:rFonts w:ascii="Times New Roman" w:hAnsi="Times New Roman" w:cs="Times New Roman"/>
      <w:sz w:val="24"/>
      <w:szCs w:val="24"/>
    </w:rPr>
  </w:style>
  <w:style w:type="paragraph" w:styleId="NoSpacing">
    <w:name w:val="No Spacing"/>
    <w:uiPriority w:val="1"/>
    <w:qFormat/>
    <w:rsid w:val="008057C0"/>
    <w:pPr>
      <w:spacing w:after="0" w:line="240" w:lineRule="auto"/>
    </w:pPr>
  </w:style>
  <w:style w:type="paragraph" w:styleId="Header">
    <w:name w:val="header"/>
    <w:basedOn w:val="Normal"/>
    <w:link w:val="HeaderChar"/>
    <w:uiPriority w:val="99"/>
    <w:unhideWhenUsed/>
    <w:rsid w:val="008057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7C0"/>
  </w:style>
  <w:style w:type="paragraph" w:styleId="Footer">
    <w:name w:val="footer"/>
    <w:basedOn w:val="Normal"/>
    <w:link w:val="FooterChar"/>
    <w:uiPriority w:val="99"/>
    <w:unhideWhenUsed/>
    <w:rsid w:val="008057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7C0"/>
  </w:style>
  <w:style w:type="paragraph" w:styleId="ListParagraph">
    <w:name w:val="List Paragraph"/>
    <w:basedOn w:val="Normal"/>
    <w:uiPriority w:val="34"/>
    <w:qFormat/>
    <w:rsid w:val="00A84D8C"/>
    <w:pPr>
      <w:ind w:left="720"/>
      <w:contextualSpacing/>
    </w:pPr>
  </w:style>
  <w:style w:type="character" w:styleId="Hyperlink">
    <w:name w:val="Hyperlink"/>
    <w:basedOn w:val="DefaultParagraphFont"/>
    <w:uiPriority w:val="99"/>
    <w:unhideWhenUsed/>
    <w:rsid w:val="00CF2262"/>
    <w:rPr>
      <w:color w:val="0563C1" w:themeColor="hyperlink"/>
      <w:u w:val="single"/>
    </w:rPr>
  </w:style>
  <w:style w:type="character" w:styleId="UnresolvedMention">
    <w:name w:val="Unresolved Mention"/>
    <w:basedOn w:val="DefaultParagraphFont"/>
    <w:uiPriority w:val="99"/>
    <w:semiHidden/>
    <w:unhideWhenUsed/>
    <w:rsid w:val="00CF2262"/>
    <w:rPr>
      <w:color w:val="605E5C"/>
      <w:shd w:val="clear" w:color="auto" w:fill="E1DFDD"/>
    </w:rPr>
  </w:style>
  <w:style w:type="character" w:styleId="FollowedHyperlink">
    <w:name w:val="FollowedHyperlink"/>
    <w:basedOn w:val="DefaultParagraphFont"/>
    <w:uiPriority w:val="99"/>
    <w:semiHidden/>
    <w:unhideWhenUsed/>
    <w:rsid w:val="0001477F"/>
    <w:rPr>
      <w:color w:val="954F72" w:themeColor="followedHyperlink"/>
      <w:u w:val="single"/>
    </w:rPr>
  </w:style>
  <w:style w:type="character" w:styleId="CommentReference">
    <w:name w:val="annotation reference"/>
    <w:basedOn w:val="DefaultParagraphFont"/>
    <w:uiPriority w:val="99"/>
    <w:semiHidden/>
    <w:unhideWhenUsed/>
    <w:rsid w:val="00074918"/>
    <w:rPr>
      <w:sz w:val="16"/>
      <w:szCs w:val="16"/>
    </w:rPr>
  </w:style>
  <w:style w:type="paragraph" w:styleId="CommentText">
    <w:name w:val="annotation text"/>
    <w:basedOn w:val="Normal"/>
    <w:link w:val="CommentTextChar"/>
    <w:uiPriority w:val="99"/>
    <w:unhideWhenUsed/>
    <w:rsid w:val="00074918"/>
    <w:pPr>
      <w:spacing w:line="240" w:lineRule="auto"/>
    </w:pPr>
    <w:rPr>
      <w:sz w:val="20"/>
      <w:szCs w:val="20"/>
    </w:rPr>
  </w:style>
  <w:style w:type="character" w:customStyle="1" w:styleId="CommentTextChar">
    <w:name w:val="Comment Text Char"/>
    <w:basedOn w:val="DefaultParagraphFont"/>
    <w:link w:val="CommentText"/>
    <w:uiPriority w:val="99"/>
    <w:rsid w:val="00074918"/>
    <w:rPr>
      <w:sz w:val="20"/>
      <w:szCs w:val="20"/>
    </w:rPr>
  </w:style>
  <w:style w:type="paragraph" w:styleId="CommentSubject">
    <w:name w:val="annotation subject"/>
    <w:basedOn w:val="CommentText"/>
    <w:next w:val="CommentText"/>
    <w:link w:val="CommentSubjectChar"/>
    <w:uiPriority w:val="99"/>
    <w:semiHidden/>
    <w:unhideWhenUsed/>
    <w:rsid w:val="00074918"/>
    <w:rPr>
      <w:b/>
      <w:bCs/>
    </w:rPr>
  </w:style>
  <w:style w:type="character" w:customStyle="1" w:styleId="CommentSubjectChar">
    <w:name w:val="Comment Subject Char"/>
    <w:basedOn w:val="CommentTextChar"/>
    <w:link w:val="CommentSubject"/>
    <w:uiPriority w:val="99"/>
    <w:semiHidden/>
    <w:rsid w:val="00074918"/>
    <w:rPr>
      <w:b/>
      <w:bCs/>
      <w:sz w:val="20"/>
      <w:szCs w:val="20"/>
    </w:rPr>
  </w:style>
  <w:style w:type="paragraph" w:styleId="BalloonText">
    <w:name w:val="Balloon Text"/>
    <w:basedOn w:val="Normal"/>
    <w:link w:val="BalloonTextChar"/>
    <w:uiPriority w:val="99"/>
    <w:semiHidden/>
    <w:unhideWhenUsed/>
    <w:rsid w:val="000749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918"/>
    <w:rPr>
      <w:rFonts w:ascii="Segoe UI" w:hAnsi="Segoe UI" w:cs="Segoe UI"/>
      <w:sz w:val="18"/>
      <w:szCs w:val="18"/>
    </w:rPr>
  </w:style>
  <w:style w:type="paragraph" w:customStyle="1" w:styleId="Default">
    <w:name w:val="Default"/>
    <w:rsid w:val="00051BE1"/>
    <w:pPr>
      <w:autoSpaceDE w:val="0"/>
      <w:autoSpaceDN w:val="0"/>
      <w:adjustRightInd w:val="0"/>
      <w:spacing w:after="0" w:line="240" w:lineRule="auto"/>
    </w:pPr>
    <w:rPr>
      <w:rFonts w:ascii="Calibri" w:hAnsi="Calibri" w:cs="Calibri"/>
      <w:color w:val="000000"/>
      <w:sz w:val="24"/>
      <w:szCs w:val="24"/>
    </w:rPr>
  </w:style>
  <w:style w:type="paragraph" w:customStyle="1" w:styleId="Style1TimesRoman12">
    <w:name w:val="Style 1. Times Roman 12"/>
    <w:basedOn w:val="Heading1"/>
    <w:qFormat/>
    <w:rsid w:val="00430013"/>
    <w:pPr>
      <w:keepNext w:val="0"/>
      <w:keepLines w:val="0"/>
      <w:widowControl w:val="0"/>
      <w:numPr>
        <w:ilvl w:val="1"/>
        <w:numId w:val="9"/>
      </w:numPr>
      <w:spacing w:before="0" w:after="200" w:line="276" w:lineRule="auto"/>
      <w:ind w:left="1080" w:hanging="360"/>
    </w:pPr>
    <w:rPr>
      <w:rFonts w:ascii="Times New Roman" w:hAnsi="Times New Roman"/>
      <w:bCs/>
      <w:color w:val="auto"/>
      <w:sz w:val="24"/>
      <w:szCs w:val="28"/>
    </w:rPr>
  </w:style>
  <w:style w:type="paragraph" w:customStyle="1" w:styleId="Style11TimesRoman12">
    <w:name w:val="Style 1.1. Times Roman 12"/>
    <w:basedOn w:val="Heading2"/>
    <w:qFormat/>
    <w:rsid w:val="00430013"/>
    <w:pPr>
      <w:keepNext w:val="0"/>
      <w:keepLines w:val="0"/>
      <w:widowControl w:val="0"/>
      <w:numPr>
        <w:ilvl w:val="2"/>
        <w:numId w:val="9"/>
      </w:numPr>
      <w:tabs>
        <w:tab w:val="clear" w:pos="360"/>
      </w:tabs>
      <w:spacing w:before="0" w:after="200" w:line="276" w:lineRule="auto"/>
      <w:ind w:left="1800" w:hanging="180"/>
    </w:pPr>
    <w:rPr>
      <w:rFonts w:ascii="Times New Roman" w:hAnsi="Times New Roman"/>
      <w:bCs/>
      <w:color w:val="auto"/>
      <w:sz w:val="24"/>
    </w:rPr>
  </w:style>
  <w:style w:type="paragraph" w:customStyle="1" w:styleId="Style111TimesRoman12">
    <w:name w:val="Style 1.1.1. Times Roman 12"/>
    <w:basedOn w:val="Normal"/>
    <w:qFormat/>
    <w:rsid w:val="00430013"/>
    <w:pPr>
      <w:widowControl w:val="0"/>
      <w:numPr>
        <w:ilvl w:val="3"/>
        <w:numId w:val="9"/>
      </w:numPr>
      <w:spacing w:after="200" w:line="276" w:lineRule="auto"/>
    </w:pPr>
    <w:rPr>
      <w:rFonts w:ascii="Times New Roman" w:hAnsi="Times New Roman"/>
      <w:sz w:val="24"/>
    </w:rPr>
  </w:style>
  <w:style w:type="paragraph" w:customStyle="1" w:styleId="Style1111TimesRoman12">
    <w:name w:val="Style 1.1.1.1. Times Roman 12"/>
    <w:basedOn w:val="Normal"/>
    <w:qFormat/>
    <w:rsid w:val="00430013"/>
    <w:pPr>
      <w:widowControl w:val="0"/>
      <w:numPr>
        <w:ilvl w:val="4"/>
        <w:numId w:val="9"/>
      </w:numPr>
      <w:spacing w:after="200" w:line="276" w:lineRule="auto"/>
    </w:pPr>
    <w:rPr>
      <w:rFonts w:ascii="Times New Roman" w:hAnsi="Times New Roman"/>
      <w:sz w:val="24"/>
    </w:rPr>
  </w:style>
  <w:style w:type="paragraph" w:customStyle="1" w:styleId="RestartNumberingLanguage">
    <w:name w:val="Restart Numbering Language"/>
    <w:basedOn w:val="Normal"/>
    <w:qFormat/>
    <w:rsid w:val="00430013"/>
    <w:pPr>
      <w:widowControl w:val="0"/>
      <w:numPr>
        <w:numId w:val="9"/>
      </w:numPr>
      <w:spacing w:after="0" w:line="240" w:lineRule="auto"/>
    </w:pPr>
    <w:rPr>
      <w:rFonts w:ascii="Times New Roman" w:hAnsi="Times New Roman"/>
      <w:color w:val="FFFFFF" w:themeColor="background1"/>
      <w:sz w:val="2"/>
    </w:rPr>
  </w:style>
  <w:style w:type="character" w:customStyle="1" w:styleId="Heading1Char">
    <w:name w:val="Heading 1 Char"/>
    <w:basedOn w:val="DefaultParagraphFont"/>
    <w:link w:val="Heading1"/>
    <w:uiPriority w:val="9"/>
    <w:rsid w:val="0043001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43001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wasp.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nvd.nist.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C@sempra.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558F04E8106243B64406965E06F819" ma:contentTypeVersion="9" ma:contentTypeDescription="Create a new document." ma:contentTypeScope="" ma:versionID="d28759db5ced5b8c65f6c0095afa932a">
  <xsd:schema xmlns:xsd="http://www.w3.org/2001/XMLSchema" xmlns:xs="http://www.w3.org/2001/XMLSchema" xmlns:p="http://schemas.microsoft.com/office/2006/metadata/properties" xmlns:ns3="dee78854-d241-41b0-8411-773191e98521" targetNamespace="http://schemas.microsoft.com/office/2006/metadata/properties" ma:root="true" ma:fieldsID="4072eded19418326c2fe90de5ac22742" ns3:_="">
    <xsd:import namespace="dee78854-d241-41b0-8411-773191e9852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78854-d241-41b0-8411-773191e9852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408A0-435A-4927-A90B-33F4B32588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8DFB8E-9729-4E40-AFD9-F3319C4E69BC}">
  <ds:schemaRefs>
    <ds:schemaRef ds:uri="http://schemas.microsoft.com/sharepoint/v3/contenttype/forms"/>
  </ds:schemaRefs>
</ds:datastoreItem>
</file>

<file path=customXml/itemProps3.xml><?xml version="1.0" encoding="utf-8"?>
<ds:datastoreItem xmlns:ds="http://schemas.openxmlformats.org/officeDocument/2006/customXml" ds:itemID="{1DBC98A3-BD1B-4991-863B-25F3A802D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78854-d241-41b0-8411-773191e985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69CA9D-A3D3-4FCC-8985-EDB890577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Dispenzieri, Charles E</dc:creator>
  <cp:keywords/>
  <dc:description/>
  <cp:lastModifiedBy>Dispenzieri, Charles E</cp:lastModifiedBy>
  <cp:revision>4</cp:revision>
  <dcterms:created xsi:type="dcterms:W3CDTF">2020-08-05T19:37:00Z</dcterms:created>
  <dcterms:modified xsi:type="dcterms:W3CDTF">2020-08-07T22:30:00Z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0x010100DE558F04E8106243B64406965E06F819</vt:lpwstr>
  </property>
  <property fmtid="{D5CDD505-2E9C-101B-9397-08002B2CF9AE}" pid="3" name="_dlc_DocIdItemGuid">
    <vt:lpwstr>8a437714-ec05-410e-accb-1de4696a8c43</vt:lpwstr>
  </property>
  <property fmtid="{D5CDD505-2E9C-101B-9397-08002B2CF9AE}" pid="4" name="_dlc_DocId">
    <vt:lpwstr>77Y44QQQH4U3-12-36046</vt:lpwstr>
  </property>
  <property fmtid="{D5CDD505-2E9C-101B-9397-08002B2CF9AE}" pid="5" name="_dlc_DocIdUrl">
    <vt:lpwstr>https://sps.socalgas.com/so/ncsdoc/_layouts/DocIdRedir.aspx?ID=77Y44QQQH4U3-12-36046, 77Y44QQQH4U3-12-36046</vt:lpwstr>
  </property>
  <property fmtid="{D5CDD505-2E9C-101B-9397-08002B2CF9AE}" pid="6" name="CIP Reference">
    <vt:lpwstr>1095;#N/A</vt:lpwstr>
  </property>
  <property fmtid="{D5CDD505-2E9C-101B-9397-08002B2CF9AE}" pid="7" name="Notes0">
    <vt:lpwstr/>
  </property>
  <property fmtid="{D5CDD505-2E9C-101B-9397-08002B2CF9AE}" pid="8" name="SecurityLevel">
    <vt:lpwstr>Internal</vt:lpwstr>
  </property>
  <property fmtid="{D5CDD505-2E9C-101B-9397-08002B2CF9AE}" pid="9" name="CollectionDate">
    <vt:filetime>2020-03-09T07:00:00Z</vt:filetime>
  </property>
  <property fmtid="{D5CDD505-2E9C-101B-9397-08002B2CF9AE}" pid="10" name="Retention Code RegAff">
    <vt:lpwstr>LEG-72-02</vt:lpwstr>
  </property>
  <property fmtid="{D5CDD505-2E9C-101B-9397-08002B2CF9AE}" pid="11" name="Document Status">
    <vt:lpwstr>Draft</vt:lpwstr>
  </property>
  <property fmtid="{D5CDD505-2E9C-101B-9397-08002B2CF9AE}" pid="12" name="Litigation Hold Flag">
    <vt:bool>false</vt:bool>
  </property>
</Properties>
</file>