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89" w:rsidRDefault="00A85689" w:rsidP="005C6E7A">
      <w:pPr>
        <w:rPr>
          <w:rFonts w:ascii="Arial" w:hAnsi="Arial" w:cs="Arial"/>
        </w:rPr>
      </w:pPr>
    </w:p>
    <w:p w:rsidR="00C62CAA" w:rsidRPr="001D4131" w:rsidRDefault="00C62CAA" w:rsidP="005C6E7A">
      <w:pPr>
        <w:rPr>
          <w:rFonts w:ascii="Arial" w:hAnsi="Arial" w:cs="Arial"/>
        </w:rPr>
      </w:pPr>
    </w:p>
    <w:p w:rsidR="00663B29" w:rsidRDefault="00663B29" w:rsidP="005C6E7A">
      <w:pPr>
        <w:rPr>
          <w:rFonts w:ascii="Arial" w:hAnsi="Arial" w:cs="Arial"/>
          <w:b/>
          <w:u w:val="single"/>
        </w:rPr>
      </w:pPr>
    </w:p>
    <w:p w:rsidR="00F759E8" w:rsidRPr="00F759E8" w:rsidRDefault="00F759E8" w:rsidP="005C6E7A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>QUESTION 1:</w:t>
      </w:r>
    </w:p>
    <w:p w:rsidR="005F4287" w:rsidRPr="0031141C" w:rsidRDefault="005F4287" w:rsidP="005C6E7A">
      <w:pPr>
        <w:rPr>
          <w:rFonts w:ascii="Arial" w:hAnsi="Arial" w:cs="Arial"/>
        </w:rPr>
      </w:pPr>
    </w:p>
    <w:p w:rsidR="008F3FF5" w:rsidRPr="008F3FF5" w:rsidRDefault="008F3FF5" w:rsidP="008F3FF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F3FF5">
        <w:rPr>
          <w:rFonts w:ascii="Arial" w:hAnsi="Arial" w:cs="Arial"/>
          <w:b/>
          <w:bCs/>
        </w:rPr>
        <w:t>Subject: Revised A.15-07-014 Prepared Direct Testimony of Mr. Bonnett and Revised</w:t>
      </w:r>
    </w:p>
    <w:p w:rsidR="008F3FF5" w:rsidRPr="008F3FF5" w:rsidRDefault="008F3FF5" w:rsidP="008F3FF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proofErr w:type="spellStart"/>
      <w:r w:rsidRPr="008F3FF5">
        <w:rPr>
          <w:rFonts w:ascii="Arial" w:hAnsi="Arial" w:cs="Arial"/>
          <w:b/>
          <w:bCs/>
        </w:rPr>
        <w:t>Workpapers</w:t>
      </w:r>
      <w:proofErr w:type="spellEnd"/>
    </w:p>
    <w:p w:rsidR="008F3FF5" w:rsidRPr="008F3FF5" w:rsidRDefault="008F3FF5" w:rsidP="008F3FF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F3FF5" w:rsidRPr="008F3FF5" w:rsidRDefault="008F3FF5" w:rsidP="008F3FF5">
      <w:pPr>
        <w:autoSpaceDE w:val="0"/>
        <w:autoSpaceDN w:val="0"/>
        <w:adjustRightInd w:val="0"/>
        <w:rPr>
          <w:rFonts w:ascii="Arial" w:hAnsi="Arial" w:cs="Arial"/>
        </w:rPr>
      </w:pPr>
      <w:r w:rsidRPr="008F3FF5">
        <w:rPr>
          <w:rFonts w:ascii="Arial" w:hAnsi="Arial" w:cs="Arial"/>
        </w:rPr>
        <w:t>Starting at the bottom of page 3 continuing on page 4 of the above subject testimony dated</w:t>
      </w:r>
    </w:p>
    <w:p w:rsidR="008F3FF5" w:rsidRPr="008F3FF5" w:rsidRDefault="008F3FF5" w:rsidP="008F3FF5">
      <w:pPr>
        <w:autoSpaceDE w:val="0"/>
        <w:autoSpaceDN w:val="0"/>
        <w:adjustRightInd w:val="0"/>
        <w:rPr>
          <w:rFonts w:ascii="Arial" w:hAnsi="Arial" w:cs="Arial"/>
        </w:rPr>
      </w:pPr>
      <w:r w:rsidRPr="008F3FF5">
        <w:rPr>
          <w:rFonts w:ascii="Arial" w:hAnsi="Arial" w:cs="Arial"/>
        </w:rPr>
        <w:t>November 19, 2015, Mr. Bonnett states “[c]</w:t>
      </w:r>
      <w:proofErr w:type="spellStart"/>
      <w:r w:rsidRPr="008F3FF5">
        <w:rPr>
          <w:rFonts w:ascii="Arial" w:hAnsi="Arial" w:cs="Arial"/>
        </w:rPr>
        <w:t>urrent</w:t>
      </w:r>
      <w:proofErr w:type="spellEnd"/>
      <w:r w:rsidRPr="008F3FF5">
        <w:rPr>
          <w:rFonts w:ascii="Arial" w:hAnsi="Arial" w:cs="Arial"/>
        </w:rPr>
        <w:t xml:space="preserve"> SoCalGas residential rates consist of a</w:t>
      </w:r>
    </w:p>
    <w:p w:rsidR="008F3FF5" w:rsidRPr="008F3FF5" w:rsidRDefault="008F3FF5" w:rsidP="008F3FF5">
      <w:pPr>
        <w:autoSpaceDE w:val="0"/>
        <w:autoSpaceDN w:val="0"/>
        <w:adjustRightInd w:val="0"/>
        <w:rPr>
          <w:rFonts w:ascii="Arial" w:hAnsi="Arial" w:cs="Arial"/>
        </w:rPr>
      </w:pPr>
      <w:r w:rsidRPr="008F3FF5">
        <w:rPr>
          <w:rFonts w:ascii="Arial" w:hAnsi="Arial" w:cs="Arial"/>
        </w:rPr>
        <w:t>$0.16438 per-meter per-day customer charge and a two-tiered usage structure: baseline (BL) and</w:t>
      </w:r>
      <w:r w:rsidR="00674C0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non-baseline (NBL) volumetric rates. The current targeted composite tier differential between</w:t>
      </w:r>
    </w:p>
    <w:p w:rsidR="008F3FF5" w:rsidRPr="008F3FF5" w:rsidRDefault="008F3FF5" w:rsidP="008F3FF5">
      <w:pPr>
        <w:autoSpaceDE w:val="0"/>
        <w:autoSpaceDN w:val="0"/>
        <w:adjustRightInd w:val="0"/>
        <w:rPr>
          <w:rFonts w:ascii="Arial" w:hAnsi="Arial" w:cs="Arial"/>
        </w:rPr>
      </w:pPr>
      <w:r w:rsidRPr="008F3FF5">
        <w:rPr>
          <w:rFonts w:ascii="Arial" w:hAnsi="Arial" w:cs="Arial"/>
        </w:rPr>
        <w:t>SoCalGas’ BL and NBL transportation rates is 1.15 (</w:t>
      </w:r>
      <w:r w:rsidRPr="008F3FF5">
        <w:rPr>
          <w:rFonts w:ascii="Arial" w:hAnsi="Arial" w:cs="Arial"/>
          <w:i/>
          <w:iCs/>
        </w:rPr>
        <w:t>i.e.</w:t>
      </w:r>
      <w:r w:rsidRPr="008F3FF5">
        <w:rPr>
          <w:rFonts w:ascii="Arial" w:hAnsi="Arial" w:cs="Arial"/>
        </w:rPr>
        <w:t>, the NBL rate is 15 percent higher than</w:t>
      </w:r>
      <w:r w:rsidR="00674C0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the composite BL rate). The composite BL rate is equal to the sum of the customer charge</w:t>
      </w:r>
      <w:r w:rsidR="00674C0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revenues and BL volumetric rate revenues divided by the BL volumes; however, the rate</w:t>
      </w:r>
      <w:r w:rsidR="00674C0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difference between the BL and NBL is currently capped at $0.26/therm. SoCalGas proposes to</w:t>
      </w:r>
      <w:r w:rsidR="00674C0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simplify the calculation by setting the tier differential between BL and NBL bundled rates (</w:t>
      </w:r>
      <w:r w:rsidRPr="008F3FF5">
        <w:rPr>
          <w:rFonts w:ascii="Arial" w:hAnsi="Arial" w:cs="Arial"/>
          <w:i/>
          <w:iCs/>
        </w:rPr>
        <w:t>i.e.</w:t>
      </w:r>
      <w:r w:rsidRPr="008F3FF5">
        <w:rPr>
          <w:rFonts w:ascii="Arial" w:hAnsi="Arial" w:cs="Arial"/>
        </w:rPr>
        <w:t>,</w:t>
      </w:r>
      <w:r w:rsidR="00674C0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 xml:space="preserve">transportation plus commodity) at $0.26/ </w:t>
      </w:r>
      <w:proofErr w:type="spellStart"/>
      <w:r w:rsidRPr="008F3FF5">
        <w:rPr>
          <w:rFonts w:ascii="Arial" w:hAnsi="Arial" w:cs="Arial"/>
        </w:rPr>
        <w:t>therm</w:t>
      </w:r>
      <w:proofErr w:type="spellEnd"/>
      <w:r w:rsidRPr="008F3FF5">
        <w:rPr>
          <w:rFonts w:ascii="Arial" w:hAnsi="Arial" w:cs="Arial"/>
        </w:rPr>
        <w:t xml:space="preserve"> throughout this Triennial Cost Allocation</w:t>
      </w:r>
      <w:r w:rsidR="00674C0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Proceeding (TCAP) term, which is equal to the current tier differential limit. Using this</w:t>
      </w:r>
      <w:r w:rsidR="00674C0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methodology, the resulting bundled NBL rate is 36% higher than the resulting bundled BL rate.”</w:t>
      </w:r>
    </w:p>
    <w:p w:rsidR="008F3FF5" w:rsidRDefault="008F3FF5" w:rsidP="008F3FF5">
      <w:pPr>
        <w:autoSpaceDE w:val="0"/>
        <w:autoSpaceDN w:val="0"/>
        <w:adjustRightInd w:val="0"/>
        <w:rPr>
          <w:rFonts w:ascii="Arial" w:hAnsi="Arial" w:cs="Arial"/>
        </w:rPr>
      </w:pPr>
    </w:p>
    <w:p w:rsidR="008F3FF5" w:rsidRPr="008F3FF5" w:rsidRDefault="008F3FF5" w:rsidP="008F3FF5">
      <w:pPr>
        <w:autoSpaceDE w:val="0"/>
        <w:autoSpaceDN w:val="0"/>
        <w:adjustRightInd w:val="0"/>
        <w:rPr>
          <w:rFonts w:ascii="Arial" w:hAnsi="Arial" w:cs="Arial"/>
        </w:rPr>
      </w:pPr>
      <w:r w:rsidRPr="008F3FF5">
        <w:rPr>
          <w:rFonts w:ascii="Arial" w:hAnsi="Arial" w:cs="Arial"/>
        </w:rPr>
        <w:t>(a) Please confirm that the calculation of the current SoCalGas residential rate customer</w:t>
      </w:r>
      <w:r w:rsidR="00674C0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 xml:space="preserve">charge of $0.16438 per meter per day as shown in Table 2 of Mr. </w:t>
      </w:r>
      <w:proofErr w:type="spellStart"/>
      <w:r w:rsidRPr="008F3FF5">
        <w:rPr>
          <w:rFonts w:ascii="Arial" w:hAnsi="Arial" w:cs="Arial"/>
        </w:rPr>
        <w:t>Bonnett’s</w:t>
      </w:r>
      <w:proofErr w:type="spellEnd"/>
      <w:r w:rsidRPr="008F3FF5">
        <w:rPr>
          <w:rFonts w:ascii="Arial" w:hAnsi="Arial" w:cs="Arial"/>
        </w:rPr>
        <w:t xml:space="preserve"> Revised</w:t>
      </w:r>
      <w:r w:rsidR="00674C06">
        <w:rPr>
          <w:rFonts w:ascii="Arial" w:hAnsi="Arial" w:cs="Arial"/>
        </w:rPr>
        <w:t xml:space="preserve"> </w:t>
      </w:r>
      <w:proofErr w:type="spellStart"/>
      <w:r w:rsidRPr="008F3FF5">
        <w:rPr>
          <w:rFonts w:ascii="Arial" w:hAnsi="Arial" w:cs="Arial"/>
        </w:rPr>
        <w:t>Workpapers</w:t>
      </w:r>
      <w:proofErr w:type="spellEnd"/>
      <w:r w:rsidRPr="008F3FF5">
        <w:rPr>
          <w:rFonts w:ascii="Arial" w:hAnsi="Arial" w:cs="Arial"/>
        </w:rPr>
        <w:t xml:space="preserve"> is derived as described in the following: the sum of lines 3,4 &amp; 5 under</w:t>
      </w:r>
      <w:r w:rsidR="00674C0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Column C Table 2 divided by the sum of lines 3,4, &amp;5 under Column A Table 2, and</w:t>
      </w:r>
      <w:r w:rsidR="00674C0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further dividing the result by 365 days and then multiplying the result by 1000, equals the</w:t>
      </w:r>
      <w:r w:rsidR="00674C0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$0.16438 per meter per day customer charge.</w:t>
      </w:r>
    </w:p>
    <w:p w:rsidR="008F3FF5" w:rsidRDefault="008F3FF5" w:rsidP="008F3FF5">
      <w:pPr>
        <w:autoSpaceDE w:val="0"/>
        <w:autoSpaceDN w:val="0"/>
        <w:adjustRightInd w:val="0"/>
        <w:rPr>
          <w:rFonts w:ascii="Arial" w:hAnsi="Arial" w:cs="Arial"/>
        </w:rPr>
      </w:pPr>
    </w:p>
    <w:p w:rsidR="008F3FF5" w:rsidRPr="008F3FF5" w:rsidRDefault="008F3FF5" w:rsidP="008F3FF5">
      <w:pPr>
        <w:autoSpaceDE w:val="0"/>
        <w:autoSpaceDN w:val="0"/>
        <w:adjustRightInd w:val="0"/>
        <w:rPr>
          <w:rFonts w:ascii="Arial" w:hAnsi="Arial" w:cs="Arial"/>
        </w:rPr>
      </w:pPr>
      <w:r w:rsidRPr="008F3FF5">
        <w:rPr>
          <w:rFonts w:ascii="Arial" w:hAnsi="Arial" w:cs="Arial"/>
        </w:rPr>
        <w:t>(b) Please provide the basis for the above-quoted calculation of the composite BL rate, which</w:t>
      </w:r>
      <w:r w:rsidR="00674C0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states, the composite BL rate is “equal to the sum of the customer charge revenues and BL</w:t>
      </w:r>
      <w:r w:rsidR="00674C0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volumetric rate revenues divided by the BL volumes.” That is, explain whether the</w:t>
      </w:r>
      <w:r w:rsidR="00674C0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calculation is based on a specific statutory provision from the Public Utilities Code, or a</w:t>
      </w:r>
      <w:r w:rsidR="00674C0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Commission decision that adopted a settlement agreement, or something else, and if so,</w:t>
      </w:r>
      <w:r w:rsidR="00674C0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please specify.</w:t>
      </w:r>
    </w:p>
    <w:p w:rsidR="008F3FF5" w:rsidRDefault="008F3FF5" w:rsidP="008F3FF5">
      <w:pPr>
        <w:autoSpaceDE w:val="0"/>
        <w:autoSpaceDN w:val="0"/>
        <w:adjustRightInd w:val="0"/>
        <w:rPr>
          <w:rFonts w:ascii="Arial" w:hAnsi="Arial" w:cs="Arial"/>
        </w:rPr>
      </w:pPr>
    </w:p>
    <w:p w:rsidR="008F3FF5" w:rsidRPr="008F3FF5" w:rsidRDefault="008F3FF5" w:rsidP="008F3FF5">
      <w:pPr>
        <w:autoSpaceDE w:val="0"/>
        <w:autoSpaceDN w:val="0"/>
        <w:adjustRightInd w:val="0"/>
        <w:rPr>
          <w:rFonts w:ascii="Arial" w:hAnsi="Arial" w:cs="Arial"/>
        </w:rPr>
      </w:pPr>
      <w:r w:rsidRPr="008F3FF5">
        <w:rPr>
          <w:rFonts w:ascii="Arial" w:hAnsi="Arial" w:cs="Arial"/>
        </w:rPr>
        <w:t>(c) Please provide the basis for the above-quoted current targeted composite tier differential</w:t>
      </w:r>
      <w:r w:rsidR="00674C0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of 1.15 between the SoCalGas BL and NBL rate, that is, whether it is based on a specific</w:t>
      </w:r>
      <w:r w:rsidR="00674C0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statutory provision from the Public Utilities Code, or a Commission decision that adopted</w:t>
      </w:r>
      <w:r w:rsidR="00674C0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a settlement agreement, or something else, and if so, please specify.</w:t>
      </w:r>
    </w:p>
    <w:p w:rsidR="008F3FF5" w:rsidRDefault="008F3FF5" w:rsidP="008F3FF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F3FF5" w:rsidRDefault="008F3FF5" w:rsidP="008F3FF5">
      <w:pPr>
        <w:autoSpaceDE w:val="0"/>
        <w:autoSpaceDN w:val="0"/>
        <w:adjustRightInd w:val="0"/>
        <w:rPr>
          <w:rFonts w:ascii="Arial" w:hAnsi="Arial" w:cs="Arial"/>
        </w:rPr>
      </w:pPr>
    </w:p>
    <w:p w:rsidR="008F3FF5" w:rsidRDefault="008F3FF5" w:rsidP="008F3FF5">
      <w:pPr>
        <w:autoSpaceDE w:val="0"/>
        <w:autoSpaceDN w:val="0"/>
        <w:adjustRightInd w:val="0"/>
        <w:rPr>
          <w:rFonts w:ascii="Arial" w:hAnsi="Arial" w:cs="Arial"/>
        </w:rPr>
      </w:pPr>
      <w:r w:rsidRPr="008F3FF5">
        <w:rPr>
          <w:rFonts w:ascii="Arial" w:hAnsi="Arial" w:cs="Arial"/>
        </w:rPr>
        <w:t>(d) Please provide the basis for the above-quoted current cap of $0.26/</w:t>
      </w:r>
      <w:proofErr w:type="spellStart"/>
      <w:r w:rsidRPr="008F3FF5">
        <w:rPr>
          <w:rFonts w:ascii="Arial" w:hAnsi="Arial" w:cs="Arial"/>
        </w:rPr>
        <w:t>therm</w:t>
      </w:r>
      <w:proofErr w:type="spellEnd"/>
      <w:r w:rsidRPr="008F3FF5">
        <w:rPr>
          <w:rFonts w:ascii="Arial" w:hAnsi="Arial" w:cs="Arial"/>
        </w:rPr>
        <w:t xml:space="preserve"> on the rate</w:t>
      </w:r>
      <w:r w:rsidR="00674C0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difference between the SoCalGas BL and NBL rate and clarify whether the current cap at</w:t>
      </w:r>
      <w:r w:rsidR="00674C0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$0.26/</w:t>
      </w:r>
      <w:proofErr w:type="spellStart"/>
      <w:r w:rsidRPr="008F3FF5">
        <w:rPr>
          <w:rFonts w:ascii="Arial" w:hAnsi="Arial" w:cs="Arial"/>
        </w:rPr>
        <w:t>therm</w:t>
      </w:r>
      <w:proofErr w:type="spellEnd"/>
      <w:r w:rsidRPr="008F3FF5">
        <w:rPr>
          <w:rFonts w:ascii="Arial" w:hAnsi="Arial" w:cs="Arial"/>
        </w:rPr>
        <w:t xml:space="preserve"> already includes the gas commodity rate.</w:t>
      </w:r>
    </w:p>
    <w:p w:rsidR="00674C06" w:rsidRPr="008F3FF5" w:rsidRDefault="00674C06" w:rsidP="008F3FF5">
      <w:pPr>
        <w:autoSpaceDE w:val="0"/>
        <w:autoSpaceDN w:val="0"/>
        <w:adjustRightInd w:val="0"/>
        <w:rPr>
          <w:rFonts w:ascii="Arial" w:hAnsi="Arial" w:cs="Arial"/>
        </w:rPr>
      </w:pPr>
    </w:p>
    <w:p w:rsidR="00924832" w:rsidRPr="008F3FF5" w:rsidRDefault="008F3FF5" w:rsidP="00674C06">
      <w:pPr>
        <w:autoSpaceDE w:val="0"/>
        <w:autoSpaceDN w:val="0"/>
        <w:adjustRightInd w:val="0"/>
        <w:rPr>
          <w:rFonts w:ascii="Arial" w:hAnsi="Arial" w:cs="Arial"/>
        </w:rPr>
      </w:pPr>
      <w:r w:rsidRPr="008F3FF5">
        <w:rPr>
          <w:rFonts w:ascii="Arial" w:hAnsi="Arial" w:cs="Arial"/>
        </w:rPr>
        <w:t>(e) Please describe and explain in detail SoCalGas’ proposal to “simplify the calculation” of</w:t>
      </w:r>
      <w:r w:rsidR="00674C0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the tier differential between BL and NBL bundled rates (</w:t>
      </w:r>
      <w:r w:rsidRPr="008F3FF5">
        <w:rPr>
          <w:rFonts w:ascii="Arial" w:hAnsi="Arial" w:cs="Arial"/>
          <w:i/>
          <w:iCs/>
        </w:rPr>
        <w:t>i.e.</w:t>
      </w:r>
      <w:r w:rsidRPr="008F3FF5">
        <w:rPr>
          <w:rFonts w:ascii="Arial" w:hAnsi="Arial" w:cs="Arial"/>
        </w:rPr>
        <w:t>, transportation plus</w:t>
      </w:r>
      <w:r w:rsidR="00674C0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 xml:space="preserve">commodity) at $0.26/ </w:t>
      </w:r>
      <w:proofErr w:type="spellStart"/>
      <w:r w:rsidRPr="008F3FF5">
        <w:rPr>
          <w:rFonts w:ascii="Arial" w:hAnsi="Arial" w:cs="Arial"/>
        </w:rPr>
        <w:t>therm</w:t>
      </w:r>
      <w:proofErr w:type="spellEnd"/>
      <w:r w:rsidRPr="008F3FF5">
        <w:rPr>
          <w:rFonts w:ascii="Arial" w:hAnsi="Arial" w:cs="Arial"/>
        </w:rPr>
        <w:t xml:space="preserve"> throughout this Triennial Cost Allocation Proceeding (TCAP)</w:t>
      </w:r>
      <w:r w:rsidR="00674C0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term, including whether that SoCalGas proposal consists of including the gas commodity</w:t>
      </w:r>
      <w:r w:rsidR="00674C0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rate within the current cap of $0.26.</w:t>
      </w:r>
    </w:p>
    <w:p w:rsidR="0031141C" w:rsidRDefault="0031141C" w:rsidP="005C6E7A">
      <w:pPr>
        <w:rPr>
          <w:rFonts w:ascii="Arial" w:hAnsi="Arial" w:cs="Arial"/>
          <w:b/>
          <w:u w:val="single"/>
        </w:rPr>
      </w:pPr>
    </w:p>
    <w:p w:rsidR="008F3FF5" w:rsidRDefault="008F3FF5" w:rsidP="005C6E7A">
      <w:pPr>
        <w:rPr>
          <w:rFonts w:ascii="Arial" w:hAnsi="Arial" w:cs="Arial"/>
          <w:b/>
          <w:u w:val="single"/>
        </w:rPr>
      </w:pPr>
    </w:p>
    <w:p w:rsidR="00F759E8" w:rsidRPr="00F759E8" w:rsidRDefault="00F759E8" w:rsidP="005C6E7A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>RESPONSE 1:</w:t>
      </w:r>
    </w:p>
    <w:p w:rsidR="006B5580" w:rsidRDefault="006B5580" w:rsidP="005C6E7A">
      <w:pPr>
        <w:rPr>
          <w:rFonts w:ascii="Arial" w:hAnsi="Arial" w:cs="Arial"/>
          <w:sz w:val="28"/>
          <w:szCs w:val="28"/>
        </w:rPr>
      </w:pPr>
    </w:p>
    <w:p w:rsidR="00674C06" w:rsidRDefault="00F91EE6" w:rsidP="00F91EE6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674C06">
        <w:rPr>
          <w:rFonts w:ascii="Arial" w:hAnsi="Arial" w:cs="Arial"/>
        </w:rPr>
        <w:t>Altho</w:t>
      </w:r>
      <w:r w:rsidR="00674C06">
        <w:rPr>
          <w:rFonts w:ascii="Arial" w:hAnsi="Arial" w:cs="Arial"/>
        </w:rPr>
        <w:t>ugh one could calculate the per-meter per-</w:t>
      </w:r>
      <w:r w:rsidRPr="00674C06">
        <w:rPr>
          <w:rFonts w:ascii="Arial" w:hAnsi="Arial" w:cs="Arial"/>
        </w:rPr>
        <w:t>day cha</w:t>
      </w:r>
      <w:r w:rsidR="00674C06">
        <w:rPr>
          <w:rFonts w:ascii="Arial" w:hAnsi="Arial" w:cs="Arial"/>
        </w:rPr>
        <w:t>rge using the methodology described</w:t>
      </w:r>
      <w:r w:rsidRPr="00674C06">
        <w:rPr>
          <w:rFonts w:ascii="Arial" w:hAnsi="Arial" w:cs="Arial"/>
        </w:rPr>
        <w:t xml:space="preserve"> in the question</w:t>
      </w:r>
      <w:r w:rsidR="00674C06">
        <w:rPr>
          <w:rFonts w:ascii="Arial" w:hAnsi="Arial" w:cs="Arial"/>
        </w:rPr>
        <w:t>,</w:t>
      </w:r>
      <w:r w:rsidRPr="00674C06">
        <w:rPr>
          <w:rFonts w:ascii="Arial" w:hAnsi="Arial" w:cs="Arial"/>
        </w:rPr>
        <w:t xml:space="preserve"> SoCalGas and SDG&amp;</w:t>
      </w:r>
      <w:r w:rsidR="00674C06">
        <w:rPr>
          <w:rFonts w:ascii="Arial" w:hAnsi="Arial" w:cs="Arial"/>
        </w:rPr>
        <w:t>E use the following calculation:</w:t>
      </w:r>
    </w:p>
    <w:p w:rsidR="00674C06" w:rsidRDefault="00674C06" w:rsidP="00674C06">
      <w:pPr>
        <w:pStyle w:val="ListParagraph"/>
        <w:rPr>
          <w:rFonts w:ascii="Arial" w:hAnsi="Arial" w:cs="Arial"/>
        </w:rPr>
      </w:pPr>
    </w:p>
    <w:p w:rsidR="00820EFA" w:rsidRPr="00674C06" w:rsidRDefault="00F91EE6" w:rsidP="00674C06">
      <w:pPr>
        <w:pStyle w:val="ListParagraph"/>
        <w:rPr>
          <w:rFonts w:ascii="Arial" w:hAnsi="Arial" w:cs="Arial"/>
        </w:rPr>
      </w:pPr>
      <w:r w:rsidRPr="00674C06">
        <w:rPr>
          <w:rFonts w:ascii="Arial" w:hAnsi="Arial" w:cs="Arial"/>
        </w:rPr>
        <w:t>($5 x</w:t>
      </w:r>
      <w:r w:rsidR="00674C06">
        <w:rPr>
          <w:rFonts w:ascii="Arial" w:hAnsi="Arial" w:cs="Arial"/>
        </w:rPr>
        <w:t xml:space="preserve"> </w:t>
      </w:r>
      <w:r w:rsidRPr="00674C06">
        <w:rPr>
          <w:rFonts w:ascii="Arial" w:hAnsi="Arial" w:cs="Arial"/>
        </w:rPr>
        <w:t xml:space="preserve">12 / 365) = $0.16438 </w:t>
      </w:r>
    </w:p>
    <w:p w:rsidR="00F91EE6" w:rsidRPr="00674C06" w:rsidRDefault="00F91EE6" w:rsidP="00F91EE6">
      <w:pPr>
        <w:rPr>
          <w:rFonts w:ascii="Arial" w:hAnsi="Arial" w:cs="Arial"/>
        </w:rPr>
      </w:pPr>
    </w:p>
    <w:p w:rsidR="00820EFA" w:rsidRPr="00674C06" w:rsidRDefault="00F91EE6" w:rsidP="00F91EE6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674C06">
        <w:rPr>
          <w:rFonts w:ascii="Arial" w:hAnsi="Arial" w:cs="Arial"/>
        </w:rPr>
        <w:t xml:space="preserve">The current methodology was approved by </w:t>
      </w:r>
      <w:r w:rsidR="00674C06">
        <w:rPr>
          <w:rFonts w:ascii="Arial" w:hAnsi="Arial" w:cs="Arial"/>
        </w:rPr>
        <w:t>the Commission in D.09-11-006, Appendix A, S</w:t>
      </w:r>
      <w:r w:rsidRPr="00674C06">
        <w:rPr>
          <w:rFonts w:ascii="Arial" w:hAnsi="Arial" w:cs="Arial"/>
        </w:rPr>
        <w:t>ection II.B.2.I</w:t>
      </w:r>
    </w:p>
    <w:p w:rsidR="00F91EE6" w:rsidRPr="00674C06" w:rsidRDefault="00F91EE6" w:rsidP="00F91EE6">
      <w:pPr>
        <w:pStyle w:val="ListParagraph"/>
        <w:rPr>
          <w:rFonts w:ascii="Arial" w:hAnsi="Arial" w:cs="Arial"/>
        </w:rPr>
      </w:pPr>
    </w:p>
    <w:p w:rsidR="00F91EE6" w:rsidRPr="00674C06" w:rsidRDefault="00674C06" w:rsidP="00F91EE6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See response</w:t>
      </w:r>
      <w:r w:rsidR="00F91EE6" w:rsidRPr="00674C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</w:t>
      </w:r>
      <w:r w:rsidR="00F91EE6" w:rsidRPr="00674C06">
        <w:rPr>
          <w:rFonts w:ascii="Arial" w:hAnsi="Arial" w:cs="Arial"/>
        </w:rPr>
        <w:t>b, above.</w:t>
      </w:r>
    </w:p>
    <w:p w:rsidR="00F91EE6" w:rsidRPr="00674C06" w:rsidRDefault="00F91EE6" w:rsidP="00F91EE6">
      <w:pPr>
        <w:pStyle w:val="ListParagraph"/>
        <w:rPr>
          <w:rFonts w:ascii="Arial" w:hAnsi="Arial" w:cs="Arial"/>
        </w:rPr>
      </w:pPr>
    </w:p>
    <w:p w:rsidR="00F91EE6" w:rsidRPr="00674C06" w:rsidRDefault="00674C06" w:rsidP="00F91EE6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See response</w:t>
      </w:r>
      <w:r w:rsidR="00F91EE6" w:rsidRPr="00674C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</w:t>
      </w:r>
      <w:r w:rsidR="00F91EE6" w:rsidRPr="00674C06">
        <w:rPr>
          <w:rFonts w:ascii="Arial" w:hAnsi="Arial" w:cs="Arial"/>
        </w:rPr>
        <w:t>b, above.</w:t>
      </w:r>
      <w:r>
        <w:rPr>
          <w:rFonts w:ascii="Arial" w:hAnsi="Arial" w:cs="Arial"/>
        </w:rPr>
        <w:t xml:space="preserve">  The tier differential is on the transportation rate, but since the commodity rate is the same for both the baseline and non-baseline transportation rates, the tier differential holds through to the transportation plus commodity </w:t>
      </w:r>
      <w:r w:rsidR="0016541E">
        <w:rPr>
          <w:rFonts w:ascii="Arial" w:hAnsi="Arial" w:cs="Arial"/>
        </w:rPr>
        <w:t xml:space="preserve">(or, “composite”) </w:t>
      </w:r>
      <w:r>
        <w:rPr>
          <w:rFonts w:ascii="Arial" w:hAnsi="Arial" w:cs="Arial"/>
        </w:rPr>
        <w:t>rate.</w:t>
      </w:r>
    </w:p>
    <w:p w:rsidR="00900006" w:rsidRPr="00674C06" w:rsidRDefault="00900006" w:rsidP="00900006">
      <w:pPr>
        <w:pStyle w:val="ListParagraph"/>
        <w:rPr>
          <w:rFonts w:ascii="Arial" w:hAnsi="Arial" w:cs="Arial"/>
        </w:rPr>
      </w:pPr>
    </w:p>
    <w:p w:rsidR="00900006" w:rsidRPr="00674C06" w:rsidRDefault="00674C06" w:rsidP="00900006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See response </w:t>
      </w:r>
      <w:r w:rsidR="00AF52C0" w:rsidRPr="00674C06">
        <w:rPr>
          <w:rFonts w:ascii="Arial" w:hAnsi="Arial" w:cs="Arial"/>
        </w:rPr>
        <w:t>2</w:t>
      </w:r>
      <w:r>
        <w:rPr>
          <w:rFonts w:ascii="Arial" w:hAnsi="Arial" w:cs="Arial"/>
        </w:rPr>
        <w:t>.a</w:t>
      </w:r>
      <w:r w:rsidR="00AF52C0" w:rsidRPr="00674C06">
        <w:rPr>
          <w:rFonts w:ascii="Arial" w:hAnsi="Arial" w:cs="Arial"/>
        </w:rPr>
        <w:t>, below.</w:t>
      </w:r>
    </w:p>
    <w:p w:rsidR="00F91EE6" w:rsidRPr="00F91EE6" w:rsidRDefault="00F91EE6" w:rsidP="00900006">
      <w:pPr>
        <w:pStyle w:val="ListParagraph"/>
      </w:pPr>
    </w:p>
    <w:p w:rsidR="00820EFA" w:rsidRPr="00820EFA" w:rsidRDefault="00820EFA" w:rsidP="00F67377">
      <w:pPr>
        <w:rPr>
          <w:rFonts w:ascii="Arial" w:hAnsi="Arial" w:cs="Arial"/>
          <w:b/>
        </w:rPr>
      </w:pPr>
    </w:p>
    <w:p w:rsidR="00A85689" w:rsidRDefault="00F67377" w:rsidP="004C0B6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C62CAA" w:rsidRDefault="00C62CAA" w:rsidP="00F67377">
      <w:pPr>
        <w:rPr>
          <w:rFonts w:ascii="Arial" w:hAnsi="Arial" w:cs="Arial"/>
          <w:b/>
          <w:u w:val="single"/>
        </w:rPr>
      </w:pPr>
    </w:p>
    <w:p w:rsidR="00663B29" w:rsidRDefault="00663B29" w:rsidP="00F67377">
      <w:pPr>
        <w:rPr>
          <w:rFonts w:ascii="Arial" w:hAnsi="Arial" w:cs="Arial"/>
          <w:b/>
          <w:u w:val="single"/>
        </w:rPr>
      </w:pPr>
    </w:p>
    <w:p w:rsidR="00F67377" w:rsidRPr="00F759E8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QUESTION </w:t>
      </w:r>
      <w:r>
        <w:rPr>
          <w:rFonts w:ascii="Arial" w:hAnsi="Arial" w:cs="Arial"/>
          <w:b/>
          <w:u w:val="single"/>
        </w:rPr>
        <w:t>2</w:t>
      </w:r>
      <w:r w:rsidRPr="00F759E8">
        <w:rPr>
          <w:rFonts w:ascii="Arial" w:hAnsi="Arial" w:cs="Arial"/>
          <w:b/>
          <w:u w:val="single"/>
        </w:rPr>
        <w:t>:</w:t>
      </w:r>
    </w:p>
    <w:p w:rsidR="005F4287" w:rsidRDefault="005F4287" w:rsidP="00F67377">
      <w:pPr>
        <w:rPr>
          <w:rFonts w:ascii="Arial" w:hAnsi="Arial" w:cs="Arial"/>
        </w:rPr>
      </w:pP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In the 2017 TCAP SCG RD Model at Tab “Rate Tables” in Table 2, line 13, shows the NBL/BL</w:t>
      </w:r>
      <w:r w:rsidR="00674C0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rate ratio of 1.05 under column B, and the NBL/BL rate ratio of 1.36 under column E. Both 1.05</w:t>
      </w:r>
      <w:r w:rsidR="00674C0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and 1.36 are shown as hardwired numbers.</w:t>
      </w:r>
    </w:p>
    <w:p w:rsidR="008F3FF5" w:rsidRDefault="008F3FF5" w:rsidP="008F3FF5">
      <w:pPr>
        <w:rPr>
          <w:rFonts w:ascii="Arial" w:hAnsi="Arial" w:cs="Arial"/>
        </w:rPr>
      </w:pP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(a) Please provide a description of the specific calculation that resulted in the ratios of 1.05</w:t>
      </w:r>
      <w:r w:rsidR="00674C0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and 1.36 shown in Table 2, including any difference in the way the two ratios are</w:t>
      </w:r>
      <w:r w:rsidR="00674C0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calculated.</w:t>
      </w:r>
    </w:p>
    <w:p w:rsidR="008F3FF5" w:rsidRDefault="008F3FF5" w:rsidP="008F3FF5">
      <w:pPr>
        <w:rPr>
          <w:rFonts w:ascii="Arial" w:hAnsi="Arial" w:cs="Arial"/>
        </w:rPr>
      </w:pPr>
    </w:p>
    <w:p w:rsidR="005F4287" w:rsidRPr="0031141C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(b) Please explain the relationship of the above-mentioned ratios to the RATIO given in the</w:t>
      </w:r>
      <w:r w:rsidR="00674C0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above formulae in Question 2.</w:t>
      </w:r>
    </w:p>
    <w:p w:rsidR="00582C14" w:rsidRPr="0031141C" w:rsidRDefault="00582C14" w:rsidP="00F67377">
      <w:pPr>
        <w:rPr>
          <w:rFonts w:ascii="Arial" w:hAnsi="Arial" w:cs="Arial"/>
          <w:b/>
        </w:rPr>
      </w:pPr>
    </w:p>
    <w:p w:rsidR="008F3FF5" w:rsidRDefault="008F3FF5" w:rsidP="00F67377">
      <w:pPr>
        <w:rPr>
          <w:rFonts w:ascii="Arial" w:hAnsi="Arial" w:cs="Arial"/>
          <w:b/>
          <w:u w:val="single"/>
        </w:rPr>
      </w:pPr>
    </w:p>
    <w:p w:rsidR="00F67377" w:rsidRPr="00F759E8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RESPONSE </w:t>
      </w:r>
      <w:r>
        <w:rPr>
          <w:rFonts w:ascii="Arial" w:hAnsi="Arial" w:cs="Arial"/>
          <w:b/>
          <w:u w:val="single"/>
        </w:rPr>
        <w:t>2</w:t>
      </w:r>
      <w:r w:rsidRPr="00F759E8">
        <w:rPr>
          <w:rFonts w:ascii="Arial" w:hAnsi="Arial" w:cs="Arial"/>
          <w:b/>
          <w:u w:val="single"/>
        </w:rPr>
        <w:t>:</w:t>
      </w:r>
    </w:p>
    <w:p w:rsidR="00F67377" w:rsidRDefault="00F67377" w:rsidP="005C6E7A">
      <w:pPr>
        <w:rPr>
          <w:rFonts w:ascii="Arial" w:hAnsi="Arial" w:cs="Arial"/>
          <w:sz w:val="28"/>
          <w:szCs w:val="28"/>
        </w:rPr>
      </w:pPr>
    </w:p>
    <w:p w:rsidR="00EF4CFF" w:rsidRPr="00674C06" w:rsidRDefault="00B756A5" w:rsidP="00D62478">
      <w:pPr>
        <w:ind w:left="360"/>
        <w:rPr>
          <w:rFonts w:ascii="Arial" w:hAnsi="Arial" w:cs="Arial"/>
        </w:rPr>
      </w:pPr>
      <w:r w:rsidRPr="00674C06">
        <w:rPr>
          <w:rFonts w:ascii="Arial" w:hAnsi="Arial" w:cs="Arial"/>
        </w:rPr>
        <w:t>a)</w:t>
      </w:r>
      <w:r w:rsidRPr="00674C06">
        <w:rPr>
          <w:rFonts w:ascii="Arial" w:hAnsi="Arial" w:cs="Arial"/>
        </w:rPr>
        <w:tab/>
      </w:r>
      <w:r w:rsidR="000661A8" w:rsidRPr="00674C06">
        <w:rPr>
          <w:rFonts w:ascii="Arial" w:hAnsi="Arial" w:cs="Arial"/>
        </w:rPr>
        <w:t xml:space="preserve"> </w:t>
      </w:r>
      <w:r w:rsidR="00EF4CFF" w:rsidRPr="00674C06">
        <w:rPr>
          <w:rFonts w:ascii="Arial" w:hAnsi="Arial" w:cs="Arial"/>
        </w:rPr>
        <w:t>The current composite tier differential was established in the settlement</w:t>
      </w:r>
      <w:r w:rsidR="00674C06">
        <w:rPr>
          <w:rFonts w:ascii="Arial" w:hAnsi="Arial" w:cs="Arial"/>
        </w:rPr>
        <w:t xml:space="preserve"> agreement</w:t>
      </w:r>
      <w:r w:rsidR="00EF4CFF" w:rsidRPr="00674C06">
        <w:rPr>
          <w:rFonts w:ascii="Arial" w:hAnsi="Arial" w:cs="Arial"/>
        </w:rPr>
        <w:t xml:space="preserve"> </w:t>
      </w:r>
      <w:r w:rsidR="00674C06">
        <w:rPr>
          <w:rFonts w:ascii="Arial" w:hAnsi="Arial" w:cs="Arial"/>
        </w:rPr>
        <w:t>(see section II.B.2.I) for the 20</w:t>
      </w:r>
      <w:r w:rsidR="00EF4CFF" w:rsidRPr="00674C06">
        <w:rPr>
          <w:rFonts w:ascii="Arial" w:hAnsi="Arial" w:cs="Arial"/>
        </w:rPr>
        <w:t xml:space="preserve">09 BCAP (A.08-02-001) </w:t>
      </w:r>
      <w:r w:rsidR="00674C06">
        <w:rPr>
          <w:rFonts w:ascii="Arial" w:hAnsi="Arial" w:cs="Arial"/>
        </w:rPr>
        <w:t xml:space="preserve">and was approved by the </w:t>
      </w:r>
      <w:r w:rsidR="00EF4CFF" w:rsidRPr="00674C06">
        <w:rPr>
          <w:rFonts w:ascii="Arial" w:hAnsi="Arial" w:cs="Arial"/>
        </w:rPr>
        <w:t>Commissi</w:t>
      </w:r>
      <w:r w:rsidR="00674C06">
        <w:rPr>
          <w:rFonts w:ascii="Arial" w:hAnsi="Arial" w:cs="Arial"/>
        </w:rPr>
        <w:t>on</w:t>
      </w:r>
      <w:r w:rsidR="00EF4CFF" w:rsidRPr="00674C06">
        <w:rPr>
          <w:rFonts w:ascii="Arial" w:hAnsi="Arial" w:cs="Arial"/>
        </w:rPr>
        <w:t xml:space="preserve"> in D.09-11-006.  Within the settlement discussions, it was recognized that the difference between the baseline and non-baseline </w:t>
      </w:r>
      <w:r w:rsidR="00B537FB" w:rsidRPr="00674C06">
        <w:rPr>
          <w:rFonts w:ascii="Arial" w:hAnsi="Arial" w:cs="Arial"/>
        </w:rPr>
        <w:t xml:space="preserve">volumetric </w:t>
      </w:r>
      <w:r w:rsidR="00EF4CFF" w:rsidRPr="00674C06">
        <w:rPr>
          <w:rFonts w:ascii="Arial" w:hAnsi="Arial" w:cs="Arial"/>
        </w:rPr>
        <w:t>rates should remain within a certain range</w:t>
      </w:r>
      <w:r w:rsidR="00674C06">
        <w:rPr>
          <w:rFonts w:ascii="Arial" w:hAnsi="Arial" w:cs="Arial"/>
        </w:rPr>
        <w:t>;</w:t>
      </w:r>
      <w:r w:rsidR="00EF4CFF" w:rsidRPr="00674C06">
        <w:rPr>
          <w:rFonts w:ascii="Arial" w:hAnsi="Arial" w:cs="Arial"/>
        </w:rPr>
        <w:t xml:space="preserve"> thus, the settlement established a cap on the difference between the baseline and non-baseline </w:t>
      </w:r>
      <w:r w:rsidR="00CC6E1D" w:rsidRPr="00674C06">
        <w:rPr>
          <w:rFonts w:ascii="Arial" w:hAnsi="Arial" w:cs="Arial"/>
        </w:rPr>
        <w:t xml:space="preserve">volumetric </w:t>
      </w:r>
      <w:r w:rsidR="00EF4CFF" w:rsidRPr="00674C06">
        <w:rPr>
          <w:rFonts w:ascii="Arial" w:hAnsi="Arial" w:cs="Arial"/>
        </w:rPr>
        <w:t>rates which currently stands at $0.26/therm.</w:t>
      </w:r>
      <w:r w:rsidR="00B537FB" w:rsidRPr="00674C06">
        <w:rPr>
          <w:rFonts w:ascii="Arial" w:hAnsi="Arial" w:cs="Arial"/>
        </w:rPr>
        <w:t xml:space="preserve">  </w:t>
      </w:r>
    </w:p>
    <w:p w:rsidR="00EF4CFF" w:rsidRPr="00674C06" w:rsidRDefault="00EF4CFF" w:rsidP="00EF4CFF">
      <w:pPr>
        <w:pStyle w:val="ListParagraph"/>
        <w:rPr>
          <w:rFonts w:ascii="Arial" w:hAnsi="Arial" w:cs="Arial"/>
        </w:rPr>
      </w:pPr>
    </w:p>
    <w:p w:rsidR="00EF4CFF" w:rsidRPr="00674C06" w:rsidRDefault="00CC6E1D" w:rsidP="00EF4CFF">
      <w:pPr>
        <w:ind w:left="720"/>
        <w:rPr>
          <w:rFonts w:ascii="Arial" w:hAnsi="Arial" w:cs="Arial"/>
        </w:rPr>
      </w:pPr>
      <w:r w:rsidRPr="00674C06">
        <w:rPr>
          <w:rFonts w:ascii="Arial" w:hAnsi="Arial" w:cs="Arial"/>
        </w:rPr>
        <w:t>T</w:t>
      </w:r>
      <w:r w:rsidR="00EF4CFF" w:rsidRPr="00674C06">
        <w:rPr>
          <w:rFonts w:ascii="Arial" w:hAnsi="Arial" w:cs="Arial"/>
        </w:rPr>
        <w:t xml:space="preserve">he current calculation for the composite baseline rate is as follows:  </w:t>
      </w:r>
    </w:p>
    <w:p w:rsidR="00EF4CFF" w:rsidRPr="00674C06" w:rsidRDefault="00EF4CFF" w:rsidP="00EF4CFF">
      <w:pPr>
        <w:ind w:left="360"/>
        <w:rPr>
          <w:rFonts w:ascii="Arial" w:hAnsi="Arial" w:cs="Arial"/>
        </w:rPr>
      </w:pPr>
    </w:p>
    <w:p w:rsidR="00EF4CFF" w:rsidRDefault="0016541E" w:rsidP="0016541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EF4CFF" w:rsidRPr="00674C06">
        <w:rPr>
          <w:rFonts w:ascii="Arial" w:hAnsi="Arial" w:cs="Arial"/>
        </w:rPr>
        <w:t>(</w:t>
      </w:r>
      <w:r w:rsidR="00CC6E1D" w:rsidRPr="00674C06">
        <w:rPr>
          <w:rFonts w:ascii="Arial" w:hAnsi="Arial" w:cs="Arial"/>
        </w:rPr>
        <w:t>(</w:t>
      </w:r>
      <w:r w:rsidR="00EF4CFF" w:rsidRPr="00674C06">
        <w:rPr>
          <w:rFonts w:ascii="Arial" w:hAnsi="Arial" w:cs="Arial"/>
        </w:rPr>
        <w:t>The sum of customer charge revenues + Baseline revenues</w:t>
      </w:r>
      <w:r w:rsidR="00CC6E1D" w:rsidRPr="00674C06">
        <w:rPr>
          <w:rFonts w:ascii="Arial" w:hAnsi="Arial" w:cs="Arial"/>
        </w:rPr>
        <w:t>)</w:t>
      </w:r>
      <w:r w:rsidR="00EF4CFF" w:rsidRPr="00674C06">
        <w:rPr>
          <w:rFonts w:ascii="Arial" w:hAnsi="Arial" w:cs="Arial"/>
        </w:rPr>
        <w:t xml:space="preserve"> / Baseline volumes) + gas </w:t>
      </w:r>
      <w:r w:rsidR="00B929C2" w:rsidRPr="00674C06">
        <w:rPr>
          <w:rFonts w:ascii="Arial" w:hAnsi="Arial" w:cs="Arial"/>
        </w:rPr>
        <w:t xml:space="preserve">commodity </w:t>
      </w:r>
      <w:r w:rsidR="00EF4CFF" w:rsidRPr="00674C06">
        <w:rPr>
          <w:rFonts w:ascii="Arial" w:hAnsi="Arial" w:cs="Arial"/>
        </w:rPr>
        <w:t>rate</w:t>
      </w:r>
      <w:r w:rsidR="00CC6E1D" w:rsidRPr="00674C06">
        <w:rPr>
          <w:rFonts w:ascii="Arial" w:hAnsi="Arial" w:cs="Arial"/>
        </w:rPr>
        <w:t>)</w:t>
      </w:r>
    </w:p>
    <w:p w:rsidR="00674C06" w:rsidRDefault="00674C06" w:rsidP="00EF4C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74C06" w:rsidRPr="00674C06" w:rsidRDefault="00674C06" w:rsidP="00EF4CF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or</w:t>
      </w:r>
      <w:proofErr w:type="gramEnd"/>
      <w:r>
        <w:rPr>
          <w:rFonts w:ascii="Arial" w:hAnsi="Arial" w:cs="Arial"/>
        </w:rPr>
        <w:t>;</w:t>
      </w:r>
    </w:p>
    <w:p w:rsidR="00EF4CFF" w:rsidRPr="00674C06" w:rsidRDefault="00EF4CFF" w:rsidP="00EF4CFF">
      <w:pPr>
        <w:rPr>
          <w:rFonts w:ascii="Arial" w:hAnsi="Arial" w:cs="Arial"/>
        </w:rPr>
      </w:pPr>
      <w:r w:rsidRPr="00674C06">
        <w:rPr>
          <w:rFonts w:ascii="Arial" w:hAnsi="Arial" w:cs="Arial"/>
        </w:rPr>
        <w:tab/>
      </w:r>
      <w:r w:rsidR="00CC6E1D" w:rsidRPr="00674C06">
        <w:rPr>
          <w:rFonts w:ascii="Arial" w:hAnsi="Arial" w:cs="Arial"/>
        </w:rPr>
        <w:t>((</w:t>
      </w:r>
      <w:r w:rsidRPr="00674C06">
        <w:rPr>
          <w:rFonts w:ascii="Arial" w:hAnsi="Arial" w:cs="Arial"/>
        </w:rPr>
        <w:t>($314,904,293 + $788,460,987</w:t>
      </w:r>
      <w:r w:rsidR="00CC6E1D" w:rsidRPr="00674C06">
        <w:rPr>
          <w:rFonts w:ascii="Arial" w:hAnsi="Arial" w:cs="Arial"/>
        </w:rPr>
        <w:t>)</w:t>
      </w:r>
      <w:r w:rsidRPr="00674C06">
        <w:rPr>
          <w:rFonts w:ascii="Arial" w:hAnsi="Arial" w:cs="Arial"/>
        </w:rPr>
        <w:t xml:space="preserve"> / 1,583,823,111 </w:t>
      </w:r>
      <w:proofErr w:type="spellStart"/>
      <w:r w:rsidRPr="00674C06">
        <w:rPr>
          <w:rFonts w:ascii="Arial" w:hAnsi="Arial" w:cs="Arial"/>
        </w:rPr>
        <w:t>therms</w:t>
      </w:r>
      <w:proofErr w:type="spellEnd"/>
      <w:r w:rsidRPr="00674C06">
        <w:rPr>
          <w:rFonts w:ascii="Arial" w:hAnsi="Arial" w:cs="Arial"/>
        </w:rPr>
        <w:t>) + $0.42840</w:t>
      </w:r>
      <w:r w:rsidR="00CC6E1D" w:rsidRPr="00674C06">
        <w:rPr>
          <w:rFonts w:ascii="Arial" w:hAnsi="Arial" w:cs="Arial"/>
        </w:rPr>
        <w:t>)</w:t>
      </w:r>
      <w:r w:rsidRPr="00674C06">
        <w:rPr>
          <w:rFonts w:ascii="Arial" w:hAnsi="Arial" w:cs="Arial"/>
        </w:rPr>
        <w:t xml:space="preserve"> = </w:t>
      </w:r>
      <w:r w:rsidRPr="00674C06">
        <w:rPr>
          <w:rFonts w:ascii="Arial" w:hAnsi="Arial" w:cs="Arial"/>
          <w:b/>
        </w:rPr>
        <w:t>$1.12505</w:t>
      </w:r>
    </w:p>
    <w:p w:rsidR="00EF4CFF" w:rsidRPr="00674C06" w:rsidRDefault="00EF4CFF" w:rsidP="00EF4CFF">
      <w:pPr>
        <w:rPr>
          <w:rFonts w:ascii="Arial" w:hAnsi="Arial" w:cs="Arial"/>
        </w:rPr>
      </w:pPr>
    </w:p>
    <w:p w:rsidR="00EF4CFF" w:rsidRPr="00674C06" w:rsidRDefault="00EF4CFF" w:rsidP="00EF4CFF">
      <w:pPr>
        <w:rPr>
          <w:rFonts w:ascii="Arial" w:hAnsi="Arial" w:cs="Arial"/>
        </w:rPr>
      </w:pPr>
      <w:r w:rsidRPr="00674C06">
        <w:rPr>
          <w:rFonts w:ascii="Arial" w:hAnsi="Arial" w:cs="Arial"/>
        </w:rPr>
        <w:t xml:space="preserve">     </w:t>
      </w:r>
      <w:r w:rsidRPr="00674C06">
        <w:rPr>
          <w:rFonts w:ascii="Arial" w:hAnsi="Arial" w:cs="Arial"/>
        </w:rPr>
        <w:tab/>
        <w:t xml:space="preserve">The current calculation for the </w:t>
      </w:r>
      <w:r w:rsidR="0016541E">
        <w:rPr>
          <w:rFonts w:ascii="Arial" w:hAnsi="Arial" w:cs="Arial"/>
        </w:rPr>
        <w:t>composite non-baseline rate</w:t>
      </w:r>
      <w:r w:rsidRPr="00674C06">
        <w:rPr>
          <w:rFonts w:ascii="Arial" w:hAnsi="Arial" w:cs="Arial"/>
        </w:rPr>
        <w:t xml:space="preserve"> is as follows:</w:t>
      </w:r>
    </w:p>
    <w:p w:rsidR="00EF4CFF" w:rsidRPr="00674C06" w:rsidRDefault="00EF4CFF" w:rsidP="00EF4CFF">
      <w:pPr>
        <w:rPr>
          <w:rFonts w:ascii="Arial" w:hAnsi="Arial" w:cs="Arial"/>
        </w:rPr>
      </w:pPr>
    </w:p>
    <w:p w:rsidR="00EF4CFF" w:rsidRDefault="00EF4CFF" w:rsidP="00EF4CFF">
      <w:pPr>
        <w:rPr>
          <w:rFonts w:ascii="Arial" w:hAnsi="Arial" w:cs="Arial"/>
        </w:rPr>
      </w:pPr>
      <w:r w:rsidRPr="00674C06">
        <w:rPr>
          <w:rFonts w:ascii="Arial" w:hAnsi="Arial" w:cs="Arial"/>
        </w:rPr>
        <w:tab/>
      </w:r>
      <w:r w:rsidR="00CC6E1D" w:rsidRPr="00674C06">
        <w:rPr>
          <w:rFonts w:ascii="Arial" w:hAnsi="Arial" w:cs="Arial"/>
        </w:rPr>
        <w:t>(</w:t>
      </w:r>
      <w:r w:rsidRPr="00674C06">
        <w:rPr>
          <w:rFonts w:ascii="Arial" w:hAnsi="Arial" w:cs="Arial"/>
        </w:rPr>
        <w:t xml:space="preserve">(non-Baseline revenue / non-Baseline volumes) + gas </w:t>
      </w:r>
      <w:r w:rsidR="00B929C2" w:rsidRPr="00674C06">
        <w:rPr>
          <w:rFonts w:ascii="Arial" w:hAnsi="Arial" w:cs="Arial"/>
        </w:rPr>
        <w:t xml:space="preserve">commodity </w:t>
      </w:r>
      <w:r w:rsidRPr="00674C06">
        <w:rPr>
          <w:rFonts w:ascii="Arial" w:hAnsi="Arial" w:cs="Arial"/>
        </w:rPr>
        <w:t>rate</w:t>
      </w:r>
      <w:r w:rsidR="00CC6E1D" w:rsidRPr="00674C06">
        <w:rPr>
          <w:rFonts w:ascii="Arial" w:hAnsi="Arial" w:cs="Arial"/>
        </w:rPr>
        <w:t>)</w:t>
      </w:r>
    </w:p>
    <w:p w:rsidR="0016541E" w:rsidRDefault="0016541E" w:rsidP="00EF4CFF">
      <w:pPr>
        <w:rPr>
          <w:rFonts w:ascii="Arial" w:hAnsi="Arial" w:cs="Arial"/>
        </w:rPr>
      </w:pPr>
    </w:p>
    <w:p w:rsidR="0016541E" w:rsidRPr="00674C06" w:rsidRDefault="0016541E" w:rsidP="00EF4CF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or</w:t>
      </w:r>
      <w:proofErr w:type="gramEnd"/>
      <w:r>
        <w:rPr>
          <w:rFonts w:ascii="Arial" w:hAnsi="Arial" w:cs="Arial"/>
        </w:rPr>
        <w:t>;</w:t>
      </w:r>
    </w:p>
    <w:p w:rsidR="00EF4CFF" w:rsidRPr="00674C06" w:rsidRDefault="00EF4CFF" w:rsidP="00EF4CFF">
      <w:pPr>
        <w:rPr>
          <w:rFonts w:ascii="Arial" w:hAnsi="Arial" w:cs="Arial"/>
        </w:rPr>
      </w:pPr>
      <w:r w:rsidRPr="00674C06">
        <w:rPr>
          <w:rFonts w:ascii="Arial" w:hAnsi="Arial" w:cs="Arial"/>
        </w:rPr>
        <w:tab/>
      </w:r>
      <w:r w:rsidR="00CC6E1D" w:rsidRPr="00674C06">
        <w:rPr>
          <w:rFonts w:ascii="Arial" w:hAnsi="Arial" w:cs="Arial"/>
        </w:rPr>
        <w:t>(</w:t>
      </w:r>
      <w:r w:rsidRPr="00674C06">
        <w:rPr>
          <w:rFonts w:ascii="Arial" w:hAnsi="Arial" w:cs="Arial"/>
        </w:rPr>
        <w:t xml:space="preserve">($563,228,638 / 743,220,847 </w:t>
      </w:r>
      <w:proofErr w:type="spellStart"/>
      <w:r w:rsidRPr="00674C06">
        <w:rPr>
          <w:rFonts w:ascii="Arial" w:hAnsi="Arial" w:cs="Arial"/>
        </w:rPr>
        <w:t>therms</w:t>
      </w:r>
      <w:proofErr w:type="spellEnd"/>
      <w:r w:rsidRPr="00674C06">
        <w:rPr>
          <w:rFonts w:ascii="Arial" w:hAnsi="Arial" w:cs="Arial"/>
        </w:rPr>
        <w:t>) + $0.42840</w:t>
      </w:r>
      <w:r w:rsidR="00CC6E1D" w:rsidRPr="00674C06">
        <w:rPr>
          <w:rFonts w:ascii="Arial" w:hAnsi="Arial" w:cs="Arial"/>
        </w:rPr>
        <w:t>)</w:t>
      </w:r>
      <w:r w:rsidRPr="00674C06">
        <w:rPr>
          <w:rFonts w:ascii="Arial" w:hAnsi="Arial" w:cs="Arial"/>
        </w:rPr>
        <w:t xml:space="preserve"> = </w:t>
      </w:r>
      <w:r w:rsidRPr="00674C06">
        <w:rPr>
          <w:rFonts w:ascii="Arial" w:hAnsi="Arial" w:cs="Arial"/>
          <w:b/>
        </w:rPr>
        <w:t>$1.18623</w:t>
      </w:r>
    </w:p>
    <w:p w:rsidR="0016541E" w:rsidRDefault="0016541E" w:rsidP="00EF4CFF">
      <w:pPr>
        <w:rPr>
          <w:rFonts w:ascii="Arial" w:hAnsi="Arial" w:cs="Arial"/>
        </w:rPr>
      </w:pPr>
    </w:p>
    <w:p w:rsidR="00CC6E1D" w:rsidRPr="0016541E" w:rsidRDefault="0016541E" w:rsidP="001654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Therefore, the Tier differential is:  </w:t>
      </w:r>
      <w:r w:rsidR="00EF4CFF" w:rsidRPr="00674C06">
        <w:rPr>
          <w:rFonts w:ascii="Arial" w:hAnsi="Arial" w:cs="Arial"/>
        </w:rPr>
        <w:t xml:space="preserve">$1.18623 / $1.12505 = </w:t>
      </w:r>
      <w:r w:rsidR="00EF4CFF" w:rsidRPr="00674C06">
        <w:rPr>
          <w:rFonts w:ascii="Arial" w:hAnsi="Arial" w:cs="Arial"/>
          <w:b/>
        </w:rPr>
        <w:t>1.05</w:t>
      </w:r>
      <w:r w:rsidR="00B756A5" w:rsidRPr="00674C06">
        <w:rPr>
          <w:rFonts w:ascii="Arial" w:hAnsi="Arial" w:cs="Arial"/>
          <w:b/>
        </w:rPr>
        <w:t xml:space="preserve">.  </w:t>
      </w:r>
    </w:p>
    <w:p w:rsidR="00CC6E1D" w:rsidRPr="00674C06" w:rsidRDefault="00CC6E1D" w:rsidP="00D62478">
      <w:pPr>
        <w:ind w:firstLine="720"/>
        <w:rPr>
          <w:rFonts w:ascii="Arial" w:hAnsi="Arial" w:cs="Arial"/>
          <w:b/>
        </w:rPr>
      </w:pPr>
    </w:p>
    <w:p w:rsidR="0016541E" w:rsidRDefault="0016541E" w:rsidP="0016541E">
      <w:pPr>
        <w:rPr>
          <w:rFonts w:ascii="Arial" w:hAnsi="Arial" w:cs="Arial"/>
        </w:rPr>
      </w:pPr>
    </w:p>
    <w:p w:rsidR="00F67377" w:rsidRPr="00674C06" w:rsidRDefault="00B756A5" w:rsidP="0016541E">
      <w:pPr>
        <w:rPr>
          <w:rFonts w:ascii="Arial" w:hAnsi="Arial" w:cs="Arial"/>
        </w:rPr>
      </w:pPr>
      <w:r w:rsidRPr="00674C06">
        <w:rPr>
          <w:rFonts w:ascii="Arial" w:hAnsi="Arial" w:cs="Arial"/>
        </w:rPr>
        <w:t xml:space="preserve">This figure is lower than the target tier differential of 1.15 because 1.15 represents an upper limit such that the BL and NBL rate differential is no more than $0.26 per therm.  At the current tier differential of 1.05, we reached the $0.26 per </w:t>
      </w:r>
      <w:proofErr w:type="spellStart"/>
      <w:r w:rsidRPr="00674C06">
        <w:rPr>
          <w:rFonts w:ascii="Arial" w:hAnsi="Arial" w:cs="Arial"/>
        </w:rPr>
        <w:t>therm</w:t>
      </w:r>
      <w:proofErr w:type="spellEnd"/>
      <w:r w:rsidRPr="00674C06">
        <w:rPr>
          <w:rFonts w:ascii="Arial" w:hAnsi="Arial" w:cs="Arial"/>
        </w:rPr>
        <w:t xml:space="preserve"> rate difference cap.  </w:t>
      </w:r>
    </w:p>
    <w:p w:rsidR="0016541E" w:rsidRDefault="0016541E" w:rsidP="0016541E">
      <w:pPr>
        <w:rPr>
          <w:rFonts w:ascii="Arial" w:hAnsi="Arial" w:cs="Arial"/>
          <w:b/>
        </w:rPr>
      </w:pPr>
    </w:p>
    <w:p w:rsidR="00EF4CFF" w:rsidRPr="00674C06" w:rsidRDefault="00EF4CFF" w:rsidP="0016541E">
      <w:pPr>
        <w:rPr>
          <w:rFonts w:ascii="Arial" w:hAnsi="Arial" w:cs="Arial"/>
        </w:rPr>
      </w:pPr>
      <w:r w:rsidRPr="00674C06">
        <w:rPr>
          <w:rFonts w:ascii="Arial" w:hAnsi="Arial" w:cs="Arial"/>
        </w:rPr>
        <w:t xml:space="preserve">The proposed allocation is an attempt to simplify the understanding of what the tier differential represents.  </w:t>
      </w:r>
      <w:r w:rsidR="00AF172A" w:rsidRPr="00674C06">
        <w:rPr>
          <w:rFonts w:ascii="Arial" w:hAnsi="Arial" w:cs="Arial"/>
        </w:rPr>
        <w:t xml:space="preserve">The tier differential should measure the difference between residential baseline and non-baseline rates.  </w:t>
      </w:r>
      <w:r w:rsidR="00974C19" w:rsidRPr="00674C06">
        <w:rPr>
          <w:rFonts w:ascii="Arial" w:hAnsi="Arial" w:cs="Arial"/>
        </w:rPr>
        <w:t xml:space="preserve">The current composite rate </w:t>
      </w:r>
      <w:r w:rsidR="00985713" w:rsidRPr="00674C06">
        <w:rPr>
          <w:rFonts w:ascii="Arial" w:hAnsi="Arial" w:cs="Arial"/>
        </w:rPr>
        <w:t>confuses the calculation by introducing an unnecessary layer into the overall calculation.  Therefore, i</w:t>
      </w:r>
      <w:r w:rsidRPr="00674C06">
        <w:rPr>
          <w:rFonts w:ascii="Arial" w:hAnsi="Arial" w:cs="Arial"/>
        </w:rPr>
        <w:t>nstead of going through the complex calculation discussed above</w:t>
      </w:r>
      <w:r w:rsidR="00406302" w:rsidRPr="00674C06">
        <w:rPr>
          <w:rFonts w:ascii="Arial" w:hAnsi="Arial" w:cs="Arial"/>
        </w:rPr>
        <w:t>,</w:t>
      </w:r>
      <w:r w:rsidRPr="00674C06">
        <w:rPr>
          <w:rFonts w:ascii="Arial" w:hAnsi="Arial" w:cs="Arial"/>
        </w:rPr>
        <w:t xml:space="preserve"> to arrive at a figure that people aren’t sure what it represents</w:t>
      </w:r>
      <w:r w:rsidR="00406302" w:rsidRPr="00674C06">
        <w:rPr>
          <w:rFonts w:ascii="Arial" w:hAnsi="Arial" w:cs="Arial"/>
        </w:rPr>
        <w:t>,</w:t>
      </w:r>
      <w:r w:rsidRPr="00674C06">
        <w:rPr>
          <w:rFonts w:ascii="Arial" w:hAnsi="Arial" w:cs="Arial"/>
        </w:rPr>
        <w:t xml:space="preserve"> the proposed methodology </w:t>
      </w:r>
      <w:r w:rsidR="00985713" w:rsidRPr="00674C06">
        <w:rPr>
          <w:rFonts w:ascii="Arial" w:hAnsi="Arial" w:cs="Arial"/>
        </w:rPr>
        <w:t xml:space="preserve">appropriately </w:t>
      </w:r>
      <w:r w:rsidRPr="00674C06">
        <w:rPr>
          <w:rFonts w:ascii="Arial" w:hAnsi="Arial" w:cs="Arial"/>
        </w:rPr>
        <w:t>determines the percentage difference between the baseline and non-baseline rates.  Thus, the proposed calculation is as follows</w:t>
      </w:r>
      <w:r w:rsidR="00CC6E1D" w:rsidRPr="00674C06">
        <w:rPr>
          <w:rFonts w:ascii="Arial" w:hAnsi="Arial" w:cs="Arial"/>
        </w:rPr>
        <w:t>:</w:t>
      </w:r>
    </w:p>
    <w:p w:rsidR="00CC6E1D" w:rsidRPr="00674C06" w:rsidRDefault="00CC6E1D" w:rsidP="00EF4CFF">
      <w:pPr>
        <w:ind w:left="720"/>
        <w:rPr>
          <w:rFonts w:ascii="Arial" w:hAnsi="Arial" w:cs="Arial"/>
        </w:rPr>
      </w:pPr>
    </w:p>
    <w:p w:rsidR="00EF4CFF" w:rsidRDefault="00EF4CFF" w:rsidP="00EF4CFF">
      <w:pPr>
        <w:rPr>
          <w:rFonts w:ascii="Arial" w:hAnsi="Arial" w:cs="Arial"/>
        </w:rPr>
      </w:pPr>
      <w:r w:rsidRPr="00674C06">
        <w:rPr>
          <w:rFonts w:ascii="Arial" w:hAnsi="Arial" w:cs="Arial"/>
        </w:rPr>
        <w:tab/>
      </w:r>
      <w:r w:rsidR="00CC6E1D" w:rsidRPr="00674C06">
        <w:rPr>
          <w:rFonts w:ascii="Arial" w:hAnsi="Arial" w:cs="Arial"/>
        </w:rPr>
        <w:t>((</w:t>
      </w:r>
      <w:r w:rsidRPr="00674C06">
        <w:rPr>
          <w:rFonts w:ascii="Arial" w:hAnsi="Arial" w:cs="Arial"/>
        </w:rPr>
        <w:t xml:space="preserve">Non-baseline rate + the gas </w:t>
      </w:r>
      <w:r w:rsidR="00B929C2" w:rsidRPr="00674C06">
        <w:rPr>
          <w:rFonts w:ascii="Arial" w:hAnsi="Arial" w:cs="Arial"/>
        </w:rPr>
        <w:t xml:space="preserve">commodity </w:t>
      </w:r>
      <w:r w:rsidRPr="00674C06">
        <w:rPr>
          <w:rFonts w:ascii="Arial" w:hAnsi="Arial" w:cs="Arial"/>
        </w:rPr>
        <w:t>rate</w:t>
      </w:r>
      <w:r w:rsidR="00CC6E1D" w:rsidRPr="00674C06">
        <w:rPr>
          <w:rFonts w:ascii="Arial" w:hAnsi="Arial" w:cs="Arial"/>
        </w:rPr>
        <w:t>)</w:t>
      </w:r>
      <w:r w:rsidRPr="00674C06">
        <w:rPr>
          <w:rFonts w:ascii="Arial" w:hAnsi="Arial" w:cs="Arial"/>
        </w:rPr>
        <w:t xml:space="preserve"> / </w:t>
      </w:r>
      <w:r w:rsidR="00CC6E1D" w:rsidRPr="00674C06">
        <w:rPr>
          <w:rFonts w:ascii="Arial" w:hAnsi="Arial" w:cs="Arial"/>
        </w:rPr>
        <w:t>(</w:t>
      </w:r>
      <w:r w:rsidRPr="00674C06">
        <w:rPr>
          <w:rFonts w:ascii="Arial" w:hAnsi="Arial" w:cs="Arial"/>
        </w:rPr>
        <w:t xml:space="preserve">baseline rate + the gas </w:t>
      </w:r>
      <w:r w:rsidR="00B929C2" w:rsidRPr="00674C06">
        <w:rPr>
          <w:rFonts w:ascii="Arial" w:hAnsi="Arial" w:cs="Arial"/>
        </w:rPr>
        <w:t xml:space="preserve">commodity </w:t>
      </w:r>
      <w:r w:rsidRPr="00674C06">
        <w:rPr>
          <w:rFonts w:ascii="Arial" w:hAnsi="Arial" w:cs="Arial"/>
        </w:rPr>
        <w:t>rate</w:t>
      </w:r>
      <w:r w:rsidR="00CC6E1D" w:rsidRPr="00674C06">
        <w:rPr>
          <w:rFonts w:ascii="Arial" w:hAnsi="Arial" w:cs="Arial"/>
        </w:rPr>
        <w:t>))</w:t>
      </w:r>
      <w:r w:rsidRPr="00674C06">
        <w:rPr>
          <w:rFonts w:ascii="Arial" w:hAnsi="Arial" w:cs="Arial"/>
        </w:rPr>
        <w:t xml:space="preserve"> = tier differential</w:t>
      </w:r>
    </w:p>
    <w:p w:rsidR="0016541E" w:rsidRDefault="0016541E" w:rsidP="00EF4CFF">
      <w:pPr>
        <w:rPr>
          <w:rFonts w:ascii="Arial" w:hAnsi="Arial" w:cs="Arial"/>
        </w:rPr>
      </w:pPr>
    </w:p>
    <w:p w:rsidR="0016541E" w:rsidRPr="00674C06" w:rsidRDefault="0016541E" w:rsidP="00EF4CFF">
      <w:pPr>
        <w:rPr>
          <w:rFonts w:ascii="Arial" w:hAnsi="Arial" w:cs="Arial"/>
        </w:rPr>
      </w:pPr>
      <w:r>
        <w:rPr>
          <w:rFonts w:ascii="Arial" w:hAnsi="Arial" w:cs="Arial"/>
        </w:rPr>
        <w:t>or,</w:t>
      </w:r>
    </w:p>
    <w:p w:rsidR="00EF4CFF" w:rsidRPr="00674C06" w:rsidRDefault="00EF4CFF" w:rsidP="00EF4CFF">
      <w:pPr>
        <w:rPr>
          <w:rFonts w:ascii="Arial" w:hAnsi="Arial" w:cs="Arial"/>
        </w:rPr>
      </w:pPr>
      <w:r w:rsidRPr="00674C06">
        <w:rPr>
          <w:rFonts w:ascii="Arial" w:hAnsi="Arial" w:cs="Arial"/>
        </w:rPr>
        <w:tab/>
      </w:r>
      <w:r w:rsidR="00CC6E1D" w:rsidRPr="00674C06">
        <w:rPr>
          <w:rFonts w:ascii="Arial" w:hAnsi="Arial" w:cs="Arial"/>
        </w:rPr>
        <w:t>(</w:t>
      </w:r>
      <w:r w:rsidRPr="00674C06">
        <w:rPr>
          <w:rFonts w:ascii="Arial" w:hAnsi="Arial" w:cs="Arial"/>
        </w:rPr>
        <w:t>($0.57104+$0.40277)</w:t>
      </w:r>
      <w:r w:rsidR="0016541E">
        <w:rPr>
          <w:rFonts w:ascii="Arial" w:hAnsi="Arial" w:cs="Arial"/>
        </w:rPr>
        <w:t xml:space="preserve"> </w:t>
      </w:r>
      <w:r w:rsidR="00BA67EC" w:rsidRPr="00674C06">
        <w:rPr>
          <w:rFonts w:ascii="Arial" w:hAnsi="Arial" w:cs="Arial"/>
        </w:rPr>
        <w:t>/</w:t>
      </w:r>
      <w:r w:rsidR="0016541E">
        <w:rPr>
          <w:rFonts w:ascii="Arial" w:hAnsi="Arial" w:cs="Arial"/>
        </w:rPr>
        <w:t xml:space="preserve"> </w:t>
      </w:r>
      <w:r w:rsidRPr="00674C06">
        <w:rPr>
          <w:rFonts w:ascii="Arial" w:hAnsi="Arial" w:cs="Arial"/>
        </w:rPr>
        <w:t>($0.31104+$0.40277)</w:t>
      </w:r>
      <w:r w:rsidR="00CC6E1D" w:rsidRPr="00674C06">
        <w:rPr>
          <w:rFonts w:ascii="Arial" w:hAnsi="Arial" w:cs="Arial"/>
        </w:rPr>
        <w:t xml:space="preserve">) </w:t>
      </w:r>
      <w:r w:rsidRPr="00674C06">
        <w:rPr>
          <w:rFonts w:ascii="Arial" w:hAnsi="Arial" w:cs="Arial"/>
        </w:rPr>
        <w:t>=</w:t>
      </w:r>
      <w:r w:rsidR="00CC6E1D" w:rsidRPr="00674C06">
        <w:rPr>
          <w:rFonts w:ascii="Arial" w:hAnsi="Arial" w:cs="Arial"/>
        </w:rPr>
        <w:t xml:space="preserve"> </w:t>
      </w:r>
      <w:r w:rsidRPr="00674C06">
        <w:rPr>
          <w:rFonts w:ascii="Arial" w:hAnsi="Arial" w:cs="Arial"/>
          <w:b/>
        </w:rPr>
        <w:t>1.36</w:t>
      </w:r>
    </w:p>
    <w:p w:rsidR="00EF4CFF" w:rsidRPr="00674C06" w:rsidRDefault="00EF4CFF" w:rsidP="00EF4CFF">
      <w:pPr>
        <w:rPr>
          <w:rFonts w:ascii="Arial" w:hAnsi="Arial" w:cs="Arial"/>
        </w:rPr>
      </w:pPr>
    </w:p>
    <w:p w:rsidR="006F6773" w:rsidRPr="00674C06" w:rsidRDefault="00985713" w:rsidP="00EF4CFF">
      <w:pPr>
        <w:rPr>
          <w:rFonts w:ascii="Arial" w:hAnsi="Arial" w:cs="Arial"/>
        </w:rPr>
      </w:pPr>
      <w:r w:rsidRPr="00674C06">
        <w:rPr>
          <w:rFonts w:ascii="Arial" w:hAnsi="Arial" w:cs="Arial"/>
        </w:rPr>
        <w:t>T</w:t>
      </w:r>
      <w:r w:rsidR="00EF4CFF" w:rsidRPr="00674C06">
        <w:rPr>
          <w:rFonts w:ascii="Arial" w:hAnsi="Arial" w:cs="Arial"/>
        </w:rPr>
        <w:t xml:space="preserve">he proposed </w:t>
      </w:r>
      <w:r w:rsidR="00962147" w:rsidRPr="00674C06">
        <w:rPr>
          <w:rFonts w:ascii="Arial" w:hAnsi="Arial" w:cs="Arial"/>
        </w:rPr>
        <w:t>simple</w:t>
      </w:r>
      <w:r w:rsidR="0016541E">
        <w:rPr>
          <w:rFonts w:ascii="Arial" w:hAnsi="Arial" w:cs="Arial"/>
        </w:rPr>
        <w:t>r</w:t>
      </w:r>
      <w:r w:rsidR="00962147" w:rsidRPr="00674C06">
        <w:rPr>
          <w:rFonts w:ascii="Arial" w:hAnsi="Arial" w:cs="Arial"/>
        </w:rPr>
        <w:t xml:space="preserve"> tier </w:t>
      </w:r>
      <w:r w:rsidR="0016541E" w:rsidRPr="00674C06">
        <w:rPr>
          <w:rFonts w:ascii="Arial" w:hAnsi="Arial" w:cs="Arial"/>
        </w:rPr>
        <w:t>differential</w:t>
      </w:r>
      <w:r w:rsidR="00962147" w:rsidRPr="00674C06">
        <w:rPr>
          <w:rFonts w:ascii="Arial" w:hAnsi="Arial" w:cs="Arial"/>
        </w:rPr>
        <w:t xml:space="preserve"> </w:t>
      </w:r>
      <w:r w:rsidR="00EF4CFF" w:rsidRPr="00674C06">
        <w:rPr>
          <w:rFonts w:ascii="Arial" w:hAnsi="Arial" w:cs="Arial"/>
        </w:rPr>
        <w:t xml:space="preserve">calculation does not make any changes to the currently approved </w:t>
      </w:r>
      <w:r w:rsidR="001E27D7" w:rsidRPr="00674C06">
        <w:rPr>
          <w:rFonts w:ascii="Arial" w:hAnsi="Arial" w:cs="Arial"/>
        </w:rPr>
        <w:t xml:space="preserve">rate </w:t>
      </w:r>
      <w:r w:rsidR="00EF4CFF" w:rsidRPr="00674C06">
        <w:rPr>
          <w:rFonts w:ascii="Arial" w:hAnsi="Arial" w:cs="Arial"/>
        </w:rPr>
        <w:t>methodology (</w:t>
      </w:r>
      <w:r w:rsidR="00B537FB" w:rsidRPr="00674C06">
        <w:rPr>
          <w:rFonts w:ascii="Arial" w:hAnsi="Arial" w:cs="Arial"/>
        </w:rPr>
        <w:t>e.g</w:t>
      </w:r>
      <w:r w:rsidR="00EF4CFF" w:rsidRPr="00674C06">
        <w:rPr>
          <w:rFonts w:ascii="Arial" w:hAnsi="Arial" w:cs="Arial"/>
        </w:rPr>
        <w:t>., 1.15 target, difference cap, etc.)</w:t>
      </w:r>
      <w:r w:rsidR="00962147" w:rsidRPr="00674C06">
        <w:rPr>
          <w:rFonts w:ascii="Arial" w:hAnsi="Arial" w:cs="Arial"/>
        </w:rPr>
        <w:t xml:space="preserve"> </w:t>
      </w:r>
      <w:r w:rsidR="00EF4CFF" w:rsidRPr="00674C06">
        <w:rPr>
          <w:rFonts w:ascii="Arial" w:hAnsi="Arial" w:cs="Arial"/>
        </w:rPr>
        <w:t xml:space="preserve">but </w:t>
      </w:r>
      <w:r w:rsidR="00962147" w:rsidRPr="00674C06">
        <w:rPr>
          <w:rFonts w:ascii="Arial" w:hAnsi="Arial" w:cs="Arial"/>
        </w:rPr>
        <w:t xml:space="preserve">avoids the unnecessary step of calculating </w:t>
      </w:r>
      <w:r w:rsidR="0016541E">
        <w:rPr>
          <w:rFonts w:ascii="Arial" w:hAnsi="Arial" w:cs="Arial"/>
        </w:rPr>
        <w:t>a composite rate and provides</w:t>
      </w:r>
      <w:r w:rsidR="00EF4CFF" w:rsidRPr="00674C06">
        <w:rPr>
          <w:rFonts w:ascii="Arial" w:hAnsi="Arial" w:cs="Arial"/>
        </w:rPr>
        <w:t xml:space="preserve"> a more useful and easy to understand </w:t>
      </w:r>
      <w:r w:rsidR="001E27D7" w:rsidRPr="00674C06">
        <w:rPr>
          <w:rFonts w:ascii="Arial" w:hAnsi="Arial" w:cs="Arial"/>
        </w:rPr>
        <w:t xml:space="preserve">tier differential </w:t>
      </w:r>
      <w:r w:rsidR="0016541E">
        <w:rPr>
          <w:rFonts w:ascii="Arial" w:hAnsi="Arial" w:cs="Arial"/>
        </w:rPr>
        <w:t>figure that</w:t>
      </w:r>
      <w:r w:rsidR="00EF4CFF" w:rsidRPr="00674C06">
        <w:rPr>
          <w:rFonts w:ascii="Arial" w:hAnsi="Arial" w:cs="Arial"/>
        </w:rPr>
        <w:t xml:space="preserve"> shows how much greater non-baseline rates are than baseline rates</w:t>
      </w:r>
      <w:r w:rsidR="00962147" w:rsidRPr="00674C06">
        <w:rPr>
          <w:rFonts w:ascii="Arial" w:hAnsi="Arial" w:cs="Arial"/>
        </w:rPr>
        <w:t>.</w:t>
      </w:r>
      <w:r w:rsidR="00EF4CFF" w:rsidRPr="00674C06">
        <w:rPr>
          <w:rFonts w:ascii="Arial" w:hAnsi="Arial" w:cs="Arial"/>
        </w:rPr>
        <w:t xml:space="preserve"> </w:t>
      </w:r>
    </w:p>
    <w:p w:rsidR="00820EFA" w:rsidRPr="00674C06" w:rsidRDefault="00820EFA" w:rsidP="005C6E7A">
      <w:pPr>
        <w:rPr>
          <w:rFonts w:ascii="Arial" w:hAnsi="Arial" w:cs="Arial"/>
          <w:sz w:val="28"/>
          <w:szCs w:val="28"/>
        </w:rPr>
      </w:pPr>
    </w:p>
    <w:p w:rsidR="00FB6C90" w:rsidRPr="00674C06" w:rsidRDefault="0016541E" w:rsidP="00FB6C90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See response</w:t>
      </w:r>
      <w:r w:rsidR="00FB6C90" w:rsidRPr="00674C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2.</w:t>
      </w:r>
      <w:r w:rsidR="00FB6C90" w:rsidRPr="00674C06">
        <w:rPr>
          <w:rFonts w:ascii="Arial" w:hAnsi="Arial" w:cs="Arial"/>
        </w:rPr>
        <w:t>a, above.</w:t>
      </w:r>
    </w:p>
    <w:p w:rsidR="00820EFA" w:rsidRPr="007340BA" w:rsidRDefault="00820EFA" w:rsidP="005C6E7A"/>
    <w:p w:rsidR="00F67377" w:rsidRDefault="00F67377" w:rsidP="00F6737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C62CAA" w:rsidRDefault="00C62CAA" w:rsidP="00F67377">
      <w:pPr>
        <w:rPr>
          <w:rFonts w:ascii="Arial" w:hAnsi="Arial" w:cs="Arial"/>
          <w:b/>
          <w:u w:val="single"/>
        </w:rPr>
      </w:pPr>
    </w:p>
    <w:p w:rsidR="00663B29" w:rsidRDefault="00663B29" w:rsidP="00F67377">
      <w:pPr>
        <w:rPr>
          <w:rFonts w:ascii="Arial" w:hAnsi="Arial" w:cs="Arial"/>
          <w:b/>
          <w:u w:val="single"/>
        </w:rPr>
      </w:pPr>
    </w:p>
    <w:p w:rsidR="00F67377" w:rsidRPr="00F759E8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QUESTION </w:t>
      </w:r>
      <w:r>
        <w:rPr>
          <w:rFonts w:ascii="Arial" w:hAnsi="Arial" w:cs="Arial"/>
          <w:b/>
          <w:u w:val="single"/>
        </w:rPr>
        <w:t>3</w:t>
      </w:r>
      <w:r w:rsidRPr="00F759E8">
        <w:rPr>
          <w:rFonts w:ascii="Arial" w:hAnsi="Arial" w:cs="Arial"/>
          <w:b/>
          <w:u w:val="single"/>
        </w:rPr>
        <w:t>:</w:t>
      </w:r>
    </w:p>
    <w:p w:rsidR="005F4287" w:rsidRDefault="005F4287" w:rsidP="00F67377">
      <w:pPr>
        <w:rPr>
          <w:rFonts w:ascii="Arial" w:hAnsi="Arial" w:cs="Arial"/>
        </w:rPr>
      </w:pP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 xml:space="preserve">Mr. </w:t>
      </w:r>
      <w:proofErr w:type="spellStart"/>
      <w:r w:rsidRPr="008F3FF5">
        <w:rPr>
          <w:rFonts w:ascii="Arial" w:hAnsi="Arial" w:cs="Arial"/>
        </w:rPr>
        <w:t>Bonnett’s</w:t>
      </w:r>
      <w:proofErr w:type="spellEnd"/>
      <w:r w:rsidRPr="008F3FF5">
        <w:rPr>
          <w:rFonts w:ascii="Arial" w:hAnsi="Arial" w:cs="Arial"/>
        </w:rPr>
        <w:t xml:space="preserve"> Revised </w:t>
      </w:r>
      <w:proofErr w:type="spellStart"/>
      <w:r w:rsidRPr="008F3FF5">
        <w:rPr>
          <w:rFonts w:ascii="Arial" w:hAnsi="Arial" w:cs="Arial"/>
        </w:rPr>
        <w:t>Workpapers</w:t>
      </w:r>
      <w:proofErr w:type="spellEnd"/>
      <w:r w:rsidRPr="008F3FF5">
        <w:rPr>
          <w:rFonts w:ascii="Arial" w:hAnsi="Arial" w:cs="Arial"/>
        </w:rPr>
        <w:t xml:space="preserve"> for the rate design of SoCalGas are shown in the Excel file</w:t>
      </w: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“2017 TCAP SCG RD Model.” Also, in the 2017 TCAP SCG RD Model shown at Tab “Res</w:t>
      </w:r>
      <w:r w:rsidR="0016541E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Rate” at Excel row 164, the line heading indicates the “Calculation of BL Rate &amp; NBL Rates &amp;</w:t>
      </w:r>
      <w:r w:rsidR="0016541E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Revenue for SF, MF &amp; SMM.” In the succeeding Excel rows 165, 166, and 167 immediately</w:t>
      </w:r>
      <w:r w:rsidR="0016541E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below Excel row 164, the following lines describe certain calculations:</w:t>
      </w:r>
    </w:p>
    <w:p w:rsidR="008F3FF5" w:rsidRDefault="008F3FF5" w:rsidP="008F3FF5">
      <w:pPr>
        <w:rPr>
          <w:rFonts w:ascii="Arial" w:hAnsi="Arial" w:cs="Arial"/>
        </w:rPr>
      </w:pP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a. Calculate BL &amp; NBL Rates based on targeted RATIO between NBL Rate &amp;</w:t>
      </w:r>
      <w:r w:rsidR="0016541E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Composite Rate (including gas costs)</w:t>
      </w:r>
    </w:p>
    <w:p w:rsidR="008F3FF5" w:rsidRDefault="008F3FF5" w:rsidP="008F3FF5">
      <w:pPr>
        <w:rPr>
          <w:rFonts w:ascii="Arial" w:hAnsi="Arial" w:cs="Arial"/>
        </w:rPr>
      </w:pP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b. Calculate BL &amp; NBL Rates based on a rate difference cap between NBL &amp; BL</w:t>
      </w:r>
      <w:r w:rsidR="0016541E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rates (excluding gas costs)</w:t>
      </w:r>
    </w:p>
    <w:p w:rsidR="008F3FF5" w:rsidRDefault="008F3FF5" w:rsidP="008F3FF5">
      <w:pPr>
        <w:rPr>
          <w:rFonts w:ascii="Arial" w:hAnsi="Arial" w:cs="Arial"/>
        </w:rPr>
      </w:pP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c. Rates to be Used are those in the RATIO column, unless Difference CAP is</w:t>
      </w:r>
      <w:r w:rsidR="0016541E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exceeded in which case DIFFERENCE column is used.</w:t>
      </w:r>
    </w:p>
    <w:p w:rsidR="0016541E" w:rsidRDefault="0016541E" w:rsidP="008F3FF5">
      <w:pPr>
        <w:rPr>
          <w:rFonts w:ascii="Arial" w:hAnsi="Arial" w:cs="Arial"/>
        </w:rPr>
      </w:pP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Formulae are given in Excel rows 169, 170, 171, 172, and 173 as shown below:</w:t>
      </w: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1. NBL rate = (RATIO * Composite Rate) – Gas Rate</w:t>
      </w: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 xml:space="preserve">2. Composite Rate = (Baseline Revenue + Customer Charge Revenue + </w:t>
      </w:r>
      <w:proofErr w:type="spellStart"/>
      <w:r w:rsidRPr="008F3FF5">
        <w:rPr>
          <w:rFonts w:ascii="Arial" w:hAnsi="Arial" w:cs="Arial"/>
        </w:rPr>
        <w:t>SubMeter</w:t>
      </w:r>
      <w:proofErr w:type="spellEnd"/>
      <w:r w:rsidR="0016541E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Credit)</w:t>
      </w:r>
      <w:r w:rsidR="0016541E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/</w:t>
      </w:r>
      <w:r w:rsidR="0016541E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 xml:space="preserve">Baseline </w:t>
      </w:r>
      <w:proofErr w:type="spellStart"/>
      <w:r w:rsidRPr="008F3FF5">
        <w:rPr>
          <w:rFonts w:ascii="Arial" w:hAnsi="Arial" w:cs="Arial"/>
        </w:rPr>
        <w:t>Volums</w:t>
      </w:r>
      <w:proofErr w:type="spellEnd"/>
      <w:r w:rsidRPr="008F3FF5">
        <w:rPr>
          <w:rFonts w:ascii="Arial" w:hAnsi="Arial" w:cs="Arial"/>
        </w:rPr>
        <w:t>)</w:t>
      </w:r>
      <w:r w:rsidR="0016541E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+ Gas Rate</w:t>
      </w: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 xml:space="preserve">3. TR = (BLR*BLV) + (NBLR* NBLV) + CCR + </w:t>
      </w:r>
      <w:proofErr w:type="spellStart"/>
      <w:r w:rsidRPr="008F3FF5">
        <w:rPr>
          <w:rFonts w:ascii="Arial" w:hAnsi="Arial" w:cs="Arial"/>
        </w:rPr>
        <w:t>SMCr</w:t>
      </w:r>
      <w:proofErr w:type="spellEnd"/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 xml:space="preserve">4. NBLR = (((((BLR*BLV) + CCR + </w:t>
      </w:r>
      <w:proofErr w:type="spellStart"/>
      <w:r w:rsidRPr="008F3FF5">
        <w:rPr>
          <w:rFonts w:ascii="Arial" w:hAnsi="Arial" w:cs="Arial"/>
        </w:rPr>
        <w:t>SMCr</w:t>
      </w:r>
      <w:proofErr w:type="spellEnd"/>
      <w:r w:rsidRPr="008F3FF5">
        <w:rPr>
          <w:rFonts w:ascii="Arial" w:hAnsi="Arial" w:cs="Arial"/>
        </w:rPr>
        <w:t>)*(1/BLV))+ Gas Rate)* RATIO – Gas</w:t>
      </w:r>
      <w:r w:rsidR="0016541E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Rate</w:t>
      </w: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 xml:space="preserve">5. BLR = (TR-(NBLR*NBLV) – CCR – </w:t>
      </w:r>
      <w:proofErr w:type="spellStart"/>
      <w:r w:rsidRPr="008F3FF5">
        <w:rPr>
          <w:rFonts w:ascii="Arial" w:hAnsi="Arial" w:cs="Arial"/>
        </w:rPr>
        <w:t>SMCr</w:t>
      </w:r>
      <w:proofErr w:type="spellEnd"/>
      <w:r w:rsidRPr="008F3FF5">
        <w:rPr>
          <w:rFonts w:ascii="Arial" w:hAnsi="Arial" w:cs="Arial"/>
        </w:rPr>
        <w:t>) * (1/BLV)</w:t>
      </w:r>
    </w:p>
    <w:p w:rsidR="008F3FF5" w:rsidRDefault="008F3FF5" w:rsidP="008F3FF5">
      <w:pPr>
        <w:rPr>
          <w:rFonts w:ascii="Arial" w:hAnsi="Arial" w:cs="Arial"/>
        </w:rPr>
      </w:pP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(a) Please explain the rationale and goal of the three calculations described in the Excel rows</w:t>
      </w: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165, 166, and 167 immediately below Excel row 164.</w:t>
      </w:r>
    </w:p>
    <w:p w:rsidR="008F3FF5" w:rsidRDefault="008F3FF5" w:rsidP="008F3FF5">
      <w:pPr>
        <w:rPr>
          <w:rFonts w:ascii="Arial" w:hAnsi="Arial" w:cs="Arial"/>
        </w:rPr>
      </w:pP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(b) Please spell out the acronyms in the above formulae.</w:t>
      </w:r>
    </w:p>
    <w:p w:rsidR="008F3FF5" w:rsidRDefault="008F3FF5" w:rsidP="008F3FF5">
      <w:pPr>
        <w:rPr>
          <w:rFonts w:ascii="Arial" w:hAnsi="Arial" w:cs="Arial"/>
        </w:rPr>
      </w:pP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(c) Is SoCalGas proposing to change the current calculation of the NBL/BL ratio which was</w:t>
      </w:r>
      <w:r w:rsidR="0016541E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the subject of Question 2 above? Please confirm the proposed change and explain the</w:t>
      </w:r>
      <w:r w:rsidR="0016541E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reason for the SoCalGas proposed change to the calculation of the NBL/BL ratio.</w:t>
      </w:r>
    </w:p>
    <w:p w:rsidR="008F3FF5" w:rsidRDefault="008F3FF5" w:rsidP="008F3FF5">
      <w:pPr>
        <w:rPr>
          <w:rFonts w:ascii="Arial" w:hAnsi="Arial" w:cs="Arial"/>
        </w:rPr>
      </w:pP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(d) Please explain whether the NBL/BL ratio and the targeted RATIO in the above calculation</w:t>
      </w:r>
      <w:r w:rsidR="0016541E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listed in item a of Question 3 above are intended to refer to the same ratio. Please explain</w:t>
      </w:r>
      <w:r w:rsidR="0016541E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the basis for setting the targeted RATIO between NBL Rate &amp; Composite Rate (including</w:t>
      </w:r>
      <w:r w:rsidR="0016541E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gas costs).</w:t>
      </w:r>
    </w:p>
    <w:p w:rsidR="008F3FF5" w:rsidRDefault="008F3FF5" w:rsidP="008F3FF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F3FF5" w:rsidRDefault="008F3FF5" w:rsidP="008F3FF5">
      <w:pPr>
        <w:rPr>
          <w:rFonts w:ascii="Arial" w:hAnsi="Arial" w:cs="Arial"/>
        </w:rPr>
      </w:pP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(e) Confirm whether it is SoCalGas’ proposal to keep the targeted RATIO at 1.15 as shown in</w:t>
      </w:r>
      <w:r w:rsidR="0016541E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Excel row 190 under Excel column E?</w:t>
      </w:r>
    </w:p>
    <w:p w:rsidR="008F3FF5" w:rsidRDefault="008F3FF5" w:rsidP="008F3FF5">
      <w:pPr>
        <w:rPr>
          <w:rFonts w:ascii="Arial" w:hAnsi="Arial" w:cs="Arial"/>
        </w:rPr>
      </w:pP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(f) Is SoCalGas proposing to change the current calculation of the composite rate, to that as</w:t>
      </w:r>
      <w:r w:rsidR="0016541E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given in the above formulae? If so, please confirm and explain the reason for the proposed</w:t>
      </w:r>
      <w:r w:rsidR="0016541E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change, including citing any specific advantages and disadvantages.</w:t>
      </w:r>
    </w:p>
    <w:p w:rsidR="008F3FF5" w:rsidRDefault="008F3FF5" w:rsidP="008F3FF5">
      <w:pPr>
        <w:rPr>
          <w:rFonts w:ascii="Arial" w:hAnsi="Arial" w:cs="Arial"/>
        </w:rPr>
      </w:pPr>
    </w:p>
    <w:p w:rsidR="008F3FF5" w:rsidRPr="0031141C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(f) Please explain the reason for the SoCalGas proposal to include the gas commodity rate in</w:t>
      </w:r>
      <w:r w:rsidR="0016541E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the calculation of the composite tier differential between the BL and NBL bundled rates,</w:t>
      </w:r>
      <w:r w:rsidR="0016541E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including any specific advantages and/or disadvantages of this proposed change over the</w:t>
      </w:r>
      <w:r w:rsidR="0016541E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current calculation given that the resulting NBL rate is said to be 36% higher than the</w:t>
      </w:r>
      <w:r w:rsidR="0016541E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resulting bundled BL rate.</w:t>
      </w:r>
    </w:p>
    <w:p w:rsidR="00582C14" w:rsidRPr="0031141C" w:rsidRDefault="00582C14" w:rsidP="00F67377">
      <w:pPr>
        <w:rPr>
          <w:rFonts w:ascii="Arial" w:hAnsi="Arial" w:cs="Arial"/>
        </w:rPr>
      </w:pPr>
    </w:p>
    <w:p w:rsidR="005F4287" w:rsidRPr="0031141C" w:rsidRDefault="005F4287" w:rsidP="00F67377">
      <w:pPr>
        <w:rPr>
          <w:rFonts w:ascii="Arial" w:hAnsi="Arial" w:cs="Arial"/>
        </w:rPr>
      </w:pPr>
    </w:p>
    <w:p w:rsidR="00F67377" w:rsidRPr="00F759E8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RESPONSE </w:t>
      </w:r>
      <w:r>
        <w:rPr>
          <w:rFonts w:ascii="Arial" w:hAnsi="Arial" w:cs="Arial"/>
          <w:b/>
          <w:u w:val="single"/>
        </w:rPr>
        <w:t>3</w:t>
      </w:r>
      <w:r w:rsidRPr="00F759E8">
        <w:rPr>
          <w:rFonts w:ascii="Arial" w:hAnsi="Arial" w:cs="Arial"/>
          <w:b/>
          <w:u w:val="single"/>
        </w:rPr>
        <w:t>:</w:t>
      </w:r>
    </w:p>
    <w:p w:rsidR="00F67377" w:rsidRDefault="00F67377" w:rsidP="005C6E7A">
      <w:pPr>
        <w:rPr>
          <w:rFonts w:ascii="Arial" w:hAnsi="Arial" w:cs="Arial"/>
          <w:sz w:val="28"/>
          <w:szCs w:val="28"/>
        </w:rPr>
      </w:pPr>
    </w:p>
    <w:p w:rsidR="003D0EDA" w:rsidRPr="0016541E" w:rsidRDefault="006E3841" w:rsidP="0005486A">
      <w:pPr>
        <w:ind w:left="720" w:hanging="720"/>
        <w:rPr>
          <w:rFonts w:ascii="Arial" w:hAnsi="Arial" w:cs="Arial"/>
        </w:rPr>
      </w:pPr>
      <w:r w:rsidRPr="0016541E">
        <w:rPr>
          <w:rFonts w:ascii="Arial" w:hAnsi="Arial" w:cs="Arial"/>
          <w:b/>
        </w:rPr>
        <w:t>a)</w:t>
      </w:r>
      <w:r w:rsidR="002B4021" w:rsidRPr="0016541E">
        <w:rPr>
          <w:rFonts w:ascii="Arial" w:hAnsi="Arial" w:cs="Arial"/>
        </w:rPr>
        <w:tab/>
        <w:t>This particular section lists the steps needed to calculate the residential baseline and non-baseline rates.</w:t>
      </w:r>
      <w:r w:rsidR="003D0EDA" w:rsidRPr="0016541E">
        <w:rPr>
          <w:rFonts w:ascii="Arial" w:hAnsi="Arial" w:cs="Arial"/>
        </w:rPr>
        <w:t xml:space="preserve">  First, the RATIO column shows the baseline and non-baseline rates using the 1.15 tier differential ap</w:t>
      </w:r>
      <w:r w:rsidR="0016541E">
        <w:rPr>
          <w:rFonts w:ascii="Arial" w:hAnsi="Arial" w:cs="Arial"/>
        </w:rPr>
        <w:t>proved by the Commission in the 20</w:t>
      </w:r>
      <w:r w:rsidR="003D0EDA" w:rsidRPr="0016541E">
        <w:rPr>
          <w:rFonts w:ascii="Arial" w:hAnsi="Arial" w:cs="Arial"/>
        </w:rPr>
        <w:t>09 BCAP</w:t>
      </w:r>
      <w:r w:rsidR="0016541E">
        <w:rPr>
          <w:rFonts w:ascii="Arial" w:hAnsi="Arial" w:cs="Arial"/>
        </w:rPr>
        <w:t>, whereas</w:t>
      </w:r>
      <w:r w:rsidR="003D0EDA" w:rsidRPr="0016541E">
        <w:rPr>
          <w:rFonts w:ascii="Arial" w:hAnsi="Arial" w:cs="Arial"/>
        </w:rPr>
        <w:t xml:space="preserve"> the DIFFERENCE column </w:t>
      </w:r>
      <w:r w:rsidR="002B4021" w:rsidRPr="0016541E">
        <w:rPr>
          <w:rFonts w:ascii="Arial" w:hAnsi="Arial" w:cs="Arial"/>
        </w:rPr>
        <w:t xml:space="preserve">adds the </w:t>
      </w:r>
      <w:r w:rsidR="003D0EDA" w:rsidRPr="0016541E">
        <w:rPr>
          <w:rFonts w:ascii="Arial" w:hAnsi="Arial" w:cs="Arial"/>
        </w:rPr>
        <w:t>tier difference cap approved by the Commission in the ’09 BCAP.  The third column “Rates to use” is the column that is used to calculate the residential baseline and non-baseline rate.</w:t>
      </w:r>
      <w:r w:rsidR="002B4021" w:rsidRPr="0016541E">
        <w:rPr>
          <w:rFonts w:ascii="Arial" w:hAnsi="Arial" w:cs="Arial"/>
        </w:rPr>
        <w:t xml:space="preserve">  As</w:t>
      </w:r>
      <w:r w:rsidR="0055366F" w:rsidRPr="0016541E">
        <w:rPr>
          <w:rFonts w:ascii="Arial" w:hAnsi="Arial" w:cs="Arial"/>
        </w:rPr>
        <w:t xml:space="preserve"> described on line 167 of the “Res Rate” tab</w:t>
      </w:r>
      <w:r w:rsidR="0016541E">
        <w:rPr>
          <w:rFonts w:ascii="Arial" w:hAnsi="Arial" w:cs="Arial"/>
        </w:rPr>
        <w:t>,</w:t>
      </w:r>
      <w:r w:rsidR="0055366F" w:rsidRPr="0016541E">
        <w:rPr>
          <w:rFonts w:ascii="Arial" w:hAnsi="Arial" w:cs="Arial"/>
        </w:rPr>
        <w:t xml:space="preserve"> the rates to be used are those in the RATIO column, unless </w:t>
      </w:r>
      <w:r w:rsidR="0016541E">
        <w:rPr>
          <w:rFonts w:ascii="Arial" w:hAnsi="Arial" w:cs="Arial"/>
        </w:rPr>
        <w:t xml:space="preserve">the </w:t>
      </w:r>
      <w:r w:rsidR="0055366F" w:rsidRPr="0016541E">
        <w:rPr>
          <w:rFonts w:ascii="Arial" w:hAnsi="Arial" w:cs="Arial"/>
        </w:rPr>
        <w:t>d</w:t>
      </w:r>
      <w:r w:rsidR="0016541E">
        <w:rPr>
          <w:rFonts w:ascii="Arial" w:hAnsi="Arial" w:cs="Arial"/>
        </w:rPr>
        <w:t>ifference cap</w:t>
      </w:r>
      <w:r w:rsidR="0055366F" w:rsidRPr="0016541E">
        <w:rPr>
          <w:rFonts w:ascii="Arial" w:hAnsi="Arial" w:cs="Arial"/>
        </w:rPr>
        <w:t xml:space="preserve"> is exceeded</w:t>
      </w:r>
      <w:r w:rsidR="0016541E">
        <w:rPr>
          <w:rFonts w:ascii="Arial" w:hAnsi="Arial" w:cs="Arial"/>
        </w:rPr>
        <w:t>,</w:t>
      </w:r>
      <w:r w:rsidR="0055366F" w:rsidRPr="0016541E">
        <w:rPr>
          <w:rFonts w:ascii="Arial" w:hAnsi="Arial" w:cs="Arial"/>
        </w:rPr>
        <w:t xml:space="preserve"> in which case DIFFERENCE column is used</w:t>
      </w:r>
      <w:r w:rsidR="002B4021" w:rsidRPr="0016541E">
        <w:rPr>
          <w:rFonts w:ascii="Arial" w:hAnsi="Arial" w:cs="Arial"/>
        </w:rPr>
        <w:t xml:space="preserve">.  </w:t>
      </w:r>
    </w:p>
    <w:p w:rsidR="003D0EDA" w:rsidRPr="0016541E" w:rsidRDefault="003D0EDA" w:rsidP="00F67377">
      <w:pPr>
        <w:rPr>
          <w:rFonts w:ascii="Arial" w:hAnsi="Arial" w:cs="Arial"/>
        </w:rPr>
      </w:pPr>
    </w:p>
    <w:p w:rsidR="00FB67B3" w:rsidRPr="0016541E" w:rsidRDefault="003D0EDA" w:rsidP="00F67377">
      <w:pPr>
        <w:rPr>
          <w:rFonts w:ascii="Arial" w:hAnsi="Arial" w:cs="Arial"/>
        </w:rPr>
      </w:pPr>
      <w:r w:rsidRPr="0016541E">
        <w:rPr>
          <w:rFonts w:ascii="Arial" w:hAnsi="Arial" w:cs="Arial"/>
          <w:b/>
        </w:rPr>
        <w:t>b)</w:t>
      </w:r>
      <w:r w:rsidRPr="0016541E">
        <w:rPr>
          <w:rFonts w:ascii="Arial" w:hAnsi="Arial" w:cs="Arial"/>
        </w:rPr>
        <w:tab/>
      </w:r>
      <w:r w:rsidR="00FB67B3" w:rsidRPr="0016541E">
        <w:rPr>
          <w:rFonts w:ascii="Arial" w:hAnsi="Arial" w:cs="Arial"/>
        </w:rPr>
        <w:t>BL = Baseline</w:t>
      </w:r>
    </w:p>
    <w:p w:rsidR="00FB67B3" w:rsidRPr="0016541E" w:rsidRDefault="00FB67B3" w:rsidP="00F67377">
      <w:pPr>
        <w:rPr>
          <w:rFonts w:ascii="Arial" w:hAnsi="Arial" w:cs="Arial"/>
        </w:rPr>
      </w:pPr>
      <w:r w:rsidRPr="0016541E">
        <w:rPr>
          <w:rFonts w:ascii="Arial" w:hAnsi="Arial" w:cs="Arial"/>
        </w:rPr>
        <w:tab/>
        <w:t>NBL = Non-Baseline</w:t>
      </w:r>
    </w:p>
    <w:p w:rsidR="00FB67B3" w:rsidRPr="0016541E" w:rsidRDefault="00FB67B3" w:rsidP="00F67377">
      <w:pPr>
        <w:rPr>
          <w:rFonts w:ascii="Arial" w:hAnsi="Arial" w:cs="Arial"/>
        </w:rPr>
      </w:pPr>
      <w:r w:rsidRPr="0016541E">
        <w:rPr>
          <w:rFonts w:ascii="Arial" w:hAnsi="Arial" w:cs="Arial"/>
        </w:rPr>
        <w:tab/>
        <w:t>TR = Tier ratio</w:t>
      </w:r>
    </w:p>
    <w:p w:rsidR="00FB67B3" w:rsidRPr="0016541E" w:rsidRDefault="00FB67B3" w:rsidP="00F67377">
      <w:pPr>
        <w:rPr>
          <w:rFonts w:ascii="Arial" w:hAnsi="Arial" w:cs="Arial"/>
        </w:rPr>
      </w:pPr>
      <w:r w:rsidRPr="0016541E">
        <w:rPr>
          <w:rFonts w:ascii="Arial" w:hAnsi="Arial" w:cs="Arial"/>
        </w:rPr>
        <w:tab/>
        <w:t>BLR = Baseline rate</w:t>
      </w:r>
    </w:p>
    <w:p w:rsidR="00FB67B3" w:rsidRPr="0016541E" w:rsidRDefault="00FB67B3" w:rsidP="00F67377">
      <w:pPr>
        <w:rPr>
          <w:rFonts w:ascii="Arial" w:hAnsi="Arial" w:cs="Arial"/>
        </w:rPr>
      </w:pPr>
      <w:r w:rsidRPr="0016541E">
        <w:rPr>
          <w:rFonts w:ascii="Arial" w:hAnsi="Arial" w:cs="Arial"/>
        </w:rPr>
        <w:tab/>
        <w:t>BLV = Baseline volume</w:t>
      </w:r>
    </w:p>
    <w:p w:rsidR="00FB67B3" w:rsidRPr="0016541E" w:rsidRDefault="00FB67B3" w:rsidP="00F67377">
      <w:pPr>
        <w:rPr>
          <w:rFonts w:ascii="Arial" w:hAnsi="Arial" w:cs="Arial"/>
        </w:rPr>
      </w:pPr>
      <w:r w:rsidRPr="0016541E">
        <w:rPr>
          <w:rFonts w:ascii="Arial" w:hAnsi="Arial" w:cs="Arial"/>
        </w:rPr>
        <w:tab/>
        <w:t>NBLR = Non-Baseline rate</w:t>
      </w:r>
    </w:p>
    <w:p w:rsidR="00FB67B3" w:rsidRPr="0016541E" w:rsidRDefault="00FB67B3" w:rsidP="00F67377">
      <w:pPr>
        <w:rPr>
          <w:rFonts w:ascii="Arial" w:hAnsi="Arial" w:cs="Arial"/>
        </w:rPr>
      </w:pPr>
      <w:r w:rsidRPr="0016541E">
        <w:rPr>
          <w:rFonts w:ascii="Arial" w:hAnsi="Arial" w:cs="Arial"/>
        </w:rPr>
        <w:tab/>
        <w:t>NBLV = Non-Baseline volume</w:t>
      </w:r>
    </w:p>
    <w:p w:rsidR="00FB67B3" w:rsidRPr="0016541E" w:rsidRDefault="00FB67B3" w:rsidP="00F67377">
      <w:pPr>
        <w:rPr>
          <w:rFonts w:ascii="Arial" w:hAnsi="Arial" w:cs="Arial"/>
        </w:rPr>
      </w:pPr>
      <w:r w:rsidRPr="0016541E">
        <w:rPr>
          <w:rFonts w:ascii="Arial" w:hAnsi="Arial" w:cs="Arial"/>
        </w:rPr>
        <w:tab/>
        <w:t>CCR = Customer Charge Revenue</w:t>
      </w:r>
    </w:p>
    <w:p w:rsidR="00FB67B3" w:rsidRPr="0016541E" w:rsidRDefault="00FB67B3" w:rsidP="00F67377">
      <w:pPr>
        <w:rPr>
          <w:rFonts w:ascii="Arial" w:hAnsi="Arial" w:cs="Arial"/>
        </w:rPr>
      </w:pPr>
      <w:r w:rsidRPr="0016541E">
        <w:rPr>
          <w:rFonts w:ascii="Arial" w:hAnsi="Arial" w:cs="Arial"/>
        </w:rPr>
        <w:tab/>
        <w:t>SMCR = Sub meter Credit</w:t>
      </w:r>
    </w:p>
    <w:p w:rsidR="00FB67B3" w:rsidRPr="0016541E" w:rsidRDefault="00FB67B3" w:rsidP="00F67377">
      <w:pPr>
        <w:rPr>
          <w:rFonts w:ascii="Arial" w:hAnsi="Arial" w:cs="Arial"/>
        </w:rPr>
      </w:pPr>
    </w:p>
    <w:p w:rsidR="00FB67B3" w:rsidRPr="0016541E" w:rsidRDefault="00FB67B3" w:rsidP="0005486A">
      <w:pPr>
        <w:ind w:left="720" w:hanging="720"/>
        <w:rPr>
          <w:rFonts w:ascii="Arial" w:hAnsi="Arial" w:cs="Arial"/>
        </w:rPr>
      </w:pPr>
      <w:r w:rsidRPr="0016541E">
        <w:rPr>
          <w:rFonts w:ascii="Arial" w:hAnsi="Arial" w:cs="Arial"/>
          <w:b/>
        </w:rPr>
        <w:t>c)</w:t>
      </w:r>
      <w:r w:rsidRPr="0016541E">
        <w:rPr>
          <w:rFonts w:ascii="Arial" w:hAnsi="Arial" w:cs="Arial"/>
        </w:rPr>
        <w:tab/>
      </w:r>
      <w:r w:rsidR="00355094" w:rsidRPr="0016541E">
        <w:rPr>
          <w:rFonts w:ascii="Arial" w:hAnsi="Arial" w:cs="Arial"/>
        </w:rPr>
        <w:t xml:space="preserve">Yes, </w:t>
      </w:r>
      <w:r w:rsidR="0005486A" w:rsidRPr="0016541E">
        <w:rPr>
          <w:rFonts w:ascii="Arial" w:hAnsi="Arial" w:cs="Arial"/>
        </w:rPr>
        <w:t>instead of going through the complex calculation shown in response to Q.2</w:t>
      </w:r>
      <w:r w:rsidR="00067680" w:rsidRPr="0016541E">
        <w:rPr>
          <w:rFonts w:ascii="Arial" w:hAnsi="Arial" w:cs="Arial"/>
        </w:rPr>
        <w:t>,</w:t>
      </w:r>
      <w:r w:rsidR="0005486A" w:rsidRPr="0016541E">
        <w:rPr>
          <w:rFonts w:ascii="Arial" w:hAnsi="Arial" w:cs="Arial"/>
        </w:rPr>
        <w:t xml:space="preserve"> </w:t>
      </w:r>
      <w:r w:rsidR="00355094" w:rsidRPr="0016541E">
        <w:rPr>
          <w:rFonts w:ascii="Arial" w:hAnsi="Arial" w:cs="Arial"/>
        </w:rPr>
        <w:t xml:space="preserve">SoCalGas and </w:t>
      </w:r>
      <w:r w:rsidR="0005486A" w:rsidRPr="0016541E">
        <w:rPr>
          <w:rFonts w:ascii="Arial" w:hAnsi="Arial" w:cs="Arial"/>
        </w:rPr>
        <w:t>SDG&amp;E propose to simply divide the sum of the baseline and commodity rate by the sum of the non-baseline and commodity rate</w:t>
      </w:r>
      <w:r w:rsidR="00067680" w:rsidRPr="0016541E">
        <w:rPr>
          <w:rFonts w:ascii="Arial" w:hAnsi="Arial" w:cs="Arial"/>
        </w:rPr>
        <w:t>.  This will yield a more understandable and useful tier differential percentage.</w:t>
      </w:r>
      <w:r w:rsidR="004103FB" w:rsidRPr="0016541E">
        <w:rPr>
          <w:rFonts w:ascii="Arial" w:hAnsi="Arial" w:cs="Arial"/>
        </w:rPr>
        <w:t xml:space="preserve">  The actual rates will remain the same.</w:t>
      </w:r>
    </w:p>
    <w:p w:rsidR="00FB67B3" w:rsidRDefault="00FB67B3" w:rsidP="00F67377"/>
    <w:p w:rsidR="00FB67B3" w:rsidRPr="0016541E" w:rsidRDefault="00FB67B3" w:rsidP="00FA5C90">
      <w:pPr>
        <w:ind w:left="720" w:hanging="720"/>
        <w:rPr>
          <w:rFonts w:ascii="Arial" w:hAnsi="Arial" w:cs="Arial"/>
        </w:rPr>
      </w:pPr>
      <w:r w:rsidRPr="0016541E">
        <w:rPr>
          <w:rFonts w:ascii="Arial" w:hAnsi="Arial" w:cs="Arial"/>
          <w:b/>
        </w:rPr>
        <w:lastRenderedPageBreak/>
        <w:t>d)</w:t>
      </w:r>
      <w:r w:rsidR="00FA5C90" w:rsidRPr="0016541E">
        <w:rPr>
          <w:rFonts w:ascii="Arial" w:hAnsi="Arial" w:cs="Arial"/>
          <w:b/>
        </w:rPr>
        <w:tab/>
      </w:r>
      <w:r w:rsidR="00FA5C90" w:rsidRPr="0016541E">
        <w:rPr>
          <w:rFonts w:ascii="Arial" w:hAnsi="Arial" w:cs="Arial"/>
        </w:rPr>
        <w:t>The referenced line in this question is merely asking for the calculated baseline and non-baseline rate based on the targeted ratio app</w:t>
      </w:r>
      <w:r w:rsidR="00BF1867">
        <w:rPr>
          <w:rFonts w:ascii="Arial" w:hAnsi="Arial" w:cs="Arial"/>
        </w:rPr>
        <w:t>roved by the Commission in the 20</w:t>
      </w:r>
      <w:r w:rsidR="00FA5C90" w:rsidRPr="0016541E">
        <w:rPr>
          <w:rFonts w:ascii="Arial" w:hAnsi="Arial" w:cs="Arial"/>
        </w:rPr>
        <w:t>09 BCAP (D.09-11-006); the targeted ratio is used to calculate the composite rate.  There is no separate NBL/BL ratio used in the calculation of rates</w:t>
      </w:r>
      <w:r w:rsidR="00BF1867">
        <w:rPr>
          <w:rFonts w:ascii="Arial" w:hAnsi="Arial" w:cs="Arial"/>
        </w:rPr>
        <w:t>,</w:t>
      </w:r>
      <w:r w:rsidR="00FA5C90" w:rsidRPr="0016541E">
        <w:rPr>
          <w:rFonts w:ascii="Arial" w:hAnsi="Arial" w:cs="Arial"/>
        </w:rPr>
        <w:t xml:space="preserve"> but rather is the calculated </w:t>
      </w:r>
      <w:r w:rsidR="000A025A" w:rsidRPr="0016541E">
        <w:rPr>
          <w:rFonts w:ascii="Arial" w:hAnsi="Arial" w:cs="Arial"/>
        </w:rPr>
        <w:t xml:space="preserve">effective </w:t>
      </w:r>
      <w:r w:rsidR="00FA5C90" w:rsidRPr="0016541E">
        <w:rPr>
          <w:rFonts w:ascii="Arial" w:hAnsi="Arial" w:cs="Arial"/>
        </w:rPr>
        <w:t xml:space="preserve">ratio </w:t>
      </w:r>
      <w:r w:rsidR="000A025A" w:rsidRPr="0016541E">
        <w:rPr>
          <w:rFonts w:ascii="Arial" w:hAnsi="Arial" w:cs="Arial"/>
        </w:rPr>
        <w:t xml:space="preserve">when </w:t>
      </w:r>
      <w:r w:rsidR="00FA5C90" w:rsidRPr="0016541E">
        <w:rPr>
          <w:rFonts w:ascii="Arial" w:hAnsi="Arial" w:cs="Arial"/>
        </w:rPr>
        <w:t xml:space="preserve">the $0.26/ </w:t>
      </w:r>
      <w:proofErr w:type="spellStart"/>
      <w:r w:rsidR="00FA5C90" w:rsidRPr="0016541E">
        <w:rPr>
          <w:rFonts w:ascii="Arial" w:hAnsi="Arial" w:cs="Arial"/>
        </w:rPr>
        <w:t>therm</w:t>
      </w:r>
      <w:proofErr w:type="spellEnd"/>
      <w:r w:rsidR="00FA5C90" w:rsidRPr="0016541E">
        <w:rPr>
          <w:rFonts w:ascii="Arial" w:hAnsi="Arial" w:cs="Arial"/>
        </w:rPr>
        <w:t xml:space="preserve"> tier differential </w:t>
      </w:r>
      <w:r w:rsidR="000A025A" w:rsidRPr="0016541E">
        <w:rPr>
          <w:rFonts w:ascii="Arial" w:hAnsi="Arial" w:cs="Arial"/>
        </w:rPr>
        <w:t>becomes the binding constraint</w:t>
      </w:r>
      <w:r w:rsidR="00FA5C90" w:rsidRPr="0016541E">
        <w:rPr>
          <w:rFonts w:ascii="Arial" w:hAnsi="Arial" w:cs="Arial"/>
        </w:rPr>
        <w:t>.</w:t>
      </w:r>
    </w:p>
    <w:p w:rsidR="00FB67B3" w:rsidRPr="0016541E" w:rsidRDefault="00FB67B3" w:rsidP="00F67377">
      <w:pPr>
        <w:rPr>
          <w:rFonts w:ascii="Arial" w:hAnsi="Arial" w:cs="Arial"/>
          <w:b/>
        </w:rPr>
      </w:pPr>
    </w:p>
    <w:p w:rsidR="00FB67B3" w:rsidRPr="0016541E" w:rsidRDefault="00FB67B3" w:rsidP="00D62478">
      <w:pPr>
        <w:ind w:left="720" w:hanging="720"/>
        <w:rPr>
          <w:rFonts w:ascii="Arial" w:hAnsi="Arial" w:cs="Arial"/>
        </w:rPr>
      </w:pPr>
      <w:r w:rsidRPr="0016541E">
        <w:rPr>
          <w:rFonts w:ascii="Arial" w:hAnsi="Arial" w:cs="Arial"/>
          <w:b/>
        </w:rPr>
        <w:t>e)</w:t>
      </w:r>
      <w:r w:rsidR="007A5840" w:rsidRPr="0016541E">
        <w:rPr>
          <w:rFonts w:ascii="Arial" w:hAnsi="Arial" w:cs="Arial"/>
          <w:b/>
        </w:rPr>
        <w:tab/>
      </w:r>
      <w:r w:rsidR="007A5840" w:rsidRPr="0016541E">
        <w:rPr>
          <w:rFonts w:ascii="Arial" w:hAnsi="Arial" w:cs="Arial"/>
        </w:rPr>
        <w:t>Yes.</w:t>
      </w:r>
      <w:r w:rsidR="000A025A" w:rsidRPr="0016541E">
        <w:rPr>
          <w:rFonts w:ascii="Arial" w:hAnsi="Arial" w:cs="Arial"/>
        </w:rPr>
        <w:t xml:space="preserve"> However, as explained in </w:t>
      </w:r>
      <w:r w:rsidR="00BF1867">
        <w:rPr>
          <w:rFonts w:ascii="Arial" w:hAnsi="Arial" w:cs="Arial"/>
        </w:rPr>
        <w:t>Response 2.d</w:t>
      </w:r>
      <w:r w:rsidR="000A025A" w:rsidRPr="0016541E">
        <w:rPr>
          <w:rFonts w:ascii="Arial" w:hAnsi="Arial" w:cs="Arial"/>
        </w:rPr>
        <w:t xml:space="preserve"> above, the effective ratio will be lower than the target ratio when rate differential of $0.26 </w:t>
      </w:r>
      <w:proofErr w:type="spellStart"/>
      <w:r w:rsidR="000A025A" w:rsidRPr="0016541E">
        <w:rPr>
          <w:rFonts w:ascii="Arial" w:hAnsi="Arial" w:cs="Arial"/>
        </w:rPr>
        <w:t>therm</w:t>
      </w:r>
      <w:proofErr w:type="spellEnd"/>
      <w:r w:rsidR="000A025A" w:rsidRPr="0016541E">
        <w:rPr>
          <w:rFonts w:ascii="Arial" w:hAnsi="Arial" w:cs="Arial"/>
        </w:rPr>
        <w:t xml:space="preserve"> becomes the binding constraint.  </w:t>
      </w:r>
    </w:p>
    <w:p w:rsidR="00FB67B3" w:rsidRPr="0016541E" w:rsidRDefault="00FB67B3" w:rsidP="00F67377">
      <w:pPr>
        <w:rPr>
          <w:rFonts w:ascii="Arial" w:hAnsi="Arial" w:cs="Arial"/>
          <w:b/>
        </w:rPr>
      </w:pPr>
    </w:p>
    <w:p w:rsidR="00256A63" w:rsidRPr="0016541E" w:rsidRDefault="00FB67B3" w:rsidP="00256A63">
      <w:pPr>
        <w:ind w:left="720" w:hanging="720"/>
        <w:rPr>
          <w:rFonts w:ascii="Arial" w:hAnsi="Arial" w:cs="Arial"/>
        </w:rPr>
      </w:pPr>
      <w:r w:rsidRPr="0016541E">
        <w:rPr>
          <w:rFonts w:ascii="Arial" w:hAnsi="Arial" w:cs="Arial"/>
          <w:b/>
        </w:rPr>
        <w:t>f)</w:t>
      </w:r>
      <w:r w:rsidR="007813AF" w:rsidRPr="0016541E">
        <w:rPr>
          <w:rFonts w:ascii="Arial" w:hAnsi="Arial" w:cs="Arial"/>
          <w:b/>
        </w:rPr>
        <w:tab/>
      </w:r>
      <w:r w:rsidR="002921A5" w:rsidRPr="0016541E">
        <w:rPr>
          <w:rFonts w:ascii="Arial" w:hAnsi="Arial" w:cs="Arial"/>
        </w:rPr>
        <w:t>Under SoCalGas’ proposal</w:t>
      </w:r>
      <w:r w:rsidR="00BF1867">
        <w:rPr>
          <w:rFonts w:ascii="Arial" w:hAnsi="Arial" w:cs="Arial"/>
        </w:rPr>
        <w:t>,</w:t>
      </w:r>
      <w:r w:rsidR="002921A5" w:rsidRPr="0016541E">
        <w:rPr>
          <w:rFonts w:ascii="Arial" w:hAnsi="Arial" w:cs="Arial"/>
        </w:rPr>
        <w:t xml:space="preserve"> the composite rate would not need to be calculated</w:t>
      </w:r>
      <w:r w:rsidR="007813AF" w:rsidRPr="0016541E">
        <w:rPr>
          <w:rFonts w:ascii="Arial" w:hAnsi="Arial" w:cs="Arial"/>
        </w:rPr>
        <w:t>.</w:t>
      </w:r>
      <w:r w:rsidR="00BF1867">
        <w:rPr>
          <w:rFonts w:ascii="Arial" w:hAnsi="Arial" w:cs="Arial"/>
        </w:rPr>
        <w:t xml:space="preserve">  The proposed calculation</w:t>
      </w:r>
      <w:r w:rsidR="002921A5" w:rsidRPr="0016541E">
        <w:rPr>
          <w:rFonts w:ascii="Arial" w:hAnsi="Arial" w:cs="Arial"/>
        </w:rPr>
        <w:t xml:space="preserve"> is an attempt to simplify the understanding of what the tier differential represents.  Instead of going through the complex calculation discussed </w:t>
      </w:r>
      <w:r w:rsidR="00BF1867">
        <w:rPr>
          <w:rFonts w:ascii="Arial" w:hAnsi="Arial" w:cs="Arial"/>
        </w:rPr>
        <w:t>above in Response 2.a</w:t>
      </w:r>
      <w:r w:rsidR="002B4021" w:rsidRPr="0016541E">
        <w:rPr>
          <w:rFonts w:ascii="Arial" w:hAnsi="Arial" w:cs="Arial"/>
        </w:rPr>
        <w:t xml:space="preserve"> </w:t>
      </w:r>
      <w:r w:rsidR="002921A5" w:rsidRPr="0016541E">
        <w:rPr>
          <w:rFonts w:ascii="Arial" w:hAnsi="Arial" w:cs="Arial"/>
        </w:rPr>
        <w:t>to arrive at a figure that people aren’t sure what it represents</w:t>
      </w:r>
      <w:r w:rsidR="002B4021" w:rsidRPr="0016541E">
        <w:rPr>
          <w:rFonts w:ascii="Arial" w:hAnsi="Arial" w:cs="Arial"/>
        </w:rPr>
        <w:t>,</w:t>
      </w:r>
      <w:r w:rsidR="002921A5" w:rsidRPr="0016541E">
        <w:rPr>
          <w:rFonts w:ascii="Arial" w:hAnsi="Arial" w:cs="Arial"/>
        </w:rPr>
        <w:t xml:space="preserve"> the proposed methodology simply determines the percentage difference between the baseline and non-baseline rates.  </w:t>
      </w:r>
      <w:r w:rsidR="00256A63" w:rsidRPr="0016541E">
        <w:rPr>
          <w:rFonts w:ascii="Arial" w:hAnsi="Arial" w:cs="Arial"/>
        </w:rPr>
        <w:t>The a</w:t>
      </w:r>
      <w:r w:rsidR="00BF1867">
        <w:rPr>
          <w:rFonts w:ascii="Arial" w:hAnsi="Arial" w:cs="Arial"/>
        </w:rPr>
        <w:t>ctual rates are unaffected</w:t>
      </w:r>
      <w:r w:rsidR="00256A63" w:rsidRPr="0016541E">
        <w:rPr>
          <w:rFonts w:ascii="Arial" w:hAnsi="Arial" w:cs="Arial"/>
        </w:rPr>
        <w:t>.</w:t>
      </w:r>
    </w:p>
    <w:p w:rsidR="00FB67B3" w:rsidRPr="0016541E" w:rsidRDefault="00FB67B3" w:rsidP="00F67377">
      <w:pPr>
        <w:rPr>
          <w:rFonts w:ascii="Arial" w:hAnsi="Arial" w:cs="Arial"/>
          <w:b/>
        </w:rPr>
      </w:pPr>
    </w:p>
    <w:p w:rsidR="00F67377" w:rsidRPr="0016541E" w:rsidRDefault="00FB67B3" w:rsidP="00C72C05">
      <w:pPr>
        <w:ind w:left="720" w:hanging="720"/>
        <w:rPr>
          <w:rFonts w:ascii="Arial" w:hAnsi="Arial" w:cs="Arial"/>
          <w:b/>
          <w:u w:val="single"/>
        </w:rPr>
      </w:pPr>
      <w:r w:rsidRPr="0016541E">
        <w:rPr>
          <w:rFonts w:ascii="Arial" w:hAnsi="Arial" w:cs="Arial"/>
          <w:b/>
        </w:rPr>
        <w:t>g)</w:t>
      </w:r>
      <w:r w:rsidR="00C72C05" w:rsidRPr="0016541E">
        <w:rPr>
          <w:rFonts w:ascii="Arial" w:hAnsi="Arial" w:cs="Arial"/>
          <w:b/>
        </w:rPr>
        <w:tab/>
      </w:r>
      <w:r w:rsidR="00C72C05" w:rsidRPr="0016541E">
        <w:rPr>
          <w:rFonts w:ascii="Arial" w:hAnsi="Arial" w:cs="Arial"/>
        </w:rPr>
        <w:t>Pursuant to D.09-11-006, the commodity rate is already included in the calculatio</w:t>
      </w:r>
      <w:r w:rsidR="002B4021" w:rsidRPr="0016541E">
        <w:rPr>
          <w:rFonts w:ascii="Arial" w:hAnsi="Arial" w:cs="Arial"/>
        </w:rPr>
        <w:t xml:space="preserve">n.  The SoCalGas proposal </w:t>
      </w:r>
      <w:r w:rsidR="00C72C05" w:rsidRPr="0016541E">
        <w:rPr>
          <w:rFonts w:ascii="Arial" w:hAnsi="Arial" w:cs="Arial"/>
        </w:rPr>
        <w:t>continue</w:t>
      </w:r>
      <w:r w:rsidR="002B4021" w:rsidRPr="0016541E">
        <w:rPr>
          <w:rFonts w:ascii="Arial" w:hAnsi="Arial" w:cs="Arial"/>
        </w:rPr>
        <w:t>s the current methodology</w:t>
      </w:r>
      <w:r w:rsidR="00C72C05" w:rsidRPr="0016541E">
        <w:rPr>
          <w:rFonts w:ascii="Arial" w:hAnsi="Arial" w:cs="Arial"/>
        </w:rPr>
        <w:t>.</w:t>
      </w:r>
      <w:r w:rsidR="00F67377" w:rsidRPr="0016541E">
        <w:rPr>
          <w:rFonts w:ascii="Arial" w:hAnsi="Arial" w:cs="Arial"/>
          <w:b/>
          <w:u w:val="single"/>
        </w:rPr>
        <w:br w:type="page"/>
      </w:r>
    </w:p>
    <w:p w:rsidR="00C62CAA" w:rsidRDefault="00C62CAA" w:rsidP="00F67377">
      <w:pPr>
        <w:rPr>
          <w:rFonts w:ascii="Arial" w:hAnsi="Arial" w:cs="Arial"/>
          <w:b/>
          <w:u w:val="single"/>
        </w:rPr>
      </w:pPr>
    </w:p>
    <w:p w:rsidR="00663B29" w:rsidRDefault="00663B29" w:rsidP="00F67377">
      <w:pPr>
        <w:rPr>
          <w:rFonts w:ascii="Arial" w:hAnsi="Arial" w:cs="Arial"/>
          <w:b/>
          <w:u w:val="single"/>
        </w:rPr>
      </w:pPr>
    </w:p>
    <w:p w:rsidR="00F67377" w:rsidRPr="0031141C" w:rsidRDefault="00F67377" w:rsidP="00F67377">
      <w:pPr>
        <w:rPr>
          <w:rFonts w:ascii="Arial" w:hAnsi="Arial" w:cs="Arial"/>
          <w:b/>
        </w:rPr>
      </w:pPr>
      <w:r w:rsidRPr="00F759E8">
        <w:rPr>
          <w:rFonts w:ascii="Arial" w:hAnsi="Arial" w:cs="Arial"/>
          <w:b/>
          <w:u w:val="single"/>
        </w:rPr>
        <w:t xml:space="preserve">QUESTION </w:t>
      </w:r>
      <w:r>
        <w:rPr>
          <w:rFonts w:ascii="Arial" w:hAnsi="Arial" w:cs="Arial"/>
          <w:b/>
          <w:u w:val="single"/>
        </w:rPr>
        <w:t>4</w:t>
      </w:r>
      <w:r w:rsidRPr="00F759E8">
        <w:rPr>
          <w:rFonts w:ascii="Arial" w:hAnsi="Arial" w:cs="Arial"/>
          <w:b/>
          <w:u w:val="single"/>
        </w:rPr>
        <w:t>:</w:t>
      </w:r>
    </w:p>
    <w:p w:rsidR="00582C14" w:rsidRPr="0031141C" w:rsidRDefault="00582C14" w:rsidP="00F67377">
      <w:pPr>
        <w:rPr>
          <w:rFonts w:ascii="Arial" w:hAnsi="Arial" w:cs="Arial"/>
        </w:rPr>
      </w:pPr>
    </w:p>
    <w:p w:rsidR="005F4287" w:rsidRPr="0031141C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In the 2017 TCAP SCG RD Model at Tab “Res Rate” in Table 2, line 14, SoCalGas shows the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NBL/BL rate difference as hardwired numbers (in $/</w:t>
      </w:r>
      <w:proofErr w:type="spellStart"/>
      <w:r w:rsidRPr="008F3FF5">
        <w:rPr>
          <w:rFonts w:ascii="Arial" w:hAnsi="Arial" w:cs="Arial"/>
        </w:rPr>
        <w:t>therm</w:t>
      </w:r>
      <w:proofErr w:type="spellEnd"/>
      <w:r w:rsidRPr="008F3FF5">
        <w:rPr>
          <w:rFonts w:ascii="Arial" w:hAnsi="Arial" w:cs="Arial"/>
        </w:rPr>
        <w:t>) of $0.26000 under column B, and the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NBL/BL rate difference of $0.2600 under column E. Please provide a description of the specific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calculation that resulted in the rate difference of $0.2600 under columns B and E shown in Table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2, respectively.</w:t>
      </w:r>
    </w:p>
    <w:p w:rsidR="005F4287" w:rsidRPr="0031141C" w:rsidRDefault="005F4287" w:rsidP="00F67377">
      <w:pPr>
        <w:rPr>
          <w:rFonts w:ascii="Arial" w:hAnsi="Arial" w:cs="Arial"/>
        </w:rPr>
      </w:pPr>
    </w:p>
    <w:p w:rsidR="008F3FF5" w:rsidRDefault="008F3FF5" w:rsidP="00F67377">
      <w:pPr>
        <w:rPr>
          <w:rFonts w:ascii="Arial" w:hAnsi="Arial" w:cs="Arial"/>
          <w:b/>
          <w:u w:val="single"/>
        </w:rPr>
      </w:pPr>
    </w:p>
    <w:p w:rsidR="00F67377" w:rsidRPr="00F759E8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RESPONSE </w:t>
      </w:r>
      <w:r>
        <w:rPr>
          <w:rFonts w:ascii="Arial" w:hAnsi="Arial" w:cs="Arial"/>
          <w:b/>
          <w:u w:val="single"/>
        </w:rPr>
        <w:t>4</w:t>
      </w:r>
      <w:r w:rsidRPr="00F759E8">
        <w:rPr>
          <w:rFonts w:ascii="Arial" w:hAnsi="Arial" w:cs="Arial"/>
          <w:b/>
          <w:u w:val="single"/>
        </w:rPr>
        <w:t>:</w:t>
      </w:r>
    </w:p>
    <w:p w:rsidR="00F67377" w:rsidRDefault="00F67377" w:rsidP="005C6E7A">
      <w:pPr>
        <w:rPr>
          <w:rFonts w:ascii="Arial" w:hAnsi="Arial" w:cs="Arial"/>
          <w:sz w:val="28"/>
          <w:szCs w:val="28"/>
        </w:rPr>
      </w:pPr>
    </w:p>
    <w:p w:rsidR="00B92274" w:rsidRPr="00BF1867" w:rsidRDefault="00B92274" w:rsidP="00B92274">
      <w:pPr>
        <w:rPr>
          <w:rFonts w:ascii="Arial" w:hAnsi="Arial" w:cs="Arial"/>
        </w:rPr>
      </w:pPr>
      <w:r w:rsidRPr="00BF1867">
        <w:rPr>
          <w:rFonts w:ascii="Arial" w:hAnsi="Arial" w:cs="Arial"/>
        </w:rPr>
        <w:t>The $0.26</w:t>
      </w:r>
      <w:r w:rsidR="00BF1867">
        <w:rPr>
          <w:rFonts w:ascii="Arial" w:hAnsi="Arial" w:cs="Arial"/>
        </w:rPr>
        <w:t>000</w:t>
      </w:r>
      <w:r w:rsidRPr="00BF1867">
        <w:rPr>
          <w:rFonts w:ascii="Arial" w:hAnsi="Arial" w:cs="Arial"/>
        </w:rPr>
        <w:t xml:space="preserve"> tier difference cap </w:t>
      </w:r>
      <w:r w:rsidR="00385BDD" w:rsidRPr="00BF1867">
        <w:rPr>
          <w:rFonts w:ascii="Arial" w:hAnsi="Arial" w:cs="Arial"/>
        </w:rPr>
        <w:t xml:space="preserve">is not a calculated number.  It </w:t>
      </w:r>
      <w:r w:rsidRPr="00BF1867">
        <w:rPr>
          <w:rFonts w:ascii="Arial" w:hAnsi="Arial" w:cs="Arial"/>
        </w:rPr>
        <w:t xml:space="preserve">was approved by </w:t>
      </w:r>
      <w:r w:rsidR="00BF1867">
        <w:rPr>
          <w:rFonts w:ascii="Arial" w:hAnsi="Arial" w:cs="Arial"/>
        </w:rPr>
        <w:t>the Commission in D.09-11-006, Appendix A, S</w:t>
      </w:r>
      <w:r w:rsidRPr="00BF1867">
        <w:rPr>
          <w:rFonts w:ascii="Arial" w:hAnsi="Arial" w:cs="Arial"/>
        </w:rPr>
        <w:t>ection II.B.2.I</w:t>
      </w:r>
      <w:r w:rsidR="00BF1867">
        <w:rPr>
          <w:rFonts w:ascii="Arial" w:hAnsi="Arial" w:cs="Arial"/>
        </w:rPr>
        <w:t>, and is proposed to be maintained for this TCAP period</w:t>
      </w:r>
      <w:r w:rsidRPr="00BF1867">
        <w:rPr>
          <w:rFonts w:ascii="Arial" w:hAnsi="Arial" w:cs="Arial"/>
        </w:rPr>
        <w:t>.</w:t>
      </w:r>
    </w:p>
    <w:p w:rsidR="00F67377" w:rsidRDefault="00F67377" w:rsidP="005C6E7A">
      <w:pPr>
        <w:rPr>
          <w:rFonts w:ascii="Arial" w:hAnsi="Arial" w:cs="Arial"/>
          <w:sz w:val="28"/>
          <w:szCs w:val="28"/>
        </w:rPr>
      </w:pPr>
    </w:p>
    <w:p w:rsidR="00F67377" w:rsidRDefault="00F67377" w:rsidP="00F6737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C62CAA" w:rsidRDefault="00C62CAA" w:rsidP="00F67377">
      <w:pPr>
        <w:rPr>
          <w:rFonts w:ascii="Arial" w:hAnsi="Arial" w:cs="Arial"/>
          <w:b/>
          <w:u w:val="single"/>
        </w:rPr>
      </w:pPr>
    </w:p>
    <w:p w:rsidR="00663B29" w:rsidRDefault="00663B29" w:rsidP="00F67377">
      <w:pPr>
        <w:rPr>
          <w:rFonts w:ascii="Arial" w:hAnsi="Arial" w:cs="Arial"/>
          <w:b/>
          <w:u w:val="single"/>
        </w:rPr>
      </w:pPr>
    </w:p>
    <w:p w:rsidR="00F67377" w:rsidRPr="0031141C" w:rsidRDefault="00F67377" w:rsidP="00F67377">
      <w:pPr>
        <w:rPr>
          <w:rFonts w:ascii="Arial" w:hAnsi="Arial" w:cs="Arial"/>
          <w:b/>
        </w:rPr>
      </w:pPr>
      <w:r w:rsidRPr="00F759E8">
        <w:rPr>
          <w:rFonts w:ascii="Arial" w:hAnsi="Arial" w:cs="Arial"/>
          <w:b/>
          <w:u w:val="single"/>
        </w:rPr>
        <w:t xml:space="preserve">QUESTION </w:t>
      </w:r>
      <w:r>
        <w:rPr>
          <w:rFonts w:ascii="Arial" w:hAnsi="Arial" w:cs="Arial"/>
          <w:b/>
          <w:u w:val="single"/>
        </w:rPr>
        <w:t>5</w:t>
      </w:r>
      <w:r w:rsidRPr="00F759E8">
        <w:rPr>
          <w:rFonts w:ascii="Arial" w:hAnsi="Arial" w:cs="Arial"/>
          <w:b/>
          <w:u w:val="single"/>
        </w:rPr>
        <w:t>:</w:t>
      </w:r>
    </w:p>
    <w:p w:rsidR="005F4287" w:rsidRPr="0031141C" w:rsidRDefault="005F4287" w:rsidP="00F67377">
      <w:pPr>
        <w:rPr>
          <w:rFonts w:ascii="Arial" w:hAnsi="Arial" w:cs="Arial"/>
        </w:rPr>
      </w:pP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Starting at the bottom of page 4 continuing on page 5 of the above subject testimony dated</w:t>
      </w: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November 19, 2015, Mr. Bonnett states “SoCalGas and SDG&amp;E propose to implement a</w:t>
      </w: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$0.32876 per-meter-per-day (approximately $10 per month) residential fixed charge. As shown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in the cost allocation testimony of Dr. Chaudhury and Ms. Schmidt-Pines, the fully allocated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residential marginal customer costs are $224 per year and $240 per year for SoCalGas and</w:t>
      </w: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SDG&amp;E, respectively, and cover costs that do not vary with usage. Currently, SoCalGas’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residential rates consist of a $0.16438 per-meter per-day (approximately $5 per month) fixed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charge that partially covers the fixed costs of services provided every month. These fixed costs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include installation and maintenance of the gas service lines, meters, and regulators; meter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reading; billing; maintenance of facilities; and vehicles and equipment—these are the costs of the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basic facilities to transport gas to customer meters from the distribution system and provide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customer service for those facilities.”</w:t>
      </w:r>
    </w:p>
    <w:p w:rsidR="008F3FF5" w:rsidRDefault="008F3FF5" w:rsidP="008F3FF5">
      <w:pPr>
        <w:rPr>
          <w:rFonts w:ascii="Arial" w:hAnsi="Arial" w:cs="Arial"/>
        </w:rPr>
      </w:pP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(a) Please explain whether SoCalGas’ and SDG&amp;E’s proposed residential fixed charge of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approximately $10 per month are designed solely for purposes of recovering gas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distribution fixed customer costs, that is, costs that do not vary with usage. If there are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any other primary reasons driving the SoCalGas and SFG&amp;E proposals for the monthly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residential fixed charges, then please describe and explain them.</w:t>
      </w:r>
    </w:p>
    <w:p w:rsidR="008F3FF5" w:rsidRDefault="008F3FF5" w:rsidP="008F3FF5">
      <w:pPr>
        <w:rPr>
          <w:rFonts w:ascii="Arial" w:hAnsi="Arial" w:cs="Arial"/>
        </w:rPr>
      </w:pP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(b) In reference to the proposed monthly residential fixed charges, please state whether these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charges are proposed to apply to both CARE and non-CARE customers. If there is any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difference in how these proposed monthly charges would apply to CARE and non-CARE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customers, then please describe and explain them.</w:t>
      </w:r>
    </w:p>
    <w:p w:rsidR="008F3FF5" w:rsidRDefault="008F3FF5" w:rsidP="008F3FF5">
      <w:pPr>
        <w:rPr>
          <w:rFonts w:ascii="Arial" w:hAnsi="Arial" w:cs="Arial"/>
        </w:rPr>
      </w:pP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 xml:space="preserve">(c) Please provide the 10-year historical average monthly usage (in </w:t>
      </w:r>
      <w:proofErr w:type="spellStart"/>
      <w:r w:rsidRPr="008F3FF5">
        <w:rPr>
          <w:rFonts w:ascii="Arial" w:hAnsi="Arial" w:cs="Arial"/>
        </w:rPr>
        <w:t>therms</w:t>
      </w:r>
      <w:proofErr w:type="spellEnd"/>
      <w:r w:rsidRPr="008F3FF5">
        <w:rPr>
          <w:rFonts w:ascii="Arial" w:hAnsi="Arial" w:cs="Arial"/>
        </w:rPr>
        <w:t>) of CARE and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non-CARE residential customers (2004-2014) for SoCalGas and SDG&amp;E.</w:t>
      </w:r>
    </w:p>
    <w:p w:rsidR="008F3FF5" w:rsidRDefault="008F3FF5" w:rsidP="008F3FF5">
      <w:pPr>
        <w:rPr>
          <w:rFonts w:ascii="Arial" w:hAnsi="Arial" w:cs="Arial"/>
        </w:rPr>
      </w:pP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(d) In reference to the fixed costs that do not vary with usage to be covered by the proposed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residential fixed charge of approximately $10 per month, please confirm that these fixed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costs of the gas distribution system are those associated with the physical hook-up of the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customer, meter reading and billing, and maintenance services costs. If the proposed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residential fixed charge covers any other costs not described in this data request question,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then please describe those costs and explain why these should be included.</w:t>
      </w:r>
    </w:p>
    <w:p w:rsidR="008F3FF5" w:rsidRDefault="008F3FF5" w:rsidP="008F3FF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F3FF5" w:rsidRDefault="008F3FF5" w:rsidP="008F3FF5">
      <w:pPr>
        <w:rPr>
          <w:rFonts w:ascii="Arial" w:hAnsi="Arial" w:cs="Arial"/>
        </w:rPr>
      </w:pP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(e) Please show the amount of change in the average monthly bill (in $/month) of the CARE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and non-CARE customers of SoCalGas and SDG&amp;E by providing a comparison of the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average monthly bills under the current rates and those under the proposals of SoCalGas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and SDG&amp;E in this rate case. Please provide the active Excel spreadsheet for the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comparison.</w:t>
      </w:r>
    </w:p>
    <w:p w:rsidR="008F3FF5" w:rsidRDefault="008F3FF5" w:rsidP="008F3FF5">
      <w:pPr>
        <w:rPr>
          <w:rFonts w:ascii="Arial" w:hAnsi="Arial" w:cs="Arial"/>
        </w:rPr>
      </w:pP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(f) Please confirm the amount of change in the average monthly bill of the lowest usage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residential customers who will need to pay the $10 per month fixed charge by providing a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comparison of the average monthly bills under the current rates and those under the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proposals of SoCalGas and SDG&amp;E. Please provide the active Excel spreadsheet for the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comparison.</w:t>
      </w:r>
    </w:p>
    <w:p w:rsidR="008F3FF5" w:rsidRDefault="008F3FF5" w:rsidP="008F3FF5">
      <w:pPr>
        <w:rPr>
          <w:rFonts w:ascii="Arial" w:hAnsi="Arial" w:cs="Arial"/>
        </w:rPr>
      </w:pP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(g) Please confirm that the fully allocated residential marginal customer costs of $224 per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year and $240 per year for SoCalGas and SDG&amp;E, respectively, are based on the marginal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 xml:space="preserve">customer cost Rental method discussed on page 8 of Mr. </w:t>
      </w:r>
      <w:proofErr w:type="spellStart"/>
      <w:r w:rsidRPr="008F3FF5">
        <w:rPr>
          <w:rFonts w:ascii="Arial" w:hAnsi="Arial" w:cs="Arial"/>
        </w:rPr>
        <w:t>Chaudhury’s</w:t>
      </w:r>
      <w:proofErr w:type="spellEnd"/>
      <w:r w:rsidRPr="008F3FF5">
        <w:rPr>
          <w:rFonts w:ascii="Arial" w:hAnsi="Arial" w:cs="Arial"/>
        </w:rPr>
        <w:t xml:space="preserve"> revised testimony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in A.15-07-014 rather than the New Customer Only (NCO) method approved in the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 xml:space="preserve">Commission Decision (D.) 97-04-082 as discussed on page 5 of Mr. </w:t>
      </w:r>
      <w:proofErr w:type="spellStart"/>
      <w:r w:rsidRPr="008F3FF5">
        <w:rPr>
          <w:rFonts w:ascii="Arial" w:hAnsi="Arial" w:cs="Arial"/>
        </w:rPr>
        <w:t>Chaudhury’s</w:t>
      </w:r>
      <w:proofErr w:type="spellEnd"/>
      <w:r w:rsidRPr="008F3FF5">
        <w:rPr>
          <w:rFonts w:ascii="Arial" w:hAnsi="Arial" w:cs="Arial"/>
        </w:rPr>
        <w:t xml:space="preserve"> revised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testimony.</w:t>
      </w:r>
    </w:p>
    <w:p w:rsidR="008F3FF5" w:rsidRDefault="008F3FF5" w:rsidP="008F3FF5">
      <w:pPr>
        <w:rPr>
          <w:rFonts w:ascii="Arial" w:hAnsi="Arial" w:cs="Arial"/>
        </w:rPr>
      </w:pP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 xml:space="preserve">(h) Please confirm that the Revised </w:t>
      </w:r>
      <w:proofErr w:type="spellStart"/>
      <w:r w:rsidRPr="008F3FF5">
        <w:rPr>
          <w:rFonts w:ascii="Arial" w:hAnsi="Arial" w:cs="Arial"/>
        </w:rPr>
        <w:t>Workpapers</w:t>
      </w:r>
      <w:proofErr w:type="spellEnd"/>
      <w:r w:rsidRPr="008F3FF5">
        <w:rPr>
          <w:rFonts w:ascii="Arial" w:hAnsi="Arial" w:cs="Arial"/>
        </w:rPr>
        <w:t xml:space="preserve"> of Mr. Chaudhury show that the fully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allocated residential marginal customer cost for SoCalGas and SDG&amp;E are $109.97 per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year and $102.88 per year, respectively, based on the NCO method. If not, please explain.</w:t>
      </w:r>
    </w:p>
    <w:p w:rsidR="008F3FF5" w:rsidRDefault="008F3FF5" w:rsidP="008F3FF5">
      <w:pPr>
        <w:rPr>
          <w:rFonts w:ascii="Arial" w:hAnsi="Arial" w:cs="Arial"/>
        </w:rPr>
      </w:pPr>
    </w:p>
    <w:p w:rsidR="00582C14" w:rsidRPr="0031141C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(i) Based on the above statements, the proposed fixed monthly charges would cover “the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costs of the basic facilities to transport gas to customer meters from the distribution system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and provide customer service for those facilities.” Please fully explain whether the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proposed fixed monthly charges would be similar to a “basic minimum” charge.</w:t>
      </w:r>
    </w:p>
    <w:p w:rsidR="008F3FF5" w:rsidRDefault="008F3FF5" w:rsidP="00F67377">
      <w:pPr>
        <w:rPr>
          <w:rFonts w:ascii="Arial" w:hAnsi="Arial" w:cs="Arial"/>
          <w:b/>
          <w:u w:val="single"/>
        </w:rPr>
      </w:pPr>
    </w:p>
    <w:p w:rsidR="008F3FF5" w:rsidRDefault="008F3FF5" w:rsidP="00F67377">
      <w:pPr>
        <w:rPr>
          <w:rFonts w:ascii="Arial" w:hAnsi="Arial" w:cs="Arial"/>
          <w:b/>
          <w:u w:val="single"/>
        </w:rPr>
      </w:pPr>
    </w:p>
    <w:p w:rsidR="00F67377" w:rsidRPr="00F759E8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RESPONSE </w:t>
      </w:r>
      <w:r>
        <w:rPr>
          <w:rFonts w:ascii="Arial" w:hAnsi="Arial" w:cs="Arial"/>
          <w:b/>
          <w:u w:val="single"/>
        </w:rPr>
        <w:t>5</w:t>
      </w:r>
      <w:r w:rsidRPr="00F759E8">
        <w:rPr>
          <w:rFonts w:ascii="Arial" w:hAnsi="Arial" w:cs="Arial"/>
          <w:b/>
          <w:u w:val="single"/>
        </w:rPr>
        <w:t>:</w:t>
      </w:r>
    </w:p>
    <w:p w:rsidR="00F67377" w:rsidRDefault="00F67377" w:rsidP="005C6E7A">
      <w:pPr>
        <w:rPr>
          <w:rFonts w:ascii="Arial" w:hAnsi="Arial" w:cs="Arial"/>
          <w:sz w:val="28"/>
          <w:szCs w:val="28"/>
        </w:rPr>
      </w:pPr>
    </w:p>
    <w:p w:rsidR="00F67377" w:rsidRPr="00BF1867" w:rsidRDefault="00584D74" w:rsidP="00584D74">
      <w:pPr>
        <w:ind w:left="720" w:hanging="720"/>
        <w:rPr>
          <w:rFonts w:ascii="Arial" w:hAnsi="Arial" w:cs="Arial"/>
        </w:rPr>
      </w:pPr>
      <w:r w:rsidRPr="00BF1867">
        <w:rPr>
          <w:rFonts w:ascii="Arial" w:hAnsi="Arial" w:cs="Arial"/>
          <w:b/>
        </w:rPr>
        <w:t>a)</w:t>
      </w:r>
      <w:r w:rsidRPr="00BF1867">
        <w:rPr>
          <w:rFonts w:ascii="Arial" w:hAnsi="Arial" w:cs="Arial"/>
        </w:rPr>
        <w:tab/>
      </w:r>
      <w:r w:rsidR="000A025A" w:rsidRPr="00BF1867">
        <w:rPr>
          <w:rFonts w:ascii="Arial" w:hAnsi="Arial" w:cs="Arial"/>
        </w:rPr>
        <w:t xml:space="preserve">Yes, SoCalGas and SDG&amp;E’s proposed residential fixed charge of approximately $10 per month are designed solely for </w:t>
      </w:r>
      <w:r w:rsidR="00BF1867">
        <w:rPr>
          <w:rFonts w:ascii="Arial" w:hAnsi="Arial" w:cs="Arial"/>
        </w:rPr>
        <w:t>the purpose</w:t>
      </w:r>
      <w:r w:rsidR="000A025A" w:rsidRPr="00BF1867">
        <w:rPr>
          <w:rFonts w:ascii="Arial" w:hAnsi="Arial" w:cs="Arial"/>
        </w:rPr>
        <w:t xml:space="preserve"> of recovering fixed customer costs in </w:t>
      </w:r>
      <w:r w:rsidR="00161D9C" w:rsidRPr="00BF1867">
        <w:rPr>
          <w:rFonts w:ascii="Arial" w:hAnsi="Arial" w:cs="Arial"/>
        </w:rPr>
        <w:t xml:space="preserve">a fixed </w:t>
      </w:r>
      <w:r w:rsidR="000A025A" w:rsidRPr="00BF1867">
        <w:rPr>
          <w:rFonts w:ascii="Arial" w:hAnsi="Arial" w:cs="Arial"/>
        </w:rPr>
        <w:t xml:space="preserve">customer charge.  </w:t>
      </w:r>
    </w:p>
    <w:p w:rsidR="00584D74" w:rsidRPr="00BF1867" w:rsidRDefault="00584D74" w:rsidP="005C6E7A">
      <w:pPr>
        <w:rPr>
          <w:rFonts w:ascii="Arial" w:hAnsi="Arial" w:cs="Arial"/>
          <w:b/>
        </w:rPr>
      </w:pPr>
    </w:p>
    <w:p w:rsidR="00584D74" w:rsidRPr="00BF1867" w:rsidRDefault="00584D74" w:rsidP="00584D74">
      <w:pPr>
        <w:ind w:left="720" w:hanging="720"/>
        <w:rPr>
          <w:rFonts w:ascii="Arial" w:hAnsi="Arial" w:cs="Arial"/>
        </w:rPr>
      </w:pPr>
      <w:r w:rsidRPr="00BF1867">
        <w:rPr>
          <w:rFonts w:ascii="Arial" w:hAnsi="Arial" w:cs="Arial"/>
          <w:b/>
        </w:rPr>
        <w:t>b)</w:t>
      </w:r>
      <w:r w:rsidRPr="00BF1867">
        <w:rPr>
          <w:rFonts w:ascii="Arial" w:hAnsi="Arial" w:cs="Arial"/>
        </w:rPr>
        <w:tab/>
        <w:t xml:space="preserve">Yes, however, CARE customers currently receive a 20% discount </w:t>
      </w:r>
      <w:r w:rsidR="00BF290C">
        <w:rPr>
          <w:rFonts w:ascii="Arial" w:hAnsi="Arial" w:cs="Arial"/>
        </w:rPr>
        <w:t>that</w:t>
      </w:r>
      <w:r w:rsidRPr="00BF1867">
        <w:rPr>
          <w:rFonts w:ascii="Arial" w:hAnsi="Arial" w:cs="Arial"/>
        </w:rPr>
        <w:t xml:space="preserve"> would continue to apply to the proposed customer charge, as well.</w:t>
      </w:r>
    </w:p>
    <w:p w:rsidR="00584D74" w:rsidRPr="00BF1867" w:rsidRDefault="00584D74" w:rsidP="005C6E7A">
      <w:pPr>
        <w:rPr>
          <w:rFonts w:ascii="Arial" w:hAnsi="Arial" w:cs="Arial"/>
          <w:b/>
        </w:rPr>
      </w:pPr>
    </w:p>
    <w:p w:rsidR="00584D74" w:rsidRPr="00BF1867" w:rsidRDefault="00584D74" w:rsidP="005C6E7A">
      <w:pPr>
        <w:rPr>
          <w:rFonts w:ascii="Arial" w:hAnsi="Arial" w:cs="Arial"/>
        </w:rPr>
      </w:pPr>
      <w:r w:rsidRPr="00BF1867">
        <w:rPr>
          <w:rFonts w:ascii="Arial" w:hAnsi="Arial" w:cs="Arial"/>
          <w:b/>
        </w:rPr>
        <w:t>c)</w:t>
      </w:r>
      <w:r w:rsidRPr="00BF1867">
        <w:rPr>
          <w:rFonts w:ascii="Arial" w:hAnsi="Arial" w:cs="Arial"/>
        </w:rPr>
        <w:tab/>
        <w:t>See attached spreadsheet.</w:t>
      </w:r>
    </w:p>
    <w:p w:rsidR="00380D75" w:rsidRDefault="00380D75" w:rsidP="005C6E7A"/>
    <w:bookmarkStart w:id="0" w:name="_MON_1514209140"/>
    <w:bookmarkEnd w:id="0"/>
    <w:p w:rsidR="00380D75" w:rsidRPr="00584D74" w:rsidRDefault="00380D75" w:rsidP="005C6E7A">
      <w: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9" o:title=""/>
          </v:shape>
          <o:OLEObject Type="Embed" ProgID="Excel.Sheet.12" ShapeID="_x0000_i1025" DrawAspect="Icon" ObjectID="_1514897142" r:id="rId10"/>
        </w:object>
      </w:r>
    </w:p>
    <w:p w:rsidR="00584D74" w:rsidRDefault="00584D74" w:rsidP="005C6E7A">
      <w:pPr>
        <w:rPr>
          <w:b/>
        </w:rPr>
      </w:pPr>
    </w:p>
    <w:p w:rsidR="006F4609" w:rsidRPr="00BF1867" w:rsidRDefault="00584D74" w:rsidP="006F4609">
      <w:pPr>
        <w:ind w:left="720" w:hanging="720"/>
        <w:rPr>
          <w:rFonts w:ascii="Arial" w:hAnsi="Arial" w:cs="Arial"/>
        </w:rPr>
      </w:pPr>
      <w:r w:rsidRPr="00BF1867">
        <w:rPr>
          <w:rFonts w:ascii="Arial" w:hAnsi="Arial" w:cs="Arial"/>
          <w:b/>
        </w:rPr>
        <w:t>d)</w:t>
      </w:r>
      <w:r w:rsidR="006F4609" w:rsidRPr="00BF1867">
        <w:rPr>
          <w:rFonts w:ascii="Arial" w:hAnsi="Arial" w:cs="Arial"/>
        </w:rPr>
        <w:t xml:space="preserve"> </w:t>
      </w:r>
      <w:r w:rsidR="006F4609" w:rsidRPr="00BF1867">
        <w:rPr>
          <w:rFonts w:ascii="Arial" w:hAnsi="Arial" w:cs="Arial"/>
        </w:rPr>
        <w:tab/>
      </w:r>
      <w:r w:rsidR="000A025A" w:rsidRPr="00BF1867">
        <w:rPr>
          <w:rFonts w:ascii="Arial" w:hAnsi="Arial" w:cs="Arial"/>
        </w:rPr>
        <w:t xml:space="preserve">Confirmed.  </w:t>
      </w:r>
      <w:r w:rsidR="006F4609" w:rsidRPr="00BF1867">
        <w:rPr>
          <w:rFonts w:ascii="Arial" w:hAnsi="Arial" w:cs="Arial"/>
        </w:rPr>
        <w:t xml:space="preserve">The list of items which the proposed fixed charge is designed to recover is discussed on </w:t>
      </w:r>
      <w:r w:rsidR="00BF1867" w:rsidRPr="00BF1867">
        <w:rPr>
          <w:rFonts w:ascii="Arial" w:hAnsi="Arial" w:cs="Arial"/>
        </w:rPr>
        <w:t xml:space="preserve">lines 1 through 5 </w:t>
      </w:r>
      <w:r w:rsidR="00BF1867">
        <w:rPr>
          <w:rFonts w:ascii="Arial" w:hAnsi="Arial" w:cs="Arial"/>
        </w:rPr>
        <w:t>of page 5</w:t>
      </w:r>
      <w:r w:rsidR="006F4609" w:rsidRPr="00BF1867">
        <w:rPr>
          <w:rFonts w:ascii="Arial" w:hAnsi="Arial" w:cs="Arial"/>
        </w:rPr>
        <w:t xml:space="preserve"> </w:t>
      </w:r>
      <w:r w:rsidR="00BF1867">
        <w:rPr>
          <w:rFonts w:ascii="Arial" w:hAnsi="Arial" w:cs="Arial"/>
        </w:rPr>
        <w:t>in</w:t>
      </w:r>
      <w:r w:rsidR="006F4609" w:rsidRPr="00BF1867">
        <w:rPr>
          <w:rFonts w:ascii="Arial" w:hAnsi="Arial" w:cs="Arial"/>
        </w:rPr>
        <w:t xml:space="preserve"> Mr. </w:t>
      </w:r>
      <w:proofErr w:type="spellStart"/>
      <w:r w:rsidR="006F4609" w:rsidRPr="00BF1867">
        <w:rPr>
          <w:rFonts w:ascii="Arial" w:hAnsi="Arial" w:cs="Arial"/>
        </w:rPr>
        <w:t>Bonnett’s</w:t>
      </w:r>
      <w:proofErr w:type="spellEnd"/>
      <w:r w:rsidR="006F4609" w:rsidRPr="00BF1867">
        <w:rPr>
          <w:rFonts w:ascii="Arial" w:hAnsi="Arial" w:cs="Arial"/>
        </w:rPr>
        <w:t xml:space="preserve"> revised prepared direct testimony.</w:t>
      </w:r>
    </w:p>
    <w:p w:rsidR="00584D74" w:rsidRPr="00BF1867" w:rsidRDefault="00584D74" w:rsidP="005C6E7A">
      <w:pPr>
        <w:rPr>
          <w:rFonts w:ascii="Arial" w:hAnsi="Arial" w:cs="Arial"/>
          <w:b/>
        </w:rPr>
      </w:pPr>
    </w:p>
    <w:p w:rsidR="00584D74" w:rsidRPr="00BF1867" w:rsidRDefault="00584D74" w:rsidP="006F4609">
      <w:pPr>
        <w:ind w:left="720" w:hanging="720"/>
        <w:rPr>
          <w:rFonts w:ascii="Arial" w:hAnsi="Arial" w:cs="Arial"/>
        </w:rPr>
      </w:pPr>
      <w:r w:rsidRPr="00BF1867">
        <w:rPr>
          <w:rFonts w:ascii="Arial" w:hAnsi="Arial" w:cs="Arial"/>
          <w:b/>
        </w:rPr>
        <w:t>e)</w:t>
      </w:r>
      <w:r w:rsidR="006F4609" w:rsidRPr="00BF1867">
        <w:rPr>
          <w:rFonts w:ascii="Arial" w:hAnsi="Arial" w:cs="Arial"/>
        </w:rPr>
        <w:tab/>
        <w:t xml:space="preserve">The requested information is already provided in Table 5 of Mr. </w:t>
      </w:r>
      <w:proofErr w:type="spellStart"/>
      <w:r w:rsidR="006F4609" w:rsidRPr="00BF1867">
        <w:rPr>
          <w:rFonts w:ascii="Arial" w:hAnsi="Arial" w:cs="Arial"/>
        </w:rPr>
        <w:t>Bonnett’s</w:t>
      </w:r>
      <w:proofErr w:type="spellEnd"/>
      <w:r w:rsidR="006F4609" w:rsidRPr="00BF1867">
        <w:rPr>
          <w:rFonts w:ascii="Arial" w:hAnsi="Arial" w:cs="Arial"/>
        </w:rPr>
        <w:t xml:space="preserve"> revised prepared direct testimony.  Additionally, the rate design models showing the calculation have already been provided.</w:t>
      </w:r>
      <w:r w:rsidR="00487F3F" w:rsidRPr="00BF1867">
        <w:rPr>
          <w:rFonts w:ascii="Arial" w:hAnsi="Arial" w:cs="Arial"/>
        </w:rPr>
        <w:t xml:space="preserve">  See “testimony tables” tab in the SCG RD model.</w:t>
      </w:r>
    </w:p>
    <w:p w:rsidR="00584D74" w:rsidRPr="00BF1867" w:rsidRDefault="00584D74" w:rsidP="005C6E7A">
      <w:pPr>
        <w:rPr>
          <w:rFonts w:ascii="Arial" w:hAnsi="Arial" w:cs="Arial"/>
          <w:b/>
        </w:rPr>
      </w:pPr>
    </w:p>
    <w:p w:rsidR="00584D74" w:rsidRPr="00BF1867" w:rsidRDefault="00584D74" w:rsidP="006F4609">
      <w:pPr>
        <w:ind w:left="720" w:hanging="720"/>
        <w:rPr>
          <w:rFonts w:ascii="Arial" w:hAnsi="Arial" w:cs="Arial"/>
        </w:rPr>
      </w:pPr>
      <w:r w:rsidRPr="00BF1867">
        <w:rPr>
          <w:rFonts w:ascii="Arial" w:hAnsi="Arial" w:cs="Arial"/>
          <w:b/>
        </w:rPr>
        <w:t>f)</w:t>
      </w:r>
      <w:r w:rsidR="006F4609" w:rsidRPr="00BF1867">
        <w:rPr>
          <w:rFonts w:ascii="Arial" w:hAnsi="Arial" w:cs="Arial"/>
        </w:rPr>
        <w:tab/>
        <w:t xml:space="preserve">It is unclear what is meant by “confirm the amount of change in the average monthly bill of the </w:t>
      </w:r>
      <w:r w:rsidR="006F4609" w:rsidRPr="00BF1867">
        <w:rPr>
          <w:rFonts w:ascii="Arial" w:hAnsi="Arial" w:cs="Arial"/>
          <w:u w:val="single"/>
        </w:rPr>
        <w:t>lowest usage</w:t>
      </w:r>
      <w:r w:rsidR="006F4609" w:rsidRPr="00BF1867">
        <w:rPr>
          <w:rFonts w:ascii="Arial" w:hAnsi="Arial" w:cs="Arial"/>
        </w:rPr>
        <w:t xml:space="preserve"> residential customers.”</w:t>
      </w:r>
      <w:r w:rsidR="00CF4C45" w:rsidRPr="00BF1867">
        <w:rPr>
          <w:rFonts w:ascii="Arial" w:hAnsi="Arial" w:cs="Arial"/>
        </w:rPr>
        <w:t xml:space="preserve">  </w:t>
      </w:r>
      <w:r w:rsidR="006F4609" w:rsidRPr="00BF1867">
        <w:rPr>
          <w:rFonts w:ascii="Arial" w:hAnsi="Arial" w:cs="Arial"/>
        </w:rPr>
        <w:t xml:space="preserve">Mr. </w:t>
      </w:r>
      <w:proofErr w:type="spellStart"/>
      <w:r w:rsidR="006F4609" w:rsidRPr="00BF1867">
        <w:rPr>
          <w:rFonts w:ascii="Arial" w:hAnsi="Arial" w:cs="Arial"/>
        </w:rPr>
        <w:t>Bonnett’s</w:t>
      </w:r>
      <w:proofErr w:type="spellEnd"/>
      <w:r w:rsidR="006F4609" w:rsidRPr="00BF1867">
        <w:rPr>
          <w:rFonts w:ascii="Arial" w:hAnsi="Arial" w:cs="Arial"/>
        </w:rPr>
        <w:t xml:space="preserve"> revised prepared direct testimony contains </w:t>
      </w:r>
      <w:r w:rsidR="00CF4C45" w:rsidRPr="00BF1867">
        <w:rPr>
          <w:rFonts w:ascii="Arial" w:hAnsi="Arial" w:cs="Arial"/>
        </w:rPr>
        <w:t xml:space="preserve">a table which shows the </w:t>
      </w:r>
      <w:r w:rsidR="006F4609" w:rsidRPr="00BF1867">
        <w:rPr>
          <w:rFonts w:ascii="Arial" w:hAnsi="Arial" w:cs="Arial"/>
        </w:rPr>
        <w:t>bill</w:t>
      </w:r>
      <w:r w:rsidR="00BF1867">
        <w:rPr>
          <w:rFonts w:ascii="Arial" w:hAnsi="Arial" w:cs="Arial"/>
        </w:rPr>
        <w:t xml:space="preserve"> impact information of baseline-</w:t>
      </w:r>
      <w:r w:rsidR="006F4609" w:rsidRPr="00BF1867">
        <w:rPr>
          <w:rFonts w:ascii="Arial" w:hAnsi="Arial" w:cs="Arial"/>
        </w:rPr>
        <w:t>only customers.</w:t>
      </w:r>
    </w:p>
    <w:p w:rsidR="00584D74" w:rsidRPr="00BF1867" w:rsidRDefault="00584D74" w:rsidP="005C6E7A">
      <w:pPr>
        <w:rPr>
          <w:rFonts w:ascii="Arial" w:hAnsi="Arial" w:cs="Arial"/>
          <w:b/>
        </w:rPr>
      </w:pPr>
    </w:p>
    <w:p w:rsidR="00584D74" w:rsidRPr="00BF1867" w:rsidRDefault="00584D74" w:rsidP="00E22BE0">
      <w:pPr>
        <w:ind w:left="720" w:hanging="720"/>
        <w:rPr>
          <w:rFonts w:ascii="Arial" w:hAnsi="Arial" w:cs="Arial"/>
        </w:rPr>
      </w:pPr>
      <w:r w:rsidRPr="00BF1867">
        <w:rPr>
          <w:rFonts w:ascii="Arial" w:hAnsi="Arial" w:cs="Arial"/>
          <w:b/>
        </w:rPr>
        <w:t>g)</w:t>
      </w:r>
      <w:r w:rsidR="00CF4C45" w:rsidRPr="00BF1867">
        <w:rPr>
          <w:rFonts w:ascii="Arial" w:hAnsi="Arial" w:cs="Arial"/>
        </w:rPr>
        <w:tab/>
      </w:r>
      <w:r w:rsidR="000A025A" w:rsidRPr="00BF1867">
        <w:rPr>
          <w:rFonts w:ascii="Arial" w:hAnsi="Arial" w:cs="Arial"/>
        </w:rPr>
        <w:t>Confirmed</w:t>
      </w:r>
      <w:r w:rsidR="00BF1867">
        <w:rPr>
          <w:rFonts w:ascii="Arial" w:hAnsi="Arial" w:cs="Arial"/>
        </w:rPr>
        <w:t>.</w:t>
      </w:r>
      <w:r w:rsidR="006F6773" w:rsidRPr="00BF1867">
        <w:rPr>
          <w:rFonts w:ascii="Arial" w:hAnsi="Arial" w:cs="Arial"/>
        </w:rPr>
        <w:t xml:space="preserve"> </w:t>
      </w:r>
      <w:r w:rsidR="00BF1867">
        <w:rPr>
          <w:rFonts w:ascii="Arial" w:hAnsi="Arial" w:cs="Arial"/>
        </w:rPr>
        <w:t xml:space="preserve"> </w:t>
      </w:r>
      <w:r w:rsidR="006F6773" w:rsidRPr="00BF1867">
        <w:rPr>
          <w:rFonts w:ascii="Arial" w:hAnsi="Arial" w:cs="Arial"/>
        </w:rPr>
        <w:t>(</w:t>
      </w:r>
      <w:r w:rsidR="00BF1867">
        <w:rPr>
          <w:rFonts w:ascii="Arial" w:hAnsi="Arial" w:cs="Arial"/>
        </w:rPr>
        <w:t xml:space="preserve">To clarify, the </w:t>
      </w:r>
      <w:r w:rsidR="006F6773" w:rsidRPr="00BF1867">
        <w:rPr>
          <w:rFonts w:ascii="Arial" w:hAnsi="Arial" w:cs="Arial"/>
        </w:rPr>
        <w:t xml:space="preserve">SDG&amp;E number is based on Ms. Schmidt-Pines’ </w:t>
      </w:r>
      <w:proofErr w:type="spellStart"/>
      <w:r w:rsidR="006F6773" w:rsidRPr="00BF1867">
        <w:rPr>
          <w:rFonts w:ascii="Arial" w:hAnsi="Arial" w:cs="Arial"/>
        </w:rPr>
        <w:t>workpapers</w:t>
      </w:r>
      <w:proofErr w:type="spellEnd"/>
      <w:r w:rsidR="006F6773" w:rsidRPr="00BF1867">
        <w:rPr>
          <w:rFonts w:ascii="Arial" w:hAnsi="Arial" w:cs="Arial"/>
        </w:rPr>
        <w:t>)</w:t>
      </w:r>
      <w:r w:rsidR="000A025A" w:rsidRPr="00BF1867">
        <w:rPr>
          <w:rFonts w:ascii="Arial" w:hAnsi="Arial" w:cs="Arial"/>
        </w:rPr>
        <w:t>.</w:t>
      </w:r>
    </w:p>
    <w:p w:rsidR="00584D74" w:rsidRPr="00BF1867" w:rsidRDefault="00584D74" w:rsidP="005C6E7A">
      <w:pPr>
        <w:rPr>
          <w:rFonts w:ascii="Arial" w:hAnsi="Arial" w:cs="Arial"/>
          <w:b/>
        </w:rPr>
      </w:pPr>
    </w:p>
    <w:p w:rsidR="00584D74" w:rsidRPr="00BF1867" w:rsidRDefault="00584D74" w:rsidP="00CF4C45">
      <w:pPr>
        <w:ind w:left="720" w:hanging="720"/>
        <w:rPr>
          <w:rFonts w:ascii="Arial" w:hAnsi="Arial" w:cs="Arial"/>
        </w:rPr>
      </w:pPr>
      <w:r w:rsidRPr="00BF1867">
        <w:rPr>
          <w:rFonts w:ascii="Arial" w:hAnsi="Arial" w:cs="Arial"/>
          <w:b/>
        </w:rPr>
        <w:t>h)</w:t>
      </w:r>
      <w:r w:rsidR="00CF4C45" w:rsidRPr="00BF1867">
        <w:rPr>
          <w:rFonts w:ascii="Arial" w:hAnsi="Arial" w:cs="Arial"/>
        </w:rPr>
        <w:tab/>
      </w:r>
      <w:r w:rsidR="000A025A" w:rsidRPr="00BF1867">
        <w:rPr>
          <w:rFonts w:ascii="Arial" w:hAnsi="Arial" w:cs="Arial"/>
        </w:rPr>
        <w:t>Confirmed</w:t>
      </w:r>
      <w:r w:rsidR="00BF1867">
        <w:rPr>
          <w:rFonts w:ascii="Arial" w:hAnsi="Arial" w:cs="Arial"/>
        </w:rPr>
        <w:t>,</w:t>
      </w:r>
      <w:r w:rsidR="000A025A" w:rsidRPr="00BF1867">
        <w:rPr>
          <w:rFonts w:ascii="Arial" w:hAnsi="Arial" w:cs="Arial"/>
        </w:rPr>
        <w:t xml:space="preserve"> based on </w:t>
      </w:r>
      <w:r w:rsidR="00BF1867">
        <w:rPr>
          <w:rFonts w:ascii="Arial" w:hAnsi="Arial" w:cs="Arial"/>
        </w:rPr>
        <w:t xml:space="preserve">the </w:t>
      </w:r>
      <w:r w:rsidR="000A025A" w:rsidRPr="00BF1867">
        <w:rPr>
          <w:rFonts w:ascii="Arial" w:hAnsi="Arial" w:cs="Arial"/>
        </w:rPr>
        <w:t>NCO only method without any replacement investments for old equipment removal</w:t>
      </w:r>
      <w:r w:rsidR="00BF1867">
        <w:rPr>
          <w:rFonts w:ascii="Arial" w:hAnsi="Arial" w:cs="Arial"/>
        </w:rPr>
        <w:t>.</w:t>
      </w:r>
      <w:r w:rsidR="000A025A" w:rsidRPr="00BF1867">
        <w:rPr>
          <w:rFonts w:ascii="Arial" w:hAnsi="Arial" w:cs="Arial"/>
        </w:rPr>
        <w:t xml:space="preserve"> </w:t>
      </w:r>
      <w:r w:rsidR="00BF1867">
        <w:rPr>
          <w:rFonts w:ascii="Arial" w:hAnsi="Arial" w:cs="Arial"/>
        </w:rPr>
        <w:t xml:space="preserve"> </w:t>
      </w:r>
      <w:r w:rsidR="000A025A" w:rsidRPr="00BF1867">
        <w:rPr>
          <w:rFonts w:ascii="Arial" w:hAnsi="Arial" w:cs="Arial"/>
        </w:rPr>
        <w:t>(</w:t>
      </w:r>
      <w:r w:rsidR="00BF1867">
        <w:rPr>
          <w:rFonts w:ascii="Arial" w:hAnsi="Arial" w:cs="Arial"/>
        </w:rPr>
        <w:t xml:space="preserve">To clarify, the </w:t>
      </w:r>
      <w:r w:rsidR="000A025A" w:rsidRPr="00BF1867">
        <w:rPr>
          <w:rFonts w:ascii="Arial" w:hAnsi="Arial" w:cs="Arial"/>
        </w:rPr>
        <w:t>SDG&amp;E numbe</w:t>
      </w:r>
      <w:r w:rsidR="006F6773" w:rsidRPr="00BF1867">
        <w:rPr>
          <w:rFonts w:ascii="Arial" w:hAnsi="Arial" w:cs="Arial"/>
        </w:rPr>
        <w:t>r is based on Ms</w:t>
      </w:r>
      <w:r w:rsidR="00161D9C" w:rsidRPr="00BF1867">
        <w:rPr>
          <w:rFonts w:ascii="Arial" w:hAnsi="Arial" w:cs="Arial"/>
        </w:rPr>
        <w:t>. Schmidt-</w:t>
      </w:r>
      <w:proofErr w:type="gramStart"/>
      <w:r w:rsidR="00161D9C" w:rsidRPr="00BF1867">
        <w:rPr>
          <w:rFonts w:ascii="Arial" w:hAnsi="Arial" w:cs="Arial"/>
        </w:rPr>
        <w:t>Pines‘</w:t>
      </w:r>
      <w:r w:rsidR="000A025A" w:rsidRPr="00BF1867">
        <w:rPr>
          <w:rFonts w:ascii="Arial" w:hAnsi="Arial" w:cs="Arial"/>
        </w:rPr>
        <w:t xml:space="preserve"> </w:t>
      </w:r>
      <w:proofErr w:type="spellStart"/>
      <w:r w:rsidR="000A025A" w:rsidRPr="00BF1867">
        <w:rPr>
          <w:rFonts w:ascii="Arial" w:hAnsi="Arial" w:cs="Arial"/>
        </w:rPr>
        <w:t>workpapers</w:t>
      </w:r>
      <w:proofErr w:type="spellEnd"/>
      <w:proofErr w:type="gramEnd"/>
      <w:r w:rsidR="000A025A" w:rsidRPr="00BF1867">
        <w:rPr>
          <w:rFonts w:ascii="Arial" w:hAnsi="Arial" w:cs="Arial"/>
        </w:rPr>
        <w:t>).  The marginal customer costs based on NCO method with replacement investments (at historical replacement rates) are considerably higher than t</w:t>
      </w:r>
      <w:r w:rsidR="00BF1867">
        <w:rPr>
          <w:rFonts w:ascii="Arial" w:hAnsi="Arial" w:cs="Arial"/>
        </w:rPr>
        <w:t>hose based on NCO only method.</w:t>
      </w:r>
    </w:p>
    <w:p w:rsidR="00584D74" w:rsidRPr="00BF1867" w:rsidRDefault="00584D74" w:rsidP="005C6E7A">
      <w:pPr>
        <w:rPr>
          <w:rFonts w:ascii="Arial" w:hAnsi="Arial" w:cs="Arial"/>
          <w:b/>
        </w:rPr>
      </w:pPr>
    </w:p>
    <w:p w:rsidR="000A025A" w:rsidRPr="00BF1867" w:rsidRDefault="00584D74" w:rsidP="000A025A">
      <w:pPr>
        <w:ind w:left="720" w:hanging="720"/>
        <w:rPr>
          <w:rFonts w:ascii="Arial" w:hAnsi="Arial" w:cs="Arial"/>
        </w:rPr>
      </w:pPr>
      <w:r w:rsidRPr="00BF1867">
        <w:rPr>
          <w:rFonts w:ascii="Arial" w:hAnsi="Arial" w:cs="Arial"/>
          <w:b/>
        </w:rPr>
        <w:t>i)</w:t>
      </w:r>
      <w:r w:rsidR="008D2869" w:rsidRPr="00BF1867">
        <w:rPr>
          <w:rFonts w:ascii="Arial" w:hAnsi="Arial" w:cs="Arial"/>
          <w:b/>
        </w:rPr>
        <w:tab/>
      </w:r>
      <w:r w:rsidR="00BF1867">
        <w:rPr>
          <w:rFonts w:ascii="Arial" w:hAnsi="Arial" w:cs="Arial"/>
        </w:rPr>
        <w:t xml:space="preserve">The </w:t>
      </w:r>
      <w:r w:rsidR="000A025A" w:rsidRPr="00BF1867">
        <w:rPr>
          <w:rFonts w:ascii="Arial" w:hAnsi="Arial" w:cs="Arial"/>
        </w:rPr>
        <w:t xml:space="preserve">definition of the </w:t>
      </w:r>
      <w:r w:rsidR="00BF1867">
        <w:rPr>
          <w:rFonts w:ascii="Arial" w:hAnsi="Arial" w:cs="Arial"/>
        </w:rPr>
        <w:t>term “b</w:t>
      </w:r>
      <w:r w:rsidR="00B722CE" w:rsidRPr="00BF1867">
        <w:rPr>
          <w:rFonts w:ascii="Arial" w:hAnsi="Arial" w:cs="Arial"/>
        </w:rPr>
        <w:t xml:space="preserve">asic </w:t>
      </w:r>
      <w:r w:rsidR="00BF1867">
        <w:rPr>
          <w:rFonts w:ascii="Arial" w:hAnsi="Arial" w:cs="Arial"/>
        </w:rPr>
        <w:t>m</w:t>
      </w:r>
      <w:r w:rsidR="00B722CE" w:rsidRPr="00BF1867">
        <w:rPr>
          <w:rFonts w:ascii="Arial" w:hAnsi="Arial" w:cs="Arial"/>
        </w:rPr>
        <w:t>inimum</w:t>
      </w:r>
      <w:r w:rsidR="00BD405D" w:rsidRPr="00BF1867">
        <w:rPr>
          <w:rFonts w:ascii="Arial" w:hAnsi="Arial" w:cs="Arial"/>
        </w:rPr>
        <w:t xml:space="preserve"> </w:t>
      </w:r>
      <w:r w:rsidR="00B722CE" w:rsidRPr="00BF1867">
        <w:rPr>
          <w:rFonts w:ascii="Arial" w:hAnsi="Arial" w:cs="Arial"/>
        </w:rPr>
        <w:t>charge</w:t>
      </w:r>
      <w:r w:rsidR="00BD405D" w:rsidRPr="00BF1867">
        <w:rPr>
          <w:rFonts w:ascii="Arial" w:hAnsi="Arial" w:cs="Arial"/>
        </w:rPr>
        <w:t>”</w:t>
      </w:r>
      <w:r w:rsidR="00385BDD" w:rsidRPr="00BF1867">
        <w:rPr>
          <w:rFonts w:ascii="Arial" w:hAnsi="Arial" w:cs="Arial"/>
        </w:rPr>
        <w:t xml:space="preserve"> </w:t>
      </w:r>
      <w:r w:rsidR="00BF1867">
        <w:rPr>
          <w:rFonts w:ascii="Arial" w:hAnsi="Arial" w:cs="Arial"/>
        </w:rPr>
        <w:t xml:space="preserve">as used in the question </w:t>
      </w:r>
      <w:r w:rsidR="00385BDD" w:rsidRPr="00BF1867">
        <w:rPr>
          <w:rFonts w:ascii="Arial" w:hAnsi="Arial" w:cs="Arial"/>
        </w:rPr>
        <w:t xml:space="preserve">is </w:t>
      </w:r>
      <w:r w:rsidR="000A025A" w:rsidRPr="00BF1867">
        <w:rPr>
          <w:rFonts w:ascii="Arial" w:hAnsi="Arial" w:cs="Arial"/>
        </w:rPr>
        <w:t>not clear to</w:t>
      </w:r>
      <w:r w:rsidR="00BD405D" w:rsidRPr="00BF1867">
        <w:rPr>
          <w:rFonts w:ascii="Arial" w:hAnsi="Arial" w:cs="Arial"/>
        </w:rPr>
        <w:t xml:space="preserve"> SoCalGas and SDG&amp;E.</w:t>
      </w:r>
      <w:r w:rsidR="00B722CE" w:rsidRPr="00BF1867">
        <w:rPr>
          <w:rFonts w:ascii="Arial" w:hAnsi="Arial" w:cs="Arial"/>
        </w:rPr>
        <w:t xml:space="preserve">  </w:t>
      </w:r>
      <w:r w:rsidR="000A025A" w:rsidRPr="00BF1867">
        <w:rPr>
          <w:rFonts w:ascii="Arial" w:hAnsi="Arial" w:cs="Arial"/>
        </w:rPr>
        <w:t>The fixed customer charge is intended to recover a reasonable portion of the fixed cost</w:t>
      </w:r>
      <w:r w:rsidR="00BF290C">
        <w:rPr>
          <w:rFonts w:ascii="Arial" w:hAnsi="Arial" w:cs="Arial"/>
        </w:rPr>
        <w:t>s</w:t>
      </w:r>
      <w:r w:rsidR="000A025A" w:rsidRPr="00BF1867">
        <w:rPr>
          <w:rFonts w:ascii="Arial" w:hAnsi="Arial" w:cs="Arial"/>
        </w:rPr>
        <w:t xml:space="preserve"> </w:t>
      </w:r>
      <w:r w:rsidR="00BF290C">
        <w:rPr>
          <w:rFonts w:ascii="Arial" w:hAnsi="Arial" w:cs="Arial"/>
        </w:rPr>
        <w:t xml:space="preserve">associated with providing </w:t>
      </w:r>
      <w:r w:rsidR="000A025A" w:rsidRPr="00BF1867">
        <w:rPr>
          <w:rFonts w:ascii="Arial" w:hAnsi="Arial" w:cs="Arial"/>
        </w:rPr>
        <w:t xml:space="preserve">a customer </w:t>
      </w:r>
      <w:r w:rsidR="00BF290C">
        <w:rPr>
          <w:rFonts w:ascii="Arial" w:hAnsi="Arial" w:cs="Arial"/>
        </w:rPr>
        <w:t>with</w:t>
      </w:r>
      <w:r w:rsidR="000A025A" w:rsidRPr="00BF1867">
        <w:rPr>
          <w:rFonts w:ascii="Arial" w:hAnsi="Arial" w:cs="Arial"/>
        </w:rPr>
        <w:t xml:space="preserve"> access to SoCalGas</w:t>
      </w:r>
      <w:r w:rsidR="00BF290C">
        <w:rPr>
          <w:rFonts w:ascii="Arial" w:hAnsi="Arial" w:cs="Arial"/>
        </w:rPr>
        <w:t>’</w:t>
      </w:r>
      <w:r w:rsidR="000A025A" w:rsidRPr="00BF1867">
        <w:rPr>
          <w:rFonts w:ascii="Arial" w:hAnsi="Arial" w:cs="Arial"/>
        </w:rPr>
        <w:t xml:space="preserve"> or SDG&amp;E’s gas delivery system</w:t>
      </w:r>
      <w:r w:rsidR="00BF290C">
        <w:rPr>
          <w:rFonts w:ascii="Arial" w:hAnsi="Arial" w:cs="Arial"/>
        </w:rPr>
        <w:t>s</w:t>
      </w:r>
      <w:r w:rsidR="000A025A" w:rsidRPr="00BF1867">
        <w:rPr>
          <w:rFonts w:ascii="Arial" w:hAnsi="Arial" w:cs="Arial"/>
        </w:rPr>
        <w:t xml:space="preserve">.  The fixed customer charge reflects what a </w:t>
      </w:r>
      <w:r w:rsidR="00161D9C" w:rsidRPr="00BF1867">
        <w:rPr>
          <w:rFonts w:ascii="Arial" w:hAnsi="Arial" w:cs="Arial"/>
        </w:rPr>
        <w:t>residential customer would pay when that</w:t>
      </w:r>
      <w:r w:rsidR="000A025A" w:rsidRPr="00BF1867">
        <w:rPr>
          <w:rFonts w:ascii="Arial" w:hAnsi="Arial" w:cs="Arial"/>
        </w:rPr>
        <w:t xml:space="preserve"> customer’s gas consumption is zero.  </w:t>
      </w:r>
    </w:p>
    <w:p w:rsidR="00584D74" w:rsidRPr="008D2869" w:rsidRDefault="00584D74" w:rsidP="00B722CE">
      <w:pPr>
        <w:ind w:left="720" w:hanging="720"/>
      </w:pPr>
    </w:p>
    <w:p w:rsidR="00A85689" w:rsidRDefault="00F67377" w:rsidP="00F6737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C62CAA" w:rsidRDefault="00C62CAA" w:rsidP="00F67377">
      <w:pPr>
        <w:rPr>
          <w:rFonts w:ascii="Arial" w:hAnsi="Arial" w:cs="Arial"/>
          <w:b/>
          <w:u w:val="single"/>
        </w:rPr>
      </w:pPr>
    </w:p>
    <w:p w:rsidR="00663B29" w:rsidRDefault="00663B29" w:rsidP="00F67377">
      <w:pPr>
        <w:rPr>
          <w:rFonts w:ascii="Arial" w:hAnsi="Arial" w:cs="Arial"/>
          <w:b/>
          <w:u w:val="single"/>
        </w:rPr>
      </w:pPr>
    </w:p>
    <w:p w:rsidR="00F67377" w:rsidRPr="0031141C" w:rsidRDefault="00F67377" w:rsidP="00F67377">
      <w:pPr>
        <w:rPr>
          <w:rFonts w:ascii="Arial" w:hAnsi="Arial" w:cs="Arial"/>
        </w:rPr>
      </w:pPr>
      <w:r w:rsidRPr="00F759E8">
        <w:rPr>
          <w:rFonts w:ascii="Arial" w:hAnsi="Arial" w:cs="Arial"/>
          <w:b/>
          <w:u w:val="single"/>
        </w:rPr>
        <w:t xml:space="preserve">QUESTION </w:t>
      </w:r>
      <w:r>
        <w:rPr>
          <w:rFonts w:ascii="Arial" w:hAnsi="Arial" w:cs="Arial"/>
          <w:b/>
          <w:u w:val="single"/>
        </w:rPr>
        <w:t>6</w:t>
      </w:r>
      <w:r w:rsidRPr="00F759E8">
        <w:rPr>
          <w:rFonts w:ascii="Arial" w:hAnsi="Arial" w:cs="Arial"/>
          <w:b/>
          <w:u w:val="single"/>
        </w:rPr>
        <w:t>:</w:t>
      </w:r>
    </w:p>
    <w:p w:rsidR="00F67377" w:rsidRPr="0031141C" w:rsidRDefault="00F67377" w:rsidP="00F67377">
      <w:pPr>
        <w:rPr>
          <w:rFonts w:ascii="Arial" w:hAnsi="Arial" w:cs="Arial"/>
        </w:rPr>
      </w:pPr>
    </w:p>
    <w:p w:rsidR="00582C14" w:rsidRPr="0031141C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Please explain whether a fixed monthly customer charge reduces the proportion of the total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monthly bill that the customer can lower through conservation. If so, please explain how a fixed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monthly customer charge would provide the residential customers with the appropriate incentive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to conserve energy and be more efficient in their use of energy given that the proposed higher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residential fixed monthly charges could reduce the proportion of the total monthly bill that the</w:t>
      </w:r>
      <w:r w:rsidR="00BF1867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customer can lower.</w:t>
      </w:r>
    </w:p>
    <w:p w:rsidR="00F67377" w:rsidRPr="0031141C" w:rsidRDefault="00F67377" w:rsidP="00F67377">
      <w:pPr>
        <w:rPr>
          <w:rFonts w:ascii="Arial" w:hAnsi="Arial" w:cs="Arial"/>
        </w:rPr>
      </w:pPr>
    </w:p>
    <w:p w:rsidR="008F3FF5" w:rsidRDefault="008F3FF5" w:rsidP="00F67377">
      <w:pPr>
        <w:rPr>
          <w:rFonts w:ascii="Arial" w:hAnsi="Arial" w:cs="Arial"/>
          <w:b/>
          <w:u w:val="single"/>
        </w:rPr>
      </w:pPr>
    </w:p>
    <w:p w:rsidR="00F67377" w:rsidRPr="00F759E8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RESPONSE </w:t>
      </w:r>
      <w:r>
        <w:rPr>
          <w:rFonts w:ascii="Arial" w:hAnsi="Arial" w:cs="Arial"/>
          <w:b/>
          <w:u w:val="single"/>
        </w:rPr>
        <w:t>6</w:t>
      </w:r>
      <w:r w:rsidRPr="00F759E8">
        <w:rPr>
          <w:rFonts w:ascii="Arial" w:hAnsi="Arial" w:cs="Arial"/>
          <w:b/>
          <w:u w:val="single"/>
        </w:rPr>
        <w:t>:</w:t>
      </w:r>
    </w:p>
    <w:p w:rsidR="00F67377" w:rsidRDefault="00F67377" w:rsidP="005C6E7A">
      <w:pPr>
        <w:rPr>
          <w:rFonts w:ascii="Arial" w:hAnsi="Arial" w:cs="Arial"/>
          <w:sz w:val="28"/>
          <w:szCs w:val="28"/>
        </w:rPr>
      </w:pPr>
    </w:p>
    <w:p w:rsidR="00A85689" w:rsidRPr="00F93B37" w:rsidRDefault="007643EA" w:rsidP="00E22BE0">
      <w:pPr>
        <w:rPr>
          <w:rFonts w:ascii="Arial" w:hAnsi="Arial" w:cs="Arial"/>
        </w:rPr>
      </w:pPr>
      <w:r w:rsidRPr="00BF1867">
        <w:rPr>
          <w:rFonts w:ascii="Arial" w:hAnsi="Arial" w:cs="Arial"/>
        </w:rPr>
        <w:t>In D.15-07-001, t</w:t>
      </w:r>
      <w:r w:rsidR="00E46494" w:rsidRPr="00BF1867">
        <w:rPr>
          <w:rFonts w:ascii="Arial" w:hAnsi="Arial" w:cs="Arial"/>
        </w:rPr>
        <w:t xml:space="preserve">he Commission determined </w:t>
      </w:r>
      <w:r w:rsidR="008A59D2" w:rsidRPr="00BF1867">
        <w:rPr>
          <w:rFonts w:ascii="Arial" w:hAnsi="Arial" w:cs="Arial"/>
        </w:rPr>
        <w:t>in Finding</w:t>
      </w:r>
      <w:r w:rsidRPr="00BF1867">
        <w:rPr>
          <w:rFonts w:ascii="Arial" w:hAnsi="Arial" w:cs="Arial"/>
        </w:rPr>
        <w:t>s</w:t>
      </w:r>
      <w:r w:rsidR="008A59D2" w:rsidRPr="00BF1867">
        <w:rPr>
          <w:rFonts w:ascii="Arial" w:hAnsi="Arial" w:cs="Arial"/>
        </w:rPr>
        <w:t xml:space="preserve"> of Fact </w:t>
      </w:r>
      <w:r w:rsidR="005A7A6E" w:rsidRPr="00BF1867">
        <w:rPr>
          <w:rFonts w:ascii="Arial" w:hAnsi="Arial" w:cs="Arial"/>
        </w:rPr>
        <w:t xml:space="preserve">(FOF) </w:t>
      </w:r>
      <w:r w:rsidRPr="00BF1867">
        <w:rPr>
          <w:rFonts w:ascii="Arial" w:hAnsi="Arial" w:cs="Arial"/>
        </w:rPr>
        <w:t xml:space="preserve">#24 and #25 </w:t>
      </w:r>
      <w:r w:rsidR="00E46494" w:rsidRPr="00BF1867">
        <w:rPr>
          <w:rFonts w:ascii="Arial" w:hAnsi="Arial" w:cs="Arial"/>
        </w:rPr>
        <w:t xml:space="preserve">that </w:t>
      </w:r>
      <w:r w:rsidR="008A59D2" w:rsidRPr="00BF1867">
        <w:rPr>
          <w:rFonts w:ascii="Arial" w:hAnsi="Arial" w:cs="Arial"/>
        </w:rPr>
        <w:t xml:space="preserve">it was uncertain whether </w:t>
      </w:r>
      <w:r w:rsidR="00E46494" w:rsidRPr="00BF1867">
        <w:rPr>
          <w:rFonts w:ascii="Arial" w:hAnsi="Arial" w:cs="Arial"/>
        </w:rPr>
        <w:t>fixed cost charge</w:t>
      </w:r>
      <w:r w:rsidR="008A59D2" w:rsidRPr="00BF1867">
        <w:rPr>
          <w:rFonts w:ascii="Arial" w:hAnsi="Arial" w:cs="Arial"/>
        </w:rPr>
        <w:t xml:space="preserve">s would have </w:t>
      </w:r>
      <w:r w:rsidR="00E46494" w:rsidRPr="00BF1867">
        <w:rPr>
          <w:rFonts w:ascii="Arial" w:hAnsi="Arial" w:cs="Arial"/>
        </w:rPr>
        <w:t xml:space="preserve">any </w:t>
      </w:r>
      <w:r w:rsidRPr="00BF1867">
        <w:rPr>
          <w:rFonts w:ascii="Arial" w:hAnsi="Arial" w:cs="Arial"/>
        </w:rPr>
        <w:t xml:space="preserve">impact </w:t>
      </w:r>
      <w:r w:rsidR="00E46494" w:rsidRPr="00BF1867">
        <w:rPr>
          <w:rFonts w:ascii="Arial" w:hAnsi="Arial" w:cs="Arial"/>
        </w:rPr>
        <w:t>on conservation</w:t>
      </w:r>
      <w:r w:rsidR="008A59D2" w:rsidRPr="00BF1867">
        <w:rPr>
          <w:rFonts w:ascii="Arial" w:hAnsi="Arial" w:cs="Arial"/>
        </w:rPr>
        <w:t xml:space="preserve"> and</w:t>
      </w:r>
      <w:r w:rsidR="002347BA" w:rsidRPr="00BF1867">
        <w:rPr>
          <w:rFonts w:ascii="Arial" w:hAnsi="Arial" w:cs="Arial"/>
        </w:rPr>
        <w:t>,</w:t>
      </w:r>
      <w:r w:rsidR="008A59D2" w:rsidRPr="00BF1867">
        <w:rPr>
          <w:rFonts w:ascii="Arial" w:hAnsi="Arial" w:cs="Arial"/>
        </w:rPr>
        <w:t xml:space="preserve"> if they did</w:t>
      </w:r>
      <w:r w:rsidR="002347BA" w:rsidRPr="00BF1867">
        <w:rPr>
          <w:rFonts w:ascii="Arial" w:hAnsi="Arial" w:cs="Arial"/>
        </w:rPr>
        <w:t>,</w:t>
      </w:r>
      <w:r w:rsidR="008A59D2" w:rsidRPr="00BF1867">
        <w:rPr>
          <w:rFonts w:ascii="Arial" w:hAnsi="Arial" w:cs="Arial"/>
        </w:rPr>
        <w:t xml:space="preserve"> </w:t>
      </w:r>
      <w:r w:rsidR="00BF1867">
        <w:rPr>
          <w:rFonts w:ascii="Arial" w:hAnsi="Arial" w:cs="Arial"/>
        </w:rPr>
        <w:t xml:space="preserve">noted that </w:t>
      </w:r>
      <w:r w:rsidR="008A59D2" w:rsidRPr="00BF1867">
        <w:rPr>
          <w:rFonts w:ascii="Arial" w:hAnsi="Arial" w:cs="Arial"/>
        </w:rPr>
        <w:t>it would be small</w:t>
      </w:r>
      <w:r w:rsidR="00E46494" w:rsidRPr="00BF1867">
        <w:rPr>
          <w:rFonts w:ascii="Arial" w:hAnsi="Arial" w:cs="Arial"/>
        </w:rPr>
        <w:t xml:space="preserve">.  Additionally, </w:t>
      </w:r>
      <w:r w:rsidRPr="00BF1867">
        <w:rPr>
          <w:rFonts w:ascii="Arial" w:hAnsi="Arial" w:cs="Arial"/>
        </w:rPr>
        <w:t>FOF # 175 found that a</w:t>
      </w:r>
      <w:r w:rsidR="005A7A6E" w:rsidRPr="00BF1867">
        <w:rPr>
          <w:rFonts w:ascii="Arial" w:hAnsi="Arial" w:cs="Arial"/>
        </w:rPr>
        <w:t xml:space="preserve"> fixed charge to reflect fixed costs would send a more accurate price signal to customer</w:t>
      </w:r>
      <w:r w:rsidRPr="00BF1867">
        <w:rPr>
          <w:rFonts w:ascii="Arial" w:hAnsi="Arial" w:cs="Arial"/>
        </w:rPr>
        <w:t xml:space="preserve">s.  </w:t>
      </w:r>
      <w:r w:rsidR="00BF1867">
        <w:rPr>
          <w:rFonts w:ascii="Arial" w:hAnsi="Arial" w:cs="Arial"/>
        </w:rPr>
        <w:t>Further</w:t>
      </w:r>
      <w:r w:rsidRPr="00BF1867">
        <w:rPr>
          <w:rFonts w:ascii="Arial" w:hAnsi="Arial" w:cs="Arial"/>
        </w:rPr>
        <w:t>, FOF # 176 determined</w:t>
      </w:r>
      <w:r w:rsidR="005A7A6E" w:rsidRPr="00BF1867">
        <w:rPr>
          <w:rFonts w:ascii="Arial" w:hAnsi="Arial" w:cs="Arial"/>
        </w:rPr>
        <w:t xml:space="preserve"> that a fixed charge would assist the customer in making economically efficient decisions regarding energy uses and investments.  Thus, </w:t>
      </w:r>
      <w:r w:rsidR="00E46494" w:rsidRPr="00BF1867">
        <w:rPr>
          <w:rFonts w:ascii="Arial" w:hAnsi="Arial" w:cs="Arial"/>
        </w:rPr>
        <w:t>residential customers will benefit from a residential customer charge by seeing the true cost of their natural gas service which will help the residential customer to make more efficient energy choices.</w:t>
      </w:r>
      <w:r w:rsidR="00BF290C">
        <w:rPr>
          <w:rFonts w:ascii="Arial" w:hAnsi="Arial" w:cs="Arial"/>
        </w:rPr>
        <w:t xml:space="preserve">  </w:t>
      </w:r>
      <w:r w:rsidR="00F67377" w:rsidRPr="00BF1867">
        <w:rPr>
          <w:rFonts w:ascii="Arial" w:hAnsi="Arial" w:cs="Arial"/>
          <w:b/>
          <w:u w:val="single"/>
        </w:rPr>
        <w:br w:type="page"/>
      </w:r>
    </w:p>
    <w:p w:rsidR="00663B29" w:rsidRDefault="00663B29" w:rsidP="00F67377">
      <w:pPr>
        <w:rPr>
          <w:rFonts w:ascii="Arial" w:hAnsi="Arial" w:cs="Arial"/>
          <w:b/>
          <w:u w:val="single"/>
        </w:rPr>
      </w:pPr>
    </w:p>
    <w:p w:rsidR="00F67377" w:rsidRPr="0031141C" w:rsidRDefault="00F67377" w:rsidP="00F67377">
      <w:pPr>
        <w:rPr>
          <w:rFonts w:ascii="Arial" w:hAnsi="Arial" w:cs="Arial"/>
        </w:rPr>
      </w:pPr>
      <w:r w:rsidRPr="00F759E8">
        <w:rPr>
          <w:rFonts w:ascii="Arial" w:hAnsi="Arial" w:cs="Arial"/>
          <w:b/>
          <w:u w:val="single"/>
        </w:rPr>
        <w:t xml:space="preserve">QUESTION </w:t>
      </w:r>
      <w:r>
        <w:rPr>
          <w:rFonts w:ascii="Arial" w:hAnsi="Arial" w:cs="Arial"/>
          <w:b/>
          <w:u w:val="single"/>
        </w:rPr>
        <w:t>7</w:t>
      </w:r>
      <w:r w:rsidRPr="00F759E8">
        <w:rPr>
          <w:rFonts w:ascii="Arial" w:hAnsi="Arial" w:cs="Arial"/>
          <w:b/>
          <w:u w:val="single"/>
        </w:rPr>
        <w:t>:</w:t>
      </w:r>
    </w:p>
    <w:p w:rsidR="00F67377" w:rsidRPr="0031141C" w:rsidRDefault="00F67377" w:rsidP="00F67377">
      <w:pPr>
        <w:rPr>
          <w:rFonts w:ascii="Arial" w:hAnsi="Arial" w:cs="Arial"/>
        </w:rPr>
      </w:pP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At lines 1-6 on page 6 of the above subject testimony, Mr. Bonnett states “Because high-volume</w:t>
      </w:r>
      <w:r w:rsidR="001171A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users have a larger portion of their annual consumption at the higher tier rate than low-volume</w:t>
      </w:r>
      <w:r w:rsidR="001171A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users, the high volume users incur a disproportionate amount of the customer-related costs. In</w:t>
      </w:r>
      <w:r w:rsidR="001171A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practical terms, this could mean that customers who live in older homes subsidize the fixed costs</w:t>
      </w:r>
      <w:r w:rsidR="001171A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of gas service of customers in newer, energy-efficient homes, and customers who live in cooler</w:t>
      </w:r>
      <w:r w:rsidR="001171A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environments inland subsidize customers who live in more temperate environments along the</w:t>
      </w:r>
      <w:r w:rsidR="001171A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coast. Increasing the customer charge is necessary to reduce this intra-class cross-subsidy to</w:t>
      </w:r>
      <w:r w:rsidR="001171A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achieve a fair and reasonable distribution of these fixed costs.”</w:t>
      </w:r>
    </w:p>
    <w:p w:rsidR="008F3FF5" w:rsidRDefault="008F3FF5" w:rsidP="008F3FF5">
      <w:pPr>
        <w:rPr>
          <w:rFonts w:ascii="Arial" w:hAnsi="Arial" w:cs="Arial"/>
        </w:rPr>
      </w:pP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(a) Please provide the basis to support the assertion regarding the intra-class cross-subsidy in</w:t>
      </w:r>
      <w:r w:rsidR="001171A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the above statement where “customers who live in older homes subsidize the fixed costs</w:t>
      </w:r>
      <w:r w:rsidR="001171A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of gas service of customers in newer, energy-efficient homes, and customers who live in</w:t>
      </w:r>
      <w:r w:rsidR="001171A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cooler environments inland subsidize customers who live in more temperate environments</w:t>
      </w:r>
      <w:r w:rsidR="001171A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along the coast.”</w:t>
      </w:r>
    </w:p>
    <w:p w:rsidR="008F3FF5" w:rsidRDefault="008F3FF5" w:rsidP="008F3FF5">
      <w:pPr>
        <w:rPr>
          <w:rFonts w:ascii="Arial" w:hAnsi="Arial" w:cs="Arial"/>
        </w:rPr>
      </w:pP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(b) In reference to the above statements, please indicate the proportion of SoCalGas and</w:t>
      </w:r>
      <w:r w:rsidR="001171A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SDG&amp;E customers who live in older homes. Please provide the basis to support your</w:t>
      </w:r>
      <w:r w:rsidR="001171A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response.</w:t>
      </w:r>
    </w:p>
    <w:p w:rsidR="008F3FF5" w:rsidRDefault="008F3FF5" w:rsidP="008F3FF5">
      <w:pPr>
        <w:rPr>
          <w:rFonts w:ascii="Arial" w:hAnsi="Arial" w:cs="Arial"/>
        </w:rPr>
      </w:pP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(c) In reference to the above statements, please indicate the proportion of SoCalGas and</w:t>
      </w:r>
      <w:r w:rsidR="001171A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SDG&amp;E customers who live in newer energy efficient homes. Please provide the basis to</w:t>
      </w:r>
      <w:r w:rsidR="001171A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support your response.</w:t>
      </w:r>
    </w:p>
    <w:p w:rsidR="008F3FF5" w:rsidRDefault="008F3FF5" w:rsidP="008F3FF5">
      <w:pPr>
        <w:rPr>
          <w:rFonts w:ascii="Arial" w:hAnsi="Arial" w:cs="Arial"/>
        </w:rPr>
      </w:pP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(d) In reference to the above statements, please indicate the proportion of SoCalGas and</w:t>
      </w:r>
      <w:r w:rsidR="001171A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SDG&amp;E customers who live in cooler environments inland. Please provide the basis to</w:t>
      </w:r>
      <w:r w:rsidR="001171A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support your response.</w:t>
      </w:r>
    </w:p>
    <w:p w:rsidR="008F3FF5" w:rsidRDefault="008F3FF5" w:rsidP="008F3FF5">
      <w:pPr>
        <w:rPr>
          <w:rFonts w:ascii="Arial" w:hAnsi="Arial" w:cs="Arial"/>
        </w:rPr>
      </w:pP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(e) In reference to the above statements, please indicate the proportion of SoCalGas and</w:t>
      </w:r>
      <w:r w:rsidR="001171A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SDG&amp;E customers who live in more temperate environments along the coast.</w:t>
      </w:r>
    </w:p>
    <w:p w:rsidR="008F3FF5" w:rsidRDefault="008F3FF5" w:rsidP="008F3FF5">
      <w:pPr>
        <w:rPr>
          <w:rFonts w:ascii="Arial" w:hAnsi="Arial" w:cs="Arial"/>
        </w:rPr>
      </w:pPr>
    </w:p>
    <w:p w:rsidR="00582C14" w:rsidRPr="0031141C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(f) In reference to the above statements, do SoCalGas and SDG&amp;E assert that intra-class</w:t>
      </w:r>
      <w:r w:rsidR="001171A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subsidy currently exists? If so, then please provide the estimated intra-class cross subsidy</w:t>
      </w:r>
      <w:r w:rsidR="001171A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with respect to both SoCalGas and SDG&amp;E.</w:t>
      </w:r>
    </w:p>
    <w:p w:rsidR="00F67377" w:rsidRPr="0031141C" w:rsidRDefault="00F67377" w:rsidP="00F67377">
      <w:pPr>
        <w:rPr>
          <w:rFonts w:ascii="Arial" w:hAnsi="Arial" w:cs="Arial"/>
        </w:rPr>
      </w:pPr>
    </w:p>
    <w:p w:rsidR="008F3FF5" w:rsidRDefault="008F3FF5" w:rsidP="00F67377">
      <w:pPr>
        <w:rPr>
          <w:rFonts w:ascii="Arial" w:hAnsi="Arial" w:cs="Arial"/>
          <w:b/>
          <w:u w:val="single"/>
        </w:rPr>
      </w:pPr>
    </w:p>
    <w:p w:rsidR="00F67377" w:rsidRPr="00F759E8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RESPONSE </w:t>
      </w:r>
      <w:r>
        <w:rPr>
          <w:rFonts w:ascii="Arial" w:hAnsi="Arial" w:cs="Arial"/>
          <w:b/>
          <w:u w:val="single"/>
        </w:rPr>
        <w:t>7</w:t>
      </w:r>
      <w:r w:rsidRPr="00F759E8">
        <w:rPr>
          <w:rFonts w:ascii="Arial" w:hAnsi="Arial" w:cs="Arial"/>
          <w:b/>
          <w:u w:val="single"/>
        </w:rPr>
        <w:t>:</w:t>
      </w:r>
    </w:p>
    <w:p w:rsidR="00F67377" w:rsidRDefault="00F67377" w:rsidP="005C6E7A">
      <w:pPr>
        <w:rPr>
          <w:rFonts w:ascii="Arial" w:hAnsi="Arial" w:cs="Arial"/>
          <w:sz w:val="28"/>
          <w:szCs w:val="28"/>
        </w:rPr>
      </w:pPr>
    </w:p>
    <w:p w:rsidR="00F67377" w:rsidRPr="001171A6" w:rsidRDefault="001171A6" w:rsidP="00D012A4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proofErr w:type="spellStart"/>
      <w:r>
        <w:rPr>
          <w:rFonts w:ascii="Arial" w:hAnsi="Arial" w:cs="Arial"/>
        </w:rPr>
        <w:t>Bonnett’s</w:t>
      </w:r>
      <w:proofErr w:type="spellEnd"/>
      <w:r>
        <w:rPr>
          <w:rFonts w:ascii="Arial" w:hAnsi="Arial" w:cs="Arial"/>
        </w:rPr>
        <w:t xml:space="preserve"> testimony</w:t>
      </w:r>
      <w:r w:rsidR="00D012A4" w:rsidRPr="001171A6">
        <w:rPr>
          <w:rFonts w:ascii="Arial" w:hAnsi="Arial" w:cs="Arial"/>
        </w:rPr>
        <w:t xml:space="preserve"> was intended to be a general statement regarding the potentia</w:t>
      </w:r>
      <w:r w:rsidR="007F3867" w:rsidRPr="001171A6">
        <w:rPr>
          <w:rFonts w:ascii="Arial" w:hAnsi="Arial" w:cs="Arial"/>
        </w:rPr>
        <w:t xml:space="preserve">l inequities of a </w:t>
      </w:r>
      <w:r w:rsidR="00D012A4" w:rsidRPr="001171A6">
        <w:rPr>
          <w:rFonts w:ascii="Arial" w:hAnsi="Arial" w:cs="Arial"/>
        </w:rPr>
        <w:t xml:space="preserve">residential customer’s geographic location and age of their home.  </w:t>
      </w:r>
      <w:r w:rsidR="003D6C99" w:rsidRPr="001171A6">
        <w:rPr>
          <w:rFonts w:ascii="Arial" w:hAnsi="Arial" w:cs="Arial"/>
        </w:rPr>
        <w:t xml:space="preserve">As an </w:t>
      </w:r>
      <w:r w:rsidR="003D6C99" w:rsidRPr="001171A6">
        <w:rPr>
          <w:rFonts w:ascii="Arial" w:hAnsi="Arial" w:cs="Arial"/>
        </w:rPr>
        <w:lastRenderedPageBreak/>
        <w:t>example, the two tables below show the 5-year history comparing annual heating degree days (HDD</w:t>
      </w:r>
      <w:r w:rsidR="000A025A" w:rsidRPr="001171A6">
        <w:rPr>
          <w:rFonts w:ascii="Arial" w:hAnsi="Arial" w:cs="Arial"/>
        </w:rPr>
        <w:t>s</w:t>
      </w:r>
      <w:r w:rsidR="003D6C99" w:rsidRPr="001171A6">
        <w:rPr>
          <w:rFonts w:ascii="Arial" w:hAnsi="Arial" w:cs="Arial"/>
        </w:rPr>
        <w:t xml:space="preserve">) for the “Inland” vs “Coastal” service areas.  </w:t>
      </w:r>
      <w:r w:rsidR="00406302" w:rsidRPr="001171A6">
        <w:rPr>
          <w:rFonts w:ascii="Arial" w:hAnsi="Arial" w:cs="Arial"/>
        </w:rPr>
        <w:t>HDD</w:t>
      </w:r>
      <w:r w:rsidR="000A025A" w:rsidRPr="001171A6">
        <w:rPr>
          <w:rFonts w:ascii="Arial" w:hAnsi="Arial" w:cs="Arial"/>
        </w:rPr>
        <w:t>s</w:t>
      </w:r>
      <w:r w:rsidR="00406302" w:rsidRPr="001171A6">
        <w:rPr>
          <w:rFonts w:ascii="Arial" w:hAnsi="Arial" w:cs="Arial"/>
        </w:rPr>
        <w:t xml:space="preserve"> </w:t>
      </w:r>
      <w:r w:rsidR="00BD67C3" w:rsidRPr="001171A6">
        <w:rPr>
          <w:rFonts w:ascii="Arial" w:hAnsi="Arial" w:cs="Arial"/>
        </w:rPr>
        <w:t xml:space="preserve">drive the gas heating demand during cold days in winter months. </w:t>
      </w:r>
      <w:r w:rsidR="00D62478" w:rsidRPr="001171A6">
        <w:rPr>
          <w:rFonts w:ascii="Arial" w:hAnsi="Arial" w:cs="Arial"/>
        </w:rPr>
        <w:t xml:space="preserve"> </w:t>
      </w:r>
      <w:r w:rsidR="00406302" w:rsidRPr="001171A6">
        <w:rPr>
          <w:rFonts w:ascii="Arial" w:hAnsi="Arial" w:cs="Arial"/>
        </w:rPr>
        <w:t>Specifically, an HDD is t</w:t>
      </w:r>
      <w:r w:rsidR="00406302" w:rsidRPr="001171A6">
        <w:rPr>
          <w:rFonts w:ascii="Arial" w:hAnsi="Arial" w:cs="Arial"/>
          <w:color w:val="222222"/>
          <w:shd w:val="clear" w:color="auto" w:fill="FFFFFF"/>
        </w:rPr>
        <w:t>he number of</w:t>
      </w:r>
      <w:r w:rsidR="00406302" w:rsidRPr="001171A6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406302" w:rsidRPr="001171A6">
        <w:rPr>
          <w:rFonts w:ascii="Arial" w:hAnsi="Arial" w:cs="Arial"/>
          <w:bCs/>
          <w:color w:val="222222"/>
          <w:shd w:val="clear" w:color="auto" w:fill="FFFFFF"/>
        </w:rPr>
        <w:t xml:space="preserve">degrees </w:t>
      </w:r>
      <w:r w:rsidR="00406302" w:rsidRPr="001171A6">
        <w:rPr>
          <w:rFonts w:ascii="Arial" w:hAnsi="Arial" w:cs="Arial"/>
          <w:color w:val="222222"/>
          <w:shd w:val="clear" w:color="auto" w:fill="FFFFFF"/>
        </w:rPr>
        <w:t>that a</w:t>
      </w:r>
      <w:r w:rsidR="00406302" w:rsidRPr="001171A6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406302" w:rsidRPr="001171A6">
        <w:rPr>
          <w:rFonts w:ascii="Arial" w:hAnsi="Arial" w:cs="Arial"/>
          <w:bCs/>
          <w:color w:val="222222"/>
          <w:shd w:val="clear" w:color="auto" w:fill="FFFFFF"/>
        </w:rPr>
        <w:t>day's</w:t>
      </w:r>
      <w:r w:rsidR="00406302" w:rsidRPr="001171A6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406302" w:rsidRPr="001171A6">
        <w:rPr>
          <w:rFonts w:ascii="Arial" w:hAnsi="Arial" w:cs="Arial"/>
          <w:color w:val="222222"/>
          <w:shd w:val="clear" w:color="auto" w:fill="FFFFFF"/>
        </w:rPr>
        <w:t>average temperature is below 65</w:t>
      </w:r>
      <w:r w:rsidR="00406302" w:rsidRPr="001171A6">
        <w:rPr>
          <w:rFonts w:ascii="Arial" w:hAnsi="Arial" w:cs="Arial"/>
          <w:color w:val="222222"/>
          <w:shd w:val="clear" w:color="auto" w:fill="FFFFFF"/>
          <w:vertAlign w:val="superscript"/>
        </w:rPr>
        <w:t>o</w:t>
      </w:r>
      <w:r w:rsidR="00406302" w:rsidRPr="001171A6">
        <w:rPr>
          <w:rFonts w:ascii="Arial" w:hAnsi="Arial" w:cs="Arial"/>
          <w:color w:val="222222"/>
          <w:shd w:val="clear" w:color="auto" w:fill="FFFFFF"/>
        </w:rPr>
        <w:t>Fahrenheit.</w:t>
      </w:r>
      <w:r w:rsidR="00CF5008" w:rsidRPr="001171A6">
        <w:rPr>
          <w:rStyle w:val="apple-converted-space"/>
          <w:rFonts w:ascii="Arial" w:hAnsi="Arial" w:cs="Arial"/>
          <w:color w:val="222222"/>
          <w:shd w:val="clear" w:color="auto" w:fill="FFFFFF"/>
        </w:rPr>
        <w:t xml:space="preserve">  Thus, the higher number of HDD the lower the average daily temperature.</w:t>
      </w:r>
    </w:p>
    <w:p w:rsidR="003D6C99" w:rsidRDefault="003D6C99" w:rsidP="003D6C99">
      <w:pPr>
        <w:pStyle w:val="ListParagraph"/>
        <w:ind w:left="108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620"/>
        <w:gridCol w:w="1788"/>
        <w:gridCol w:w="1390"/>
      </w:tblGrid>
      <w:tr w:rsidR="003D6C99" w:rsidRPr="007847DE" w:rsidTr="00F61C58">
        <w:trPr>
          <w:trHeight w:val="255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  <w:b/>
                <w:bCs/>
              </w:rPr>
            </w:pPr>
            <w:r w:rsidRPr="007847DE"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  <w:b/>
                <w:bCs/>
              </w:rPr>
            </w:pPr>
            <w:r w:rsidRPr="007847DE">
              <w:rPr>
                <w:rFonts w:ascii="Arial" w:hAnsi="Arial" w:cs="Arial"/>
                <w:b/>
                <w:bCs/>
              </w:rPr>
              <w:t>SCG</w:t>
            </w:r>
          </w:p>
          <w:p w:rsidR="003D6C99" w:rsidRPr="007847DE" w:rsidRDefault="003D6C99" w:rsidP="00F61C58">
            <w:pPr>
              <w:jc w:val="center"/>
              <w:rPr>
                <w:rFonts w:ascii="Arial" w:hAnsi="Arial" w:cs="Arial"/>
                <w:b/>
                <w:bCs/>
              </w:rPr>
            </w:pPr>
            <w:r w:rsidRPr="007847DE">
              <w:rPr>
                <w:rFonts w:ascii="Arial" w:hAnsi="Arial" w:cs="Arial"/>
                <w:b/>
                <w:bCs/>
              </w:rPr>
              <w:t>Inland HDD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  <w:b/>
                <w:bCs/>
              </w:rPr>
            </w:pPr>
            <w:r w:rsidRPr="007847DE">
              <w:rPr>
                <w:rFonts w:ascii="Arial" w:hAnsi="Arial" w:cs="Arial"/>
                <w:b/>
                <w:bCs/>
              </w:rPr>
              <w:t>SCG</w:t>
            </w:r>
          </w:p>
          <w:p w:rsidR="003D6C99" w:rsidRPr="007847DE" w:rsidRDefault="003D6C99" w:rsidP="00F61C58">
            <w:pPr>
              <w:jc w:val="center"/>
              <w:rPr>
                <w:rFonts w:ascii="Arial" w:hAnsi="Arial" w:cs="Arial"/>
                <w:b/>
                <w:bCs/>
              </w:rPr>
            </w:pPr>
            <w:r w:rsidRPr="007847DE">
              <w:rPr>
                <w:rFonts w:ascii="Arial" w:hAnsi="Arial" w:cs="Arial"/>
                <w:b/>
                <w:bCs/>
              </w:rPr>
              <w:t>Coastal HDD</w:t>
            </w:r>
          </w:p>
        </w:tc>
        <w:tc>
          <w:tcPr>
            <w:tcW w:w="1390" w:type="dxa"/>
            <w:shd w:val="clear" w:color="auto" w:fill="auto"/>
            <w:vAlign w:val="bottom"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  <w:b/>
                <w:bCs/>
              </w:rPr>
            </w:pPr>
            <w:r w:rsidRPr="007847DE">
              <w:rPr>
                <w:rFonts w:ascii="Arial" w:hAnsi="Arial" w:cs="Arial"/>
                <w:b/>
                <w:bCs/>
              </w:rPr>
              <w:t>Difference (%)</w:t>
            </w:r>
          </w:p>
        </w:tc>
      </w:tr>
      <w:tr w:rsidR="003D6C99" w:rsidRPr="007847DE" w:rsidTr="00F61C58">
        <w:trPr>
          <w:trHeight w:val="255"/>
          <w:jc w:val="center"/>
        </w:trPr>
        <w:tc>
          <w:tcPr>
            <w:tcW w:w="1306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2010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2,800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1,877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49%</w:t>
            </w:r>
          </w:p>
        </w:tc>
      </w:tr>
      <w:tr w:rsidR="003D6C99" w:rsidRPr="007847DE" w:rsidTr="00F61C58">
        <w:trPr>
          <w:trHeight w:val="255"/>
          <w:jc w:val="center"/>
        </w:trPr>
        <w:tc>
          <w:tcPr>
            <w:tcW w:w="1306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2011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3,030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1,950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55%</w:t>
            </w:r>
          </w:p>
        </w:tc>
      </w:tr>
      <w:tr w:rsidR="003D6C99" w:rsidRPr="007847DE" w:rsidTr="00F61C58">
        <w:trPr>
          <w:trHeight w:val="255"/>
          <w:jc w:val="center"/>
        </w:trPr>
        <w:tc>
          <w:tcPr>
            <w:tcW w:w="1306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2012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2,376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1,719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38%</w:t>
            </w:r>
          </w:p>
        </w:tc>
      </w:tr>
      <w:tr w:rsidR="003D6C99" w:rsidRPr="007847DE" w:rsidTr="00F61C58">
        <w:trPr>
          <w:trHeight w:val="255"/>
          <w:jc w:val="center"/>
        </w:trPr>
        <w:tc>
          <w:tcPr>
            <w:tcW w:w="1306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2013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2,548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1,545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65%</w:t>
            </w:r>
          </w:p>
        </w:tc>
      </w:tr>
      <w:tr w:rsidR="003D6C99" w:rsidRPr="007847DE" w:rsidTr="00F61C58">
        <w:trPr>
          <w:trHeight w:val="255"/>
          <w:jc w:val="center"/>
        </w:trPr>
        <w:tc>
          <w:tcPr>
            <w:tcW w:w="1306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2014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1,939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992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95%</w:t>
            </w:r>
          </w:p>
        </w:tc>
      </w:tr>
    </w:tbl>
    <w:p w:rsidR="003D6C99" w:rsidRDefault="003D6C99" w:rsidP="003D6C99">
      <w:pPr>
        <w:pStyle w:val="ListParagraph"/>
        <w:ind w:left="1080"/>
      </w:pPr>
    </w:p>
    <w:tbl>
      <w:tblPr>
        <w:tblW w:w="0" w:type="auto"/>
        <w:jc w:val="center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1620"/>
        <w:gridCol w:w="1795"/>
        <w:gridCol w:w="1390"/>
      </w:tblGrid>
      <w:tr w:rsidR="003D6C99" w:rsidRPr="007847DE" w:rsidTr="00F61C58">
        <w:trPr>
          <w:trHeight w:val="255"/>
          <w:jc w:val="center"/>
        </w:trPr>
        <w:tc>
          <w:tcPr>
            <w:tcW w:w="1313" w:type="dxa"/>
            <w:shd w:val="clear" w:color="auto" w:fill="auto"/>
            <w:vAlign w:val="bottom"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  <w:b/>
                <w:bCs/>
              </w:rPr>
            </w:pPr>
            <w:r w:rsidRPr="007847DE"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  <w:b/>
                <w:bCs/>
              </w:rPr>
            </w:pPr>
            <w:r w:rsidRPr="007847DE">
              <w:rPr>
                <w:rFonts w:ascii="Arial" w:hAnsi="Arial" w:cs="Arial"/>
                <w:b/>
                <w:bCs/>
              </w:rPr>
              <w:t>SDG&amp;E</w:t>
            </w:r>
          </w:p>
          <w:p w:rsidR="003D6C99" w:rsidRPr="007847DE" w:rsidRDefault="003D6C99" w:rsidP="00F61C58">
            <w:pPr>
              <w:jc w:val="center"/>
              <w:rPr>
                <w:rFonts w:ascii="Arial" w:hAnsi="Arial" w:cs="Arial"/>
                <w:b/>
                <w:bCs/>
              </w:rPr>
            </w:pPr>
            <w:r w:rsidRPr="007847DE">
              <w:rPr>
                <w:rFonts w:ascii="Arial" w:hAnsi="Arial" w:cs="Arial"/>
                <w:b/>
                <w:bCs/>
              </w:rPr>
              <w:t>Inland HDD</w:t>
            </w:r>
          </w:p>
        </w:tc>
        <w:tc>
          <w:tcPr>
            <w:tcW w:w="1795" w:type="dxa"/>
            <w:shd w:val="clear" w:color="auto" w:fill="auto"/>
            <w:vAlign w:val="bottom"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  <w:b/>
                <w:bCs/>
              </w:rPr>
            </w:pPr>
            <w:r w:rsidRPr="007847DE">
              <w:rPr>
                <w:rFonts w:ascii="Arial" w:hAnsi="Arial" w:cs="Arial"/>
                <w:b/>
                <w:bCs/>
              </w:rPr>
              <w:t>SDG&amp;E Coastal HDD</w:t>
            </w:r>
          </w:p>
        </w:tc>
        <w:tc>
          <w:tcPr>
            <w:tcW w:w="1390" w:type="dxa"/>
            <w:shd w:val="clear" w:color="auto" w:fill="auto"/>
            <w:vAlign w:val="bottom"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  <w:b/>
                <w:bCs/>
              </w:rPr>
            </w:pPr>
            <w:r w:rsidRPr="007847DE">
              <w:rPr>
                <w:rFonts w:ascii="Arial" w:hAnsi="Arial" w:cs="Arial"/>
                <w:b/>
                <w:bCs/>
              </w:rPr>
              <w:t>Difference (%)</w:t>
            </w:r>
          </w:p>
        </w:tc>
      </w:tr>
      <w:tr w:rsidR="003D6C99" w:rsidRPr="007847DE" w:rsidTr="00F61C58">
        <w:trPr>
          <w:trHeight w:val="255"/>
          <w:jc w:val="center"/>
        </w:trPr>
        <w:tc>
          <w:tcPr>
            <w:tcW w:w="1313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2010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2,307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1,925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20%</w:t>
            </w:r>
          </w:p>
        </w:tc>
      </w:tr>
      <w:tr w:rsidR="003D6C99" w:rsidRPr="007847DE" w:rsidTr="00F61C58">
        <w:trPr>
          <w:trHeight w:val="255"/>
          <w:jc w:val="center"/>
        </w:trPr>
        <w:tc>
          <w:tcPr>
            <w:tcW w:w="1313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2011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2,455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1,854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32%</w:t>
            </w:r>
          </w:p>
        </w:tc>
      </w:tr>
      <w:tr w:rsidR="003D6C99" w:rsidRPr="007847DE" w:rsidTr="00F61C58">
        <w:trPr>
          <w:trHeight w:val="255"/>
          <w:jc w:val="center"/>
        </w:trPr>
        <w:tc>
          <w:tcPr>
            <w:tcW w:w="1313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2012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2,013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1,804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12%</w:t>
            </w:r>
          </w:p>
        </w:tc>
      </w:tr>
      <w:tr w:rsidR="003D6C99" w:rsidRPr="007847DE" w:rsidTr="00F61C58">
        <w:trPr>
          <w:trHeight w:val="255"/>
          <w:jc w:val="center"/>
        </w:trPr>
        <w:tc>
          <w:tcPr>
            <w:tcW w:w="1313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2013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2,080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1,729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20%</w:t>
            </w:r>
          </w:p>
        </w:tc>
      </w:tr>
      <w:tr w:rsidR="003D6C99" w:rsidRPr="007847DE" w:rsidTr="00F61C58">
        <w:trPr>
          <w:trHeight w:val="255"/>
          <w:jc w:val="center"/>
        </w:trPr>
        <w:tc>
          <w:tcPr>
            <w:tcW w:w="1313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2014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1,233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865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D6C99" w:rsidRPr="007847DE" w:rsidRDefault="003D6C99" w:rsidP="00F61C58">
            <w:pPr>
              <w:jc w:val="center"/>
              <w:rPr>
                <w:rFonts w:ascii="Arial" w:hAnsi="Arial" w:cs="Arial"/>
              </w:rPr>
            </w:pPr>
            <w:r w:rsidRPr="007847DE">
              <w:rPr>
                <w:rFonts w:ascii="Arial" w:hAnsi="Arial" w:cs="Arial"/>
              </w:rPr>
              <w:t>43%</w:t>
            </w:r>
          </w:p>
        </w:tc>
      </w:tr>
    </w:tbl>
    <w:p w:rsidR="00814510" w:rsidRDefault="00814510" w:rsidP="00D012A4">
      <w:pPr>
        <w:pStyle w:val="ListParagraph"/>
        <w:ind w:left="1080"/>
      </w:pPr>
    </w:p>
    <w:p w:rsidR="00D012A4" w:rsidRPr="001171A6" w:rsidRDefault="00814510" w:rsidP="00D012A4">
      <w:pPr>
        <w:pStyle w:val="ListParagraph"/>
        <w:ind w:left="1080"/>
        <w:rPr>
          <w:rFonts w:ascii="Arial" w:hAnsi="Arial" w:cs="Arial"/>
        </w:rPr>
      </w:pPr>
      <w:r w:rsidRPr="001171A6">
        <w:rPr>
          <w:rFonts w:ascii="Arial" w:hAnsi="Arial" w:cs="Arial"/>
        </w:rPr>
        <w:t xml:space="preserve">As the </w:t>
      </w:r>
      <w:r w:rsidR="006F6773" w:rsidRPr="001171A6">
        <w:rPr>
          <w:rFonts w:ascii="Arial" w:hAnsi="Arial" w:cs="Arial"/>
        </w:rPr>
        <w:t xml:space="preserve">tables </w:t>
      </w:r>
      <w:r w:rsidR="003A3913" w:rsidRPr="001171A6">
        <w:rPr>
          <w:rFonts w:ascii="Arial" w:hAnsi="Arial" w:cs="Arial"/>
        </w:rPr>
        <w:t xml:space="preserve">above </w:t>
      </w:r>
      <w:r w:rsidRPr="001171A6">
        <w:rPr>
          <w:rFonts w:ascii="Arial" w:hAnsi="Arial" w:cs="Arial"/>
        </w:rPr>
        <w:t>clearly s</w:t>
      </w:r>
      <w:r w:rsidR="00AF2896" w:rsidRPr="001171A6">
        <w:rPr>
          <w:rFonts w:ascii="Arial" w:hAnsi="Arial" w:cs="Arial"/>
        </w:rPr>
        <w:t xml:space="preserve">how, </w:t>
      </w:r>
      <w:r w:rsidR="00AA2736" w:rsidRPr="001171A6">
        <w:rPr>
          <w:rFonts w:ascii="Arial" w:hAnsi="Arial" w:cs="Arial"/>
        </w:rPr>
        <w:t xml:space="preserve">customers in </w:t>
      </w:r>
      <w:r w:rsidR="00AF2896" w:rsidRPr="001171A6">
        <w:rPr>
          <w:rFonts w:ascii="Arial" w:hAnsi="Arial" w:cs="Arial"/>
        </w:rPr>
        <w:t xml:space="preserve">the “Inland” area </w:t>
      </w:r>
      <w:r w:rsidR="00AA2736" w:rsidRPr="001171A6">
        <w:rPr>
          <w:rFonts w:ascii="Arial" w:hAnsi="Arial" w:cs="Arial"/>
        </w:rPr>
        <w:t>require more natural gas to heat their homes</w:t>
      </w:r>
      <w:r w:rsidR="001171A6">
        <w:rPr>
          <w:rFonts w:ascii="Arial" w:hAnsi="Arial" w:cs="Arial"/>
        </w:rPr>
        <w:t>,</w:t>
      </w:r>
      <w:r w:rsidR="00AF2896" w:rsidRPr="001171A6">
        <w:rPr>
          <w:rFonts w:ascii="Arial" w:hAnsi="Arial" w:cs="Arial"/>
        </w:rPr>
        <w:t xml:space="preserve"> and therefore</w:t>
      </w:r>
      <w:r w:rsidR="00AA2736" w:rsidRPr="001171A6">
        <w:rPr>
          <w:rFonts w:ascii="Arial" w:hAnsi="Arial" w:cs="Arial"/>
        </w:rPr>
        <w:t xml:space="preserve">, with all </w:t>
      </w:r>
      <w:r w:rsidR="001171A6">
        <w:rPr>
          <w:rFonts w:ascii="Arial" w:hAnsi="Arial" w:cs="Arial"/>
        </w:rPr>
        <w:t xml:space="preserve">other </w:t>
      </w:r>
      <w:r w:rsidR="00AA2736" w:rsidRPr="001171A6">
        <w:rPr>
          <w:rFonts w:ascii="Arial" w:hAnsi="Arial" w:cs="Arial"/>
        </w:rPr>
        <w:t>things being equal, pay</w:t>
      </w:r>
      <w:r w:rsidR="00AF2896" w:rsidRPr="001171A6">
        <w:rPr>
          <w:rFonts w:ascii="Arial" w:hAnsi="Arial" w:cs="Arial"/>
        </w:rPr>
        <w:t xml:space="preserve"> more </w:t>
      </w:r>
      <w:r w:rsidR="00AA2736" w:rsidRPr="001171A6">
        <w:rPr>
          <w:rFonts w:ascii="Arial" w:hAnsi="Arial" w:cs="Arial"/>
        </w:rPr>
        <w:t>t</w:t>
      </w:r>
      <w:r w:rsidR="00AF2896" w:rsidRPr="001171A6">
        <w:rPr>
          <w:rFonts w:ascii="Arial" w:hAnsi="Arial" w:cs="Arial"/>
        </w:rPr>
        <w:t xml:space="preserve">o heat </w:t>
      </w:r>
      <w:r w:rsidR="001171A6">
        <w:rPr>
          <w:rFonts w:ascii="Arial" w:hAnsi="Arial" w:cs="Arial"/>
        </w:rPr>
        <w:t>their</w:t>
      </w:r>
      <w:r w:rsidR="00AF2896" w:rsidRPr="001171A6">
        <w:rPr>
          <w:rFonts w:ascii="Arial" w:hAnsi="Arial" w:cs="Arial"/>
        </w:rPr>
        <w:t xml:space="preserve"> home during the winter </w:t>
      </w:r>
      <w:r w:rsidR="00AA2736" w:rsidRPr="001171A6">
        <w:rPr>
          <w:rFonts w:ascii="Arial" w:hAnsi="Arial" w:cs="Arial"/>
        </w:rPr>
        <w:t>season than</w:t>
      </w:r>
      <w:r w:rsidR="00AF2896" w:rsidRPr="001171A6">
        <w:rPr>
          <w:rFonts w:ascii="Arial" w:hAnsi="Arial" w:cs="Arial"/>
        </w:rPr>
        <w:t xml:space="preserve"> a similar h</w:t>
      </w:r>
      <w:r w:rsidR="00AA2736" w:rsidRPr="001171A6">
        <w:rPr>
          <w:rFonts w:ascii="Arial" w:hAnsi="Arial" w:cs="Arial"/>
        </w:rPr>
        <w:t xml:space="preserve">ome </w:t>
      </w:r>
      <w:r w:rsidR="003A3913" w:rsidRPr="001171A6">
        <w:rPr>
          <w:rFonts w:ascii="Arial" w:hAnsi="Arial" w:cs="Arial"/>
        </w:rPr>
        <w:t>located in a</w:t>
      </w:r>
      <w:r w:rsidR="00AA2736" w:rsidRPr="001171A6">
        <w:rPr>
          <w:rFonts w:ascii="Arial" w:hAnsi="Arial" w:cs="Arial"/>
        </w:rPr>
        <w:t xml:space="preserve"> “Coastal” area.  Th</w:t>
      </w:r>
      <w:r w:rsidR="003A3913" w:rsidRPr="001171A6">
        <w:rPr>
          <w:rFonts w:ascii="Arial" w:hAnsi="Arial" w:cs="Arial"/>
        </w:rPr>
        <w:t>us</w:t>
      </w:r>
      <w:r w:rsidR="00AF2896" w:rsidRPr="001171A6">
        <w:rPr>
          <w:rFonts w:ascii="Arial" w:hAnsi="Arial" w:cs="Arial"/>
        </w:rPr>
        <w:t>, geographic location of a home does impact how much natural gas is used for space heating</w:t>
      </w:r>
      <w:r w:rsidR="00AA2736" w:rsidRPr="001171A6">
        <w:rPr>
          <w:rFonts w:ascii="Arial" w:hAnsi="Arial" w:cs="Arial"/>
        </w:rPr>
        <w:t>.  A</w:t>
      </w:r>
      <w:r w:rsidR="00AF2896" w:rsidRPr="001171A6">
        <w:rPr>
          <w:rFonts w:ascii="Arial" w:hAnsi="Arial" w:cs="Arial"/>
        </w:rPr>
        <w:t xml:space="preserve"> customer living inland </w:t>
      </w:r>
      <w:r w:rsidR="00AA2736" w:rsidRPr="001171A6">
        <w:rPr>
          <w:rFonts w:ascii="Arial" w:hAnsi="Arial" w:cs="Arial"/>
        </w:rPr>
        <w:t>would use more gas and</w:t>
      </w:r>
      <w:r w:rsidR="00AF2896" w:rsidRPr="001171A6">
        <w:rPr>
          <w:rFonts w:ascii="Arial" w:hAnsi="Arial" w:cs="Arial"/>
        </w:rPr>
        <w:t xml:space="preserve"> subsidize the usage of an identical home located in the coastal environment.</w:t>
      </w:r>
    </w:p>
    <w:p w:rsidR="00032E42" w:rsidRPr="00D012A4" w:rsidRDefault="00032E42" w:rsidP="00D012A4">
      <w:pPr>
        <w:pStyle w:val="ListParagraph"/>
        <w:ind w:left="1080"/>
      </w:pPr>
    </w:p>
    <w:p w:rsidR="00032E42" w:rsidRPr="00032E42" w:rsidRDefault="00422110" w:rsidP="00032E42">
      <w:pPr>
        <w:ind w:left="720" w:hanging="720"/>
      </w:pPr>
      <w:r>
        <w:rPr>
          <w:b/>
        </w:rPr>
        <w:t>b)</w:t>
      </w:r>
      <w:r w:rsidR="00032E42">
        <w:rPr>
          <w:b/>
        </w:rPr>
        <w:tab/>
      </w:r>
      <w:r w:rsidR="00032E42" w:rsidRPr="001171A6">
        <w:rPr>
          <w:rFonts w:ascii="Arial" w:hAnsi="Arial" w:cs="Arial"/>
          <w:b/>
        </w:rPr>
        <w:t>SoCalGas:</w:t>
      </w:r>
      <w:r w:rsidR="00032E42" w:rsidRPr="001171A6">
        <w:rPr>
          <w:rFonts w:ascii="Arial" w:hAnsi="Arial" w:cs="Arial"/>
        </w:rPr>
        <w:t xml:space="preserve"> The </w:t>
      </w:r>
      <w:r w:rsidR="00BD67C3" w:rsidRPr="001171A6">
        <w:rPr>
          <w:rFonts w:ascii="Arial" w:hAnsi="Arial" w:cs="Arial"/>
        </w:rPr>
        <w:t xml:space="preserve">table </w:t>
      </w:r>
      <w:r w:rsidR="00032E42" w:rsidRPr="001171A6">
        <w:rPr>
          <w:rFonts w:ascii="Arial" w:hAnsi="Arial" w:cs="Arial"/>
        </w:rPr>
        <w:t>below list</w:t>
      </w:r>
      <w:r w:rsidR="001171A6">
        <w:rPr>
          <w:rFonts w:ascii="Arial" w:hAnsi="Arial" w:cs="Arial"/>
        </w:rPr>
        <w:t>s</w:t>
      </w:r>
      <w:r w:rsidR="00032E42" w:rsidRPr="001171A6">
        <w:rPr>
          <w:rFonts w:ascii="Arial" w:hAnsi="Arial" w:cs="Arial"/>
        </w:rPr>
        <w:t xml:space="preserve"> the percentage of SoCalGas residential customers with meters of various vintages. These are proxies for the vintages of the homes of the customers.</w:t>
      </w:r>
    </w:p>
    <w:p w:rsidR="00032E42" w:rsidRPr="00032E42" w:rsidRDefault="00032E42" w:rsidP="00032E42"/>
    <w:tbl>
      <w:tblPr>
        <w:tblW w:w="0" w:type="auto"/>
        <w:jc w:val="center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448"/>
        <w:gridCol w:w="2448"/>
      </w:tblGrid>
      <w:tr w:rsidR="00032E42" w:rsidRPr="00032E42" w:rsidTr="00F61C58">
        <w:trPr>
          <w:trHeight w:val="864"/>
          <w:jc w:val="center"/>
        </w:trPr>
        <w:tc>
          <w:tcPr>
            <w:tcW w:w="2502" w:type="dxa"/>
            <w:shd w:val="clear" w:color="auto" w:fill="auto"/>
            <w:vAlign w:val="bottom"/>
            <w:hideMark/>
          </w:tcPr>
          <w:p w:rsidR="00032E42" w:rsidRPr="00032E42" w:rsidRDefault="00032E42" w:rsidP="00F61C58">
            <w:pPr>
              <w:jc w:val="center"/>
              <w:rPr>
                <w:b/>
                <w:bCs/>
              </w:rPr>
            </w:pPr>
            <w:r w:rsidRPr="00032E42">
              <w:rPr>
                <w:b/>
                <w:bCs/>
              </w:rPr>
              <w:t>2014 Meter Count: pre-78 customers</w:t>
            </w:r>
          </w:p>
        </w:tc>
        <w:tc>
          <w:tcPr>
            <w:tcW w:w="2448" w:type="dxa"/>
            <w:shd w:val="clear" w:color="auto" w:fill="auto"/>
            <w:vAlign w:val="bottom"/>
            <w:hideMark/>
          </w:tcPr>
          <w:p w:rsidR="00032E42" w:rsidRPr="00032E42" w:rsidRDefault="00032E42" w:rsidP="00F61C58">
            <w:pPr>
              <w:jc w:val="center"/>
              <w:rPr>
                <w:b/>
                <w:bCs/>
              </w:rPr>
            </w:pPr>
            <w:r w:rsidRPr="00032E42">
              <w:rPr>
                <w:b/>
                <w:bCs/>
              </w:rPr>
              <w:t>2014 Meter Count: post-77 till "new" customers</w:t>
            </w:r>
          </w:p>
        </w:tc>
        <w:tc>
          <w:tcPr>
            <w:tcW w:w="2448" w:type="dxa"/>
            <w:shd w:val="clear" w:color="auto" w:fill="auto"/>
            <w:vAlign w:val="bottom"/>
            <w:hideMark/>
          </w:tcPr>
          <w:p w:rsidR="00032E42" w:rsidRPr="00032E42" w:rsidRDefault="00032E42" w:rsidP="00F61C58">
            <w:pPr>
              <w:jc w:val="center"/>
              <w:rPr>
                <w:b/>
                <w:bCs/>
              </w:rPr>
            </w:pPr>
            <w:r w:rsidRPr="00032E42">
              <w:rPr>
                <w:b/>
                <w:bCs/>
              </w:rPr>
              <w:t>2014 Meter Count: New Customers</w:t>
            </w:r>
          </w:p>
        </w:tc>
      </w:tr>
      <w:tr w:rsidR="00032E42" w:rsidRPr="00032E42" w:rsidTr="00F61C58">
        <w:trPr>
          <w:trHeight w:val="288"/>
          <w:jc w:val="center"/>
        </w:trPr>
        <w:tc>
          <w:tcPr>
            <w:tcW w:w="2502" w:type="dxa"/>
            <w:shd w:val="clear" w:color="auto" w:fill="auto"/>
            <w:noWrap/>
            <w:vAlign w:val="center"/>
            <w:hideMark/>
          </w:tcPr>
          <w:p w:rsidR="00032E42" w:rsidRPr="00032E42" w:rsidRDefault="00032E42" w:rsidP="00F61C58">
            <w:pPr>
              <w:jc w:val="center"/>
            </w:pPr>
            <w:r w:rsidRPr="00032E42">
              <w:t>65.4%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032E42" w:rsidRPr="00032E42" w:rsidRDefault="00032E42" w:rsidP="00F61C58">
            <w:pPr>
              <w:jc w:val="center"/>
            </w:pPr>
            <w:r w:rsidRPr="00032E42">
              <w:t>34.1%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032E42" w:rsidRPr="00032E42" w:rsidRDefault="00032E42" w:rsidP="00F61C58">
            <w:pPr>
              <w:jc w:val="center"/>
            </w:pPr>
            <w:r w:rsidRPr="00032E42">
              <w:t>0.4%</w:t>
            </w:r>
          </w:p>
        </w:tc>
      </w:tr>
    </w:tbl>
    <w:p w:rsidR="00032E42" w:rsidRPr="00032E42" w:rsidRDefault="00032E42" w:rsidP="00032E42">
      <w:pPr>
        <w:jc w:val="center"/>
      </w:pPr>
    </w:p>
    <w:p w:rsidR="001171A6" w:rsidRDefault="001171A6" w:rsidP="00032E42">
      <w:pPr>
        <w:ind w:left="720"/>
        <w:rPr>
          <w:rFonts w:ascii="Arial" w:hAnsi="Arial" w:cs="Arial"/>
          <w:b/>
        </w:rPr>
      </w:pPr>
    </w:p>
    <w:p w:rsidR="001171A6" w:rsidRDefault="001171A6" w:rsidP="00032E42">
      <w:pPr>
        <w:ind w:left="720"/>
        <w:rPr>
          <w:rFonts w:ascii="Arial" w:hAnsi="Arial" w:cs="Arial"/>
          <w:b/>
        </w:rPr>
      </w:pPr>
    </w:p>
    <w:p w:rsidR="001171A6" w:rsidRDefault="001171A6" w:rsidP="00032E42">
      <w:pPr>
        <w:ind w:left="720"/>
        <w:rPr>
          <w:rFonts w:ascii="Arial" w:hAnsi="Arial" w:cs="Arial"/>
          <w:b/>
        </w:rPr>
      </w:pPr>
    </w:p>
    <w:p w:rsidR="001171A6" w:rsidRDefault="001171A6" w:rsidP="00032E42">
      <w:pPr>
        <w:ind w:left="720"/>
        <w:rPr>
          <w:rFonts w:ascii="Arial" w:hAnsi="Arial" w:cs="Arial"/>
          <w:b/>
        </w:rPr>
      </w:pPr>
    </w:p>
    <w:p w:rsidR="00032E42" w:rsidRPr="001171A6" w:rsidRDefault="00032E42" w:rsidP="00032E42">
      <w:pPr>
        <w:ind w:left="720"/>
        <w:rPr>
          <w:rFonts w:ascii="Arial" w:hAnsi="Arial" w:cs="Arial"/>
        </w:rPr>
      </w:pPr>
      <w:r w:rsidRPr="001171A6">
        <w:rPr>
          <w:rFonts w:ascii="Arial" w:hAnsi="Arial" w:cs="Arial"/>
          <w:b/>
        </w:rPr>
        <w:t>SDG&amp;E:</w:t>
      </w:r>
      <w:r w:rsidRPr="001171A6">
        <w:rPr>
          <w:rFonts w:ascii="Arial" w:hAnsi="Arial" w:cs="Arial"/>
        </w:rPr>
        <w:t xml:space="preserve"> The </w:t>
      </w:r>
      <w:r w:rsidR="00BD67C3" w:rsidRPr="001171A6">
        <w:rPr>
          <w:rFonts w:ascii="Arial" w:hAnsi="Arial" w:cs="Arial"/>
        </w:rPr>
        <w:t xml:space="preserve">table </w:t>
      </w:r>
      <w:r w:rsidRPr="001171A6">
        <w:rPr>
          <w:rFonts w:ascii="Arial" w:hAnsi="Arial" w:cs="Arial"/>
        </w:rPr>
        <w:t>below list</w:t>
      </w:r>
      <w:r w:rsidR="001171A6">
        <w:rPr>
          <w:rFonts w:ascii="Arial" w:hAnsi="Arial" w:cs="Arial"/>
        </w:rPr>
        <w:t>s</w:t>
      </w:r>
      <w:r w:rsidRPr="001171A6">
        <w:rPr>
          <w:rFonts w:ascii="Arial" w:hAnsi="Arial" w:cs="Arial"/>
        </w:rPr>
        <w:t xml:space="preserve"> the percentage of SDG&amp;E residential customers with meters of various vintages. These are proxies for the vintages of the homes of the customers.</w:t>
      </w:r>
    </w:p>
    <w:p w:rsidR="00032E42" w:rsidRPr="00032E42" w:rsidRDefault="00032E42" w:rsidP="00032E42"/>
    <w:tbl>
      <w:tblPr>
        <w:tblW w:w="0" w:type="auto"/>
        <w:jc w:val="center"/>
        <w:tblInd w:w="-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2418"/>
        <w:gridCol w:w="2582"/>
      </w:tblGrid>
      <w:tr w:rsidR="00032E42" w:rsidRPr="00032E42" w:rsidTr="00F61C58">
        <w:trPr>
          <w:trHeight w:val="720"/>
          <w:jc w:val="center"/>
        </w:trPr>
        <w:tc>
          <w:tcPr>
            <w:tcW w:w="2348" w:type="dxa"/>
            <w:shd w:val="clear" w:color="auto" w:fill="auto"/>
            <w:vAlign w:val="bottom"/>
            <w:hideMark/>
          </w:tcPr>
          <w:p w:rsidR="00032E42" w:rsidRPr="00032E42" w:rsidRDefault="00032E42" w:rsidP="00F61C58">
            <w:pPr>
              <w:jc w:val="center"/>
              <w:rPr>
                <w:b/>
                <w:bCs/>
                <w:szCs w:val="20"/>
              </w:rPr>
            </w:pPr>
            <w:r w:rsidRPr="00032E42">
              <w:rPr>
                <w:b/>
                <w:bCs/>
                <w:szCs w:val="20"/>
              </w:rPr>
              <w:t>2014 Meter Count: pre-99 customers</w:t>
            </w:r>
          </w:p>
        </w:tc>
        <w:tc>
          <w:tcPr>
            <w:tcW w:w="2418" w:type="dxa"/>
            <w:shd w:val="clear" w:color="auto" w:fill="auto"/>
            <w:vAlign w:val="bottom"/>
            <w:hideMark/>
          </w:tcPr>
          <w:p w:rsidR="00032E42" w:rsidRPr="00032E42" w:rsidRDefault="00032E42" w:rsidP="00F61C58">
            <w:pPr>
              <w:jc w:val="center"/>
              <w:rPr>
                <w:b/>
                <w:bCs/>
                <w:szCs w:val="20"/>
              </w:rPr>
            </w:pPr>
            <w:r w:rsidRPr="00032E42">
              <w:rPr>
                <w:b/>
                <w:bCs/>
                <w:szCs w:val="20"/>
              </w:rPr>
              <w:t>2014 Meter Count: post-99 till "new" customers</w:t>
            </w:r>
          </w:p>
        </w:tc>
        <w:tc>
          <w:tcPr>
            <w:tcW w:w="2582" w:type="dxa"/>
            <w:shd w:val="clear" w:color="auto" w:fill="auto"/>
            <w:vAlign w:val="bottom"/>
            <w:hideMark/>
          </w:tcPr>
          <w:p w:rsidR="00032E42" w:rsidRPr="00032E42" w:rsidRDefault="00032E42" w:rsidP="00F61C58">
            <w:pPr>
              <w:jc w:val="center"/>
              <w:rPr>
                <w:b/>
                <w:bCs/>
                <w:szCs w:val="20"/>
              </w:rPr>
            </w:pPr>
            <w:r w:rsidRPr="00032E42">
              <w:rPr>
                <w:b/>
                <w:bCs/>
                <w:szCs w:val="20"/>
              </w:rPr>
              <w:t>2014 Meter Count: New Customers</w:t>
            </w:r>
          </w:p>
        </w:tc>
      </w:tr>
      <w:tr w:rsidR="00032E42" w:rsidRPr="00032E42" w:rsidTr="00F61C58">
        <w:trPr>
          <w:trHeight w:val="144"/>
          <w:jc w:val="center"/>
        </w:trPr>
        <w:tc>
          <w:tcPr>
            <w:tcW w:w="2348" w:type="dxa"/>
            <w:shd w:val="clear" w:color="auto" w:fill="auto"/>
            <w:noWrap/>
            <w:vAlign w:val="bottom"/>
            <w:hideMark/>
          </w:tcPr>
          <w:p w:rsidR="00032E42" w:rsidRPr="00032E42" w:rsidRDefault="00032E42" w:rsidP="00F61C58">
            <w:pPr>
              <w:jc w:val="center"/>
              <w:rPr>
                <w:szCs w:val="20"/>
              </w:rPr>
            </w:pPr>
            <w:r w:rsidRPr="00032E42">
              <w:rPr>
                <w:szCs w:val="20"/>
              </w:rPr>
              <w:t>84.2%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032E42" w:rsidRPr="00032E42" w:rsidRDefault="00032E42" w:rsidP="00F61C58">
            <w:pPr>
              <w:jc w:val="center"/>
              <w:rPr>
                <w:szCs w:val="20"/>
              </w:rPr>
            </w:pPr>
            <w:r w:rsidRPr="00032E42">
              <w:rPr>
                <w:szCs w:val="20"/>
              </w:rPr>
              <w:t>15.4%</w:t>
            </w:r>
          </w:p>
        </w:tc>
        <w:tc>
          <w:tcPr>
            <w:tcW w:w="2582" w:type="dxa"/>
            <w:shd w:val="clear" w:color="auto" w:fill="auto"/>
            <w:noWrap/>
            <w:vAlign w:val="bottom"/>
            <w:hideMark/>
          </w:tcPr>
          <w:p w:rsidR="00032E42" w:rsidRPr="00032E42" w:rsidRDefault="00032E42" w:rsidP="00F61C58">
            <w:pPr>
              <w:jc w:val="center"/>
              <w:rPr>
                <w:szCs w:val="20"/>
              </w:rPr>
            </w:pPr>
            <w:r w:rsidRPr="00032E42">
              <w:rPr>
                <w:szCs w:val="20"/>
              </w:rPr>
              <w:t>0.3%</w:t>
            </w:r>
          </w:p>
        </w:tc>
      </w:tr>
    </w:tbl>
    <w:p w:rsidR="00422110" w:rsidRDefault="00422110" w:rsidP="005C6E7A">
      <w:pPr>
        <w:rPr>
          <w:b/>
        </w:rPr>
      </w:pPr>
    </w:p>
    <w:p w:rsidR="00422110" w:rsidRPr="001171A6" w:rsidRDefault="00422110" w:rsidP="005C6E7A">
      <w:pPr>
        <w:rPr>
          <w:rFonts w:ascii="Arial" w:hAnsi="Arial" w:cs="Arial"/>
          <w:b/>
        </w:rPr>
      </w:pPr>
      <w:r w:rsidRPr="001171A6">
        <w:rPr>
          <w:rFonts w:ascii="Arial" w:hAnsi="Arial" w:cs="Arial"/>
          <w:b/>
        </w:rPr>
        <w:t>c)</w:t>
      </w:r>
      <w:r w:rsidR="00032E42" w:rsidRPr="001171A6">
        <w:rPr>
          <w:rFonts w:ascii="Arial" w:hAnsi="Arial" w:cs="Arial"/>
          <w:b/>
        </w:rPr>
        <w:tab/>
      </w:r>
      <w:r w:rsidR="001171A6">
        <w:rPr>
          <w:rFonts w:ascii="Arial" w:hAnsi="Arial" w:cs="Arial"/>
        </w:rPr>
        <w:t>See response 7.</w:t>
      </w:r>
      <w:r w:rsidR="00032E42" w:rsidRPr="001171A6">
        <w:rPr>
          <w:rFonts w:ascii="Arial" w:hAnsi="Arial" w:cs="Arial"/>
        </w:rPr>
        <w:t>b, above.</w:t>
      </w:r>
    </w:p>
    <w:p w:rsidR="00422110" w:rsidRPr="001171A6" w:rsidRDefault="00422110" w:rsidP="005C6E7A">
      <w:pPr>
        <w:rPr>
          <w:rFonts w:ascii="Arial" w:hAnsi="Arial" w:cs="Arial"/>
          <w:b/>
        </w:rPr>
      </w:pPr>
    </w:p>
    <w:p w:rsidR="00570EE0" w:rsidRPr="001171A6" w:rsidRDefault="00422110" w:rsidP="00570EE0">
      <w:pPr>
        <w:ind w:left="720" w:hanging="720"/>
        <w:rPr>
          <w:rFonts w:ascii="Arial" w:hAnsi="Arial" w:cs="Arial"/>
        </w:rPr>
      </w:pPr>
      <w:r w:rsidRPr="001171A6">
        <w:rPr>
          <w:rFonts w:ascii="Arial" w:hAnsi="Arial" w:cs="Arial"/>
          <w:b/>
        </w:rPr>
        <w:t>d)</w:t>
      </w:r>
      <w:r w:rsidR="00EF4B7A" w:rsidRPr="001171A6">
        <w:rPr>
          <w:rFonts w:ascii="Arial" w:hAnsi="Arial" w:cs="Arial"/>
          <w:b/>
        </w:rPr>
        <w:tab/>
      </w:r>
      <w:r w:rsidR="00570EE0" w:rsidRPr="001171A6">
        <w:rPr>
          <w:rFonts w:ascii="Arial" w:hAnsi="Arial" w:cs="Arial"/>
          <w:b/>
        </w:rPr>
        <w:t>SoCalGas:</w:t>
      </w:r>
      <w:r w:rsidR="00570EE0" w:rsidRPr="001171A6">
        <w:rPr>
          <w:rFonts w:ascii="Arial" w:hAnsi="Arial" w:cs="Arial"/>
        </w:rPr>
        <w:t xml:space="preserve"> “cooler environment</w:t>
      </w:r>
      <w:r w:rsidR="001171A6">
        <w:rPr>
          <w:rFonts w:ascii="Arial" w:hAnsi="Arial" w:cs="Arial"/>
        </w:rPr>
        <w:t xml:space="preserve">s inland” </w:t>
      </w:r>
      <w:r w:rsidR="002D2826">
        <w:rPr>
          <w:rFonts w:ascii="Arial" w:hAnsi="Arial" w:cs="Arial"/>
        </w:rPr>
        <w:t>can be</w:t>
      </w:r>
      <w:r w:rsidR="001171A6">
        <w:rPr>
          <w:rFonts w:ascii="Arial" w:hAnsi="Arial" w:cs="Arial"/>
        </w:rPr>
        <w:t xml:space="preserve"> represented by</w:t>
      </w:r>
      <w:r w:rsidR="00570EE0" w:rsidRPr="001171A6">
        <w:rPr>
          <w:rFonts w:ascii="Arial" w:hAnsi="Arial" w:cs="Arial"/>
        </w:rPr>
        <w:t xml:space="preserve"> customers in SoCalGas’ “High Mountain” and “High Desert” temperature zones. Based on December 2014 meter counts, these customers are 8.1% of SoCalGas’ residential customers (453,466 meters out of 5,612,842 meters)</w:t>
      </w:r>
      <w:r w:rsidR="003D6C99" w:rsidRPr="001171A6">
        <w:rPr>
          <w:rFonts w:ascii="Arial" w:hAnsi="Arial" w:cs="Arial"/>
        </w:rPr>
        <w:t>.</w:t>
      </w:r>
    </w:p>
    <w:p w:rsidR="00570EE0" w:rsidRPr="001171A6" w:rsidRDefault="00570EE0" w:rsidP="00570EE0">
      <w:pPr>
        <w:jc w:val="center"/>
        <w:rPr>
          <w:rFonts w:ascii="Arial" w:hAnsi="Arial" w:cs="Arial"/>
        </w:rPr>
      </w:pPr>
    </w:p>
    <w:p w:rsidR="00570EE0" w:rsidRPr="001171A6" w:rsidRDefault="00570EE0" w:rsidP="003D6C99">
      <w:pPr>
        <w:ind w:left="720"/>
        <w:rPr>
          <w:rFonts w:ascii="Arial" w:hAnsi="Arial" w:cs="Arial"/>
        </w:rPr>
      </w:pPr>
      <w:r w:rsidRPr="001171A6">
        <w:rPr>
          <w:rFonts w:ascii="Arial" w:hAnsi="Arial" w:cs="Arial"/>
          <w:b/>
        </w:rPr>
        <w:t>SDG&amp;E:</w:t>
      </w:r>
      <w:r w:rsidRPr="001171A6">
        <w:rPr>
          <w:rFonts w:ascii="Arial" w:hAnsi="Arial" w:cs="Arial"/>
        </w:rPr>
        <w:t xml:space="preserve"> “cooler environments inland” </w:t>
      </w:r>
      <w:r w:rsidR="002D2826">
        <w:rPr>
          <w:rFonts w:ascii="Arial" w:hAnsi="Arial" w:cs="Arial"/>
        </w:rPr>
        <w:t>can be</w:t>
      </w:r>
      <w:r w:rsidRPr="001171A6">
        <w:rPr>
          <w:rFonts w:ascii="Arial" w:hAnsi="Arial" w:cs="Arial"/>
        </w:rPr>
        <w:t xml:space="preserve"> represented by the customers in SDG&amp;E’s “Inland” temperature zone. Based on December 2014 meter counts, these customers are 45.9% of SDGE’s residential customers (398,037 meters out of 867,449 meters).</w:t>
      </w:r>
    </w:p>
    <w:p w:rsidR="00570EE0" w:rsidRPr="001171A6" w:rsidRDefault="00570EE0" w:rsidP="00570EE0">
      <w:pPr>
        <w:rPr>
          <w:rFonts w:ascii="Arial" w:hAnsi="Arial" w:cs="Arial"/>
        </w:rPr>
      </w:pPr>
    </w:p>
    <w:p w:rsidR="00EF4B7A" w:rsidRPr="001171A6" w:rsidRDefault="00422110" w:rsidP="00EF4B7A">
      <w:pPr>
        <w:ind w:left="720" w:hanging="720"/>
        <w:rPr>
          <w:rFonts w:ascii="Arial" w:hAnsi="Arial" w:cs="Arial"/>
          <w:sz w:val="28"/>
          <w:szCs w:val="28"/>
        </w:rPr>
      </w:pPr>
      <w:r w:rsidRPr="001171A6">
        <w:rPr>
          <w:rFonts w:ascii="Arial" w:hAnsi="Arial" w:cs="Arial"/>
          <w:b/>
        </w:rPr>
        <w:t>e)</w:t>
      </w:r>
      <w:r w:rsidR="00EF4B7A" w:rsidRPr="001171A6">
        <w:rPr>
          <w:rFonts w:ascii="Arial" w:hAnsi="Arial" w:cs="Arial"/>
          <w:b/>
        </w:rPr>
        <w:tab/>
        <w:t>SoCalGas:</w:t>
      </w:r>
      <w:r w:rsidR="00EF4B7A" w:rsidRPr="001171A6">
        <w:rPr>
          <w:rFonts w:ascii="Arial" w:hAnsi="Arial" w:cs="Arial"/>
        </w:rPr>
        <w:t xml:space="preserve"> “more temperate environments along the coast” </w:t>
      </w:r>
      <w:r w:rsidR="002D2826">
        <w:rPr>
          <w:rFonts w:ascii="Arial" w:hAnsi="Arial" w:cs="Arial"/>
        </w:rPr>
        <w:t>can be</w:t>
      </w:r>
      <w:r w:rsidR="00EF4B7A" w:rsidRPr="001171A6">
        <w:rPr>
          <w:rFonts w:ascii="Arial" w:hAnsi="Arial" w:cs="Arial"/>
        </w:rPr>
        <w:t xml:space="preserve"> represented by the customers in SoCalGas’ “Coastal” temperature zone. Based on December 2014 meter counts, these customers are 17.6% of SoCalGas’ residential customers. (989,568 meters out of 5,612,842 meters)</w:t>
      </w:r>
    </w:p>
    <w:p w:rsidR="00EF4B7A" w:rsidRPr="001171A6" w:rsidRDefault="00EF4B7A" w:rsidP="00EF4B7A">
      <w:pPr>
        <w:rPr>
          <w:rFonts w:ascii="Arial" w:hAnsi="Arial" w:cs="Arial"/>
          <w:b/>
          <w:u w:val="single"/>
        </w:rPr>
      </w:pPr>
    </w:p>
    <w:p w:rsidR="00EF4B7A" w:rsidRPr="001171A6" w:rsidRDefault="00EF4B7A" w:rsidP="00EF4B7A">
      <w:pPr>
        <w:ind w:left="720"/>
        <w:rPr>
          <w:rFonts w:ascii="Arial" w:hAnsi="Arial" w:cs="Arial"/>
        </w:rPr>
      </w:pPr>
      <w:r w:rsidRPr="001171A6">
        <w:rPr>
          <w:rFonts w:ascii="Arial" w:hAnsi="Arial" w:cs="Arial"/>
          <w:b/>
        </w:rPr>
        <w:t>SDG&amp;E:</w:t>
      </w:r>
      <w:r w:rsidRPr="001171A6">
        <w:rPr>
          <w:rFonts w:ascii="Arial" w:hAnsi="Arial" w:cs="Arial"/>
        </w:rPr>
        <w:t xml:space="preserve"> “more temperate environments along the coast” </w:t>
      </w:r>
      <w:r w:rsidR="002D2826">
        <w:rPr>
          <w:rFonts w:ascii="Arial" w:hAnsi="Arial" w:cs="Arial"/>
        </w:rPr>
        <w:t>can be</w:t>
      </w:r>
      <w:r w:rsidRPr="001171A6">
        <w:rPr>
          <w:rFonts w:ascii="Arial" w:hAnsi="Arial" w:cs="Arial"/>
        </w:rPr>
        <w:t xml:space="preserve"> represented by the customers in SDG&amp;E’s “Coastal” temperature zone. Based on December 2014 meter counts, these customers are 54.1% of SDGE’s residential customers. (469,087 meters out of 867,449 meters)</w:t>
      </w:r>
    </w:p>
    <w:p w:rsidR="00422110" w:rsidRPr="001171A6" w:rsidRDefault="00422110" w:rsidP="005C6E7A">
      <w:pPr>
        <w:rPr>
          <w:rFonts w:ascii="Arial" w:hAnsi="Arial" w:cs="Arial"/>
          <w:b/>
        </w:rPr>
      </w:pPr>
    </w:p>
    <w:p w:rsidR="00E26D88" w:rsidRPr="001171A6" w:rsidRDefault="00422110" w:rsidP="0055366F">
      <w:pPr>
        <w:ind w:left="720" w:hanging="720"/>
        <w:rPr>
          <w:rFonts w:ascii="Arial" w:hAnsi="Arial" w:cs="Arial"/>
        </w:rPr>
      </w:pPr>
      <w:r w:rsidRPr="001171A6">
        <w:rPr>
          <w:rFonts w:ascii="Arial" w:hAnsi="Arial" w:cs="Arial"/>
          <w:b/>
        </w:rPr>
        <w:t>f)</w:t>
      </w:r>
      <w:r w:rsidR="007033DF" w:rsidRPr="001171A6">
        <w:rPr>
          <w:rFonts w:ascii="Arial" w:hAnsi="Arial" w:cs="Arial"/>
        </w:rPr>
        <w:tab/>
        <w:t>Yes</w:t>
      </w:r>
      <w:r w:rsidR="00E22BE0" w:rsidRPr="001171A6">
        <w:rPr>
          <w:rFonts w:ascii="Arial" w:hAnsi="Arial" w:cs="Arial"/>
        </w:rPr>
        <w:t>, SoCa</w:t>
      </w:r>
      <w:r w:rsidR="0002470C" w:rsidRPr="001171A6">
        <w:rPr>
          <w:rFonts w:ascii="Arial" w:hAnsi="Arial" w:cs="Arial"/>
        </w:rPr>
        <w:t xml:space="preserve">lGas and SDG&amp;E </w:t>
      </w:r>
      <w:r w:rsidR="00E22BE0" w:rsidRPr="001171A6">
        <w:rPr>
          <w:rFonts w:ascii="Arial" w:hAnsi="Arial" w:cs="Arial"/>
        </w:rPr>
        <w:t>assert that a residential intra-class subsidy exists</w:t>
      </w:r>
      <w:r w:rsidR="007033DF" w:rsidRPr="001171A6">
        <w:rPr>
          <w:rFonts w:ascii="Arial" w:hAnsi="Arial" w:cs="Arial"/>
        </w:rPr>
        <w:t>.</w:t>
      </w:r>
      <w:r w:rsidRPr="001171A6">
        <w:rPr>
          <w:rFonts w:ascii="Arial" w:hAnsi="Arial" w:cs="Arial"/>
        </w:rPr>
        <w:t xml:space="preserve"> </w:t>
      </w:r>
      <w:r w:rsidR="007033DF" w:rsidRPr="001171A6">
        <w:rPr>
          <w:rFonts w:ascii="Arial" w:hAnsi="Arial" w:cs="Arial"/>
        </w:rPr>
        <w:t xml:space="preserve"> </w:t>
      </w:r>
      <w:r w:rsidR="0002470C" w:rsidRPr="001171A6">
        <w:rPr>
          <w:rFonts w:ascii="Arial" w:hAnsi="Arial" w:cs="Arial"/>
        </w:rPr>
        <w:t xml:space="preserve">To date, no party has disputed </w:t>
      </w:r>
      <w:r w:rsidR="00E26D88" w:rsidRPr="001171A6">
        <w:rPr>
          <w:rFonts w:ascii="Arial" w:hAnsi="Arial" w:cs="Arial"/>
        </w:rPr>
        <w:t xml:space="preserve">SoCalGas’ and </w:t>
      </w:r>
      <w:r w:rsidR="0002470C" w:rsidRPr="001171A6">
        <w:rPr>
          <w:rFonts w:ascii="Arial" w:hAnsi="Arial" w:cs="Arial"/>
        </w:rPr>
        <w:t>SDG&amp;E</w:t>
      </w:r>
      <w:r w:rsidR="00E26D88" w:rsidRPr="001171A6">
        <w:rPr>
          <w:rFonts w:ascii="Arial" w:hAnsi="Arial" w:cs="Arial"/>
        </w:rPr>
        <w:t>’s</w:t>
      </w:r>
      <w:r w:rsidR="0002470C" w:rsidRPr="001171A6">
        <w:rPr>
          <w:rFonts w:ascii="Arial" w:hAnsi="Arial" w:cs="Arial"/>
        </w:rPr>
        <w:t xml:space="preserve"> contention </w:t>
      </w:r>
      <w:r w:rsidR="00E26D88" w:rsidRPr="001171A6">
        <w:rPr>
          <w:rFonts w:ascii="Arial" w:hAnsi="Arial" w:cs="Arial"/>
        </w:rPr>
        <w:t xml:space="preserve">that it incurs </w:t>
      </w:r>
      <w:r w:rsidR="0055366F" w:rsidRPr="001171A6">
        <w:rPr>
          <w:rFonts w:ascii="Arial" w:hAnsi="Arial" w:cs="Arial"/>
        </w:rPr>
        <w:t xml:space="preserve">fixed costs in providing </w:t>
      </w:r>
      <w:r w:rsidR="00F61C58" w:rsidRPr="001171A6">
        <w:rPr>
          <w:rFonts w:ascii="Arial" w:hAnsi="Arial" w:cs="Arial"/>
        </w:rPr>
        <w:t xml:space="preserve">safe and reliable </w:t>
      </w:r>
      <w:r w:rsidR="001171A6">
        <w:rPr>
          <w:rFonts w:ascii="Arial" w:hAnsi="Arial" w:cs="Arial"/>
        </w:rPr>
        <w:t>service to its customers.</w:t>
      </w:r>
    </w:p>
    <w:p w:rsidR="00E26D88" w:rsidRPr="001171A6" w:rsidRDefault="00E26D88" w:rsidP="00E26D88">
      <w:pPr>
        <w:ind w:left="720"/>
        <w:rPr>
          <w:rFonts w:ascii="Arial" w:hAnsi="Arial" w:cs="Arial"/>
        </w:rPr>
      </w:pPr>
    </w:p>
    <w:p w:rsidR="00122374" w:rsidRDefault="00F61C58" w:rsidP="00122374">
      <w:pPr>
        <w:ind w:left="720"/>
        <w:rPr>
          <w:rFonts w:ascii="Arial" w:hAnsi="Arial" w:cs="Arial"/>
        </w:rPr>
      </w:pPr>
      <w:r w:rsidRPr="001171A6">
        <w:rPr>
          <w:rFonts w:ascii="Arial" w:hAnsi="Arial" w:cs="Arial"/>
        </w:rPr>
        <w:t>As an example</w:t>
      </w:r>
      <w:r w:rsidR="007033DF" w:rsidRPr="001171A6">
        <w:rPr>
          <w:rFonts w:ascii="Arial" w:hAnsi="Arial" w:cs="Arial"/>
        </w:rPr>
        <w:t xml:space="preserve">, all </w:t>
      </w:r>
      <w:r w:rsidRPr="001171A6">
        <w:rPr>
          <w:rFonts w:ascii="Arial" w:hAnsi="Arial" w:cs="Arial"/>
        </w:rPr>
        <w:t xml:space="preserve">SDG&amp;E </w:t>
      </w:r>
      <w:r w:rsidR="007033DF" w:rsidRPr="001171A6">
        <w:rPr>
          <w:rFonts w:ascii="Arial" w:hAnsi="Arial" w:cs="Arial"/>
        </w:rPr>
        <w:t xml:space="preserve">residential costs </w:t>
      </w:r>
      <w:r w:rsidRPr="001171A6">
        <w:rPr>
          <w:rFonts w:ascii="Arial" w:hAnsi="Arial" w:cs="Arial"/>
        </w:rPr>
        <w:t xml:space="preserve">(fixed and variable) </w:t>
      </w:r>
      <w:r w:rsidR="007033DF" w:rsidRPr="001171A6">
        <w:rPr>
          <w:rFonts w:ascii="Arial" w:hAnsi="Arial" w:cs="Arial"/>
        </w:rPr>
        <w:t xml:space="preserve">are </w:t>
      </w:r>
      <w:r w:rsidR="001171A6">
        <w:rPr>
          <w:rFonts w:ascii="Arial" w:hAnsi="Arial" w:cs="Arial"/>
        </w:rPr>
        <w:t xml:space="preserve">currently </w:t>
      </w:r>
      <w:r w:rsidR="007033DF" w:rsidRPr="001171A6">
        <w:rPr>
          <w:rFonts w:ascii="Arial" w:hAnsi="Arial" w:cs="Arial"/>
        </w:rPr>
        <w:t>recovered through a volumetric rate</w:t>
      </w:r>
      <w:r w:rsidR="00122374">
        <w:rPr>
          <w:rFonts w:ascii="Arial" w:hAnsi="Arial" w:cs="Arial"/>
        </w:rPr>
        <w:t>.</w:t>
      </w:r>
      <w:r w:rsidRPr="001171A6">
        <w:rPr>
          <w:rFonts w:ascii="Arial" w:hAnsi="Arial" w:cs="Arial"/>
        </w:rPr>
        <w:t xml:space="preserve"> </w:t>
      </w:r>
      <w:r w:rsidR="007033DF" w:rsidRPr="001171A6">
        <w:rPr>
          <w:rFonts w:ascii="Arial" w:hAnsi="Arial" w:cs="Arial"/>
        </w:rPr>
        <w:t xml:space="preserve"> </w:t>
      </w:r>
      <w:r w:rsidR="00075782" w:rsidRPr="001171A6">
        <w:rPr>
          <w:rFonts w:ascii="Arial" w:hAnsi="Arial" w:cs="Arial"/>
        </w:rPr>
        <w:t>Since there is no opportunity to recover fixed costs through a fixed charge and all SDG&amp;E residential costs are recover</w:t>
      </w:r>
      <w:r w:rsidR="001171A6">
        <w:rPr>
          <w:rFonts w:ascii="Arial" w:hAnsi="Arial" w:cs="Arial"/>
        </w:rPr>
        <w:t>ed through volumetric rates, the</w:t>
      </w:r>
      <w:r w:rsidR="00075782" w:rsidRPr="001171A6">
        <w:rPr>
          <w:rFonts w:ascii="Arial" w:hAnsi="Arial" w:cs="Arial"/>
        </w:rPr>
        <w:t xml:space="preserve">n some customers are paying more than their </w:t>
      </w:r>
      <w:r w:rsidR="0075166B">
        <w:rPr>
          <w:rFonts w:ascii="Arial" w:hAnsi="Arial" w:cs="Arial"/>
        </w:rPr>
        <w:t>proportionate</w:t>
      </w:r>
      <w:r w:rsidR="00075782" w:rsidRPr="001171A6">
        <w:rPr>
          <w:rFonts w:ascii="Arial" w:hAnsi="Arial" w:cs="Arial"/>
        </w:rPr>
        <w:t xml:space="preserve"> share of fixed costs in rates.  This is the intra-class subsidy </w:t>
      </w:r>
      <w:r w:rsidR="0075166B">
        <w:rPr>
          <w:rFonts w:ascii="Arial" w:hAnsi="Arial" w:cs="Arial"/>
        </w:rPr>
        <w:t>that</w:t>
      </w:r>
      <w:r w:rsidR="00075782" w:rsidRPr="001171A6">
        <w:rPr>
          <w:rFonts w:ascii="Arial" w:hAnsi="Arial" w:cs="Arial"/>
        </w:rPr>
        <w:t xml:space="preserve"> SDG&amp;E is attempting to </w:t>
      </w:r>
      <w:r w:rsidR="0075166B">
        <w:rPr>
          <w:rFonts w:ascii="Arial" w:hAnsi="Arial" w:cs="Arial"/>
        </w:rPr>
        <w:t>reduce</w:t>
      </w:r>
      <w:r w:rsidR="00075782" w:rsidRPr="001171A6">
        <w:rPr>
          <w:rFonts w:ascii="Arial" w:hAnsi="Arial" w:cs="Arial"/>
        </w:rPr>
        <w:t xml:space="preserve"> by its proposed customer charge.</w:t>
      </w:r>
    </w:p>
    <w:p w:rsidR="001171A6" w:rsidRDefault="00BD67C3" w:rsidP="00122374">
      <w:pPr>
        <w:ind w:left="720"/>
        <w:rPr>
          <w:rFonts w:ascii="Arial" w:hAnsi="Arial" w:cs="Arial"/>
          <w:b/>
          <w:u w:val="single"/>
        </w:rPr>
      </w:pPr>
      <w:r w:rsidRPr="009E26A0">
        <w:rPr>
          <w:rFonts w:ascii="Arial" w:hAnsi="Arial" w:cs="Arial"/>
        </w:rPr>
        <w:lastRenderedPageBreak/>
        <w:t xml:space="preserve">SoCalGas and SDG&amp;E </w:t>
      </w:r>
      <w:r w:rsidR="00122374" w:rsidRPr="009E26A0">
        <w:rPr>
          <w:rFonts w:ascii="Arial" w:hAnsi="Arial" w:cs="Arial"/>
        </w:rPr>
        <w:t>identified the above-described intra-class subsidy by comparing the current monthly residential fixed customer charge at each utility ($5 at SoCalGas and $0 at SDG&amp;E) to the fully allocated annual LRMC customer cost ($224 at SoCalGas and $240 at SDG&amp;E</w:t>
      </w:r>
      <w:r w:rsidR="00AE0506" w:rsidRPr="009E26A0">
        <w:rPr>
          <w:rFonts w:ascii="Arial" w:hAnsi="Arial" w:cs="Arial"/>
        </w:rPr>
        <w:t>,</w:t>
      </w:r>
      <w:r w:rsidR="00122374" w:rsidRPr="009E26A0">
        <w:rPr>
          <w:rFonts w:ascii="Arial" w:hAnsi="Arial" w:cs="Arial"/>
        </w:rPr>
        <w:t xml:space="preserve"> as shown in the prepared direct testimony of Dr. Chaudhury and Ms. Schmidt-Pines, respectively) divided </w:t>
      </w:r>
      <w:bookmarkStart w:id="1" w:name="_GoBack"/>
      <w:bookmarkEnd w:id="1"/>
      <w:r w:rsidR="00122374" w:rsidRPr="009E26A0">
        <w:rPr>
          <w:rFonts w:ascii="Arial" w:hAnsi="Arial" w:cs="Arial"/>
        </w:rPr>
        <w:t>by 12 months, or $18.67 at SoCalGas and $20.00 at SDG&amp;E</w:t>
      </w:r>
      <w:r w:rsidR="001171A6" w:rsidRPr="009E26A0">
        <w:rPr>
          <w:rFonts w:ascii="Arial" w:hAnsi="Arial" w:cs="Arial"/>
        </w:rPr>
        <w:t>.</w:t>
      </w:r>
      <w:r w:rsidR="00FC16E0" w:rsidRPr="009E26A0">
        <w:rPr>
          <w:rFonts w:ascii="Arial" w:hAnsi="Arial" w:cs="Arial"/>
        </w:rPr>
        <w:t xml:space="preserve">  Since the current residential fixed customer charge is less than the fully allocated LRMC customer cost, an intra-class subsidy exists.</w:t>
      </w:r>
      <w:r w:rsidR="001171A6">
        <w:rPr>
          <w:rFonts w:ascii="Arial" w:hAnsi="Arial" w:cs="Arial"/>
          <w:b/>
          <w:u w:val="single"/>
        </w:rPr>
        <w:br w:type="page"/>
      </w:r>
    </w:p>
    <w:p w:rsidR="00663B29" w:rsidRPr="001171A6" w:rsidRDefault="00663B29" w:rsidP="00F67377">
      <w:pPr>
        <w:rPr>
          <w:rFonts w:ascii="Arial" w:hAnsi="Arial" w:cs="Arial"/>
          <w:b/>
          <w:u w:val="single"/>
        </w:rPr>
      </w:pPr>
    </w:p>
    <w:p w:rsidR="00F67377" w:rsidRPr="0031141C" w:rsidRDefault="00F67377" w:rsidP="00F67377">
      <w:pPr>
        <w:rPr>
          <w:rFonts w:ascii="Arial" w:hAnsi="Arial" w:cs="Arial"/>
        </w:rPr>
      </w:pPr>
      <w:r w:rsidRPr="00F759E8">
        <w:rPr>
          <w:rFonts w:ascii="Arial" w:hAnsi="Arial" w:cs="Arial"/>
          <w:b/>
          <w:u w:val="single"/>
        </w:rPr>
        <w:t xml:space="preserve">QUESTION </w:t>
      </w:r>
      <w:r>
        <w:rPr>
          <w:rFonts w:ascii="Arial" w:hAnsi="Arial" w:cs="Arial"/>
          <w:b/>
          <w:u w:val="single"/>
        </w:rPr>
        <w:t>8</w:t>
      </w:r>
      <w:r w:rsidRPr="00F759E8">
        <w:rPr>
          <w:rFonts w:ascii="Arial" w:hAnsi="Arial" w:cs="Arial"/>
          <w:b/>
          <w:u w:val="single"/>
        </w:rPr>
        <w:t>:</w:t>
      </w:r>
    </w:p>
    <w:p w:rsidR="00F67377" w:rsidRPr="0031141C" w:rsidRDefault="00F67377" w:rsidP="00F67377">
      <w:pPr>
        <w:rPr>
          <w:rFonts w:ascii="Arial" w:hAnsi="Arial" w:cs="Arial"/>
        </w:rPr>
      </w:pP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Tables 3 and 4 at page 9 of the above subject testimony shows the results of the implementation</w:t>
      </w:r>
      <w:r w:rsidR="001171A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of a customer charge in typical SoCalGas and SDG&amp;E residential monthly customer bills. In</w:t>
      </w:r>
      <w:r w:rsidR="001171A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addition, Table 5 at page 12 presents the bill impact the proposed residential customer charge for</w:t>
      </w:r>
      <w:r w:rsidR="001171A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each of SoCalGas and SDG&amp;E.</w:t>
      </w:r>
    </w:p>
    <w:p w:rsidR="008F3FF5" w:rsidRDefault="008F3FF5" w:rsidP="008F3FF5">
      <w:pPr>
        <w:rPr>
          <w:rFonts w:ascii="Arial" w:hAnsi="Arial" w:cs="Arial"/>
        </w:rPr>
      </w:pP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(a) Please provide the active Excel spreadsheets for all the Tables 3</w:t>
      </w:r>
      <w:proofErr w:type="gramStart"/>
      <w:r w:rsidRPr="008F3FF5">
        <w:rPr>
          <w:rFonts w:ascii="Arial" w:hAnsi="Arial" w:cs="Arial"/>
        </w:rPr>
        <w:t>,4</w:t>
      </w:r>
      <w:proofErr w:type="gramEnd"/>
      <w:r w:rsidRPr="008F3FF5">
        <w:rPr>
          <w:rFonts w:ascii="Arial" w:hAnsi="Arial" w:cs="Arial"/>
        </w:rPr>
        <w:t>, and 5.</w:t>
      </w:r>
    </w:p>
    <w:p w:rsidR="008F3FF5" w:rsidRDefault="008F3FF5" w:rsidP="008F3FF5">
      <w:pPr>
        <w:rPr>
          <w:rFonts w:ascii="Arial" w:hAnsi="Arial" w:cs="Arial"/>
        </w:rPr>
      </w:pP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(b) Please explain whether both CARE and non-CARE residential customers are represented</w:t>
      </w:r>
      <w:r w:rsidR="001171A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in Tables 3 and 4.</w:t>
      </w:r>
    </w:p>
    <w:p w:rsidR="008F3FF5" w:rsidRDefault="008F3FF5" w:rsidP="008F3FF5">
      <w:pPr>
        <w:rPr>
          <w:rFonts w:ascii="Arial" w:hAnsi="Arial" w:cs="Arial"/>
        </w:rPr>
      </w:pPr>
    </w:p>
    <w:p w:rsidR="008F3FF5" w:rsidRPr="008F3FF5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 xml:space="preserve">(c) Please provide the </w:t>
      </w:r>
      <w:proofErr w:type="spellStart"/>
      <w:r w:rsidRPr="008F3FF5">
        <w:rPr>
          <w:rFonts w:ascii="Arial" w:hAnsi="Arial" w:cs="Arial"/>
        </w:rPr>
        <w:t>therm</w:t>
      </w:r>
      <w:proofErr w:type="spellEnd"/>
      <w:r w:rsidRPr="008F3FF5">
        <w:rPr>
          <w:rFonts w:ascii="Arial" w:hAnsi="Arial" w:cs="Arial"/>
        </w:rPr>
        <w:t xml:space="preserve"> assumptions in Table 5 for the class average, CARE, and</w:t>
      </w:r>
      <w:r w:rsidR="001171A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Baseline only.</w:t>
      </w:r>
    </w:p>
    <w:p w:rsidR="008F3FF5" w:rsidRDefault="008F3FF5" w:rsidP="008F3FF5">
      <w:pPr>
        <w:rPr>
          <w:rFonts w:ascii="Arial" w:hAnsi="Arial" w:cs="Arial"/>
        </w:rPr>
      </w:pPr>
    </w:p>
    <w:p w:rsidR="00582C14" w:rsidRPr="0031141C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(d) Please clarify whether the only change assumed in Table 5 is the implementation of the</w:t>
      </w:r>
      <w:r w:rsidR="001171A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customer charge. If any other proposed changes were included in Table 5, then please</w:t>
      </w:r>
      <w:r w:rsidR="001171A6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identify and explain.</w:t>
      </w:r>
    </w:p>
    <w:p w:rsidR="008F3FF5" w:rsidRDefault="008F3FF5" w:rsidP="00F67377">
      <w:pPr>
        <w:rPr>
          <w:rFonts w:ascii="Arial" w:hAnsi="Arial" w:cs="Arial"/>
          <w:b/>
          <w:u w:val="single"/>
        </w:rPr>
      </w:pPr>
    </w:p>
    <w:p w:rsidR="00F67377" w:rsidRPr="00F759E8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RESPONSE </w:t>
      </w:r>
      <w:r>
        <w:rPr>
          <w:rFonts w:ascii="Arial" w:hAnsi="Arial" w:cs="Arial"/>
          <w:b/>
          <w:u w:val="single"/>
        </w:rPr>
        <w:t>8</w:t>
      </w:r>
      <w:r w:rsidRPr="00F759E8">
        <w:rPr>
          <w:rFonts w:ascii="Arial" w:hAnsi="Arial" w:cs="Arial"/>
          <w:b/>
          <w:u w:val="single"/>
        </w:rPr>
        <w:t>:</w:t>
      </w:r>
    </w:p>
    <w:p w:rsidR="00F67377" w:rsidRDefault="00F67377" w:rsidP="005C6E7A">
      <w:pPr>
        <w:rPr>
          <w:rFonts w:ascii="Arial" w:hAnsi="Arial" w:cs="Arial"/>
          <w:sz w:val="28"/>
          <w:szCs w:val="28"/>
        </w:rPr>
      </w:pPr>
    </w:p>
    <w:p w:rsidR="00F67377" w:rsidRDefault="005B35E8" w:rsidP="008269E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53538B">
        <w:rPr>
          <w:rFonts w:ascii="Arial" w:hAnsi="Arial" w:cs="Arial"/>
        </w:rPr>
        <w:t xml:space="preserve">requested </w:t>
      </w:r>
      <w:r>
        <w:rPr>
          <w:rFonts w:ascii="Arial" w:hAnsi="Arial" w:cs="Arial"/>
        </w:rPr>
        <w:t>calculation</w:t>
      </w:r>
      <w:r w:rsidR="0053538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can be found on the “Testimony Tables” tab of Mr. </w:t>
      </w:r>
      <w:proofErr w:type="spellStart"/>
      <w:r>
        <w:rPr>
          <w:rFonts w:ascii="Arial" w:hAnsi="Arial" w:cs="Arial"/>
        </w:rPr>
        <w:t>Bonnett’s</w:t>
      </w:r>
      <w:proofErr w:type="spellEnd"/>
      <w:r>
        <w:rPr>
          <w:rFonts w:ascii="Arial" w:hAnsi="Arial" w:cs="Arial"/>
        </w:rPr>
        <w:t xml:space="preserve"> SCG RD model.  </w:t>
      </w:r>
      <w:r w:rsidR="001171A6">
        <w:rPr>
          <w:rFonts w:ascii="Arial" w:hAnsi="Arial" w:cs="Arial"/>
        </w:rPr>
        <w:t>T</w:t>
      </w:r>
      <w:r w:rsidR="0053538B">
        <w:rPr>
          <w:rFonts w:ascii="Arial" w:hAnsi="Arial" w:cs="Arial"/>
        </w:rPr>
        <w:t xml:space="preserve">he requested spreadsheets are </w:t>
      </w:r>
      <w:r w:rsidR="001171A6">
        <w:rPr>
          <w:rFonts w:ascii="Arial" w:hAnsi="Arial" w:cs="Arial"/>
        </w:rPr>
        <w:t xml:space="preserve">also </w:t>
      </w:r>
      <w:r w:rsidR="0053538B">
        <w:rPr>
          <w:rFonts w:ascii="Arial" w:hAnsi="Arial" w:cs="Arial"/>
        </w:rPr>
        <w:t>attached</w:t>
      </w:r>
      <w:r w:rsidR="001171A6">
        <w:rPr>
          <w:rFonts w:ascii="Arial" w:hAnsi="Arial" w:cs="Arial"/>
        </w:rPr>
        <w:t xml:space="preserve"> here</w:t>
      </w:r>
      <w:r>
        <w:rPr>
          <w:rFonts w:ascii="Arial" w:hAnsi="Arial" w:cs="Arial"/>
        </w:rPr>
        <w:t>.</w:t>
      </w:r>
    </w:p>
    <w:p w:rsidR="0053538B" w:rsidRDefault="0053538B" w:rsidP="0053538B">
      <w:pPr>
        <w:ind w:left="360"/>
        <w:rPr>
          <w:rFonts w:ascii="Arial" w:hAnsi="Arial" w:cs="Arial"/>
        </w:rPr>
      </w:pPr>
    </w:p>
    <w:p w:rsidR="0053538B" w:rsidRPr="0053538B" w:rsidRDefault="0053538B" w:rsidP="0053538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object w:dxaOrig="1531" w:dyaOrig="1002">
          <v:shape id="_x0000_i1026" type="#_x0000_t75" style="width:76.5pt;height:50.25pt" o:ole="">
            <v:imagedata r:id="rId11" o:title=""/>
          </v:shape>
          <o:OLEObject Type="Embed" ProgID="Excel.Sheet.12" ShapeID="_x0000_i1026" DrawAspect="Icon" ObjectID="_1514897143" r:id="rId12"/>
        </w:object>
      </w:r>
    </w:p>
    <w:p w:rsidR="008269E1" w:rsidRPr="001171A6" w:rsidRDefault="008269E1" w:rsidP="001171A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Yes, they are.</w:t>
      </w:r>
    </w:p>
    <w:p w:rsidR="008269E1" w:rsidRDefault="00885D8A" w:rsidP="006549D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See table below.</w:t>
      </w:r>
    </w:p>
    <w:p w:rsidR="00885D8A" w:rsidRPr="00885D8A" w:rsidRDefault="00885D8A" w:rsidP="00885D8A">
      <w:pPr>
        <w:pStyle w:val="ListParagraph"/>
        <w:rPr>
          <w:rFonts w:ascii="Arial" w:hAnsi="Arial" w:cs="Arial"/>
        </w:rPr>
      </w:pPr>
    </w:p>
    <w:tbl>
      <w:tblPr>
        <w:tblW w:w="2316" w:type="dxa"/>
        <w:tblInd w:w="98" w:type="dxa"/>
        <w:tblLook w:val="04A0" w:firstRow="1" w:lastRow="0" w:firstColumn="1" w:lastColumn="0" w:noHBand="0" w:noVBand="1"/>
      </w:tblPr>
      <w:tblGrid>
        <w:gridCol w:w="1348"/>
        <w:gridCol w:w="968"/>
      </w:tblGrid>
      <w:tr w:rsidR="00885D8A" w:rsidTr="00885D8A">
        <w:trPr>
          <w:trHeight w:val="240"/>
        </w:trPr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D8A" w:rsidRDefault="00885D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SoCalGas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D8A" w:rsidRDefault="00885D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Therms</w:t>
            </w:r>
            <w:proofErr w:type="spellEnd"/>
          </w:p>
        </w:tc>
      </w:tr>
      <w:tr w:rsidR="00885D8A" w:rsidTr="00885D8A">
        <w:trPr>
          <w:trHeight w:val="240"/>
        </w:trPr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D8A" w:rsidRDefault="00885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Class Avg.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D8A" w:rsidRDefault="00885D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885D8A" w:rsidTr="00885D8A">
        <w:trPr>
          <w:trHeight w:val="225"/>
        </w:trPr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D8A" w:rsidRDefault="00885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CARE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D8A" w:rsidRDefault="00885D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885D8A" w:rsidTr="00885D8A">
        <w:trPr>
          <w:trHeight w:val="225"/>
        </w:trPr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D8A" w:rsidRDefault="00885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Baseline only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D8A" w:rsidRDefault="00885D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885D8A" w:rsidTr="00885D8A">
        <w:trPr>
          <w:trHeight w:val="225"/>
        </w:trPr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D8A" w:rsidRDefault="00885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D8A" w:rsidRDefault="00885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85D8A" w:rsidTr="00885D8A">
        <w:trPr>
          <w:trHeight w:val="225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D8A" w:rsidRDefault="00885D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SDG&amp;E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D8A" w:rsidRDefault="00885D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Therms</w:t>
            </w:r>
            <w:proofErr w:type="spellEnd"/>
          </w:p>
        </w:tc>
      </w:tr>
      <w:tr w:rsidR="00885D8A" w:rsidTr="00885D8A">
        <w:trPr>
          <w:trHeight w:val="225"/>
        </w:trPr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D8A" w:rsidRDefault="00885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Class Avg.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D8A" w:rsidRDefault="00885D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885D8A" w:rsidTr="00885D8A">
        <w:trPr>
          <w:trHeight w:val="225"/>
        </w:trPr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D8A" w:rsidRDefault="00885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CARE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D8A" w:rsidRDefault="00885D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885D8A" w:rsidTr="00885D8A">
        <w:trPr>
          <w:trHeight w:val="240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D8A" w:rsidRDefault="00885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Baseline only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D8A" w:rsidRDefault="00885D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</w:tbl>
    <w:p w:rsidR="00885D8A" w:rsidRPr="006549D7" w:rsidRDefault="00885D8A" w:rsidP="00885D8A">
      <w:pPr>
        <w:pStyle w:val="ListParagraph"/>
        <w:ind w:left="1440"/>
        <w:rPr>
          <w:rFonts w:ascii="Arial" w:hAnsi="Arial" w:cs="Arial"/>
        </w:rPr>
      </w:pPr>
    </w:p>
    <w:p w:rsidR="00F67377" w:rsidRPr="00C11D06" w:rsidRDefault="008269E1" w:rsidP="00F67377">
      <w:pPr>
        <w:pStyle w:val="ListParagraph"/>
        <w:numPr>
          <w:ilvl w:val="0"/>
          <w:numId w:val="21"/>
        </w:numPr>
        <w:rPr>
          <w:rFonts w:ascii="Arial" w:hAnsi="Arial" w:cs="Arial"/>
          <w:b/>
          <w:u w:val="single"/>
        </w:rPr>
      </w:pPr>
      <w:r w:rsidRPr="00C11D06">
        <w:rPr>
          <w:rFonts w:ascii="Arial" w:hAnsi="Arial" w:cs="Arial"/>
        </w:rPr>
        <w:t>The customer charge is the only change in table 5.</w:t>
      </w:r>
      <w:r w:rsidR="00F67377" w:rsidRPr="00C11D06">
        <w:rPr>
          <w:rFonts w:ascii="Arial" w:hAnsi="Arial" w:cs="Arial"/>
          <w:b/>
          <w:u w:val="single"/>
        </w:rPr>
        <w:br w:type="page"/>
      </w:r>
    </w:p>
    <w:p w:rsidR="00C62CAA" w:rsidRDefault="00C62CAA" w:rsidP="00F67377">
      <w:pPr>
        <w:rPr>
          <w:rFonts w:ascii="Arial" w:hAnsi="Arial" w:cs="Arial"/>
          <w:b/>
          <w:u w:val="single"/>
        </w:rPr>
      </w:pPr>
    </w:p>
    <w:p w:rsidR="00663B29" w:rsidRDefault="00663B29" w:rsidP="00F67377">
      <w:pPr>
        <w:rPr>
          <w:rFonts w:ascii="Arial" w:hAnsi="Arial" w:cs="Arial"/>
          <w:b/>
          <w:u w:val="single"/>
        </w:rPr>
      </w:pPr>
    </w:p>
    <w:p w:rsidR="00F67377" w:rsidRPr="0031141C" w:rsidRDefault="00F67377" w:rsidP="00F67377">
      <w:pPr>
        <w:rPr>
          <w:rFonts w:ascii="Arial" w:hAnsi="Arial" w:cs="Arial"/>
        </w:rPr>
      </w:pPr>
      <w:r w:rsidRPr="00F759E8">
        <w:rPr>
          <w:rFonts w:ascii="Arial" w:hAnsi="Arial" w:cs="Arial"/>
          <w:b/>
          <w:u w:val="single"/>
        </w:rPr>
        <w:t xml:space="preserve">QUESTION </w:t>
      </w:r>
      <w:r>
        <w:rPr>
          <w:rFonts w:ascii="Arial" w:hAnsi="Arial" w:cs="Arial"/>
          <w:b/>
          <w:u w:val="single"/>
        </w:rPr>
        <w:t>9</w:t>
      </w:r>
      <w:r w:rsidRPr="00F759E8">
        <w:rPr>
          <w:rFonts w:ascii="Arial" w:hAnsi="Arial" w:cs="Arial"/>
          <w:b/>
          <w:u w:val="single"/>
        </w:rPr>
        <w:t>:</w:t>
      </w:r>
    </w:p>
    <w:p w:rsidR="00F67377" w:rsidRPr="0031141C" w:rsidRDefault="00F67377" w:rsidP="00F67377">
      <w:pPr>
        <w:rPr>
          <w:rFonts w:ascii="Arial" w:hAnsi="Arial" w:cs="Arial"/>
        </w:rPr>
      </w:pPr>
    </w:p>
    <w:p w:rsidR="00F67377" w:rsidRPr="0031141C" w:rsidRDefault="008F3FF5" w:rsidP="008F3FF5">
      <w:pPr>
        <w:rPr>
          <w:rFonts w:ascii="Arial" w:hAnsi="Arial" w:cs="Arial"/>
        </w:rPr>
      </w:pPr>
      <w:r w:rsidRPr="008F3FF5">
        <w:rPr>
          <w:rFonts w:ascii="Arial" w:hAnsi="Arial" w:cs="Arial"/>
        </w:rPr>
        <w:t>At page 13 of the above subject, Mr. Bonnett states that “Currently, SoCalGas’ sub meter credit is</w:t>
      </w:r>
      <w:r w:rsidR="00B474D9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set at $0.23573 /meter/day and SoCalGas proposes to set it at $0.27386/meter/day for this TCAP</w:t>
      </w:r>
      <w:r w:rsidR="00B474D9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term…SDG&amp;E’s sub meter credits are currently set at $0.29392/meter/day for multi-family (GS)</w:t>
      </w:r>
      <w:r w:rsidR="00B474D9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customers and $0.36460/meter/day for mobile home (GT) customers. SDG&amp;E proposes to set</w:t>
      </w:r>
      <w:r w:rsidR="00B474D9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them at $0.38268/meter/day and $0.40932/meter/day, respectively, for this TCAP term.” Please</w:t>
      </w:r>
      <w:r w:rsidR="00B474D9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provide the calculations for the proposed sub meter credits showing how these numbers were</w:t>
      </w:r>
      <w:r w:rsidR="00B474D9">
        <w:rPr>
          <w:rFonts w:ascii="Arial" w:hAnsi="Arial" w:cs="Arial"/>
        </w:rPr>
        <w:t xml:space="preserve"> </w:t>
      </w:r>
      <w:r w:rsidRPr="008F3FF5">
        <w:rPr>
          <w:rFonts w:ascii="Arial" w:hAnsi="Arial" w:cs="Arial"/>
        </w:rPr>
        <w:t>derived, including the active Excel spreadsheets for them.</w:t>
      </w:r>
    </w:p>
    <w:p w:rsidR="00582C14" w:rsidRPr="0031141C" w:rsidRDefault="00582C14" w:rsidP="00F67377">
      <w:pPr>
        <w:rPr>
          <w:rFonts w:ascii="Arial" w:hAnsi="Arial" w:cs="Arial"/>
        </w:rPr>
      </w:pPr>
    </w:p>
    <w:p w:rsidR="008F3FF5" w:rsidRDefault="008F3FF5" w:rsidP="00F67377">
      <w:pPr>
        <w:rPr>
          <w:rFonts w:ascii="Arial" w:hAnsi="Arial" w:cs="Arial"/>
          <w:b/>
          <w:u w:val="single"/>
        </w:rPr>
      </w:pPr>
    </w:p>
    <w:p w:rsidR="00F67377" w:rsidRPr="00F759E8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RESPONSE </w:t>
      </w:r>
      <w:r>
        <w:rPr>
          <w:rFonts w:ascii="Arial" w:hAnsi="Arial" w:cs="Arial"/>
          <w:b/>
          <w:u w:val="single"/>
        </w:rPr>
        <w:t>9</w:t>
      </w:r>
      <w:r w:rsidRPr="00F759E8">
        <w:rPr>
          <w:rFonts w:ascii="Arial" w:hAnsi="Arial" w:cs="Arial"/>
          <w:b/>
          <w:u w:val="single"/>
        </w:rPr>
        <w:t>:</w:t>
      </w:r>
    </w:p>
    <w:p w:rsidR="00F67377" w:rsidRDefault="00F67377" w:rsidP="005C6E7A">
      <w:pPr>
        <w:rPr>
          <w:rFonts w:ascii="Arial" w:hAnsi="Arial" w:cs="Arial"/>
          <w:sz w:val="28"/>
          <w:szCs w:val="28"/>
        </w:rPr>
      </w:pPr>
    </w:p>
    <w:p w:rsidR="000534B2" w:rsidRDefault="000534B2" w:rsidP="005C6E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574D6D">
        <w:rPr>
          <w:rFonts w:ascii="Arial" w:hAnsi="Arial" w:cs="Arial"/>
        </w:rPr>
        <w:t xml:space="preserve">requested </w:t>
      </w:r>
      <w:r>
        <w:rPr>
          <w:rFonts w:ascii="Arial" w:hAnsi="Arial" w:cs="Arial"/>
        </w:rPr>
        <w:t xml:space="preserve">calculations are located in section 2 of Mr. </w:t>
      </w:r>
      <w:proofErr w:type="spellStart"/>
      <w:r>
        <w:rPr>
          <w:rFonts w:ascii="Arial" w:hAnsi="Arial" w:cs="Arial"/>
        </w:rPr>
        <w:t>Bonnett’s</w:t>
      </w:r>
      <w:proofErr w:type="spellEnd"/>
      <w:r>
        <w:rPr>
          <w:rFonts w:ascii="Arial" w:hAnsi="Arial" w:cs="Arial"/>
        </w:rPr>
        <w:t xml:space="preserve"> SoCalGas and SDG&amp;E </w:t>
      </w:r>
      <w:proofErr w:type="spellStart"/>
      <w:r>
        <w:rPr>
          <w:rFonts w:ascii="Arial" w:hAnsi="Arial" w:cs="Arial"/>
        </w:rPr>
        <w:t>workpapers</w:t>
      </w:r>
      <w:proofErr w:type="spellEnd"/>
      <w:r>
        <w:rPr>
          <w:rFonts w:ascii="Arial" w:hAnsi="Arial" w:cs="Arial"/>
        </w:rPr>
        <w:t>.</w:t>
      </w:r>
      <w:r w:rsidR="002B411A">
        <w:rPr>
          <w:rFonts w:ascii="Arial" w:hAnsi="Arial" w:cs="Arial"/>
        </w:rPr>
        <w:t xml:space="preserve">  </w:t>
      </w:r>
      <w:r w:rsidR="00C11D06">
        <w:rPr>
          <w:rFonts w:ascii="Arial" w:hAnsi="Arial" w:cs="Arial"/>
        </w:rPr>
        <w:t>T</w:t>
      </w:r>
      <w:r w:rsidR="002B411A">
        <w:rPr>
          <w:rFonts w:ascii="Arial" w:hAnsi="Arial" w:cs="Arial"/>
        </w:rPr>
        <w:t xml:space="preserve">he requested spreadsheets are </w:t>
      </w:r>
      <w:r w:rsidR="00C11D06">
        <w:rPr>
          <w:rFonts w:ascii="Arial" w:hAnsi="Arial" w:cs="Arial"/>
        </w:rPr>
        <w:t xml:space="preserve">also </w:t>
      </w:r>
      <w:r w:rsidR="002B411A">
        <w:rPr>
          <w:rFonts w:ascii="Arial" w:hAnsi="Arial" w:cs="Arial"/>
        </w:rPr>
        <w:t>attached</w:t>
      </w:r>
      <w:r w:rsidR="00C11D06">
        <w:rPr>
          <w:rFonts w:ascii="Arial" w:hAnsi="Arial" w:cs="Arial"/>
        </w:rPr>
        <w:t xml:space="preserve"> here</w:t>
      </w:r>
      <w:r w:rsidR="002B411A">
        <w:rPr>
          <w:rFonts w:ascii="Arial" w:hAnsi="Arial" w:cs="Arial"/>
        </w:rPr>
        <w:t>.</w:t>
      </w:r>
    </w:p>
    <w:p w:rsidR="00D71DCF" w:rsidRDefault="00D71DCF" w:rsidP="005C6E7A">
      <w:pPr>
        <w:rPr>
          <w:rFonts w:ascii="Arial" w:hAnsi="Arial" w:cs="Arial"/>
        </w:rPr>
      </w:pPr>
    </w:p>
    <w:p w:rsidR="00D71DCF" w:rsidRPr="000534B2" w:rsidRDefault="00D71DCF" w:rsidP="005C6E7A">
      <w:pPr>
        <w:rPr>
          <w:rFonts w:ascii="Arial" w:hAnsi="Arial" w:cs="Arial"/>
        </w:rPr>
      </w:pPr>
      <w:r>
        <w:rPr>
          <w:rFonts w:ascii="Arial" w:hAnsi="Arial" w:cs="Arial"/>
        </w:rPr>
        <w:object w:dxaOrig="1531" w:dyaOrig="1002">
          <v:shape id="_x0000_i1027" type="#_x0000_t75" style="width:76.5pt;height:50.25pt" o:ole="">
            <v:imagedata r:id="rId11" o:title=""/>
          </v:shape>
          <o:OLEObject Type="Embed" ProgID="Excel.Sheet.12" ShapeID="_x0000_i1027" DrawAspect="Icon" ObjectID="_1514897144" r:id="rId13"/>
        </w:object>
      </w:r>
    </w:p>
    <w:sectPr w:rsidR="00D71DCF" w:rsidRPr="000534B2" w:rsidSect="009B540D">
      <w:headerReference w:type="default" r:id="rId14"/>
      <w:footerReference w:type="default" r:id="rId15"/>
      <w:pgSz w:w="12240" w:h="15840" w:code="1"/>
      <w:pgMar w:top="432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F31" w:rsidRDefault="00BB4F31">
      <w:r>
        <w:separator/>
      </w:r>
    </w:p>
  </w:endnote>
  <w:endnote w:type="continuationSeparator" w:id="0">
    <w:p w:rsidR="00BB4F31" w:rsidRDefault="00BB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06" w:rsidRPr="00E86619" w:rsidRDefault="00674C06">
    <w:pPr>
      <w:pStyle w:val="Footer"/>
      <w:rPr>
        <w:rFonts w:ascii="Arial" w:hAnsi="Arial" w:cs="Arial"/>
      </w:rPr>
    </w:pPr>
    <w:r>
      <w:tab/>
    </w:r>
    <w:r w:rsidRPr="00E86619">
      <w:rPr>
        <w:rStyle w:val="PageNumber"/>
        <w:rFonts w:ascii="Arial" w:hAnsi="Arial" w:cs="Arial"/>
      </w:rPr>
      <w:fldChar w:fldCharType="begin"/>
    </w:r>
    <w:r w:rsidRPr="00E86619">
      <w:rPr>
        <w:rStyle w:val="PageNumber"/>
        <w:rFonts w:ascii="Arial" w:hAnsi="Arial" w:cs="Arial"/>
      </w:rPr>
      <w:instrText xml:space="preserve"> PAGE </w:instrText>
    </w:r>
    <w:r w:rsidRPr="00E86619">
      <w:rPr>
        <w:rStyle w:val="PageNumber"/>
        <w:rFonts w:ascii="Arial" w:hAnsi="Arial" w:cs="Arial"/>
      </w:rPr>
      <w:fldChar w:fldCharType="separate"/>
    </w:r>
    <w:r w:rsidR="009E26A0">
      <w:rPr>
        <w:rStyle w:val="PageNumber"/>
        <w:rFonts w:ascii="Arial" w:hAnsi="Arial" w:cs="Arial"/>
        <w:noProof/>
      </w:rPr>
      <w:t>15</w:t>
    </w:r>
    <w:r w:rsidRPr="00E86619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F31" w:rsidRDefault="00BB4F31">
      <w:r>
        <w:separator/>
      </w:r>
    </w:p>
  </w:footnote>
  <w:footnote w:type="continuationSeparator" w:id="0">
    <w:p w:rsidR="00BB4F31" w:rsidRDefault="00BB4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06" w:rsidRPr="00267335" w:rsidRDefault="00674C06" w:rsidP="00267335">
    <w:pPr>
      <w:autoSpaceDE w:val="0"/>
      <w:autoSpaceDN w:val="0"/>
      <w:adjustRightInd w:val="0"/>
      <w:jc w:val="center"/>
      <w:rPr>
        <w:rFonts w:ascii="Arial" w:hAnsi="Arial" w:cs="Arial"/>
        <w:b/>
      </w:rPr>
    </w:pPr>
    <w:r w:rsidRPr="00267335">
      <w:rPr>
        <w:rFonts w:ascii="Arial" w:hAnsi="Arial" w:cs="Arial"/>
        <w:b/>
      </w:rPr>
      <w:t>APPLICATION OF SOUTHERN CALIFORNIA GAS COMPANY</w:t>
    </w:r>
  </w:p>
  <w:p w:rsidR="00674C06" w:rsidRPr="00267335" w:rsidRDefault="00674C06" w:rsidP="00267335">
    <w:pPr>
      <w:autoSpaceDE w:val="0"/>
      <w:autoSpaceDN w:val="0"/>
      <w:adjustRightInd w:val="0"/>
      <w:jc w:val="center"/>
      <w:rPr>
        <w:rFonts w:ascii="Arial" w:hAnsi="Arial" w:cs="Arial"/>
        <w:b/>
      </w:rPr>
    </w:pPr>
    <w:r w:rsidRPr="00267335">
      <w:rPr>
        <w:rFonts w:ascii="Arial" w:hAnsi="Arial" w:cs="Arial"/>
        <w:b/>
      </w:rPr>
      <w:t>AND SAN DIEGO GAS &amp; ELECTRIC COMPANY</w:t>
    </w:r>
  </w:p>
  <w:p w:rsidR="00674C06" w:rsidRDefault="00674C06" w:rsidP="00267335">
    <w:pPr>
      <w:autoSpaceDE w:val="0"/>
      <w:autoSpaceDN w:val="0"/>
      <w:adjustRightInd w:val="0"/>
      <w:jc w:val="center"/>
      <w:rPr>
        <w:rFonts w:ascii="Arial" w:hAnsi="Arial" w:cs="Arial"/>
        <w:b/>
      </w:rPr>
    </w:pPr>
    <w:r w:rsidRPr="00267335">
      <w:rPr>
        <w:rFonts w:ascii="Arial" w:hAnsi="Arial" w:cs="Arial"/>
        <w:b/>
      </w:rPr>
      <w:t>FOR AUTHORITY TO REV</w:t>
    </w:r>
    <w:r>
      <w:rPr>
        <w:rFonts w:ascii="Arial" w:hAnsi="Arial" w:cs="Arial"/>
        <w:b/>
      </w:rPr>
      <w:t>I</w:t>
    </w:r>
    <w:r w:rsidRPr="00267335">
      <w:rPr>
        <w:rFonts w:ascii="Arial" w:hAnsi="Arial" w:cs="Arial"/>
        <w:b/>
      </w:rPr>
      <w:t xml:space="preserve">SE THEIR NATURAL GAS RATES </w:t>
    </w:r>
  </w:p>
  <w:p w:rsidR="00674C06" w:rsidRDefault="00674C06" w:rsidP="00267335">
    <w:pPr>
      <w:autoSpaceDE w:val="0"/>
      <w:autoSpaceDN w:val="0"/>
      <w:adjustRightInd w:val="0"/>
      <w:jc w:val="center"/>
      <w:rPr>
        <w:rFonts w:ascii="Arial" w:hAnsi="Arial" w:cs="Arial"/>
        <w:b/>
      </w:rPr>
    </w:pPr>
    <w:r w:rsidRPr="00267335">
      <w:rPr>
        <w:rFonts w:ascii="Arial" w:hAnsi="Arial" w:cs="Arial"/>
        <w:b/>
      </w:rPr>
      <w:t xml:space="preserve">EFFECTIVE JANUARY 1, 2017 IN THEIR </w:t>
    </w:r>
  </w:p>
  <w:p w:rsidR="00674C06" w:rsidRPr="00267335" w:rsidRDefault="00674C06" w:rsidP="00267335">
    <w:pPr>
      <w:autoSpaceDE w:val="0"/>
      <w:autoSpaceDN w:val="0"/>
      <w:adjustRightInd w:val="0"/>
      <w:jc w:val="center"/>
      <w:rPr>
        <w:rFonts w:ascii="Arial" w:hAnsi="Arial" w:cs="Arial"/>
        <w:b/>
      </w:rPr>
    </w:pPr>
    <w:r w:rsidRPr="00267335">
      <w:rPr>
        <w:rFonts w:ascii="Arial" w:hAnsi="Arial" w:cs="Arial"/>
        <w:b/>
      </w:rPr>
      <w:t xml:space="preserve">TRIENNIAL COST ALLOCATION PROCEEDING </w:t>
    </w:r>
    <w:r>
      <w:rPr>
        <w:rFonts w:ascii="Arial" w:hAnsi="Arial" w:cs="Arial"/>
        <w:b/>
      </w:rPr>
      <w:t>- PHASE 2</w:t>
    </w:r>
  </w:p>
  <w:p w:rsidR="00674C06" w:rsidRPr="00445088" w:rsidRDefault="00674C06" w:rsidP="00663B29">
    <w:pPr>
      <w:jc w:val="center"/>
      <w:rPr>
        <w:rFonts w:ascii="Arial" w:hAnsi="Arial" w:cs="Arial"/>
        <w:b/>
        <w:sz w:val="6"/>
        <w:szCs w:val="6"/>
      </w:rPr>
    </w:pPr>
  </w:p>
  <w:p w:rsidR="00674C06" w:rsidRPr="00663B29" w:rsidRDefault="00674C06" w:rsidP="00663B29">
    <w:pPr>
      <w:jc w:val="center"/>
      <w:rPr>
        <w:rFonts w:ascii="Arial" w:hAnsi="Arial" w:cs="Arial"/>
        <w:b/>
        <w:sz w:val="6"/>
        <w:szCs w:val="6"/>
      </w:rPr>
    </w:pPr>
  </w:p>
  <w:p w:rsidR="00674C06" w:rsidRPr="00663B29" w:rsidRDefault="00674C06" w:rsidP="00663B29">
    <w:pPr>
      <w:jc w:val="center"/>
      <w:rPr>
        <w:rFonts w:ascii="Arial" w:hAnsi="Arial" w:cs="Arial"/>
        <w:b/>
      </w:rPr>
    </w:pPr>
    <w:r w:rsidRPr="00663B29">
      <w:rPr>
        <w:rFonts w:ascii="Arial" w:hAnsi="Arial" w:cs="Arial"/>
        <w:b/>
      </w:rPr>
      <w:t>(A.1</w:t>
    </w:r>
    <w:r>
      <w:rPr>
        <w:rFonts w:ascii="Arial" w:hAnsi="Arial" w:cs="Arial"/>
        <w:b/>
      </w:rPr>
      <w:t>5</w:t>
    </w:r>
    <w:r w:rsidRPr="00663B29">
      <w:rPr>
        <w:rFonts w:ascii="Arial" w:hAnsi="Arial" w:cs="Arial"/>
        <w:b/>
      </w:rPr>
      <w:t>-</w:t>
    </w:r>
    <w:r>
      <w:rPr>
        <w:rFonts w:ascii="Arial" w:hAnsi="Arial" w:cs="Arial"/>
        <w:b/>
      </w:rPr>
      <w:t>07</w:t>
    </w:r>
    <w:r w:rsidRPr="00663B29">
      <w:rPr>
        <w:rFonts w:ascii="Arial" w:hAnsi="Arial" w:cs="Arial"/>
        <w:b/>
      </w:rPr>
      <w:t>-</w:t>
    </w:r>
    <w:r>
      <w:rPr>
        <w:rFonts w:ascii="Arial" w:hAnsi="Arial" w:cs="Arial"/>
        <w:b/>
      </w:rPr>
      <w:t>014</w:t>
    </w:r>
    <w:r w:rsidRPr="00663B29">
      <w:rPr>
        <w:rFonts w:ascii="Arial" w:hAnsi="Arial" w:cs="Arial"/>
        <w:b/>
      </w:rPr>
      <w:t>)</w:t>
    </w:r>
  </w:p>
  <w:p w:rsidR="00674C06" w:rsidRDefault="00674C06" w:rsidP="00F9456E">
    <w:pPr>
      <w:pStyle w:val="Header"/>
      <w:jc w:val="center"/>
      <w:rPr>
        <w:rFonts w:ascii="Arial" w:hAnsi="Arial" w:cs="Arial"/>
        <w:b/>
        <w:sz w:val="8"/>
        <w:szCs w:val="8"/>
      </w:rPr>
    </w:pPr>
  </w:p>
  <w:p w:rsidR="00674C06" w:rsidRPr="00C178B5" w:rsidRDefault="00674C06" w:rsidP="00F9456E">
    <w:pPr>
      <w:pStyle w:val="Header"/>
      <w:jc w:val="center"/>
      <w:rPr>
        <w:rFonts w:ascii="Arial" w:hAnsi="Arial" w:cs="Arial"/>
        <w:b/>
        <w:sz w:val="8"/>
        <w:szCs w:val="8"/>
      </w:rPr>
    </w:pPr>
  </w:p>
  <w:p w:rsidR="00674C06" w:rsidRPr="008F3FF5" w:rsidRDefault="00674C06" w:rsidP="00F9456E">
    <w:pPr>
      <w:pStyle w:val="Header"/>
      <w:jc w:val="center"/>
      <w:rPr>
        <w:rFonts w:ascii="Arial" w:hAnsi="Arial" w:cs="Arial"/>
        <w:b/>
      </w:rPr>
    </w:pPr>
    <w:r w:rsidRPr="008F3FF5">
      <w:rPr>
        <w:rFonts w:ascii="Arial" w:hAnsi="Arial" w:cs="Arial"/>
        <w:b/>
      </w:rPr>
      <w:t>(DATA REQUEST ORA-TCAP2-SCG-</w:t>
    </w:r>
    <w:r w:rsidRPr="008F3FF5">
      <w:rPr>
        <w:rFonts w:ascii="Arial" w:hAnsi="Arial" w:cs="Arial"/>
        <w:b/>
        <w:bCs/>
      </w:rPr>
      <w:t>11</w:t>
    </w:r>
    <w:r w:rsidRPr="008F3FF5">
      <w:rPr>
        <w:rFonts w:ascii="Arial" w:hAnsi="Arial" w:cs="Arial"/>
        <w:b/>
      </w:rPr>
      <w:t>)</w:t>
    </w:r>
  </w:p>
  <w:p w:rsidR="00674C06" w:rsidRDefault="00674C06" w:rsidP="00F9456E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169"/>
    <w:multiLevelType w:val="hybridMultilevel"/>
    <w:tmpl w:val="D2802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F34FF"/>
    <w:multiLevelType w:val="hybridMultilevel"/>
    <w:tmpl w:val="03E813C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46DB5"/>
    <w:multiLevelType w:val="hybridMultilevel"/>
    <w:tmpl w:val="2F763A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06EF0"/>
    <w:multiLevelType w:val="multilevel"/>
    <w:tmpl w:val="A3C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C7A47"/>
    <w:multiLevelType w:val="hybridMultilevel"/>
    <w:tmpl w:val="BAE46084"/>
    <w:lvl w:ilvl="0" w:tplc="E63E8E90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2BD05A4"/>
    <w:multiLevelType w:val="hybridMultilevel"/>
    <w:tmpl w:val="4E9C340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0743A5"/>
    <w:multiLevelType w:val="hybridMultilevel"/>
    <w:tmpl w:val="C2C249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C55164A"/>
    <w:multiLevelType w:val="multilevel"/>
    <w:tmpl w:val="BF98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981783"/>
    <w:multiLevelType w:val="hybridMultilevel"/>
    <w:tmpl w:val="CAC20CC8"/>
    <w:lvl w:ilvl="0" w:tplc="AEC404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56FF6"/>
    <w:multiLevelType w:val="multilevel"/>
    <w:tmpl w:val="1B8E973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0">
    <w:nsid w:val="2B371407"/>
    <w:multiLevelType w:val="hybridMultilevel"/>
    <w:tmpl w:val="3A82190C"/>
    <w:lvl w:ilvl="0" w:tplc="20C467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F6109"/>
    <w:multiLevelType w:val="hybridMultilevel"/>
    <w:tmpl w:val="43789FE2"/>
    <w:lvl w:ilvl="0" w:tplc="F63E41E4">
      <w:start w:val="1"/>
      <w:numFmt w:val="lowerLetter"/>
      <w:lvlText w:val="%1.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2">
    <w:nsid w:val="34640CB7"/>
    <w:multiLevelType w:val="hybridMultilevel"/>
    <w:tmpl w:val="06B0DE1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97A37E4"/>
    <w:multiLevelType w:val="hybridMultilevel"/>
    <w:tmpl w:val="CAC20CC8"/>
    <w:lvl w:ilvl="0" w:tplc="AEC404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5516B"/>
    <w:multiLevelType w:val="hybridMultilevel"/>
    <w:tmpl w:val="CAC20CC8"/>
    <w:lvl w:ilvl="0" w:tplc="AEC404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A687B"/>
    <w:multiLevelType w:val="hybridMultilevel"/>
    <w:tmpl w:val="E682AB1A"/>
    <w:lvl w:ilvl="0" w:tplc="FD6010E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7024A"/>
    <w:multiLevelType w:val="hybridMultilevel"/>
    <w:tmpl w:val="71322ADC"/>
    <w:lvl w:ilvl="0" w:tplc="FDB82F9A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D55C1B"/>
    <w:multiLevelType w:val="hybridMultilevel"/>
    <w:tmpl w:val="7E24A1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A1788"/>
    <w:multiLevelType w:val="multilevel"/>
    <w:tmpl w:val="D280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F546A2"/>
    <w:multiLevelType w:val="hybridMultilevel"/>
    <w:tmpl w:val="FC889A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5C0CFB"/>
    <w:multiLevelType w:val="hybridMultilevel"/>
    <w:tmpl w:val="51767A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D86306"/>
    <w:multiLevelType w:val="hybridMultilevel"/>
    <w:tmpl w:val="386A8C6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2B86739"/>
    <w:multiLevelType w:val="hybridMultilevel"/>
    <w:tmpl w:val="C19E7C4A"/>
    <w:lvl w:ilvl="0" w:tplc="3D50724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92F83"/>
    <w:multiLevelType w:val="hybridMultilevel"/>
    <w:tmpl w:val="461E5BA6"/>
    <w:lvl w:ilvl="0" w:tplc="65525C10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A2FBA"/>
    <w:multiLevelType w:val="multilevel"/>
    <w:tmpl w:val="B1BAC4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CD60A62"/>
    <w:multiLevelType w:val="hybridMultilevel"/>
    <w:tmpl w:val="60A89B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4945CF"/>
    <w:multiLevelType w:val="multilevel"/>
    <w:tmpl w:val="C2C249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5EF1D4A"/>
    <w:multiLevelType w:val="hybridMultilevel"/>
    <w:tmpl w:val="B1BAC4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6"/>
  </w:num>
  <w:num w:numId="4">
    <w:abstractNumId w:val="25"/>
  </w:num>
  <w:num w:numId="5">
    <w:abstractNumId w:val="18"/>
  </w:num>
  <w:num w:numId="6">
    <w:abstractNumId w:val="24"/>
  </w:num>
  <w:num w:numId="7">
    <w:abstractNumId w:val="12"/>
  </w:num>
  <w:num w:numId="8">
    <w:abstractNumId w:val="26"/>
  </w:num>
  <w:num w:numId="9">
    <w:abstractNumId w:val="21"/>
  </w:num>
  <w:num w:numId="10">
    <w:abstractNumId w:val="7"/>
  </w:num>
  <w:num w:numId="11">
    <w:abstractNumId w:val="5"/>
  </w:num>
  <w:num w:numId="12">
    <w:abstractNumId w:val="3"/>
  </w:num>
  <w:num w:numId="13">
    <w:abstractNumId w:val="2"/>
  </w:num>
  <w:num w:numId="14">
    <w:abstractNumId w:val="19"/>
  </w:num>
  <w:num w:numId="15">
    <w:abstractNumId w:val="20"/>
  </w:num>
  <w:num w:numId="16">
    <w:abstractNumId w:val="16"/>
  </w:num>
  <w:num w:numId="17">
    <w:abstractNumId w:val="1"/>
  </w:num>
  <w:num w:numId="18">
    <w:abstractNumId w:val="9"/>
  </w:num>
  <w:num w:numId="19">
    <w:abstractNumId w:val="4"/>
  </w:num>
  <w:num w:numId="20">
    <w:abstractNumId w:val="11"/>
  </w:num>
  <w:num w:numId="21">
    <w:abstractNumId w:val="17"/>
  </w:num>
  <w:num w:numId="22">
    <w:abstractNumId w:val="13"/>
  </w:num>
  <w:num w:numId="23">
    <w:abstractNumId w:val="15"/>
  </w:num>
  <w:num w:numId="24">
    <w:abstractNumId w:val="10"/>
  </w:num>
  <w:num w:numId="25">
    <w:abstractNumId w:val="8"/>
  </w:num>
  <w:num w:numId="26">
    <w:abstractNumId w:val="23"/>
  </w:num>
  <w:num w:numId="27">
    <w:abstractNumId w:val="1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9D22A33-82CE-4419-BFCB-0BAD2BA7C36E}"/>
    <w:docVar w:name="dgnword-eventsink" w:val="7712992"/>
  </w:docVars>
  <w:rsids>
    <w:rsidRoot w:val="00687D80"/>
    <w:rsid w:val="00004249"/>
    <w:rsid w:val="0002470C"/>
    <w:rsid w:val="00026804"/>
    <w:rsid w:val="00032E42"/>
    <w:rsid w:val="000427F1"/>
    <w:rsid w:val="000445AE"/>
    <w:rsid w:val="000446FA"/>
    <w:rsid w:val="00050DEA"/>
    <w:rsid w:val="000534B2"/>
    <w:rsid w:val="00054200"/>
    <w:rsid w:val="0005486A"/>
    <w:rsid w:val="00062FD1"/>
    <w:rsid w:val="000661A8"/>
    <w:rsid w:val="00067680"/>
    <w:rsid w:val="00075782"/>
    <w:rsid w:val="00082011"/>
    <w:rsid w:val="000973D6"/>
    <w:rsid w:val="000A025A"/>
    <w:rsid w:val="000B4A0F"/>
    <w:rsid w:val="000C0E9E"/>
    <w:rsid w:val="000D5EF6"/>
    <w:rsid w:val="000E2012"/>
    <w:rsid w:val="000E32F6"/>
    <w:rsid w:val="000E5737"/>
    <w:rsid w:val="000F0C29"/>
    <w:rsid w:val="001171A6"/>
    <w:rsid w:val="00122374"/>
    <w:rsid w:val="00130F5D"/>
    <w:rsid w:val="00151F80"/>
    <w:rsid w:val="001576BC"/>
    <w:rsid w:val="00161D9C"/>
    <w:rsid w:val="0016541E"/>
    <w:rsid w:val="00171E47"/>
    <w:rsid w:val="00171F7F"/>
    <w:rsid w:val="001754B0"/>
    <w:rsid w:val="001A2B0E"/>
    <w:rsid w:val="001B2C3E"/>
    <w:rsid w:val="001D4131"/>
    <w:rsid w:val="001E27D7"/>
    <w:rsid w:val="001E4A11"/>
    <w:rsid w:val="001E5C86"/>
    <w:rsid w:val="001E6C47"/>
    <w:rsid w:val="001F22D6"/>
    <w:rsid w:val="001F2F28"/>
    <w:rsid w:val="002021F9"/>
    <w:rsid w:val="00214711"/>
    <w:rsid w:val="00215B6F"/>
    <w:rsid w:val="00217318"/>
    <w:rsid w:val="002347BA"/>
    <w:rsid w:val="002447CF"/>
    <w:rsid w:val="00256A63"/>
    <w:rsid w:val="00267335"/>
    <w:rsid w:val="002749B8"/>
    <w:rsid w:val="002921A5"/>
    <w:rsid w:val="002928D8"/>
    <w:rsid w:val="002B4021"/>
    <w:rsid w:val="002B411A"/>
    <w:rsid w:val="002B7CDB"/>
    <w:rsid w:val="002C2AFC"/>
    <w:rsid w:val="002C432D"/>
    <w:rsid w:val="002D2826"/>
    <w:rsid w:val="002D7E7D"/>
    <w:rsid w:val="002E095B"/>
    <w:rsid w:val="002F0357"/>
    <w:rsid w:val="00300C57"/>
    <w:rsid w:val="0031070C"/>
    <w:rsid w:val="0031141C"/>
    <w:rsid w:val="0033460C"/>
    <w:rsid w:val="00335AB8"/>
    <w:rsid w:val="003405A5"/>
    <w:rsid w:val="00347ECE"/>
    <w:rsid w:val="00355094"/>
    <w:rsid w:val="00367398"/>
    <w:rsid w:val="00380D75"/>
    <w:rsid w:val="00385BDD"/>
    <w:rsid w:val="003A3913"/>
    <w:rsid w:val="003C64AC"/>
    <w:rsid w:val="003D0EDA"/>
    <w:rsid w:val="003D6C99"/>
    <w:rsid w:val="003E7642"/>
    <w:rsid w:val="00405FCB"/>
    <w:rsid w:val="00406302"/>
    <w:rsid w:val="004103FB"/>
    <w:rsid w:val="00422110"/>
    <w:rsid w:val="00442D6C"/>
    <w:rsid w:val="00443AB5"/>
    <w:rsid w:val="00445088"/>
    <w:rsid w:val="004628EB"/>
    <w:rsid w:val="004710C7"/>
    <w:rsid w:val="00487F3F"/>
    <w:rsid w:val="004A11B8"/>
    <w:rsid w:val="004B00F4"/>
    <w:rsid w:val="004B1982"/>
    <w:rsid w:val="004C0B63"/>
    <w:rsid w:val="004D1DD7"/>
    <w:rsid w:val="004E361C"/>
    <w:rsid w:val="004E625C"/>
    <w:rsid w:val="00507F24"/>
    <w:rsid w:val="0053538B"/>
    <w:rsid w:val="005476B2"/>
    <w:rsid w:val="0055366F"/>
    <w:rsid w:val="00570EE0"/>
    <w:rsid w:val="00574D6D"/>
    <w:rsid w:val="005757EF"/>
    <w:rsid w:val="00581DF1"/>
    <w:rsid w:val="00582C14"/>
    <w:rsid w:val="00584D74"/>
    <w:rsid w:val="00586657"/>
    <w:rsid w:val="005945FF"/>
    <w:rsid w:val="00596EB7"/>
    <w:rsid w:val="005A54EE"/>
    <w:rsid w:val="005A7A6E"/>
    <w:rsid w:val="005B35E8"/>
    <w:rsid w:val="005B4469"/>
    <w:rsid w:val="005C452D"/>
    <w:rsid w:val="005C5391"/>
    <w:rsid w:val="005C6E7A"/>
    <w:rsid w:val="005E3642"/>
    <w:rsid w:val="005F1AAE"/>
    <w:rsid w:val="005F4287"/>
    <w:rsid w:val="006177F4"/>
    <w:rsid w:val="0063481C"/>
    <w:rsid w:val="00636BCF"/>
    <w:rsid w:val="0064053C"/>
    <w:rsid w:val="006549D7"/>
    <w:rsid w:val="0065774B"/>
    <w:rsid w:val="00657A12"/>
    <w:rsid w:val="00657ADE"/>
    <w:rsid w:val="00663B29"/>
    <w:rsid w:val="00674C06"/>
    <w:rsid w:val="0067709F"/>
    <w:rsid w:val="00685B80"/>
    <w:rsid w:val="00686DC5"/>
    <w:rsid w:val="00687D80"/>
    <w:rsid w:val="00693014"/>
    <w:rsid w:val="00696192"/>
    <w:rsid w:val="006B0927"/>
    <w:rsid w:val="006B49A6"/>
    <w:rsid w:val="006B5580"/>
    <w:rsid w:val="006D2F9B"/>
    <w:rsid w:val="006E3841"/>
    <w:rsid w:val="006E6D13"/>
    <w:rsid w:val="006F4609"/>
    <w:rsid w:val="006F6773"/>
    <w:rsid w:val="007022E5"/>
    <w:rsid w:val="007033DF"/>
    <w:rsid w:val="00717106"/>
    <w:rsid w:val="00724B83"/>
    <w:rsid w:val="00726B5A"/>
    <w:rsid w:val="007340BA"/>
    <w:rsid w:val="0075166B"/>
    <w:rsid w:val="00751C4C"/>
    <w:rsid w:val="007603F9"/>
    <w:rsid w:val="007638A3"/>
    <w:rsid w:val="007643EA"/>
    <w:rsid w:val="00764C99"/>
    <w:rsid w:val="00764EE6"/>
    <w:rsid w:val="007758C7"/>
    <w:rsid w:val="007813AF"/>
    <w:rsid w:val="00792FC7"/>
    <w:rsid w:val="00794553"/>
    <w:rsid w:val="00797B94"/>
    <w:rsid w:val="007A1BA1"/>
    <w:rsid w:val="007A5840"/>
    <w:rsid w:val="007B53DA"/>
    <w:rsid w:val="007B59E1"/>
    <w:rsid w:val="007E1BBA"/>
    <w:rsid w:val="007F36DC"/>
    <w:rsid w:val="007F3867"/>
    <w:rsid w:val="0080163C"/>
    <w:rsid w:val="0081001C"/>
    <w:rsid w:val="00814510"/>
    <w:rsid w:val="00820EFA"/>
    <w:rsid w:val="008269E1"/>
    <w:rsid w:val="00846D35"/>
    <w:rsid w:val="00854D38"/>
    <w:rsid w:val="0086297C"/>
    <w:rsid w:val="00874121"/>
    <w:rsid w:val="00885D8A"/>
    <w:rsid w:val="008A0206"/>
    <w:rsid w:val="008A0C1E"/>
    <w:rsid w:val="008A3929"/>
    <w:rsid w:val="008A59D2"/>
    <w:rsid w:val="008B0407"/>
    <w:rsid w:val="008B29B7"/>
    <w:rsid w:val="008B45FF"/>
    <w:rsid w:val="008C558B"/>
    <w:rsid w:val="008D2869"/>
    <w:rsid w:val="008F2A13"/>
    <w:rsid w:val="008F3FF5"/>
    <w:rsid w:val="00900006"/>
    <w:rsid w:val="009014E2"/>
    <w:rsid w:val="00915BED"/>
    <w:rsid w:val="00924832"/>
    <w:rsid w:val="00927C7F"/>
    <w:rsid w:val="009308B2"/>
    <w:rsid w:val="009353A5"/>
    <w:rsid w:val="00937072"/>
    <w:rsid w:val="00947DA8"/>
    <w:rsid w:val="0095497D"/>
    <w:rsid w:val="00962147"/>
    <w:rsid w:val="00967F6A"/>
    <w:rsid w:val="009742EE"/>
    <w:rsid w:val="00974C19"/>
    <w:rsid w:val="00985713"/>
    <w:rsid w:val="00994689"/>
    <w:rsid w:val="009951BE"/>
    <w:rsid w:val="00996B85"/>
    <w:rsid w:val="009B0636"/>
    <w:rsid w:val="009B540D"/>
    <w:rsid w:val="009D42A5"/>
    <w:rsid w:val="009E04A7"/>
    <w:rsid w:val="009E26A0"/>
    <w:rsid w:val="009E2A12"/>
    <w:rsid w:val="009E6BC2"/>
    <w:rsid w:val="009F64F4"/>
    <w:rsid w:val="00A17B4A"/>
    <w:rsid w:val="00A21C4E"/>
    <w:rsid w:val="00A540FF"/>
    <w:rsid w:val="00A558C1"/>
    <w:rsid w:val="00A65A2F"/>
    <w:rsid w:val="00A67A4C"/>
    <w:rsid w:val="00A76001"/>
    <w:rsid w:val="00A85689"/>
    <w:rsid w:val="00A8757F"/>
    <w:rsid w:val="00A928A9"/>
    <w:rsid w:val="00AA2736"/>
    <w:rsid w:val="00AA7D9B"/>
    <w:rsid w:val="00AC3331"/>
    <w:rsid w:val="00AC79BC"/>
    <w:rsid w:val="00AE0506"/>
    <w:rsid w:val="00AE603A"/>
    <w:rsid w:val="00AF172A"/>
    <w:rsid w:val="00AF1AE8"/>
    <w:rsid w:val="00AF1FFF"/>
    <w:rsid w:val="00AF2896"/>
    <w:rsid w:val="00AF3427"/>
    <w:rsid w:val="00AF52C0"/>
    <w:rsid w:val="00AF70D5"/>
    <w:rsid w:val="00B1595B"/>
    <w:rsid w:val="00B177D4"/>
    <w:rsid w:val="00B23DF8"/>
    <w:rsid w:val="00B30845"/>
    <w:rsid w:val="00B32CAC"/>
    <w:rsid w:val="00B474D9"/>
    <w:rsid w:val="00B50348"/>
    <w:rsid w:val="00B537FB"/>
    <w:rsid w:val="00B540E4"/>
    <w:rsid w:val="00B714F3"/>
    <w:rsid w:val="00B722CE"/>
    <w:rsid w:val="00B756A5"/>
    <w:rsid w:val="00B92274"/>
    <w:rsid w:val="00B929C2"/>
    <w:rsid w:val="00BA67EC"/>
    <w:rsid w:val="00BB2092"/>
    <w:rsid w:val="00BB4F31"/>
    <w:rsid w:val="00BC556D"/>
    <w:rsid w:val="00BD1AC1"/>
    <w:rsid w:val="00BD3336"/>
    <w:rsid w:val="00BD405D"/>
    <w:rsid w:val="00BD67C3"/>
    <w:rsid w:val="00BE54FA"/>
    <w:rsid w:val="00BF1867"/>
    <w:rsid w:val="00BF290C"/>
    <w:rsid w:val="00C00BF1"/>
    <w:rsid w:val="00C11D06"/>
    <w:rsid w:val="00C141A5"/>
    <w:rsid w:val="00C4302A"/>
    <w:rsid w:val="00C44CE1"/>
    <w:rsid w:val="00C478AC"/>
    <w:rsid w:val="00C50AFA"/>
    <w:rsid w:val="00C6106E"/>
    <w:rsid w:val="00C62CAA"/>
    <w:rsid w:val="00C72C05"/>
    <w:rsid w:val="00C81914"/>
    <w:rsid w:val="00C855A8"/>
    <w:rsid w:val="00CB1F14"/>
    <w:rsid w:val="00CB2B75"/>
    <w:rsid w:val="00CB3FD9"/>
    <w:rsid w:val="00CC6E1D"/>
    <w:rsid w:val="00CD1FF2"/>
    <w:rsid w:val="00CD2A4C"/>
    <w:rsid w:val="00CD3A2B"/>
    <w:rsid w:val="00CF4C45"/>
    <w:rsid w:val="00CF5008"/>
    <w:rsid w:val="00D00E73"/>
    <w:rsid w:val="00D012A4"/>
    <w:rsid w:val="00D03B12"/>
    <w:rsid w:val="00D14DA0"/>
    <w:rsid w:val="00D2422F"/>
    <w:rsid w:val="00D27711"/>
    <w:rsid w:val="00D42A9F"/>
    <w:rsid w:val="00D51BAE"/>
    <w:rsid w:val="00D62478"/>
    <w:rsid w:val="00D62B84"/>
    <w:rsid w:val="00D66C29"/>
    <w:rsid w:val="00D71DCF"/>
    <w:rsid w:val="00D80DD1"/>
    <w:rsid w:val="00DB3DF1"/>
    <w:rsid w:val="00DC65F3"/>
    <w:rsid w:val="00E00708"/>
    <w:rsid w:val="00E20F09"/>
    <w:rsid w:val="00E22BE0"/>
    <w:rsid w:val="00E25E1B"/>
    <w:rsid w:val="00E26D88"/>
    <w:rsid w:val="00E42C0C"/>
    <w:rsid w:val="00E44F2B"/>
    <w:rsid w:val="00E46494"/>
    <w:rsid w:val="00E46E42"/>
    <w:rsid w:val="00E54E2E"/>
    <w:rsid w:val="00E62046"/>
    <w:rsid w:val="00E77426"/>
    <w:rsid w:val="00E802E5"/>
    <w:rsid w:val="00E82FDE"/>
    <w:rsid w:val="00E84D1A"/>
    <w:rsid w:val="00E86619"/>
    <w:rsid w:val="00EA0F7A"/>
    <w:rsid w:val="00EC4C69"/>
    <w:rsid w:val="00EC666E"/>
    <w:rsid w:val="00ED0B44"/>
    <w:rsid w:val="00ED0D66"/>
    <w:rsid w:val="00EE2B21"/>
    <w:rsid w:val="00EF0C48"/>
    <w:rsid w:val="00EF4B7A"/>
    <w:rsid w:val="00EF4CFF"/>
    <w:rsid w:val="00F01063"/>
    <w:rsid w:val="00F033B8"/>
    <w:rsid w:val="00F3113C"/>
    <w:rsid w:val="00F438E8"/>
    <w:rsid w:val="00F47E8C"/>
    <w:rsid w:val="00F61C58"/>
    <w:rsid w:val="00F66FE5"/>
    <w:rsid w:val="00F67377"/>
    <w:rsid w:val="00F759E8"/>
    <w:rsid w:val="00F86603"/>
    <w:rsid w:val="00F918F2"/>
    <w:rsid w:val="00F91EE6"/>
    <w:rsid w:val="00F93B37"/>
    <w:rsid w:val="00F9456E"/>
    <w:rsid w:val="00FA5C90"/>
    <w:rsid w:val="00FB1C4C"/>
    <w:rsid w:val="00FB2385"/>
    <w:rsid w:val="00FB67B3"/>
    <w:rsid w:val="00FB6C90"/>
    <w:rsid w:val="00FC16E0"/>
    <w:rsid w:val="00FE6A1D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87D8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4553"/>
  </w:style>
  <w:style w:type="character" w:customStyle="1" w:styleId="st">
    <w:name w:val="st"/>
    <w:rsid w:val="00663B29"/>
  </w:style>
  <w:style w:type="paragraph" w:styleId="ListParagraph">
    <w:name w:val="List Paragraph"/>
    <w:basedOn w:val="Normal"/>
    <w:uiPriority w:val="34"/>
    <w:qFormat/>
    <w:rsid w:val="008269E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06302"/>
  </w:style>
  <w:style w:type="character" w:styleId="CommentReference">
    <w:name w:val="annotation reference"/>
    <w:basedOn w:val="DefaultParagraphFont"/>
    <w:uiPriority w:val="99"/>
    <w:semiHidden/>
    <w:unhideWhenUsed/>
    <w:rsid w:val="00674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C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C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87D8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4553"/>
  </w:style>
  <w:style w:type="character" w:customStyle="1" w:styleId="st">
    <w:name w:val="st"/>
    <w:rsid w:val="00663B29"/>
  </w:style>
  <w:style w:type="paragraph" w:styleId="ListParagraph">
    <w:name w:val="List Paragraph"/>
    <w:basedOn w:val="Normal"/>
    <w:uiPriority w:val="34"/>
    <w:qFormat/>
    <w:rsid w:val="008269E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06302"/>
  </w:style>
  <w:style w:type="character" w:styleId="CommentReference">
    <w:name w:val="annotation reference"/>
    <w:basedOn w:val="DefaultParagraphFont"/>
    <w:uiPriority w:val="99"/>
    <w:semiHidden/>
    <w:unhideWhenUsed/>
    <w:rsid w:val="00674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C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Excel_Worksheet3.xlsx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42748-EA14-4D06-ACA9-5872E360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18</Pages>
  <Words>4511</Words>
  <Characters>24163</Characters>
  <Application>Microsoft Office Word</Application>
  <DocSecurity>0</DocSecurity>
  <Lines>201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1:</vt:lpstr>
    </vt:vector>
  </TitlesOfParts>
  <Company>Sempra Energy</Company>
  <LinksUpToDate>false</LinksUpToDate>
  <CharactersWithSpaces>28617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1:</dc:title>
  <dc:creator>Sempra Energy</dc:creator>
  <cp:lastModifiedBy>Mock, Joseph</cp:lastModifiedBy>
  <cp:revision>14</cp:revision>
  <cp:lastPrinted>2016-01-14T00:29:00Z</cp:lastPrinted>
  <dcterms:created xsi:type="dcterms:W3CDTF">2016-01-20T06:20:00Z</dcterms:created>
  <dcterms:modified xsi:type="dcterms:W3CDTF">2016-01-21T23:59:00Z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rtualVersion">
    <vt:lpwstr/>
  </property>
  <property fmtid="{D5CDD505-2E9C-101B-9397-08002B2CF9AE}" pid="3" name="VirtualDocId">
    <vt:lpwstr/>
  </property>
</Properties>
</file>