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</w:p>
    <w:p w:rsidR="00C62CAA" w:rsidRPr="001D4131" w:rsidRDefault="00C62CAA" w:rsidP="005C6E7A">
      <w:pPr>
        <w:rPr>
          <w:rFonts w:ascii="Arial" w:hAnsi="Arial" w:cs="Arial"/>
        </w:rPr>
      </w:pPr>
    </w:p>
    <w:p w:rsidR="00663B29" w:rsidRDefault="00663B29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:rsidR="00BC61B4" w:rsidRDefault="00BC61B4" w:rsidP="00BC61B4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BC61B4" w:rsidRP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At page 11 of the above subject, SoCalGas/SDG&amp;E witness Ms. Fung states at lines 10-17:</w:t>
      </w:r>
    </w:p>
    <w:p w:rsidR="00BC61B4" w:rsidRP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“Table 3 shows SoCalGas’ transmission capital-related cost of $89.1 million. The backbone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portion of capital-related cost is calculated from the transmission net book value and transmission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depreciation expense of SoCalGas’ backbone facilities. The net book values of these backbone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transmission lines and compressor stations represent 68% of SoCalGas’ transmission net book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value. The depreciation expenses of these backbone lines and compressor stations represent 69%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of SoCalGas’ transmission depreciation expense. These percentages result in a weighted average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of backbone capital-related cost of 68.4% relative to SoCalGas’ total transmission capital-related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cost, or $60.9 million.”</w:t>
      </w:r>
    </w:p>
    <w:p w:rsid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</w:p>
    <w:p w:rsid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Please cite reference to Ms. Fung’s Revised Workpapers for the excel spreadsheet calculation of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 xml:space="preserve">all the numbers in the above quoted statements, specifically, </w:t>
      </w:r>
    </w:p>
    <w:p w:rsid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</w:p>
    <w:p w:rsidR="00BC61B4" w:rsidRDefault="00D34FE3" w:rsidP="00BC61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(a) the $89.1 million;</w:t>
      </w:r>
    </w:p>
    <w:p w:rsidR="00BC61B4" w:rsidRDefault="00D34FE3" w:rsidP="00BC61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(b) 68%;</w:t>
      </w:r>
    </w:p>
    <w:p w:rsid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(c)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 xml:space="preserve">69%; </w:t>
      </w:r>
    </w:p>
    <w:p w:rsidR="00BC61B4" w:rsidRDefault="00D34FE3" w:rsidP="00BC61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(d) 68.4%; and</w:t>
      </w:r>
    </w:p>
    <w:p w:rsidR="00924832" w:rsidRPr="0031141C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(e) $60.9 million and provide the Tab and cell references for items (a)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through (e).</w:t>
      </w:r>
    </w:p>
    <w:p w:rsidR="0031141C" w:rsidRDefault="0031141C" w:rsidP="005C6E7A">
      <w:pPr>
        <w:rPr>
          <w:rFonts w:ascii="Arial" w:hAnsi="Arial" w:cs="Arial"/>
          <w:b/>
          <w:u w:val="single"/>
        </w:rPr>
      </w:pPr>
    </w:p>
    <w:p w:rsidR="00BC61B4" w:rsidRDefault="00BC61B4" w:rsidP="005C6E7A">
      <w:pPr>
        <w:rPr>
          <w:rFonts w:ascii="Arial" w:hAnsi="Arial" w:cs="Arial"/>
          <w:b/>
          <w:u w:val="single"/>
        </w:rPr>
      </w:pPr>
    </w:p>
    <w:p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:rsidR="006B5580" w:rsidRDefault="006B5580" w:rsidP="005C6E7A">
      <w:pPr>
        <w:rPr>
          <w:rFonts w:ascii="Arial" w:hAnsi="Arial" w:cs="Arial"/>
          <w:sz w:val="28"/>
          <w:szCs w:val="28"/>
        </w:rPr>
      </w:pPr>
    </w:p>
    <w:bookmarkStart w:id="0" w:name="_MON_1515922452"/>
    <w:bookmarkEnd w:id="0"/>
    <w:p w:rsidR="00F67377" w:rsidRDefault="000C4318" w:rsidP="00F67377">
      <w:pPr>
        <w:rPr>
          <w:rFonts w:ascii="Arial" w:hAnsi="Arial" w:cs="Arial"/>
          <w:b/>
          <w:u w:val="single"/>
        </w:rPr>
      </w:pPr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7.7pt" o:ole="">
            <v:imagedata r:id="rId8" o:title=""/>
          </v:shape>
          <o:OLEObject Type="Embed" ProgID="Excel.Sheet.12" ShapeID="_x0000_i1025" DrawAspect="Icon" ObjectID="_1516175445" r:id="rId9"/>
        </w:object>
      </w:r>
    </w:p>
    <w:p w:rsidR="00DF47F8" w:rsidRDefault="00DF47F8" w:rsidP="004C0B63">
      <w:pPr>
        <w:rPr>
          <w:rFonts w:ascii="Arial" w:hAnsi="Arial" w:cs="Arial"/>
          <w:b/>
          <w:u w:val="single"/>
        </w:rPr>
      </w:pPr>
    </w:p>
    <w:p w:rsidR="004C05B2" w:rsidRDefault="004C05B2" w:rsidP="004C0B63">
      <w:pPr>
        <w:rPr>
          <w:rFonts w:ascii="Arial" w:hAnsi="Arial" w:cs="Arial"/>
        </w:rPr>
      </w:pPr>
      <w:r w:rsidRPr="004C05B2">
        <w:rPr>
          <w:rFonts w:ascii="Arial" w:hAnsi="Arial" w:cs="Arial"/>
        </w:rPr>
        <w:t>Please refer to the attached excel file</w:t>
      </w:r>
      <w:r>
        <w:rPr>
          <w:rFonts w:ascii="Arial" w:hAnsi="Arial" w:cs="Arial"/>
        </w:rPr>
        <w:t>, tab “BBT_LT margin”:</w:t>
      </w:r>
    </w:p>
    <w:p w:rsidR="004C05B2" w:rsidRDefault="004C05B2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05B2">
        <w:rPr>
          <w:rFonts w:ascii="Arial" w:hAnsi="Arial" w:cs="Arial"/>
        </w:rPr>
        <w:t>Cell E11</w:t>
      </w:r>
    </w:p>
    <w:p w:rsidR="004C05B2" w:rsidRDefault="004C05B2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Cells F7 and F9</w:t>
      </w:r>
    </w:p>
    <w:p w:rsidR="004C05B2" w:rsidRDefault="004C05B2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Cell F5</w:t>
      </w:r>
    </w:p>
    <w:p w:rsidR="004C05B2" w:rsidRDefault="004C05B2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Cell F11</w:t>
      </w:r>
    </w:p>
    <w:p w:rsidR="004C05B2" w:rsidRDefault="004C05B2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Cell C11</w:t>
      </w:r>
    </w:p>
    <w:p w:rsidR="004C05B2" w:rsidRPr="004C05B2" w:rsidRDefault="004C05B2" w:rsidP="004C05B2">
      <w:pPr>
        <w:pStyle w:val="ListParagraph"/>
        <w:ind w:left="792"/>
        <w:rPr>
          <w:rFonts w:ascii="Arial" w:hAnsi="Arial" w:cs="Arial"/>
        </w:rPr>
      </w:pPr>
    </w:p>
    <w:p w:rsidR="00A85689" w:rsidRPr="004C05B2" w:rsidRDefault="00F67377" w:rsidP="004C05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05B2">
        <w:rPr>
          <w:rFonts w:ascii="Arial" w:hAnsi="Arial" w:cs="Arial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Default="005F4287" w:rsidP="00F67377">
      <w:pPr>
        <w:rPr>
          <w:rFonts w:ascii="Arial" w:hAnsi="Arial" w:cs="Arial"/>
        </w:rPr>
      </w:pPr>
    </w:p>
    <w:p w:rsidR="005F4287" w:rsidRPr="00BC61B4" w:rsidRDefault="00BC61B4" w:rsidP="00BC61B4">
      <w:pPr>
        <w:autoSpaceDE w:val="0"/>
        <w:autoSpaceDN w:val="0"/>
        <w:adjustRightInd w:val="0"/>
        <w:rPr>
          <w:rFonts w:ascii="Arial" w:hAnsi="Arial" w:cs="Arial"/>
        </w:rPr>
      </w:pPr>
      <w:r w:rsidRPr="00BC61B4">
        <w:rPr>
          <w:rFonts w:ascii="Arial" w:hAnsi="Arial" w:cs="Arial"/>
        </w:rPr>
        <w:t>At page 12 of the above subject, SoCalGas/SDG&amp;E witness Ms. Fung provides Table 18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captioned “Total Backbone Transmission Costs”. Please clarify what the percentages shown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under column (B) represent and provide the cite reference to Ms.Fung’s Revised Workpapers,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including the Tab and cell references for the source of the calculations of these percentages.</w:t>
      </w:r>
    </w:p>
    <w:p w:rsidR="00582C14" w:rsidRPr="0031141C" w:rsidRDefault="00582C14" w:rsidP="00F67377">
      <w:pPr>
        <w:rPr>
          <w:rFonts w:ascii="Arial" w:hAnsi="Arial" w:cs="Arial"/>
          <w:b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2</w:t>
      </w:r>
      <w:r w:rsidRPr="00F759E8">
        <w:rPr>
          <w:rFonts w:ascii="Arial" w:hAnsi="Arial" w:cs="Arial"/>
          <w:b/>
          <w:u w:val="single"/>
        </w:rPr>
        <w:t>:</w:t>
      </w:r>
    </w:p>
    <w:p w:rsidR="00363A6E" w:rsidRDefault="00363A6E" w:rsidP="005C6E7A">
      <w:pPr>
        <w:rPr>
          <w:rFonts w:ascii="Arial" w:hAnsi="Arial" w:cs="Arial"/>
          <w:sz w:val="28"/>
          <w:szCs w:val="28"/>
        </w:rPr>
      </w:pPr>
    </w:p>
    <w:p w:rsidR="00F67377" w:rsidRPr="00363A6E" w:rsidRDefault="00363A6E" w:rsidP="005C6E7A">
      <w:pPr>
        <w:rPr>
          <w:rFonts w:ascii="Arial" w:hAnsi="Arial" w:cs="Arial"/>
        </w:rPr>
      </w:pPr>
      <w:r w:rsidRPr="00363A6E">
        <w:rPr>
          <w:rFonts w:ascii="Arial" w:hAnsi="Arial" w:cs="Arial"/>
        </w:rPr>
        <w:t>Please refer to the attached excel file, tab “BBT_LT margin”</w:t>
      </w:r>
      <w:r w:rsidR="00211715">
        <w:rPr>
          <w:rFonts w:ascii="Arial" w:hAnsi="Arial" w:cs="Arial"/>
        </w:rPr>
        <w:t xml:space="preserve"> in Response 1</w:t>
      </w:r>
      <w:r w:rsidRPr="00363A6E">
        <w:rPr>
          <w:rFonts w:ascii="Arial" w:hAnsi="Arial" w:cs="Arial"/>
        </w:rPr>
        <w:t>:</w:t>
      </w:r>
    </w:p>
    <w:p w:rsidR="00363A6E" w:rsidRDefault="00363A6E" w:rsidP="005C6E7A">
      <w:pPr>
        <w:rPr>
          <w:rFonts w:ascii="Arial" w:hAnsi="Arial" w:cs="Arial"/>
        </w:rPr>
      </w:pPr>
    </w:p>
    <w:p w:rsidR="00363A6E" w:rsidRDefault="00211715" w:rsidP="005C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Column (B) shows the Backbone Transmission </w:t>
      </w:r>
      <w:r w:rsidR="00363A6E">
        <w:rPr>
          <w:rFonts w:ascii="Arial" w:hAnsi="Arial" w:cs="Arial"/>
        </w:rPr>
        <w:t>Capital-related Cost</w:t>
      </w:r>
      <w:r w:rsidR="00A7791D">
        <w:rPr>
          <w:rFonts w:ascii="Arial" w:hAnsi="Arial" w:cs="Arial"/>
        </w:rPr>
        <w:t>s</w:t>
      </w:r>
      <w:r w:rsidR="00363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a </w:t>
      </w:r>
      <w:r w:rsidR="00363A6E">
        <w:rPr>
          <w:rFonts w:ascii="Arial" w:hAnsi="Arial" w:cs="Arial"/>
        </w:rPr>
        <w:t xml:space="preserve">percentage </w:t>
      </w:r>
      <w:r>
        <w:rPr>
          <w:rFonts w:ascii="Arial" w:hAnsi="Arial" w:cs="Arial"/>
        </w:rPr>
        <w:t xml:space="preserve">of SoCalGas Transmission </w:t>
      </w:r>
      <w:r w:rsidR="006F2C9D" w:rsidRPr="006F2C9D">
        <w:rPr>
          <w:rFonts w:ascii="Arial" w:hAnsi="Arial" w:cs="Arial"/>
        </w:rPr>
        <w:t xml:space="preserve">Capital-related </w:t>
      </w:r>
      <w:r w:rsidR="006F2C9D">
        <w:rPr>
          <w:rFonts w:ascii="Arial" w:hAnsi="Arial" w:cs="Arial"/>
        </w:rPr>
        <w:t>C</w:t>
      </w:r>
      <w:r>
        <w:rPr>
          <w:rFonts w:ascii="Arial" w:hAnsi="Arial" w:cs="Arial"/>
        </w:rPr>
        <w:t>ost</w:t>
      </w:r>
      <w:r w:rsidR="00A7791D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="00363A6E">
        <w:rPr>
          <w:rFonts w:ascii="Arial" w:hAnsi="Arial" w:cs="Arial"/>
        </w:rPr>
        <w:t>shown in Cell F11</w:t>
      </w:r>
      <w:r>
        <w:rPr>
          <w:rFonts w:ascii="Arial" w:hAnsi="Arial" w:cs="Arial"/>
        </w:rPr>
        <w:t>.</w:t>
      </w:r>
    </w:p>
    <w:p w:rsidR="00211715" w:rsidRDefault="00211715" w:rsidP="005C6E7A">
      <w:pPr>
        <w:rPr>
          <w:rFonts w:ascii="Arial" w:hAnsi="Arial" w:cs="Arial"/>
        </w:rPr>
      </w:pPr>
    </w:p>
    <w:p w:rsidR="00363A6E" w:rsidRDefault="00211715" w:rsidP="005C6E7A">
      <w:pPr>
        <w:rPr>
          <w:rFonts w:ascii="Arial" w:hAnsi="Arial" w:cs="Arial"/>
        </w:rPr>
      </w:pPr>
      <w:r w:rsidRPr="00211715">
        <w:rPr>
          <w:rFonts w:ascii="Arial" w:hAnsi="Arial" w:cs="Arial"/>
        </w:rPr>
        <w:t>Column (B)</w:t>
      </w:r>
      <w:r>
        <w:rPr>
          <w:rFonts w:ascii="Arial" w:hAnsi="Arial" w:cs="Arial"/>
        </w:rPr>
        <w:t xml:space="preserve"> also</w:t>
      </w:r>
      <w:r w:rsidRPr="00211715">
        <w:rPr>
          <w:rFonts w:ascii="Arial" w:hAnsi="Arial" w:cs="Arial"/>
        </w:rPr>
        <w:t xml:space="preserve"> shows the Backbone Transmission </w:t>
      </w:r>
      <w:r>
        <w:rPr>
          <w:rFonts w:ascii="Arial" w:hAnsi="Arial" w:cs="Arial"/>
        </w:rPr>
        <w:t>O&amp;M, A&amp;G expenses</w:t>
      </w:r>
      <w:r w:rsidRPr="00211715">
        <w:rPr>
          <w:rFonts w:ascii="Arial" w:hAnsi="Arial" w:cs="Arial"/>
        </w:rPr>
        <w:t xml:space="preserve"> as a percentage of SoCalGas Transmission </w:t>
      </w:r>
      <w:r w:rsidR="00363A6E">
        <w:rPr>
          <w:rFonts w:ascii="Arial" w:hAnsi="Arial" w:cs="Arial"/>
        </w:rPr>
        <w:t>O&amp;M, A&amp;G Expenses</w:t>
      </w:r>
      <w:r w:rsidR="00A7791D">
        <w:rPr>
          <w:rFonts w:ascii="Arial" w:hAnsi="Arial" w:cs="Arial"/>
        </w:rPr>
        <w:t>,</w:t>
      </w:r>
      <w:r w:rsidR="00363A6E">
        <w:rPr>
          <w:rFonts w:ascii="Arial" w:hAnsi="Arial" w:cs="Arial"/>
        </w:rPr>
        <w:t xml:space="preserve"> shown Cells F13 and F15</w:t>
      </w:r>
      <w:r>
        <w:rPr>
          <w:rFonts w:ascii="Arial" w:hAnsi="Arial" w:cs="Arial"/>
        </w:rPr>
        <w:t>.</w:t>
      </w:r>
    </w:p>
    <w:p w:rsidR="00363A6E" w:rsidRDefault="00363A6E" w:rsidP="005C6E7A">
      <w:pPr>
        <w:rPr>
          <w:rFonts w:ascii="Arial" w:hAnsi="Arial" w:cs="Arial"/>
        </w:rPr>
      </w:pPr>
    </w:p>
    <w:p w:rsidR="00F67377" w:rsidRDefault="00F67377" w:rsidP="00F67377">
      <w:pPr>
        <w:rPr>
          <w:rFonts w:ascii="Arial" w:hAnsi="Arial" w:cs="Arial"/>
          <w:b/>
          <w:u w:val="single"/>
        </w:rPr>
      </w:pPr>
      <w:r w:rsidRPr="00363A6E"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3</w:t>
      </w:r>
      <w:r w:rsidRPr="00F759E8">
        <w:rPr>
          <w:rFonts w:ascii="Arial" w:hAnsi="Arial" w:cs="Arial"/>
          <w:b/>
          <w:u w:val="single"/>
        </w:rPr>
        <w:t>: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On pages 12-13 of the above subject, SoCalGas/SDG&amp;E witness Ms. Fung states at lines 9-11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and continuing on to the next page at lines 1-20: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“The proposed denominator of 2,818 MDth/d represents an estimated average BTS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subscription/utilization31 from October 1, 2014, through September 30, 2015. This estimate is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based on BTS firm SFV contracts, scheduled MFV, and interruptible throughput from October 1,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2014, through May 31, 2015, which are extrapolated for the remaining four months to September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30, 2015. This minor change in the method for determining the BTS denominator, which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currently includes BTS MFV contract volumes rather than scheduled volumes, is appropriate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because it safeguards that the BTS rates are designed to more closely recover allocated costs.”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“Table 20 below shows a comparison of MFV throughput during an eight-month period within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each of the last two subscription seasons. MFV throughput increased more than ten-fold while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SFV reservations dropped by 67%. This is primarily due to the implementation of D.14-06-007,32</w:t>
      </w: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which reduced the 100% load factor MFV rate from 104% to 100% of the SFV reservation rate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for BTS. An unintended consequence, however, is that it leads to an under recovery of costs if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the capacity reservations for MFV contract volumes are used in the denominator for SFV and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MFV rates. Table 20 also shows that only 93% of MFV contract volumes were scheduled from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October 2014 to May 2015. This 7% under-delivery relative to the contract volume is intended to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recover 20% of the costs allocated to the MFV contracts. Therefore, in order to minimize undercollections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caused by a considerably higher percentage of MFV contracts than in the past,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SoCalGas and SDG&amp;E propose that the denominator should include firm SFV contracts,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scheduled MFV and interruptible throughput. Alternatively, the Commission could reverse D.14-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06-007 and once again set the MFV rate to be 104% of the SFV rate.”</w:t>
      </w:r>
    </w:p>
    <w:p w:rsidR="00BC61B4" w:rsidRDefault="00BC61B4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</w:t>
      </w:r>
      <w:r w:rsidRPr="002412B4">
        <w:rPr>
          <w:rFonts w:ascii="Arial" w:hAnsi="Arial" w:cs="Arial"/>
          <w:b/>
          <w:u w:val="single"/>
        </w:rPr>
        <w:t xml:space="preserve"> 3(a)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clarify whether SoCalGas/SDG&amp;E proposes to use the denominator of 2,818</w:t>
      </w: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MDth/d for purposes of the BTS denominator. If so, please explain the reference to</w:t>
      </w:r>
    </w:p>
    <w:p w:rsid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“This minor change in the method…is appropriate” quoted in the above subject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statements. Does SoCalGas/SDG&amp;E propose a “minor” change to 2,818 MDth/d and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explain in what terms it could be considered a “minor” change relative to what is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currently adopted? If so, please fully explain the reasons for the proposed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“minor”change, including how this proposed “minor” change “safeguards that the BTS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rates are designed to more closely recover allocated costs.”</w:t>
      </w:r>
    </w:p>
    <w:p w:rsidR="00980374" w:rsidRDefault="00980374" w:rsidP="00BC61B4">
      <w:pPr>
        <w:rPr>
          <w:rFonts w:ascii="Arial" w:hAnsi="Arial" w:cs="Arial"/>
        </w:rPr>
      </w:pPr>
    </w:p>
    <w:p w:rsidR="00980374" w:rsidRDefault="00980374" w:rsidP="00BC61B4">
      <w:pPr>
        <w:rPr>
          <w:rFonts w:ascii="Arial" w:hAnsi="Arial" w:cs="Arial"/>
        </w:rPr>
      </w:pPr>
    </w:p>
    <w:p w:rsidR="00980374" w:rsidRDefault="00980374" w:rsidP="00BC61B4">
      <w:pPr>
        <w:rPr>
          <w:rFonts w:ascii="Arial" w:hAnsi="Arial" w:cs="Arial"/>
        </w:rPr>
      </w:pPr>
    </w:p>
    <w:p w:rsidR="00980374" w:rsidRDefault="00980374" w:rsidP="00BC61B4">
      <w:pPr>
        <w:rPr>
          <w:rFonts w:ascii="Arial" w:hAnsi="Arial" w:cs="Arial"/>
        </w:rPr>
      </w:pPr>
    </w:p>
    <w:p w:rsidR="00980374" w:rsidRDefault="00980374" w:rsidP="00BC61B4">
      <w:pPr>
        <w:rPr>
          <w:rFonts w:ascii="Arial" w:hAnsi="Arial" w:cs="Arial"/>
        </w:rPr>
      </w:pPr>
    </w:p>
    <w:p w:rsidR="00980374" w:rsidRDefault="00980374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3(a)</w:t>
      </w:r>
    </w:p>
    <w:p w:rsidR="002412B4" w:rsidRPr="002412B4" w:rsidRDefault="002412B4" w:rsidP="00BC61B4">
      <w:pPr>
        <w:rPr>
          <w:rFonts w:ascii="Arial" w:hAnsi="Arial" w:cs="Arial"/>
          <w:b/>
          <w:u w:val="single"/>
        </w:rPr>
      </w:pPr>
    </w:p>
    <w:p w:rsidR="00F52346" w:rsidRDefault="009803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Yes, </w:t>
      </w:r>
      <w:r w:rsidRPr="00980374">
        <w:rPr>
          <w:rFonts w:ascii="Arial" w:hAnsi="Arial" w:cs="Arial"/>
        </w:rPr>
        <w:t xml:space="preserve">SoCalGas/SDG&amp;E propose </w:t>
      </w:r>
      <w:r>
        <w:rPr>
          <w:rFonts w:ascii="Arial" w:hAnsi="Arial" w:cs="Arial"/>
        </w:rPr>
        <w:t xml:space="preserve">to use 2,818 </w:t>
      </w:r>
      <w:r w:rsidRPr="00980374">
        <w:rPr>
          <w:rFonts w:ascii="Arial" w:hAnsi="Arial" w:cs="Arial"/>
        </w:rPr>
        <w:t xml:space="preserve">MDth/d </w:t>
      </w:r>
      <w:r w:rsidR="004D4FE7">
        <w:rPr>
          <w:rFonts w:ascii="Arial" w:hAnsi="Arial" w:cs="Arial"/>
        </w:rPr>
        <w:t>as</w:t>
      </w:r>
      <w:r w:rsidRPr="00980374">
        <w:rPr>
          <w:rFonts w:ascii="Arial" w:hAnsi="Arial" w:cs="Arial"/>
        </w:rPr>
        <w:t xml:space="preserve"> the BTS denominator</w:t>
      </w:r>
      <w:r w:rsidR="004D4FE7">
        <w:rPr>
          <w:rFonts w:ascii="Arial" w:hAnsi="Arial" w:cs="Arial"/>
        </w:rPr>
        <w:t xml:space="preserve"> in this </w:t>
      </w:r>
      <w:r w:rsidR="004D4FE7" w:rsidRPr="004D4FE7">
        <w:rPr>
          <w:rFonts w:ascii="Arial" w:hAnsi="Arial" w:cs="Arial"/>
        </w:rPr>
        <w:t xml:space="preserve">TCAP Phase 2 </w:t>
      </w:r>
      <w:r w:rsidR="004D4FE7">
        <w:rPr>
          <w:rFonts w:ascii="Arial" w:hAnsi="Arial" w:cs="Arial"/>
        </w:rPr>
        <w:t>application</w:t>
      </w:r>
      <w:r w:rsidRPr="00980374">
        <w:rPr>
          <w:rFonts w:ascii="Arial" w:hAnsi="Arial" w:cs="Arial"/>
        </w:rPr>
        <w:t>.</w:t>
      </w:r>
      <w:r w:rsidR="002412B4">
        <w:rPr>
          <w:rFonts w:ascii="Arial" w:hAnsi="Arial" w:cs="Arial"/>
        </w:rPr>
        <w:t xml:space="preserve">  </w:t>
      </w:r>
      <w:r w:rsidR="00A36AE9">
        <w:rPr>
          <w:rFonts w:ascii="Arial" w:hAnsi="Arial" w:cs="Arial"/>
        </w:rPr>
        <w:t>The minor change being proposed is to replace MFV contracted volumes with MFV sch</w:t>
      </w:r>
      <w:r w:rsidR="00E8626A">
        <w:rPr>
          <w:rFonts w:ascii="Arial" w:hAnsi="Arial" w:cs="Arial"/>
        </w:rPr>
        <w:t>eduled volumes in the denominator</w:t>
      </w:r>
      <w:r w:rsidR="00A36AE9">
        <w:rPr>
          <w:rFonts w:ascii="Arial" w:hAnsi="Arial" w:cs="Arial"/>
        </w:rPr>
        <w:t xml:space="preserve">.  As explained in my testimony </w:t>
      </w:r>
      <w:r w:rsidR="003F357C">
        <w:rPr>
          <w:rFonts w:ascii="Arial" w:hAnsi="Arial" w:cs="Arial"/>
        </w:rPr>
        <w:t>on</w:t>
      </w:r>
      <w:r w:rsidR="00A36AE9">
        <w:rPr>
          <w:rFonts w:ascii="Arial" w:hAnsi="Arial" w:cs="Arial"/>
        </w:rPr>
        <w:t xml:space="preserve"> page</w:t>
      </w:r>
      <w:r w:rsidR="00770F84">
        <w:rPr>
          <w:rFonts w:ascii="Arial" w:hAnsi="Arial" w:cs="Arial"/>
        </w:rPr>
        <w:t xml:space="preserve"> </w:t>
      </w:r>
      <w:r w:rsidR="003F357C">
        <w:rPr>
          <w:rFonts w:ascii="Arial" w:hAnsi="Arial" w:cs="Arial"/>
        </w:rPr>
        <w:t>13</w:t>
      </w:r>
      <w:r w:rsidR="00A36AE9">
        <w:rPr>
          <w:rFonts w:ascii="Arial" w:hAnsi="Arial" w:cs="Arial"/>
        </w:rPr>
        <w:t xml:space="preserve"> the current use of the higher contracted volume figure results </w:t>
      </w:r>
      <w:r w:rsidR="00CA71D8">
        <w:rPr>
          <w:rFonts w:ascii="Arial" w:hAnsi="Arial" w:cs="Arial"/>
        </w:rPr>
        <w:t xml:space="preserve">in </w:t>
      </w:r>
      <w:r w:rsidR="00A36AE9">
        <w:rPr>
          <w:rFonts w:ascii="Arial" w:hAnsi="Arial" w:cs="Arial"/>
        </w:rPr>
        <w:t>an under</w:t>
      </w:r>
      <w:r w:rsidR="003F357C">
        <w:rPr>
          <w:rFonts w:ascii="Arial" w:hAnsi="Arial" w:cs="Arial"/>
        </w:rPr>
        <w:t>-</w:t>
      </w:r>
      <w:r w:rsidR="00A36AE9">
        <w:rPr>
          <w:rFonts w:ascii="Arial" w:hAnsi="Arial" w:cs="Arial"/>
        </w:rPr>
        <w:t xml:space="preserve">collection of BTS revenues.  The proposed change </w:t>
      </w:r>
      <w:r w:rsidR="00E8626A">
        <w:rPr>
          <w:rFonts w:ascii="Arial" w:hAnsi="Arial" w:cs="Arial"/>
        </w:rPr>
        <w:t xml:space="preserve">mitigates </w:t>
      </w:r>
      <w:r w:rsidR="00D34FE3">
        <w:rPr>
          <w:rFonts w:ascii="Arial" w:hAnsi="Arial" w:cs="Arial"/>
        </w:rPr>
        <w:t>this issue.</w:t>
      </w:r>
    </w:p>
    <w:p w:rsidR="002412B4" w:rsidRDefault="002412B4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3(b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identify the SoCalGas/SDG&amp;E proposed BTS denominator, if that proposed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denominator is not 2,818 MDth/d. Does the BTS denominator of 2,818 MDth/d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include firm SFV contracts, scheduled MFV and interruptible throughput, as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SoCalGas/SDG&amp;E proposes in the second to the last statement quoted above? If not,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please explain.</w:t>
      </w:r>
    </w:p>
    <w:p w:rsidR="00220325" w:rsidRDefault="00220325" w:rsidP="00BC61B4">
      <w:pPr>
        <w:rPr>
          <w:rFonts w:ascii="Arial" w:hAnsi="Arial" w:cs="Arial"/>
        </w:rPr>
      </w:pPr>
    </w:p>
    <w:p w:rsidR="00220325" w:rsidRDefault="00220325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</w:t>
      </w:r>
      <w:r w:rsidR="000F456B" w:rsidRPr="002412B4">
        <w:rPr>
          <w:rFonts w:ascii="Arial" w:hAnsi="Arial" w:cs="Arial"/>
          <w:b/>
          <w:u w:val="single"/>
        </w:rPr>
        <w:t>b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Pr="002412B4" w:rsidRDefault="002412B4" w:rsidP="00BC61B4">
      <w:pPr>
        <w:rPr>
          <w:rFonts w:ascii="Arial" w:hAnsi="Arial" w:cs="Arial"/>
          <w:b/>
          <w:u w:val="single"/>
        </w:rPr>
      </w:pPr>
    </w:p>
    <w:p w:rsidR="00220325" w:rsidRPr="00220325" w:rsidRDefault="00220325" w:rsidP="00220325">
      <w:pPr>
        <w:rPr>
          <w:rFonts w:ascii="Arial" w:hAnsi="Arial" w:cs="Arial"/>
        </w:rPr>
      </w:pPr>
      <w:r w:rsidRPr="00220325">
        <w:rPr>
          <w:rFonts w:ascii="Arial" w:hAnsi="Arial" w:cs="Arial"/>
        </w:rPr>
        <w:t>SoCalGas/SDG&amp;E propose</w:t>
      </w:r>
      <w:r>
        <w:rPr>
          <w:rFonts w:ascii="Arial" w:hAnsi="Arial" w:cs="Arial"/>
        </w:rPr>
        <w:t xml:space="preserve"> a</w:t>
      </w:r>
      <w:r w:rsidRPr="00220325">
        <w:rPr>
          <w:rFonts w:ascii="Arial" w:hAnsi="Arial" w:cs="Arial"/>
        </w:rPr>
        <w:t xml:space="preserve"> BTS denominator</w:t>
      </w:r>
      <w:r>
        <w:rPr>
          <w:rFonts w:ascii="Arial" w:hAnsi="Arial" w:cs="Arial"/>
        </w:rPr>
        <w:t xml:space="preserve"> of </w:t>
      </w:r>
      <w:r w:rsidRPr="00220325">
        <w:rPr>
          <w:rFonts w:ascii="Arial" w:hAnsi="Arial" w:cs="Arial"/>
        </w:rPr>
        <w:t>2,818 MDth/d</w:t>
      </w:r>
      <w:r>
        <w:rPr>
          <w:rFonts w:ascii="Arial" w:hAnsi="Arial" w:cs="Arial"/>
        </w:rPr>
        <w:t xml:space="preserve"> which includes</w:t>
      </w:r>
      <w:r w:rsidR="002412B4">
        <w:rPr>
          <w:rFonts w:ascii="Arial" w:hAnsi="Arial" w:cs="Arial"/>
        </w:rPr>
        <w:t xml:space="preserve"> </w:t>
      </w:r>
      <w:r w:rsidRPr="00220325">
        <w:rPr>
          <w:rFonts w:ascii="Arial" w:hAnsi="Arial" w:cs="Arial"/>
        </w:rPr>
        <w:t>firm SFV contracts, scheduled MFV and interruptible throughput</w:t>
      </w:r>
      <w:r>
        <w:rPr>
          <w:rFonts w:ascii="Arial" w:hAnsi="Arial" w:cs="Arial"/>
        </w:rPr>
        <w:t>.</w:t>
      </w:r>
    </w:p>
    <w:p w:rsidR="00220325" w:rsidRDefault="00220325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3(c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identify the SoCalGas/SDG&amp;E proposed BTS rate.</w:t>
      </w:r>
    </w:p>
    <w:p w:rsidR="000F456B" w:rsidRDefault="000F456B" w:rsidP="00BC61B4">
      <w:pPr>
        <w:rPr>
          <w:rFonts w:ascii="Arial" w:hAnsi="Arial" w:cs="Arial"/>
        </w:rPr>
      </w:pPr>
    </w:p>
    <w:p w:rsidR="00BC61B4" w:rsidRPr="002412B4" w:rsidRDefault="00220325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3(c)</w:t>
      </w:r>
    </w:p>
    <w:p w:rsidR="002412B4" w:rsidRDefault="002412B4" w:rsidP="00BC61B4">
      <w:pPr>
        <w:rPr>
          <w:rFonts w:ascii="Arial" w:hAnsi="Arial" w:cs="Arial"/>
        </w:rPr>
      </w:pPr>
    </w:p>
    <w:p w:rsidR="00220325" w:rsidRDefault="00220325" w:rsidP="00BC61B4">
      <w:pPr>
        <w:rPr>
          <w:rFonts w:ascii="Arial" w:hAnsi="Arial" w:cs="Arial"/>
        </w:rPr>
      </w:pPr>
      <w:r>
        <w:rPr>
          <w:rFonts w:ascii="Arial" w:hAnsi="Arial" w:cs="Arial"/>
        </w:rPr>
        <w:t>$0.183/Dth/day.</w:t>
      </w:r>
    </w:p>
    <w:p w:rsidR="002412B4" w:rsidRDefault="002412B4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3(d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provide the resulting BTS rate in Table 19 under a scenario that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SoCalGas/SDG&amp;E proposes which is “that the denominator should include firm SFV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contracts, scheduled MFV and interruptible throughput are included.” Is the resulting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BTS rate under the scenario described higher or lower than the SoCalGas/SDG&amp;E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proposed BTS rate in item (c) above? Provide the active excel spreadsheet to support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the calculations requested herein.</w:t>
      </w:r>
    </w:p>
    <w:p w:rsidR="000F456B" w:rsidRDefault="000F456B" w:rsidP="00BC61B4">
      <w:pPr>
        <w:rPr>
          <w:rFonts w:ascii="Arial" w:hAnsi="Arial" w:cs="Arial"/>
        </w:rPr>
      </w:pPr>
    </w:p>
    <w:p w:rsidR="000F456B" w:rsidRDefault="000F456B" w:rsidP="00BC61B4">
      <w:pPr>
        <w:rPr>
          <w:rFonts w:ascii="Arial" w:hAnsi="Arial" w:cs="Arial"/>
        </w:rPr>
      </w:pPr>
    </w:p>
    <w:p w:rsidR="002412B4" w:rsidRDefault="002412B4" w:rsidP="00BC61B4">
      <w:pPr>
        <w:rPr>
          <w:rFonts w:ascii="Arial" w:hAnsi="Arial" w:cs="Arial"/>
        </w:rPr>
      </w:pPr>
    </w:p>
    <w:p w:rsidR="002412B4" w:rsidRDefault="002412B4" w:rsidP="00BC61B4">
      <w:pPr>
        <w:rPr>
          <w:rFonts w:ascii="Arial" w:hAnsi="Arial" w:cs="Arial"/>
        </w:rPr>
      </w:pPr>
    </w:p>
    <w:p w:rsidR="00CD4891" w:rsidRDefault="00CD4891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lastRenderedPageBreak/>
        <w:t>Response 3(d)</w:t>
      </w:r>
    </w:p>
    <w:p w:rsidR="002412B4" w:rsidRPr="002412B4" w:rsidRDefault="002412B4" w:rsidP="00BC61B4">
      <w:pPr>
        <w:rPr>
          <w:rFonts w:ascii="Arial" w:hAnsi="Arial" w:cs="Arial"/>
          <w:b/>
          <w:u w:val="single"/>
        </w:rPr>
      </w:pPr>
    </w:p>
    <w:p w:rsidR="00BC61B4" w:rsidRDefault="00E0486E" w:rsidP="00BC6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the same BTS rate </w:t>
      </w:r>
      <w:r w:rsidR="00D64F41">
        <w:rPr>
          <w:rFonts w:ascii="Arial" w:hAnsi="Arial" w:cs="Arial"/>
        </w:rPr>
        <w:t xml:space="preserve">shown </w:t>
      </w:r>
      <w:r>
        <w:rPr>
          <w:rFonts w:ascii="Arial" w:hAnsi="Arial" w:cs="Arial"/>
        </w:rPr>
        <w:t>in Response 3(c).</w:t>
      </w:r>
    </w:p>
    <w:p w:rsidR="003F0A2A" w:rsidRDefault="003F0A2A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3(e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fully explain the alternative SoCalGas/SDG&amp;E proposal of reversing D.14-06-007 to the extent that it sets the MFV rate to be 104% of the SFV rate, including how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this alternative “safeguards that the BTS rates are designed to more closely recover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allocated costs.”</w:t>
      </w:r>
    </w:p>
    <w:p w:rsidR="000F456B" w:rsidRDefault="000F456B" w:rsidP="00BC61B4">
      <w:pPr>
        <w:rPr>
          <w:rFonts w:ascii="Arial" w:hAnsi="Arial" w:cs="Arial"/>
        </w:rPr>
      </w:pPr>
    </w:p>
    <w:p w:rsidR="000F456B" w:rsidRDefault="000F456B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3(e)</w:t>
      </w:r>
    </w:p>
    <w:p w:rsidR="002412B4" w:rsidRPr="002412B4" w:rsidRDefault="002412B4" w:rsidP="00BC61B4">
      <w:pPr>
        <w:rPr>
          <w:rFonts w:ascii="Arial" w:hAnsi="Arial" w:cs="Arial"/>
          <w:b/>
          <w:u w:val="single"/>
        </w:rPr>
      </w:pPr>
    </w:p>
    <w:p w:rsidR="000F456B" w:rsidRPr="00BC61B4" w:rsidRDefault="00A36AE9" w:rsidP="00E862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MFV rate were 104% of the SFV rate, we </w:t>
      </w:r>
      <w:r w:rsidR="00E8626A">
        <w:rPr>
          <w:rFonts w:ascii="Arial" w:hAnsi="Arial" w:cs="Arial"/>
        </w:rPr>
        <w:t>could</w:t>
      </w:r>
      <w:r w:rsidR="00770F84">
        <w:rPr>
          <w:rFonts w:ascii="Arial" w:hAnsi="Arial" w:cs="Arial"/>
        </w:rPr>
        <w:t xml:space="preserve"> probably </w:t>
      </w:r>
      <w:r w:rsidR="00E8626A">
        <w:rPr>
          <w:rFonts w:ascii="Arial" w:hAnsi="Arial" w:cs="Arial"/>
        </w:rPr>
        <w:t xml:space="preserve">eliminate the need to make </w:t>
      </w:r>
      <w:r>
        <w:rPr>
          <w:rFonts w:ascii="Arial" w:hAnsi="Arial" w:cs="Arial"/>
        </w:rPr>
        <w:t xml:space="preserve">upward revisions in future BTS rates </w:t>
      </w:r>
      <w:r w:rsidR="00D34FE3">
        <w:rPr>
          <w:rFonts w:ascii="Arial" w:hAnsi="Arial" w:cs="Arial"/>
        </w:rPr>
        <w:t>via the BTBA account.</w:t>
      </w:r>
    </w:p>
    <w:p w:rsidR="00BC61B4" w:rsidRDefault="00BC61B4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3(f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provide the resulting BTS rate in Table 19 under a scenario that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SoCalGas/SDG&amp;E proposes in the alternative where D.14-06-007 is reversed as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described in item (e) above. Provide the active excel spreadsheet to support the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calculations requested herein.</w:t>
      </w:r>
    </w:p>
    <w:p w:rsidR="008212A7" w:rsidRPr="00BC61B4" w:rsidRDefault="008212A7" w:rsidP="00BC61B4">
      <w:pPr>
        <w:rPr>
          <w:rFonts w:ascii="Arial" w:hAnsi="Arial" w:cs="Arial"/>
        </w:rPr>
      </w:pPr>
    </w:p>
    <w:p w:rsidR="00BC61B4" w:rsidRDefault="008212A7" w:rsidP="00BC61B4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3(f)</w:t>
      </w:r>
    </w:p>
    <w:p w:rsidR="002412B4" w:rsidRPr="002412B4" w:rsidRDefault="002412B4" w:rsidP="00BC61B4">
      <w:pPr>
        <w:rPr>
          <w:rFonts w:ascii="Arial" w:hAnsi="Arial" w:cs="Arial"/>
          <w:b/>
          <w:u w:val="single"/>
        </w:rPr>
      </w:pPr>
    </w:p>
    <w:p w:rsidR="008212A7" w:rsidRDefault="007D19EE" w:rsidP="00BC61B4">
      <w:pPr>
        <w:rPr>
          <w:rFonts w:ascii="Arial" w:hAnsi="Arial" w:cs="Arial"/>
        </w:rPr>
      </w:pPr>
      <w:r>
        <w:rPr>
          <w:rFonts w:ascii="Arial" w:hAnsi="Arial" w:cs="Arial"/>
        </w:rPr>
        <w:t>$0.173/Dth/day.</w:t>
      </w:r>
    </w:p>
    <w:p w:rsidR="007D19EE" w:rsidRDefault="007D19EE" w:rsidP="00BC61B4"/>
    <w:p w:rsidR="007D19EE" w:rsidRDefault="00CA71D8" w:rsidP="00BC61B4">
      <w:pPr>
        <w:rPr>
          <w:rFonts w:ascii="Arial" w:hAnsi="Arial" w:cs="Arial"/>
        </w:rPr>
      </w:pPr>
      <w:r>
        <w:object w:dxaOrig="1513" w:dyaOrig="960">
          <v:shape id="_x0000_i1026" type="#_x0000_t75" style="width:75.75pt;height:47.7pt" o:ole="">
            <v:imagedata r:id="rId10" o:title=""/>
          </v:shape>
          <o:OLEObject Type="Embed" ProgID="Excel.Sheet.12" ShapeID="_x0000_i1026" DrawAspect="Icon" ObjectID="_1516175446" r:id="rId11"/>
        </w:object>
      </w:r>
    </w:p>
    <w:p w:rsidR="00770F84" w:rsidRDefault="00770F84" w:rsidP="00BC61B4">
      <w:pPr>
        <w:rPr>
          <w:rFonts w:ascii="Arial" w:hAnsi="Arial" w:cs="Arial"/>
        </w:rPr>
      </w:pPr>
    </w:p>
    <w:p w:rsidR="002412B4" w:rsidRDefault="002412B4" w:rsidP="002412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3(g</w:t>
      </w:r>
      <w:r w:rsidRPr="002412B4">
        <w:rPr>
          <w:rFonts w:ascii="Arial" w:hAnsi="Arial" w:cs="Arial"/>
          <w:b/>
          <w:u w:val="single"/>
        </w:rPr>
        <w:t>)</w:t>
      </w:r>
    </w:p>
    <w:p w:rsidR="002412B4" w:rsidRDefault="002412B4" w:rsidP="00BC61B4">
      <w:pPr>
        <w:rPr>
          <w:rFonts w:ascii="Arial" w:hAnsi="Arial" w:cs="Arial"/>
        </w:rPr>
      </w:pPr>
    </w:p>
    <w:p w:rsidR="00582C1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explain whether the sole purpose of the SoCalGas/SDG&amp;E proposed “minor”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change to the method for determining the BTS denominator is to ensure cost recovery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by SoCalGas/SDG&amp;E. If not, fully explain the underlying reasons and assumptions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for the proposed “minor” change, including how does this proposed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“minor” change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could provide all customers of SoCalGas/SDG&amp;E with any benefits.</w:t>
      </w:r>
    </w:p>
    <w:p w:rsidR="005F4287" w:rsidRDefault="005F4287" w:rsidP="00F67377">
      <w:pPr>
        <w:rPr>
          <w:rFonts w:ascii="Arial" w:hAnsi="Arial" w:cs="Arial"/>
        </w:rPr>
      </w:pPr>
    </w:p>
    <w:p w:rsidR="001F0F00" w:rsidRDefault="003F3BD3" w:rsidP="00F67377">
      <w:pPr>
        <w:rPr>
          <w:rFonts w:ascii="Arial" w:hAnsi="Arial" w:cs="Arial"/>
          <w:b/>
          <w:u w:val="single"/>
        </w:rPr>
      </w:pPr>
      <w:r w:rsidRPr="002412B4">
        <w:rPr>
          <w:rFonts w:ascii="Arial" w:hAnsi="Arial" w:cs="Arial"/>
          <w:b/>
          <w:u w:val="single"/>
        </w:rPr>
        <w:t>Response 3(g)</w:t>
      </w:r>
    </w:p>
    <w:p w:rsidR="002412B4" w:rsidRPr="002412B4" w:rsidRDefault="002412B4" w:rsidP="00F67377">
      <w:pPr>
        <w:rPr>
          <w:rFonts w:ascii="Arial" w:hAnsi="Arial" w:cs="Arial"/>
          <w:b/>
          <w:u w:val="single"/>
        </w:rPr>
      </w:pPr>
    </w:p>
    <w:p w:rsidR="00F67377" w:rsidRDefault="003F3BD3" w:rsidP="00F673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Yes</w:t>
      </w:r>
      <w:r w:rsidR="003A6DDD">
        <w:rPr>
          <w:rFonts w:ascii="Arial" w:hAnsi="Arial" w:cs="Arial"/>
        </w:rPr>
        <w:t>.</w:t>
      </w:r>
      <w:r w:rsidR="00F67377">
        <w:rPr>
          <w:rFonts w:ascii="Arial" w:hAnsi="Arial" w:cs="Arial"/>
          <w:b/>
          <w:u w:val="single"/>
        </w:rPr>
        <w:br w:type="page"/>
      </w:r>
    </w:p>
    <w:p w:rsidR="00C62CAA" w:rsidRDefault="00C62CAA" w:rsidP="00F67377">
      <w:pPr>
        <w:rPr>
          <w:rFonts w:ascii="Arial" w:hAnsi="Arial" w:cs="Arial"/>
          <w:b/>
          <w:u w:val="single"/>
        </w:rPr>
      </w:pPr>
    </w:p>
    <w:p w:rsidR="00663B29" w:rsidRDefault="00663B29" w:rsidP="00F67377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  <w:b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At page 1 of the above subject, SoCalGas/SDG&amp;E witness Ms. Fung states that “the starting point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for these embedded cost studies is the total recorded costs for calendar year 2013. These costs are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presented in SoCalGas’ and SDG&amp;E’s 2013 Annual Report to the Commission (FERC Form 2).”</w:t>
      </w:r>
    </w:p>
    <w:p w:rsidR="00BC61B4" w:rsidRDefault="00BC61B4" w:rsidP="00BC61B4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(a) Please confirm whether the total recorded costs for calendar year 2014 is already available</w:t>
      </w:r>
      <w:r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and similarly, whether FERC Form 2 is also already available.</w:t>
      </w:r>
    </w:p>
    <w:p w:rsidR="00BC61B4" w:rsidRDefault="00BC61B4" w:rsidP="00BC61B4">
      <w:pPr>
        <w:rPr>
          <w:rFonts w:ascii="Arial" w:hAnsi="Arial" w:cs="Arial"/>
        </w:rPr>
      </w:pPr>
    </w:p>
    <w:p w:rsidR="00BC61B4" w:rsidRPr="00BC61B4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(b) Based on the response to item (a) above, please provide the results for the Backbone and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local transmission costs if total recorded costs for calendar year 2014 were instead used.</w:t>
      </w:r>
    </w:p>
    <w:p w:rsidR="005F4287" w:rsidRPr="0031141C" w:rsidRDefault="00BC61B4" w:rsidP="00BC61B4">
      <w:pPr>
        <w:rPr>
          <w:rFonts w:ascii="Arial" w:hAnsi="Arial" w:cs="Arial"/>
        </w:rPr>
      </w:pPr>
      <w:r w:rsidRPr="00BC61B4">
        <w:rPr>
          <w:rFonts w:ascii="Arial" w:hAnsi="Arial" w:cs="Arial"/>
        </w:rPr>
        <w:t>Please provide the workpapers with the active excel spreadsheets for a run using 2014</w:t>
      </w:r>
      <w:r w:rsidR="002412B4">
        <w:rPr>
          <w:rFonts w:ascii="Arial" w:hAnsi="Arial" w:cs="Arial"/>
        </w:rPr>
        <w:t xml:space="preserve"> </w:t>
      </w:r>
      <w:r w:rsidRPr="00BC61B4">
        <w:rPr>
          <w:rFonts w:ascii="Arial" w:hAnsi="Arial" w:cs="Arial"/>
        </w:rPr>
        <w:t>numbers.</w:t>
      </w:r>
    </w:p>
    <w:p w:rsidR="005F4287" w:rsidRPr="0031141C" w:rsidRDefault="005F4287" w:rsidP="00F67377">
      <w:pPr>
        <w:rPr>
          <w:rFonts w:ascii="Arial" w:hAnsi="Arial" w:cs="Arial"/>
        </w:rPr>
      </w:pPr>
    </w:p>
    <w:p w:rsidR="00BC61B4" w:rsidRDefault="00BC61B4" w:rsidP="00F67377">
      <w:pPr>
        <w:rPr>
          <w:rFonts w:ascii="Arial" w:hAnsi="Arial" w:cs="Arial"/>
          <w:b/>
          <w:u w:val="single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>
        <w:rPr>
          <w:rFonts w:ascii="Arial" w:hAnsi="Arial" w:cs="Arial"/>
          <w:b/>
          <w:u w:val="single"/>
        </w:rPr>
        <w:t>4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p w:rsidR="004F7558" w:rsidRPr="004F7558" w:rsidRDefault="004F7558" w:rsidP="004F755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F7558">
        <w:rPr>
          <w:rFonts w:ascii="Arial" w:hAnsi="Arial" w:cs="Arial"/>
        </w:rPr>
        <w:t>Yes.</w:t>
      </w:r>
    </w:p>
    <w:p w:rsidR="004F7558" w:rsidRPr="004F7558" w:rsidRDefault="002412B4" w:rsidP="004F755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SoCalGas and SDG&amp;E object to this question on the basis that it is unduly burdensome.  </w:t>
      </w:r>
      <w:r w:rsidR="004F7558" w:rsidRPr="004F7558">
        <w:rPr>
          <w:rFonts w:ascii="Arial" w:hAnsi="Arial" w:cs="Arial"/>
        </w:rPr>
        <w:t xml:space="preserve">Such a study </w:t>
      </w:r>
      <w:r w:rsidR="002B279E">
        <w:rPr>
          <w:rFonts w:ascii="Arial" w:hAnsi="Arial" w:cs="Arial"/>
        </w:rPr>
        <w:t>would require</w:t>
      </w:r>
      <w:r w:rsidR="004F7558" w:rsidRPr="004F7558">
        <w:rPr>
          <w:rFonts w:ascii="Arial" w:hAnsi="Arial" w:cs="Arial"/>
        </w:rPr>
        <w:t xml:space="preserve"> at least six months to complete.</w:t>
      </w:r>
      <w:bookmarkStart w:id="1" w:name="_GoBack"/>
      <w:bookmarkEnd w:id="1"/>
    </w:p>
    <w:p w:rsidR="004F7558" w:rsidRPr="004F7558" w:rsidRDefault="004F7558" w:rsidP="004F7558">
      <w:pPr>
        <w:rPr>
          <w:rFonts w:ascii="Arial" w:hAnsi="Arial" w:cs="Arial"/>
          <w:sz w:val="28"/>
          <w:szCs w:val="28"/>
        </w:rPr>
      </w:pPr>
    </w:p>
    <w:p w:rsidR="004F7558" w:rsidRPr="004F7558" w:rsidRDefault="004F7558" w:rsidP="004F7558">
      <w:pPr>
        <w:rPr>
          <w:rFonts w:ascii="Arial" w:hAnsi="Arial" w:cs="Arial"/>
          <w:sz w:val="28"/>
          <w:szCs w:val="28"/>
        </w:rPr>
      </w:pPr>
    </w:p>
    <w:p w:rsidR="00F67377" w:rsidRDefault="00F67377" w:rsidP="005C6E7A">
      <w:pPr>
        <w:rPr>
          <w:rFonts w:ascii="Arial" w:hAnsi="Arial" w:cs="Arial"/>
          <w:sz w:val="28"/>
          <w:szCs w:val="28"/>
        </w:rPr>
      </w:pPr>
    </w:p>
    <w:sectPr w:rsidR="00F67377" w:rsidSect="002E51D9">
      <w:headerReference w:type="default" r:id="rId12"/>
      <w:footerReference w:type="default" r:id="rId13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DC" w:rsidRDefault="00EF2DDC">
      <w:r>
        <w:separator/>
      </w:r>
    </w:p>
  </w:endnote>
  <w:endnote w:type="continuationSeparator" w:id="0">
    <w:p w:rsidR="00EF2DDC" w:rsidRDefault="00E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D34FE3">
      <w:rPr>
        <w:rStyle w:val="PageNumber"/>
        <w:rFonts w:ascii="Arial" w:hAnsi="Arial" w:cs="Arial"/>
        <w:noProof/>
      </w:rPr>
      <w:t>6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DC" w:rsidRDefault="00EF2DDC">
      <w:r>
        <w:separator/>
      </w:r>
    </w:p>
  </w:footnote>
  <w:footnote w:type="continuationSeparator" w:id="0">
    <w:p w:rsidR="00EF2DDC" w:rsidRDefault="00EF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 w:rsidR="001E5C86"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 w:rsidR="0086297C">
      <w:rPr>
        <w:rFonts w:ascii="Arial" w:hAnsi="Arial" w:cs="Arial"/>
        <w:b/>
      </w:rPr>
      <w:t>- PHASE 2</w:t>
    </w:r>
  </w:p>
  <w:p w:rsidR="00663B29" w:rsidRPr="00445088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:rsidR="00663B29" w:rsidRPr="00663B29" w:rsidRDefault="00663B29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 w:rsidR="004E625C"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 w:rsidR="004E625C"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 w:rsidR="001E5C86"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:rsidR="00967F6A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300C57" w:rsidRPr="00C178B5" w:rsidRDefault="00300C57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Pr="00BC61B4" w:rsidRDefault="00AF3427" w:rsidP="00F9456E">
    <w:pPr>
      <w:pStyle w:val="Header"/>
      <w:jc w:val="center"/>
      <w:rPr>
        <w:rFonts w:ascii="Arial" w:hAnsi="Arial" w:cs="Arial"/>
        <w:b/>
      </w:rPr>
    </w:pPr>
    <w:r w:rsidRPr="00BC61B4">
      <w:rPr>
        <w:rFonts w:ascii="Arial" w:hAnsi="Arial" w:cs="Arial"/>
        <w:b/>
      </w:rPr>
      <w:t>(</w:t>
    </w:r>
    <w:r w:rsidR="00BC61B4" w:rsidRPr="00BC61B4">
      <w:rPr>
        <w:rFonts w:ascii="Arial" w:hAnsi="Arial" w:cs="Arial"/>
        <w:b/>
      </w:rPr>
      <w:t>DATA REQUEST ORA-TCAP2-SCG-</w:t>
    </w:r>
    <w:r w:rsidR="00BC61B4" w:rsidRPr="00BC61B4">
      <w:rPr>
        <w:rFonts w:ascii="Arial" w:hAnsi="Arial" w:cs="Arial"/>
        <w:b/>
        <w:bCs/>
      </w:rPr>
      <w:t>13</w:t>
    </w:r>
    <w:r w:rsidRPr="00BC61B4">
      <w:rPr>
        <w:rFonts w:ascii="Arial" w:hAnsi="Arial" w:cs="Arial"/>
        <w:b/>
      </w:rPr>
      <w:t>)</w:t>
    </w:r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</w:t>
    </w:r>
    <w:r w:rsidR="009B540D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2D1C3518"/>
    <w:multiLevelType w:val="hybridMultilevel"/>
    <w:tmpl w:val="463278AA"/>
    <w:lvl w:ilvl="0" w:tplc="AF5A8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3266"/>
    <w:multiLevelType w:val="hybridMultilevel"/>
    <w:tmpl w:val="2EA28B88"/>
    <w:lvl w:ilvl="0" w:tplc="791EE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2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FF69A8"/>
    <w:multiLevelType w:val="hybridMultilevel"/>
    <w:tmpl w:val="3EE2D548"/>
    <w:lvl w:ilvl="0" w:tplc="90DE4046">
      <w:start w:val="1"/>
      <w:numFmt w:val="lowerLetter"/>
      <w:lvlText w:val="(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20"/>
  </w:num>
  <w:num w:numId="5">
    <w:abstractNumId w:val="15"/>
  </w:num>
  <w:num w:numId="6">
    <w:abstractNumId w:val="19"/>
  </w:num>
  <w:num w:numId="7">
    <w:abstractNumId w:val="12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  <w:num w:numId="21">
    <w:abstractNumId w:val="13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35A71"/>
    <w:rsid w:val="000427F1"/>
    <w:rsid w:val="000445AE"/>
    <w:rsid w:val="000446FA"/>
    <w:rsid w:val="00050DEA"/>
    <w:rsid w:val="00054200"/>
    <w:rsid w:val="00062FD1"/>
    <w:rsid w:val="00070031"/>
    <w:rsid w:val="000949F8"/>
    <w:rsid w:val="000973D6"/>
    <w:rsid w:val="000C0E9E"/>
    <w:rsid w:val="000C4318"/>
    <w:rsid w:val="000D5EF6"/>
    <w:rsid w:val="000E2012"/>
    <w:rsid w:val="000E32F6"/>
    <w:rsid w:val="000E5737"/>
    <w:rsid w:val="000F0C29"/>
    <w:rsid w:val="000F456B"/>
    <w:rsid w:val="00112A79"/>
    <w:rsid w:val="0012685C"/>
    <w:rsid w:val="00130F5D"/>
    <w:rsid w:val="00151F80"/>
    <w:rsid w:val="001576BC"/>
    <w:rsid w:val="00171E47"/>
    <w:rsid w:val="00171F7F"/>
    <w:rsid w:val="001754B0"/>
    <w:rsid w:val="001B2C3E"/>
    <w:rsid w:val="001B6E7F"/>
    <w:rsid w:val="001D4131"/>
    <w:rsid w:val="001E4A11"/>
    <w:rsid w:val="001E5C86"/>
    <w:rsid w:val="001F0F00"/>
    <w:rsid w:val="001F22D6"/>
    <w:rsid w:val="001F2F28"/>
    <w:rsid w:val="002021F9"/>
    <w:rsid w:val="00211715"/>
    <w:rsid w:val="00214711"/>
    <w:rsid w:val="00215B6F"/>
    <w:rsid w:val="00217318"/>
    <w:rsid w:val="00220325"/>
    <w:rsid w:val="002412B4"/>
    <w:rsid w:val="002447CF"/>
    <w:rsid w:val="00267335"/>
    <w:rsid w:val="002749B8"/>
    <w:rsid w:val="002B279E"/>
    <w:rsid w:val="002B7CDB"/>
    <w:rsid w:val="002C2AFC"/>
    <w:rsid w:val="002C432D"/>
    <w:rsid w:val="002D7E7D"/>
    <w:rsid w:val="002E095B"/>
    <w:rsid w:val="002E51D9"/>
    <w:rsid w:val="00300C57"/>
    <w:rsid w:val="0031070C"/>
    <w:rsid w:val="0031141C"/>
    <w:rsid w:val="00335AB8"/>
    <w:rsid w:val="003405A5"/>
    <w:rsid w:val="00347ECE"/>
    <w:rsid w:val="00363A6E"/>
    <w:rsid w:val="00367398"/>
    <w:rsid w:val="003A6DDD"/>
    <w:rsid w:val="003C64AC"/>
    <w:rsid w:val="003E7642"/>
    <w:rsid w:val="003F0A2A"/>
    <w:rsid w:val="003F357C"/>
    <w:rsid w:val="003F3BD3"/>
    <w:rsid w:val="00405FCB"/>
    <w:rsid w:val="00416B5F"/>
    <w:rsid w:val="00442D6C"/>
    <w:rsid w:val="00443AB5"/>
    <w:rsid w:val="00445088"/>
    <w:rsid w:val="004628EB"/>
    <w:rsid w:val="004710C7"/>
    <w:rsid w:val="004A11B8"/>
    <w:rsid w:val="004B00F4"/>
    <w:rsid w:val="004B1982"/>
    <w:rsid w:val="004C05B2"/>
    <w:rsid w:val="004C0B63"/>
    <w:rsid w:val="004D1DD7"/>
    <w:rsid w:val="004D4FE7"/>
    <w:rsid w:val="004E361C"/>
    <w:rsid w:val="004E625C"/>
    <w:rsid w:val="004F7558"/>
    <w:rsid w:val="00507F24"/>
    <w:rsid w:val="005476B2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177F4"/>
    <w:rsid w:val="0063481C"/>
    <w:rsid w:val="00636BCF"/>
    <w:rsid w:val="0064053C"/>
    <w:rsid w:val="0065774B"/>
    <w:rsid w:val="00657A12"/>
    <w:rsid w:val="00657ADE"/>
    <w:rsid w:val="00663B29"/>
    <w:rsid w:val="00671DE2"/>
    <w:rsid w:val="0067709F"/>
    <w:rsid w:val="00685B80"/>
    <w:rsid w:val="00686DC5"/>
    <w:rsid w:val="00687D80"/>
    <w:rsid w:val="00693014"/>
    <w:rsid w:val="00693BE0"/>
    <w:rsid w:val="0069670F"/>
    <w:rsid w:val="006B0927"/>
    <w:rsid w:val="006B2E30"/>
    <w:rsid w:val="006B49A6"/>
    <w:rsid w:val="006B5580"/>
    <w:rsid w:val="006D2F9B"/>
    <w:rsid w:val="006E6D13"/>
    <w:rsid w:val="006F2C9D"/>
    <w:rsid w:val="00701BCD"/>
    <w:rsid w:val="007022E5"/>
    <w:rsid w:val="00717106"/>
    <w:rsid w:val="00724B83"/>
    <w:rsid w:val="00726B5A"/>
    <w:rsid w:val="00751C4C"/>
    <w:rsid w:val="007603F9"/>
    <w:rsid w:val="007638A3"/>
    <w:rsid w:val="00764EE6"/>
    <w:rsid w:val="00770F84"/>
    <w:rsid w:val="007758C7"/>
    <w:rsid w:val="007919FD"/>
    <w:rsid w:val="00792FC7"/>
    <w:rsid w:val="00794553"/>
    <w:rsid w:val="00797B94"/>
    <w:rsid w:val="007B59E1"/>
    <w:rsid w:val="007D19EE"/>
    <w:rsid w:val="007E1BBA"/>
    <w:rsid w:val="007E53D7"/>
    <w:rsid w:val="0080163C"/>
    <w:rsid w:val="0081001C"/>
    <w:rsid w:val="008212A7"/>
    <w:rsid w:val="00846D35"/>
    <w:rsid w:val="00854D38"/>
    <w:rsid w:val="0086297C"/>
    <w:rsid w:val="00874121"/>
    <w:rsid w:val="00877E03"/>
    <w:rsid w:val="0089159B"/>
    <w:rsid w:val="008A0C1E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3A5"/>
    <w:rsid w:val="00947DA8"/>
    <w:rsid w:val="00967F6A"/>
    <w:rsid w:val="009742EE"/>
    <w:rsid w:val="00980374"/>
    <w:rsid w:val="00994689"/>
    <w:rsid w:val="009951BE"/>
    <w:rsid w:val="00996B85"/>
    <w:rsid w:val="009B0636"/>
    <w:rsid w:val="009B540D"/>
    <w:rsid w:val="009E04A7"/>
    <w:rsid w:val="009E2A12"/>
    <w:rsid w:val="009E6BC2"/>
    <w:rsid w:val="009F4B0B"/>
    <w:rsid w:val="00A17B4A"/>
    <w:rsid w:val="00A21C4E"/>
    <w:rsid w:val="00A36AE9"/>
    <w:rsid w:val="00A540FF"/>
    <w:rsid w:val="00A558C1"/>
    <w:rsid w:val="00A569D3"/>
    <w:rsid w:val="00A65A2F"/>
    <w:rsid w:val="00A67A4C"/>
    <w:rsid w:val="00A76001"/>
    <w:rsid w:val="00A7791D"/>
    <w:rsid w:val="00A85689"/>
    <w:rsid w:val="00A8757F"/>
    <w:rsid w:val="00A928A9"/>
    <w:rsid w:val="00AA7D9B"/>
    <w:rsid w:val="00AC3331"/>
    <w:rsid w:val="00AC79BC"/>
    <w:rsid w:val="00AE603A"/>
    <w:rsid w:val="00AF1AE8"/>
    <w:rsid w:val="00AF1FFF"/>
    <w:rsid w:val="00AF3427"/>
    <w:rsid w:val="00AF70D5"/>
    <w:rsid w:val="00B1595B"/>
    <w:rsid w:val="00B177D4"/>
    <w:rsid w:val="00B23DF8"/>
    <w:rsid w:val="00B30845"/>
    <w:rsid w:val="00B32CAC"/>
    <w:rsid w:val="00B50348"/>
    <w:rsid w:val="00B60C61"/>
    <w:rsid w:val="00B714F3"/>
    <w:rsid w:val="00BB2092"/>
    <w:rsid w:val="00BC556D"/>
    <w:rsid w:val="00BC61B4"/>
    <w:rsid w:val="00BD1AC1"/>
    <w:rsid w:val="00BD3336"/>
    <w:rsid w:val="00BD4ACD"/>
    <w:rsid w:val="00BE54FA"/>
    <w:rsid w:val="00C00BF1"/>
    <w:rsid w:val="00C141A5"/>
    <w:rsid w:val="00C4302A"/>
    <w:rsid w:val="00C44CE1"/>
    <w:rsid w:val="00C478AC"/>
    <w:rsid w:val="00C50AFA"/>
    <w:rsid w:val="00C5768D"/>
    <w:rsid w:val="00C6106E"/>
    <w:rsid w:val="00C62CAA"/>
    <w:rsid w:val="00C855A8"/>
    <w:rsid w:val="00CA71D8"/>
    <w:rsid w:val="00CB1F14"/>
    <w:rsid w:val="00CB2B75"/>
    <w:rsid w:val="00CB3FD9"/>
    <w:rsid w:val="00CD1FF2"/>
    <w:rsid w:val="00CD2A4C"/>
    <w:rsid w:val="00CD3A2B"/>
    <w:rsid w:val="00CD4891"/>
    <w:rsid w:val="00D00E73"/>
    <w:rsid w:val="00D14DA0"/>
    <w:rsid w:val="00D27711"/>
    <w:rsid w:val="00D34FE3"/>
    <w:rsid w:val="00D42A9F"/>
    <w:rsid w:val="00D51BAE"/>
    <w:rsid w:val="00D62B84"/>
    <w:rsid w:val="00D64F41"/>
    <w:rsid w:val="00D66C29"/>
    <w:rsid w:val="00D80DD1"/>
    <w:rsid w:val="00DB3DF1"/>
    <w:rsid w:val="00DF47F8"/>
    <w:rsid w:val="00E00708"/>
    <w:rsid w:val="00E0486E"/>
    <w:rsid w:val="00E20F09"/>
    <w:rsid w:val="00E25E1B"/>
    <w:rsid w:val="00E42C0C"/>
    <w:rsid w:val="00E44F2B"/>
    <w:rsid w:val="00E46E42"/>
    <w:rsid w:val="00E54E2E"/>
    <w:rsid w:val="00E62046"/>
    <w:rsid w:val="00E77426"/>
    <w:rsid w:val="00E802E5"/>
    <w:rsid w:val="00E82FDE"/>
    <w:rsid w:val="00E84D1A"/>
    <w:rsid w:val="00E8626A"/>
    <w:rsid w:val="00E86619"/>
    <w:rsid w:val="00EA0F7A"/>
    <w:rsid w:val="00EC4C69"/>
    <w:rsid w:val="00EC666E"/>
    <w:rsid w:val="00ED0B44"/>
    <w:rsid w:val="00ED0D66"/>
    <w:rsid w:val="00EE2B21"/>
    <w:rsid w:val="00EF0C48"/>
    <w:rsid w:val="00EF2DDC"/>
    <w:rsid w:val="00EF4108"/>
    <w:rsid w:val="00F01063"/>
    <w:rsid w:val="00F033B8"/>
    <w:rsid w:val="00F3113C"/>
    <w:rsid w:val="00F438E8"/>
    <w:rsid w:val="00F47E8C"/>
    <w:rsid w:val="00F52346"/>
    <w:rsid w:val="00F66FE5"/>
    <w:rsid w:val="00F67377"/>
    <w:rsid w:val="00F759E8"/>
    <w:rsid w:val="00F86603"/>
    <w:rsid w:val="00F9017D"/>
    <w:rsid w:val="00F918F2"/>
    <w:rsid w:val="00F9456E"/>
    <w:rsid w:val="00FB1C4C"/>
    <w:rsid w:val="00FB2385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4C0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4C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5</cp:revision>
  <cp:lastPrinted>2016-02-02T20:48:00Z</cp:lastPrinted>
  <dcterms:created xsi:type="dcterms:W3CDTF">2016-02-04T00:15:00Z</dcterms:created>
  <dcterms:modified xsi:type="dcterms:W3CDTF">2016-02-05T19:04:00Z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