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41" w:rsidRDefault="00ED7741" w:rsidP="00FA3540">
      <w:pPr>
        <w:jc w:val="center"/>
        <w:rPr>
          <w:rFonts w:ascii="Times New Roman Bold" w:hAnsi="Times New Roman Bold"/>
          <w:b/>
          <w:sz w:val="32"/>
          <w:szCs w:val="28"/>
        </w:rPr>
      </w:pPr>
      <w:r>
        <w:rPr>
          <w:rFonts w:ascii="Times New Roman Bold" w:hAnsi="Times New Roman Bold"/>
          <w:b/>
          <w:sz w:val="28"/>
          <w:szCs w:val="28"/>
        </w:rPr>
        <w:t xml:space="preserve"> </w:t>
      </w:r>
    </w:p>
    <w:p w:rsidR="00ED7741" w:rsidRPr="002153F9" w:rsidRDefault="00ED7741" w:rsidP="002153F9">
      <w:pPr>
        <w:jc w:val="center"/>
        <w:rPr>
          <w:rFonts w:ascii="Times New Roman Bold" w:hAnsi="Times New Roman Bold"/>
          <w:b/>
          <w:sz w:val="44"/>
          <w:szCs w:val="44"/>
        </w:rPr>
      </w:pPr>
      <w:r w:rsidRPr="002153F9">
        <w:rPr>
          <w:rFonts w:ascii="Times New Roman Bold" w:hAnsi="Times New Roman Bold"/>
          <w:b/>
          <w:sz w:val="44"/>
          <w:szCs w:val="44"/>
        </w:rPr>
        <w:t xml:space="preserve">Executive Summary of the </w:t>
      </w:r>
    </w:p>
    <w:p w:rsidR="00ED7741" w:rsidRPr="002153F9" w:rsidRDefault="00ED7741" w:rsidP="002153F9">
      <w:pPr>
        <w:jc w:val="center"/>
        <w:rPr>
          <w:rFonts w:ascii="Times New Roman Bold" w:hAnsi="Times New Roman Bold"/>
          <w:b/>
          <w:sz w:val="44"/>
          <w:szCs w:val="44"/>
        </w:rPr>
      </w:pPr>
      <w:r w:rsidRPr="002153F9">
        <w:rPr>
          <w:rFonts w:ascii="Times New Roman Bold" w:hAnsi="Times New Roman Bold"/>
          <w:b/>
          <w:sz w:val="44"/>
          <w:szCs w:val="44"/>
        </w:rPr>
        <w:t>20</w:t>
      </w:r>
      <w:r>
        <w:rPr>
          <w:rFonts w:ascii="Times New Roman Bold" w:hAnsi="Times New Roman Bold"/>
          <w:b/>
          <w:sz w:val="44"/>
          <w:szCs w:val="44"/>
        </w:rPr>
        <w:t>1</w:t>
      </w:r>
      <w:r w:rsidR="00B91FC8">
        <w:rPr>
          <w:rFonts w:ascii="Times New Roman Bold" w:hAnsi="Times New Roman Bold"/>
          <w:b/>
          <w:sz w:val="44"/>
          <w:szCs w:val="44"/>
        </w:rPr>
        <w:t>4</w:t>
      </w:r>
      <w:r w:rsidRPr="002153F9">
        <w:rPr>
          <w:rFonts w:ascii="Times New Roman Bold" w:hAnsi="Times New Roman Bold"/>
          <w:b/>
          <w:sz w:val="44"/>
          <w:szCs w:val="44"/>
        </w:rPr>
        <w:t xml:space="preserve"> SDG&amp;E Measureme</w:t>
      </w:r>
      <w:bookmarkStart w:id="0" w:name="_GoBack"/>
      <w:bookmarkEnd w:id="0"/>
      <w:r w:rsidRPr="002153F9">
        <w:rPr>
          <w:rFonts w:ascii="Times New Roman Bold" w:hAnsi="Times New Roman Bold"/>
          <w:b/>
          <w:sz w:val="44"/>
          <w:szCs w:val="44"/>
        </w:rPr>
        <w:t xml:space="preserve">nt and Evaluation </w:t>
      </w:r>
    </w:p>
    <w:p w:rsidR="00ED7741" w:rsidRPr="002153F9" w:rsidRDefault="00ED7741" w:rsidP="002153F9">
      <w:pPr>
        <w:jc w:val="center"/>
        <w:rPr>
          <w:rFonts w:ascii="Times New Roman Bold" w:hAnsi="Times New Roman Bold"/>
          <w:b/>
          <w:sz w:val="44"/>
          <w:szCs w:val="44"/>
        </w:rPr>
      </w:pPr>
      <w:r w:rsidRPr="002153F9">
        <w:rPr>
          <w:rFonts w:ascii="Times New Roman Bold" w:hAnsi="Times New Roman Bold"/>
          <w:b/>
          <w:sz w:val="44"/>
          <w:szCs w:val="44"/>
        </w:rPr>
        <w:t>Load Impact Reports</w:t>
      </w: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Default="00ED7741" w:rsidP="002153F9">
      <w:pPr>
        <w:tabs>
          <w:tab w:val="left" w:pos="-720"/>
        </w:tabs>
        <w:jc w:val="center"/>
        <w:rPr>
          <w:rFonts w:ascii="Arial" w:hAnsi="Arial"/>
        </w:rPr>
      </w:pPr>
    </w:p>
    <w:p w:rsidR="00ED7741" w:rsidRPr="002153F9" w:rsidRDefault="007C3C01" w:rsidP="002153F9">
      <w:pPr>
        <w:jc w:val="center"/>
        <w:rPr>
          <w:rFonts w:ascii="Times New Roman Bold" w:hAnsi="Times New Roman Bold"/>
          <w:b/>
          <w:sz w:val="32"/>
          <w:szCs w:val="28"/>
        </w:rPr>
      </w:pPr>
      <w:r>
        <w:rPr>
          <w:rFonts w:ascii="Times New Roman Bold" w:hAnsi="Times New Roman Bold"/>
          <w:b/>
          <w:sz w:val="32"/>
          <w:szCs w:val="28"/>
        </w:rPr>
        <w:t xml:space="preserve">April </w:t>
      </w:r>
      <w:r w:rsidR="00ED7741">
        <w:rPr>
          <w:rFonts w:ascii="Times New Roman Bold" w:hAnsi="Times New Roman Bold"/>
          <w:b/>
          <w:sz w:val="32"/>
          <w:szCs w:val="28"/>
        </w:rPr>
        <w:t>1st</w:t>
      </w:r>
      <w:r w:rsidR="00ED7741" w:rsidRPr="002153F9">
        <w:rPr>
          <w:rFonts w:ascii="Times New Roman Bold" w:hAnsi="Times New Roman Bold"/>
          <w:b/>
          <w:sz w:val="32"/>
          <w:szCs w:val="28"/>
        </w:rPr>
        <w:t>, 201</w:t>
      </w:r>
      <w:r w:rsidR="00B91FC8">
        <w:rPr>
          <w:rFonts w:ascii="Times New Roman Bold" w:hAnsi="Times New Roman Bold"/>
          <w:b/>
          <w:sz w:val="32"/>
          <w:szCs w:val="28"/>
        </w:rPr>
        <w:t>5</w:t>
      </w:r>
    </w:p>
    <w:p w:rsidR="00ED7741" w:rsidRPr="002153F9" w:rsidRDefault="00ED7741" w:rsidP="002153F9">
      <w:pPr>
        <w:jc w:val="center"/>
        <w:rPr>
          <w:rFonts w:ascii="Times New Roman Bold" w:hAnsi="Times New Roman Bold"/>
          <w:b/>
          <w:sz w:val="32"/>
          <w:szCs w:val="28"/>
        </w:rPr>
      </w:pPr>
    </w:p>
    <w:p w:rsidR="00ED7741" w:rsidRDefault="00ED7741" w:rsidP="002153F9">
      <w:pPr>
        <w:pStyle w:val="BodyTextIndent"/>
        <w:rPr>
          <w:sz w:val="48"/>
        </w:rPr>
      </w:pPr>
    </w:p>
    <w:p w:rsidR="00ED7741" w:rsidRDefault="00ED7741" w:rsidP="002153F9">
      <w:pPr>
        <w:pStyle w:val="BodyTextIndent"/>
        <w:rPr>
          <w:sz w:val="48"/>
        </w:rPr>
      </w:pPr>
    </w:p>
    <w:p w:rsidR="00ED7741" w:rsidRDefault="00ED7741" w:rsidP="002153F9">
      <w:pPr>
        <w:pStyle w:val="BodyTextIndent"/>
        <w:rPr>
          <w:sz w:val="48"/>
        </w:rPr>
      </w:pPr>
    </w:p>
    <w:p w:rsidR="00ED7741" w:rsidRDefault="00ED7741" w:rsidP="002153F9">
      <w:pPr>
        <w:pStyle w:val="BodyTextIndent"/>
        <w:rPr>
          <w:sz w:val="48"/>
        </w:rPr>
      </w:pPr>
    </w:p>
    <w:p w:rsidR="00ED7741" w:rsidRDefault="00ED7741" w:rsidP="002153F9">
      <w:pPr>
        <w:jc w:val="center"/>
        <w:rPr>
          <w:sz w:val="20"/>
        </w:rPr>
      </w:pPr>
      <w:r>
        <w:br/>
      </w:r>
      <w:r w:rsidR="00226A04">
        <w:rPr>
          <w:rFonts w:ascii="Times New Roman Bold" w:hAnsi="Times New Roman Bold"/>
          <w:b/>
          <w:noProof/>
          <w:sz w:val="32"/>
          <w:szCs w:val="28"/>
        </w:rPr>
        <w:drawing>
          <wp:inline distT="0" distB="0" distL="0" distR="0" wp14:anchorId="4F348729" wp14:editId="2D321042">
            <wp:extent cx="2295525" cy="981075"/>
            <wp:effectExtent l="19050" t="0" r="9525" b="0"/>
            <wp:docPr id="1" name="Picture 3" descr="S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E Logo"/>
                    <pic:cNvPicPr>
                      <a:picLocks noChangeAspect="1" noChangeArrowheads="1"/>
                    </pic:cNvPicPr>
                  </pic:nvPicPr>
                  <pic:blipFill>
                    <a:blip r:embed="rId9" cstate="print"/>
                    <a:srcRect/>
                    <a:stretch>
                      <a:fillRect/>
                    </a:stretch>
                  </pic:blipFill>
                  <pic:spPr bwMode="auto">
                    <a:xfrm>
                      <a:off x="0" y="0"/>
                      <a:ext cx="2295525" cy="981075"/>
                    </a:xfrm>
                    <a:prstGeom prst="rect">
                      <a:avLst/>
                    </a:prstGeom>
                    <a:noFill/>
                    <a:ln w="9525">
                      <a:noFill/>
                      <a:miter lim="800000"/>
                      <a:headEnd/>
                      <a:tailEnd/>
                    </a:ln>
                  </pic:spPr>
                </pic:pic>
              </a:graphicData>
            </a:graphic>
          </wp:inline>
        </w:drawing>
      </w:r>
    </w:p>
    <w:p w:rsidR="00ED7741" w:rsidRDefault="00ED7741">
      <w:pPr>
        <w:pStyle w:val="TOCHeading"/>
        <w:rPr>
          <w:sz w:val="20"/>
        </w:rPr>
      </w:pPr>
    </w:p>
    <w:p w:rsidR="00ED7741" w:rsidRDefault="00ED7741" w:rsidP="002153F9"/>
    <w:p w:rsidR="00B07797" w:rsidRDefault="00B07797">
      <w:pPr>
        <w:pStyle w:val="TOCHeading"/>
      </w:pPr>
      <w:r>
        <w:t xml:space="preserve">  </w:t>
      </w:r>
    </w:p>
    <w:p w:rsidR="00ED7741" w:rsidRDefault="00ED7741"/>
    <w:p w:rsidR="00ED7741" w:rsidRDefault="00ED7741"/>
    <w:sdt>
      <w:sdtPr>
        <w:rPr>
          <w:rFonts w:ascii="Times New Roman" w:hAnsi="Times New Roman"/>
          <w:b w:val="0"/>
          <w:bCs w:val="0"/>
          <w:color w:val="auto"/>
          <w:sz w:val="24"/>
          <w:szCs w:val="24"/>
        </w:rPr>
        <w:id w:val="27672659"/>
        <w:docPartObj>
          <w:docPartGallery w:val="Table of Contents"/>
          <w:docPartUnique/>
        </w:docPartObj>
      </w:sdtPr>
      <w:sdtEndPr/>
      <w:sdtContent>
        <w:p w:rsidR="009A3B18" w:rsidRDefault="009A3B18" w:rsidP="000311F9">
          <w:pPr>
            <w:pStyle w:val="TOCHeading"/>
          </w:pPr>
          <w:r w:rsidRPr="000311F9">
            <w:rPr>
              <w:rStyle w:val="BodyParaAfterTableFigureChar"/>
            </w:rPr>
            <w:t>Contents</w:t>
          </w:r>
        </w:p>
        <w:p w:rsidR="008863A0" w:rsidRDefault="003A2CE9">
          <w:pPr>
            <w:pStyle w:val="TOC1"/>
            <w:tabs>
              <w:tab w:val="left" w:pos="480"/>
              <w:tab w:val="right" w:leader="dot" w:pos="9350"/>
            </w:tabs>
            <w:rPr>
              <w:rFonts w:asciiTheme="minorHAnsi" w:eastAsiaTheme="minorEastAsia" w:hAnsiTheme="minorHAnsi" w:cstheme="minorBidi"/>
              <w:noProof/>
              <w:sz w:val="22"/>
              <w:szCs w:val="22"/>
            </w:rPr>
          </w:pPr>
          <w:r>
            <w:fldChar w:fldCharType="begin"/>
          </w:r>
          <w:r w:rsidR="009A3B18">
            <w:instrText xml:space="preserve"> TOC \o "1-3" \h \z \u </w:instrText>
          </w:r>
          <w:r>
            <w:fldChar w:fldCharType="separate"/>
          </w:r>
          <w:hyperlink w:anchor="_Toc415748948" w:history="1">
            <w:r w:rsidR="008863A0" w:rsidRPr="00361FDA">
              <w:rPr>
                <w:rStyle w:val="Hyperlink"/>
                <w:noProof/>
              </w:rPr>
              <w:t>1</w:t>
            </w:r>
            <w:r w:rsidR="008863A0">
              <w:rPr>
                <w:rFonts w:asciiTheme="minorHAnsi" w:eastAsiaTheme="minorEastAsia" w:hAnsiTheme="minorHAnsi" w:cstheme="minorBidi"/>
                <w:noProof/>
                <w:sz w:val="22"/>
                <w:szCs w:val="22"/>
              </w:rPr>
              <w:tab/>
            </w:r>
            <w:r w:rsidR="008863A0" w:rsidRPr="00361FDA">
              <w:rPr>
                <w:rStyle w:val="Hyperlink"/>
                <w:noProof/>
              </w:rPr>
              <w:t>SDG&amp;E’s 2014 Load Impact Executive Summary Background</w:t>
            </w:r>
            <w:r w:rsidR="008863A0">
              <w:rPr>
                <w:noProof/>
                <w:webHidden/>
              </w:rPr>
              <w:tab/>
            </w:r>
            <w:r w:rsidR="008863A0">
              <w:rPr>
                <w:noProof/>
                <w:webHidden/>
              </w:rPr>
              <w:fldChar w:fldCharType="begin"/>
            </w:r>
            <w:r w:rsidR="008863A0">
              <w:rPr>
                <w:noProof/>
                <w:webHidden/>
              </w:rPr>
              <w:instrText xml:space="preserve"> PAGEREF _Toc415748948 \h </w:instrText>
            </w:r>
            <w:r w:rsidR="008863A0">
              <w:rPr>
                <w:noProof/>
                <w:webHidden/>
              </w:rPr>
            </w:r>
            <w:r w:rsidR="008863A0">
              <w:rPr>
                <w:noProof/>
                <w:webHidden/>
              </w:rPr>
              <w:fldChar w:fldCharType="separate"/>
            </w:r>
            <w:r w:rsidR="008863A0">
              <w:rPr>
                <w:noProof/>
                <w:webHidden/>
              </w:rPr>
              <w:t>5</w:t>
            </w:r>
            <w:r w:rsidR="008863A0">
              <w:rPr>
                <w:noProof/>
                <w:webHidden/>
              </w:rPr>
              <w:fldChar w:fldCharType="end"/>
            </w:r>
          </w:hyperlink>
        </w:p>
        <w:p w:rsidR="008863A0" w:rsidRDefault="008863A0">
          <w:pPr>
            <w:pStyle w:val="TOC1"/>
            <w:tabs>
              <w:tab w:val="left" w:pos="480"/>
              <w:tab w:val="right" w:leader="dot" w:pos="9350"/>
            </w:tabs>
            <w:rPr>
              <w:rFonts w:asciiTheme="minorHAnsi" w:eastAsiaTheme="minorEastAsia" w:hAnsiTheme="minorHAnsi" w:cstheme="minorBidi"/>
              <w:noProof/>
              <w:sz w:val="22"/>
              <w:szCs w:val="22"/>
            </w:rPr>
          </w:pPr>
          <w:hyperlink w:anchor="_Toc415748949" w:history="1">
            <w:r w:rsidRPr="00361FDA">
              <w:rPr>
                <w:rStyle w:val="Hyperlink"/>
                <w:noProof/>
              </w:rPr>
              <w:t>2</w:t>
            </w:r>
            <w:r>
              <w:rPr>
                <w:rFonts w:asciiTheme="minorHAnsi" w:eastAsiaTheme="minorEastAsia" w:hAnsiTheme="minorHAnsi" w:cstheme="minorBidi"/>
                <w:noProof/>
                <w:sz w:val="22"/>
                <w:szCs w:val="22"/>
              </w:rPr>
              <w:tab/>
            </w:r>
            <w:r w:rsidRPr="00361FDA">
              <w:rPr>
                <w:rStyle w:val="Hyperlink"/>
                <w:noProof/>
              </w:rPr>
              <w:t>Summary of SDG&amp;E’s Capacity Bidding Program Report</w:t>
            </w:r>
            <w:r>
              <w:rPr>
                <w:noProof/>
                <w:webHidden/>
              </w:rPr>
              <w:tab/>
            </w:r>
            <w:r>
              <w:rPr>
                <w:noProof/>
                <w:webHidden/>
              </w:rPr>
              <w:fldChar w:fldCharType="begin"/>
            </w:r>
            <w:r>
              <w:rPr>
                <w:noProof/>
                <w:webHidden/>
              </w:rPr>
              <w:instrText xml:space="preserve"> PAGEREF _Toc415748949 \h </w:instrText>
            </w:r>
            <w:r>
              <w:rPr>
                <w:noProof/>
                <w:webHidden/>
              </w:rPr>
            </w:r>
            <w:r>
              <w:rPr>
                <w:noProof/>
                <w:webHidden/>
              </w:rPr>
              <w:fldChar w:fldCharType="separate"/>
            </w:r>
            <w:r>
              <w:rPr>
                <w:noProof/>
                <w:webHidden/>
              </w:rPr>
              <w:t>5</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50" w:history="1">
            <w:r w:rsidRPr="00361FDA">
              <w:rPr>
                <w:rStyle w:val="Hyperlink"/>
                <w:noProof/>
              </w:rPr>
              <w:t>2.1</w:t>
            </w:r>
            <w:r>
              <w:rPr>
                <w:rFonts w:asciiTheme="minorHAnsi" w:eastAsiaTheme="minorEastAsia" w:hAnsiTheme="minorHAnsi" w:cstheme="minorBidi"/>
                <w:noProof/>
                <w:sz w:val="22"/>
                <w:szCs w:val="22"/>
              </w:rPr>
              <w:tab/>
            </w:r>
            <w:r w:rsidRPr="00361FDA">
              <w:rPr>
                <w:rStyle w:val="Hyperlink"/>
                <w:noProof/>
              </w:rPr>
              <w:t>CBP Program Description</w:t>
            </w:r>
            <w:r>
              <w:rPr>
                <w:noProof/>
                <w:webHidden/>
              </w:rPr>
              <w:tab/>
            </w:r>
            <w:r>
              <w:rPr>
                <w:noProof/>
                <w:webHidden/>
              </w:rPr>
              <w:fldChar w:fldCharType="begin"/>
            </w:r>
            <w:r>
              <w:rPr>
                <w:noProof/>
                <w:webHidden/>
              </w:rPr>
              <w:instrText xml:space="preserve"> PAGEREF _Toc415748950 \h </w:instrText>
            </w:r>
            <w:r>
              <w:rPr>
                <w:noProof/>
                <w:webHidden/>
              </w:rPr>
            </w:r>
            <w:r>
              <w:rPr>
                <w:noProof/>
                <w:webHidden/>
              </w:rPr>
              <w:fldChar w:fldCharType="separate"/>
            </w:r>
            <w:r>
              <w:rPr>
                <w:noProof/>
                <w:webHidden/>
              </w:rPr>
              <w:t>5</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51" w:history="1">
            <w:r w:rsidRPr="00361FDA">
              <w:rPr>
                <w:rStyle w:val="Hyperlink"/>
                <w:noProof/>
              </w:rPr>
              <w:t>2.2</w:t>
            </w:r>
            <w:r>
              <w:rPr>
                <w:rFonts w:asciiTheme="minorHAnsi" w:eastAsiaTheme="minorEastAsia" w:hAnsiTheme="minorHAnsi" w:cstheme="minorBidi"/>
                <w:noProof/>
                <w:sz w:val="22"/>
                <w:szCs w:val="22"/>
              </w:rPr>
              <w:tab/>
            </w:r>
            <w:r w:rsidRPr="00361FDA">
              <w:rPr>
                <w:rStyle w:val="Hyperlink"/>
                <w:noProof/>
              </w:rPr>
              <w:t>CBP Ex-Post Evaluation Methodology</w:t>
            </w:r>
            <w:r>
              <w:rPr>
                <w:noProof/>
                <w:webHidden/>
              </w:rPr>
              <w:tab/>
            </w:r>
            <w:r>
              <w:rPr>
                <w:noProof/>
                <w:webHidden/>
              </w:rPr>
              <w:fldChar w:fldCharType="begin"/>
            </w:r>
            <w:r>
              <w:rPr>
                <w:noProof/>
                <w:webHidden/>
              </w:rPr>
              <w:instrText xml:space="preserve"> PAGEREF _Toc415748951 \h </w:instrText>
            </w:r>
            <w:r>
              <w:rPr>
                <w:noProof/>
                <w:webHidden/>
              </w:rPr>
            </w:r>
            <w:r>
              <w:rPr>
                <w:noProof/>
                <w:webHidden/>
              </w:rPr>
              <w:fldChar w:fldCharType="separate"/>
            </w:r>
            <w:r>
              <w:rPr>
                <w:noProof/>
                <w:webHidden/>
              </w:rPr>
              <w:t>6</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52" w:history="1">
            <w:r w:rsidRPr="00361FDA">
              <w:rPr>
                <w:rStyle w:val="Hyperlink"/>
                <w:noProof/>
                <w14:scene3d>
                  <w14:camera w14:prst="orthographicFront"/>
                  <w14:lightRig w14:rig="threePt" w14:dir="t">
                    <w14:rot w14:lat="0" w14:lon="0" w14:rev="0"/>
                  </w14:lightRig>
                </w14:scene3d>
              </w:rPr>
              <w:t>2.2.1</w:t>
            </w:r>
            <w:r>
              <w:rPr>
                <w:rFonts w:asciiTheme="minorHAnsi" w:eastAsiaTheme="minorEastAsia" w:hAnsiTheme="minorHAnsi" w:cstheme="minorBidi"/>
                <w:noProof/>
                <w:sz w:val="22"/>
                <w:szCs w:val="22"/>
              </w:rPr>
              <w:tab/>
            </w:r>
            <w:r w:rsidRPr="00361FDA">
              <w:rPr>
                <w:rStyle w:val="Hyperlink"/>
                <w:noProof/>
              </w:rPr>
              <w:t>Regression Model</w:t>
            </w:r>
            <w:r>
              <w:rPr>
                <w:noProof/>
                <w:webHidden/>
              </w:rPr>
              <w:tab/>
            </w:r>
            <w:r>
              <w:rPr>
                <w:noProof/>
                <w:webHidden/>
              </w:rPr>
              <w:fldChar w:fldCharType="begin"/>
            </w:r>
            <w:r>
              <w:rPr>
                <w:noProof/>
                <w:webHidden/>
              </w:rPr>
              <w:instrText xml:space="preserve"> PAGEREF _Toc415748952 \h </w:instrText>
            </w:r>
            <w:r>
              <w:rPr>
                <w:noProof/>
                <w:webHidden/>
              </w:rPr>
            </w:r>
            <w:r>
              <w:rPr>
                <w:noProof/>
                <w:webHidden/>
              </w:rPr>
              <w:fldChar w:fldCharType="separate"/>
            </w:r>
            <w:r>
              <w:rPr>
                <w:noProof/>
                <w:webHidden/>
              </w:rPr>
              <w:t>6</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53" w:history="1">
            <w:r w:rsidRPr="00361FDA">
              <w:rPr>
                <w:rStyle w:val="Hyperlink"/>
                <w:noProof/>
                <w14:scene3d>
                  <w14:camera w14:prst="orthographicFront"/>
                  <w14:lightRig w14:rig="threePt" w14:dir="t">
                    <w14:rot w14:lat="0" w14:lon="0" w14:rev="0"/>
                  </w14:lightRig>
                </w14:scene3d>
              </w:rPr>
              <w:t>2.2.2</w:t>
            </w:r>
            <w:r>
              <w:rPr>
                <w:rFonts w:asciiTheme="minorHAnsi" w:eastAsiaTheme="minorEastAsia" w:hAnsiTheme="minorHAnsi" w:cstheme="minorBidi"/>
                <w:noProof/>
                <w:sz w:val="22"/>
                <w:szCs w:val="22"/>
              </w:rPr>
              <w:tab/>
            </w:r>
            <w:r w:rsidRPr="00361FDA">
              <w:rPr>
                <w:rStyle w:val="Hyperlink"/>
                <w:noProof/>
              </w:rPr>
              <w:t>Development of Uncertainty-Adjusted Load Impacts</w:t>
            </w:r>
            <w:r>
              <w:rPr>
                <w:noProof/>
                <w:webHidden/>
              </w:rPr>
              <w:tab/>
            </w:r>
            <w:r>
              <w:rPr>
                <w:noProof/>
                <w:webHidden/>
              </w:rPr>
              <w:fldChar w:fldCharType="begin"/>
            </w:r>
            <w:r>
              <w:rPr>
                <w:noProof/>
                <w:webHidden/>
              </w:rPr>
              <w:instrText xml:space="preserve"> PAGEREF _Toc415748953 \h </w:instrText>
            </w:r>
            <w:r>
              <w:rPr>
                <w:noProof/>
                <w:webHidden/>
              </w:rPr>
            </w:r>
            <w:r>
              <w:rPr>
                <w:noProof/>
                <w:webHidden/>
              </w:rPr>
              <w:fldChar w:fldCharType="separate"/>
            </w:r>
            <w:r>
              <w:rPr>
                <w:noProof/>
                <w:webHidden/>
              </w:rPr>
              <w:t>8</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54" w:history="1">
            <w:r w:rsidRPr="00361FDA">
              <w:rPr>
                <w:rStyle w:val="Hyperlink"/>
                <w:noProof/>
              </w:rPr>
              <w:t>2.3</w:t>
            </w:r>
            <w:r>
              <w:rPr>
                <w:rFonts w:asciiTheme="minorHAnsi" w:eastAsiaTheme="minorEastAsia" w:hAnsiTheme="minorHAnsi" w:cstheme="minorBidi"/>
                <w:noProof/>
                <w:sz w:val="22"/>
                <w:szCs w:val="22"/>
              </w:rPr>
              <w:tab/>
            </w:r>
            <w:r w:rsidRPr="00361FDA">
              <w:rPr>
                <w:rStyle w:val="Hyperlink"/>
                <w:noProof/>
              </w:rPr>
              <w:t>CBP Ex-Post Load Impact Estimates</w:t>
            </w:r>
            <w:r>
              <w:rPr>
                <w:noProof/>
                <w:webHidden/>
              </w:rPr>
              <w:tab/>
            </w:r>
            <w:r>
              <w:rPr>
                <w:noProof/>
                <w:webHidden/>
              </w:rPr>
              <w:fldChar w:fldCharType="begin"/>
            </w:r>
            <w:r>
              <w:rPr>
                <w:noProof/>
                <w:webHidden/>
              </w:rPr>
              <w:instrText xml:space="preserve"> PAGEREF _Toc415748954 \h </w:instrText>
            </w:r>
            <w:r>
              <w:rPr>
                <w:noProof/>
                <w:webHidden/>
              </w:rPr>
            </w:r>
            <w:r>
              <w:rPr>
                <w:noProof/>
                <w:webHidden/>
              </w:rPr>
              <w:fldChar w:fldCharType="separate"/>
            </w:r>
            <w:r>
              <w:rPr>
                <w:noProof/>
                <w:webHidden/>
              </w:rPr>
              <w:t>8</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55" w:history="1">
            <w:r w:rsidRPr="00361FDA">
              <w:rPr>
                <w:rStyle w:val="Hyperlink"/>
                <w:noProof/>
              </w:rPr>
              <w:t>2.4</w:t>
            </w:r>
            <w:r>
              <w:rPr>
                <w:rFonts w:asciiTheme="minorHAnsi" w:eastAsiaTheme="minorEastAsia" w:hAnsiTheme="minorHAnsi" w:cstheme="minorBidi"/>
                <w:noProof/>
                <w:sz w:val="22"/>
                <w:szCs w:val="22"/>
              </w:rPr>
              <w:tab/>
            </w:r>
            <w:r w:rsidRPr="00361FDA">
              <w:rPr>
                <w:rStyle w:val="Hyperlink"/>
                <w:noProof/>
              </w:rPr>
              <w:t>CBP Ex-Ante Evaluation Methodology</w:t>
            </w:r>
            <w:r>
              <w:rPr>
                <w:noProof/>
                <w:webHidden/>
              </w:rPr>
              <w:tab/>
            </w:r>
            <w:r>
              <w:rPr>
                <w:noProof/>
                <w:webHidden/>
              </w:rPr>
              <w:fldChar w:fldCharType="begin"/>
            </w:r>
            <w:r>
              <w:rPr>
                <w:noProof/>
                <w:webHidden/>
              </w:rPr>
              <w:instrText xml:space="preserve"> PAGEREF _Toc415748955 \h </w:instrText>
            </w:r>
            <w:r>
              <w:rPr>
                <w:noProof/>
                <w:webHidden/>
              </w:rPr>
            </w:r>
            <w:r>
              <w:rPr>
                <w:noProof/>
                <w:webHidden/>
              </w:rPr>
              <w:fldChar w:fldCharType="separate"/>
            </w:r>
            <w:r>
              <w:rPr>
                <w:noProof/>
                <w:webHidden/>
              </w:rPr>
              <w:t>9</w:t>
            </w:r>
            <w:r>
              <w:rPr>
                <w:noProof/>
                <w:webHidden/>
              </w:rPr>
              <w:fldChar w:fldCharType="end"/>
            </w:r>
          </w:hyperlink>
        </w:p>
        <w:p w:rsidR="008863A0" w:rsidRDefault="008863A0">
          <w:pPr>
            <w:pStyle w:val="TOC3"/>
            <w:tabs>
              <w:tab w:val="right" w:leader="dot" w:pos="9350"/>
            </w:tabs>
            <w:rPr>
              <w:rFonts w:asciiTheme="minorHAnsi" w:eastAsiaTheme="minorEastAsia" w:hAnsiTheme="minorHAnsi" w:cstheme="minorBidi"/>
              <w:noProof/>
              <w:sz w:val="22"/>
              <w:szCs w:val="22"/>
            </w:rPr>
          </w:pPr>
          <w:hyperlink w:anchor="_Toc415748956" w:history="1">
            <w:r w:rsidRPr="00361FDA">
              <w:rPr>
                <w:rStyle w:val="Hyperlink"/>
                <w:noProof/>
              </w:rPr>
              <w:t>2.4.1 Development of Reference Loads and Load Impacts</w:t>
            </w:r>
            <w:r>
              <w:rPr>
                <w:noProof/>
                <w:webHidden/>
              </w:rPr>
              <w:tab/>
            </w:r>
            <w:r>
              <w:rPr>
                <w:noProof/>
                <w:webHidden/>
              </w:rPr>
              <w:fldChar w:fldCharType="begin"/>
            </w:r>
            <w:r>
              <w:rPr>
                <w:noProof/>
                <w:webHidden/>
              </w:rPr>
              <w:instrText xml:space="preserve"> PAGEREF _Toc415748956 \h </w:instrText>
            </w:r>
            <w:r>
              <w:rPr>
                <w:noProof/>
                <w:webHidden/>
              </w:rPr>
            </w:r>
            <w:r>
              <w:rPr>
                <w:noProof/>
                <w:webHidden/>
              </w:rPr>
              <w:fldChar w:fldCharType="separate"/>
            </w:r>
            <w:r>
              <w:rPr>
                <w:noProof/>
                <w:webHidden/>
              </w:rPr>
              <w:t>9</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57" w:history="1">
            <w:r w:rsidRPr="00361FDA">
              <w:rPr>
                <w:rStyle w:val="Hyperlink"/>
                <w:noProof/>
              </w:rPr>
              <w:t>2.5</w:t>
            </w:r>
            <w:r>
              <w:rPr>
                <w:rFonts w:asciiTheme="minorHAnsi" w:eastAsiaTheme="minorEastAsia" w:hAnsiTheme="minorHAnsi" w:cstheme="minorBidi"/>
                <w:noProof/>
                <w:sz w:val="22"/>
                <w:szCs w:val="22"/>
              </w:rPr>
              <w:tab/>
            </w:r>
            <w:r w:rsidRPr="00361FDA">
              <w:rPr>
                <w:rStyle w:val="Hyperlink"/>
                <w:noProof/>
              </w:rPr>
              <w:t>CBP Ex-Ante Load Impact Estimates</w:t>
            </w:r>
            <w:r>
              <w:rPr>
                <w:noProof/>
                <w:webHidden/>
              </w:rPr>
              <w:tab/>
            </w:r>
            <w:r>
              <w:rPr>
                <w:noProof/>
                <w:webHidden/>
              </w:rPr>
              <w:fldChar w:fldCharType="begin"/>
            </w:r>
            <w:r>
              <w:rPr>
                <w:noProof/>
                <w:webHidden/>
              </w:rPr>
              <w:instrText xml:space="preserve"> PAGEREF _Toc415748957 \h </w:instrText>
            </w:r>
            <w:r>
              <w:rPr>
                <w:noProof/>
                <w:webHidden/>
              </w:rPr>
            </w:r>
            <w:r>
              <w:rPr>
                <w:noProof/>
                <w:webHidden/>
              </w:rPr>
              <w:fldChar w:fldCharType="separate"/>
            </w:r>
            <w:r>
              <w:rPr>
                <w:noProof/>
                <w:webHidden/>
              </w:rPr>
              <w:t>11</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58" w:history="1">
            <w:r w:rsidRPr="00361FDA">
              <w:rPr>
                <w:rStyle w:val="Hyperlink"/>
                <w:noProof/>
              </w:rPr>
              <w:t>2.6</w:t>
            </w:r>
            <w:r>
              <w:rPr>
                <w:rFonts w:asciiTheme="minorHAnsi" w:eastAsiaTheme="minorEastAsia" w:hAnsiTheme="minorHAnsi" w:cstheme="minorBidi"/>
                <w:noProof/>
                <w:sz w:val="22"/>
                <w:szCs w:val="22"/>
              </w:rPr>
              <w:tab/>
            </w:r>
            <w:r w:rsidRPr="00361FDA">
              <w:rPr>
                <w:rStyle w:val="Hyperlink"/>
                <w:noProof/>
              </w:rPr>
              <w:t>CBP Comparisons of Ex-Post and Ex-Ante Results</w:t>
            </w:r>
            <w:r>
              <w:rPr>
                <w:noProof/>
                <w:webHidden/>
              </w:rPr>
              <w:tab/>
            </w:r>
            <w:r>
              <w:rPr>
                <w:noProof/>
                <w:webHidden/>
              </w:rPr>
              <w:fldChar w:fldCharType="begin"/>
            </w:r>
            <w:r>
              <w:rPr>
                <w:noProof/>
                <w:webHidden/>
              </w:rPr>
              <w:instrText xml:space="preserve"> PAGEREF _Toc415748958 \h </w:instrText>
            </w:r>
            <w:r>
              <w:rPr>
                <w:noProof/>
                <w:webHidden/>
              </w:rPr>
            </w:r>
            <w:r>
              <w:rPr>
                <w:noProof/>
                <w:webHidden/>
              </w:rPr>
              <w:fldChar w:fldCharType="separate"/>
            </w:r>
            <w:r>
              <w:rPr>
                <w:noProof/>
                <w:webHidden/>
              </w:rPr>
              <w:t>12</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59" w:history="1">
            <w:r w:rsidRPr="00361FDA">
              <w:rPr>
                <w:rStyle w:val="Hyperlink"/>
                <w:noProof/>
                <w14:scene3d>
                  <w14:camera w14:prst="orthographicFront"/>
                  <w14:lightRig w14:rig="threePt" w14:dir="t">
                    <w14:rot w14:lat="0" w14:lon="0" w14:rev="0"/>
                  </w14:lightRig>
                </w14:scene3d>
              </w:rPr>
              <w:t>2.6.1</w:t>
            </w:r>
            <w:r>
              <w:rPr>
                <w:rFonts w:asciiTheme="minorHAnsi" w:eastAsiaTheme="minorEastAsia" w:hAnsiTheme="minorHAnsi" w:cstheme="minorBidi"/>
                <w:noProof/>
                <w:sz w:val="22"/>
                <w:szCs w:val="22"/>
              </w:rPr>
              <w:tab/>
            </w:r>
            <w:r w:rsidRPr="00361FDA">
              <w:rPr>
                <w:rStyle w:val="Hyperlink"/>
                <w:noProof/>
              </w:rPr>
              <w:t>Ex-post load impacts from the current and previous studies</w:t>
            </w:r>
            <w:r>
              <w:rPr>
                <w:noProof/>
                <w:webHidden/>
              </w:rPr>
              <w:tab/>
            </w:r>
            <w:r>
              <w:rPr>
                <w:noProof/>
                <w:webHidden/>
              </w:rPr>
              <w:fldChar w:fldCharType="begin"/>
            </w:r>
            <w:r>
              <w:rPr>
                <w:noProof/>
                <w:webHidden/>
              </w:rPr>
              <w:instrText xml:space="preserve"> PAGEREF _Toc415748959 \h </w:instrText>
            </w:r>
            <w:r>
              <w:rPr>
                <w:noProof/>
                <w:webHidden/>
              </w:rPr>
            </w:r>
            <w:r>
              <w:rPr>
                <w:noProof/>
                <w:webHidden/>
              </w:rPr>
              <w:fldChar w:fldCharType="separate"/>
            </w:r>
            <w:r>
              <w:rPr>
                <w:noProof/>
                <w:webHidden/>
              </w:rPr>
              <w:t>12</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60" w:history="1">
            <w:r w:rsidRPr="00361FDA">
              <w:rPr>
                <w:rStyle w:val="Hyperlink"/>
                <w:noProof/>
                <w14:scene3d>
                  <w14:camera w14:prst="orthographicFront"/>
                  <w14:lightRig w14:rig="threePt" w14:dir="t">
                    <w14:rot w14:lat="0" w14:lon="0" w14:rev="0"/>
                  </w14:lightRig>
                </w14:scene3d>
              </w:rPr>
              <w:t>2.6.2</w:t>
            </w:r>
            <w:r>
              <w:rPr>
                <w:rFonts w:asciiTheme="minorHAnsi" w:eastAsiaTheme="minorEastAsia" w:hAnsiTheme="minorHAnsi" w:cstheme="minorBidi"/>
                <w:noProof/>
                <w:sz w:val="22"/>
                <w:szCs w:val="22"/>
              </w:rPr>
              <w:tab/>
            </w:r>
            <w:r w:rsidRPr="00361FDA">
              <w:rPr>
                <w:rStyle w:val="Hyperlink"/>
                <w:noProof/>
              </w:rPr>
              <w:t>Previous versus current ex-ante</w:t>
            </w:r>
            <w:r>
              <w:rPr>
                <w:noProof/>
                <w:webHidden/>
              </w:rPr>
              <w:tab/>
            </w:r>
            <w:r>
              <w:rPr>
                <w:noProof/>
                <w:webHidden/>
              </w:rPr>
              <w:fldChar w:fldCharType="begin"/>
            </w:r>
            <w:r>
              <w:rPr>
                <w:noProof/>
                <w:webHidden/>
              </w:rPr>
              <w:instrText xml:space="preserve"> PAGEREF _Toc415748960 \h </w:instrText>
            </w:r>
            <w:r>
              <w:rPr>
                <w:noProof/>
                <w:webHidden/>
              </w:rPr>
            </w:r>
            <w:r>
              <w:rPr>
                <w:noProof/>
                <w:webHidden/>
              </w:rPr>
              <w:fldChar w:fldCharType="separate"/>
            </w:r>
            <w:r>
              <w:rPr>
                <w:noProof/>
                <w:webHidden/>
              </w:rPr>
              <w:t>13</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61" w:history="1">
            <w:r w:rsidRPr="00361FDA">
              <w:rPr>
                <w:rStyle w:val="Hyperlink"/>
                <w:noProof/>
                <w14:scene3d>
                  <w14:camera w14:prst="orthographicFront"/>
                  <w14:lightRig w14:rig="threePt" w14:dir="t">
                    <w14:rot w14:lat="0" w14:lon="0" w14:rev="0"/>
                  </w14:lightRig>
                </w14:scene3d>
              </w:rPr>
              <w:t>2.6.3</w:t>
            </w:r>
            <w:r>
              <w:rPr>
                <w:rFonts w:asciiTheme="minorHAnsi" w:eastAsiaTheme="minorEastAsia" w:hAnsiTheme="minorHAnsi" w:cstheme="minorBidi"/>
                <w:noProof/>
                <w:sz w:val="22"/>
                <w:szCs w:val="22"/>
              </w:rPr>
              <w:tab/>
            </w:r>
            <w:r w:rsidRPr="00361FDA">
              <w:rPr>
                <w:rStyle w:val="Hyperlink"/>
                <w:noProof/>
              </w:rPr>
              <w:t>Current ex-post compared to previous ex-ante</w:t>
            </w:r>
            <w:r>
              <w:rPr>
                <w:noProof/>
                <w:webHidden/>
              </w:rPr>
              <w:tab/>
            </w:r>
            <w:r>
              <w:rPr>
                <w:noProof/>
                <w:webHidden/>
              </w:rPr>
              <w:fldChar w:fldCharType="begin"/>
            </w:r>
            <w:r>
              <w:rPr>
                <w:noProof/>
                <w:webHidden/>
              </w:rPr>
              <w:instrText xml:space="preserve"> PAGEREF _Toc415748961 \h </w:instrText>
            </w:r>
            <w:r>
              <w:rPr>
                <w:noProof/>
                <w:webHidden/>
              </w:rPr>
            </w:r>
            <w:r>
              <w:rPr>
                <w:noProof/>
                <w:webHidden/>
              </w:rPr>
              <w:fldChar w:fldCharType="separate"/>
            </w:r>
            <w:r>
              <w:rPr>
                <w:noProof/>
                <w:webHidden/>
              </w:rPr>
              <w:t>13</w:t>
            </w:r>
            <w:r>
              <w:rPr>
                <w:noProof/>
                <w:webHidden/>
              </w:rPr>
              <w:fldChar w:fldCharType="end"/>
            </w:r>
          </w:hyperlink>
        </w:p>
        <w:p w:rsidR="008863A0" w:rsidRDefault="008863A0">
          <w:pPr>
            <w:pStyle w:val="TOC1"/>
            <w:tabs>
              <w:tab w:val="left" w:pos="480"/>
              <w:tab w:val="right" w:leader="dot" w:pos="9350"/>
            </w:tabs>
            <w:rPr>
              <w:rFonts w:asciiTheme="minorHAnsi" w:eastAsiaTheme="minorEastAsia" w:hAnsiTheme="minorHAnsi" w:cstheme="minorBidi"/>
              <w:noProof/>
              <w:sz w:val="22"/>
              <w:szCs w:val="22"/>
            </w:rPr>
          </w:pPr>
          <w:hyperlink w:anchor="_Toc415748962" w:history="1">
            <w:r w:rsidRPr="00361FDA">
              <w:rPr>
                <w:rStyle w:val="Hyperlink"/>
                <w:noProof/>
              </w:rPr>
              <w:t>3</w:t>
            </w:r>
            <w:r>
              <w:rPr>
                <w:rFonts w:asciiTheme="minorHAnsi" w:eastAsiaTheme="minorEastAsia" w:hAnsiTheme="minorHAnsi" w:cstheme="minorBidi"/>
                <w:noProof/>
                <w:sz w:val="22"/>
                <w:szCs w:val="22"/>
              </w:rPr>
              <w:tab/>
            </w:r>
            <w:r w:rsidRPr="00361FDA">
              <w:rPr>
                <w:rStyle w:val="Hyperlink"/>
                <w:noProof/>
              </w:rPr>
              <w:t>Summary of SDG&amp;E’s Critical Peak Pricing Default Report</w:t>
            </w:r>
            <w:r>
              <w:rPr>
                <w:noProof/>
                <w:webHidden/>
              </w:rPr>
              <w:tab/>
            </w:r>
            <w:r>
              <w:rPr>
                <w:noProof/>
                <w:webHidden/>
              </w:rPr>
              <w:fldChar w:fldCharType="begin"/>
            </w:r>
            <w:r>
              <w:rPr>
                <w:noProof/>
                <w:webHidden/>
              </w:rPr>
              <w:instrText xml:space="preserve"> PAGEREF _Toc415748962 \h </w:instrText>
            </w:r>
            <w:r>
              <w:rPr>
                <w:noProof/>
                <w:webHidden/>
              </w:rPr>
            </w:r>
            <w:r>
              <w:rPr>
                <w:noProof/>
                <w:webHidden/>
              </w:rPr>
              <w:fldChar w:fldCharType="separate"/>
            </w:r>
            <w:r>
              <w:rPr>
                <w:noProof/>
                <w:webHidden/>
              </w:rPr>
              <w:t>14</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63" w:history="1">
            <w:r w:rsidRPr="00361FDA">
              <w:rPr>
                <w:rStyle w:val="Hyperlink"/>
                <w:noProof/>
              </w:rPr>
              <w:t>3.1</w:t>
            </w:r>
            <w:r>
              <w:rPr>
                <w:rFonts w:asciiTheme="minorHAnsi" w:eastAsiaTheme="minorEastAsia" w:hAnsiTheme="minorHAnsi" w:cstheme="minorBidi"/>
                <w:noProof/>
                <w:sz w:val="22"/>
                <w:szCs w:val="22"/>
              </w:rPr>
              <w:tab/>
            </w:r>
            <w:r w:rsidRPr="00361FDA">
              <w:rPr>
                <w:rStyle w:val="Hyperlink"/>
                <w:noProof/>
              </w:rPr>
              <w:t>CPP Rate Description</w:t>
            </w:r>
            <w:r>
              <w:rPr>
                <w:noProof/>
                <w:webHidden/>
              </w:rPr>
              <w:tab/>
            </w:r>
            <w:r>
              <w:rPr>
                <w:noProof/>
                <w:webHidden/>
              </w:rPr>
              <w:fldChar w:fldCharType="begin"/>
            </w:r>
            <w:r>
              <w:rPr>
                <w:noProof/>
                <w:webHidden/>
              </w:rPr>
              <w:instrText xml:space="preserve"> PAGEREF _Toc415748963 \h </w:instrText>
            </w:r>
            <w:r>
              <w:rPr>
                <w:noProof/>
                <w:webHidden/>
              </w:rPr>
            </w:r>
            <w:r>
              <w:rPr>
                <w:noProof/>
                <w:webHidden/>
              </w:rPr>
              <w:fldChar w:fldCharType="separate"/>
            </w:r>
            <w:r>
              <w:rPr>
                <w:noProof/>
                <w:webHidden/>
              </w:rPr>
              <w:t>14</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64" w:history="1">
            <w:r w:rsidRPr="00361FDA">
              <w:rPr>
                <w:rStyle w:val="Hyperlink"/>
                <w:noProof/>
              </w:rPr>
              <w:t>3.2</w:t>
            </w:r>
            <w:r>
              <w:rPr>
                <w:rFonts w:asciiTheme="minorHAnsi" w:eastAsiaTheme="minorEastAsia" w:hAnsiTheme="minorHAnsi" w:cstheme="minorBidi"/>
                <w:noProof/>
                <w:sz w:val="22"/>
                <w:szCs w:val="22"/>
              </w:rPr>
              <w:tab/>
            </w:r>
            <w:r w:rsidRPr="00361FDA">
              <w:rPr>
                <w:rStyle w:val="Hyperlink"/>
                <w:noProof/>
              </w:rPr>
              <w:t>CPP-D Ex-Post Evaluation Methodology</w:t>
            </w:r>
            <w:r>
              <w:rPr>
                <w:noProof/>
                <w:webHidden/>
              </w:rPr>
              <w:tab/>
            </w:r>
            <w:r>
              <w:rPr>
                <w:noProof/>
                <w:webHidden/>
              </w:rPr>
              <w:fldChar w:fldCharType="begin"/>
            </w:r>
            <w:r>
              <w:rPr>
                <w:noProof/>
                <w:webHidden/>
              </w:rPr>
              <w:instrText xml:space="preserve"> PAGEREF _Toc415748964 \h </w:instrText>
            </w:r>
            <w:r>
              <w:rPr>
                <w:noProof/>
                <w:webHidden/>
              </w:rPr>
            </w:r>
            <w:r>
              <w:rPr>
                <w:noProof/>
                <w:webHidden/>
              </w:rPr>
              <w:fldChar w:fldCharType="separate"/>
            </w:r>
            <w:r>
              <w:rPr>
                <w:noProof/>
                <w:webHidden/>
              </w:rPr>
              <w:t>15</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65" w:history="1">
            <w:r w:rsidRPr="00361FDA">
              <w:rPr>
                <w:rStyle w:val="Hyperlink"/>
                <w:noProof/>
                <w14:scene3d>
                  <w14:camera w14:prst="orthographicFront"/>
                  <w14:lightRig w14:rig="threePt" w14:dir="t">
                    <w14:rot w14:lat="0" w14:lon="0" w14:rev="0"/>
                  </w14:lightRig>
                </w14:scene3d>
              </w:rPr>
              <w:t>3.2.1</w:t>
            </w:r>
            <w:r>
              <w:rPr>
                <w:rFonts w:asciiTheme="minorHAnsi" w:eastAsiaTheme="minorEastAsia" w:hAnsiTheme="minorHAnsi" w:cstheme="minorBidi"/>
                <w:noProof/>
                <w:sz w:val="22"/>
                <w:szCs w:val="22"/>
              </w:rPr>
              <w:tab/>
            </w:r>
            <w:r w:rsidRPr="00361FDA">
              <w:rPr>
                <w:rStyle w:val="Hyperlink"/>
                <w:noProof/>
              </w:rPr>
              <w:t>Proxy Day Selection</w:t>
            </w:r>
            <w:r>
              <w:rPr>
                <w:noProof/>
                <w:webHidden/>
              </w:rPr>
              <w:tab/>
            </w:r>
            <w:r>
              <w:rPr>
                <w:noProof/>
                <w:webHidden/>
              </w:rPr>
              <w:fldChar w:fldCharType="begin"/>
            </w:r>
            <w:r>
              <w:rPr>
                <w:noProof/>
                <w:webHidden/>
              </w:rPr>
              <w:instrText xml:space="preserve"> PAGEREF _Toc415748965 \h </w:instrText>
            </w:r>
            <w:r>
              <w:rPr>
                <w:noProof/>
                <w:webHidden/>
              </w:rPr>
            </w:r>
            <w:r>
              <w:rPr>
                <w:noProof/>
                <w:webHidden/>
              </w:rPr>
              <w:fldChar w:fldCharType="separate"/>
            </w:r>
            <w:r>
              <w:rPr>
                <w:noProof/>
                <w:webHidden/>
              </w:rPr>
              <w:t>15</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66" w:history="1">
            <w:r w:rsidRPr="00361FDA">
              <w:rPr>
                <w:rStyle w:val="Hyperlink"/>
                <w:noProof/>
                <w14:scene3d>
                  <w14:camera w14:prst="orthographicFront"/>
                  <w14:lightRig w14:rig="threePt" w14:dir="t">
                    <w14:rot w14:lat="0" w14:lon="0" w14:rev="0"/>
                  </w14:lightRig>
                </w14:scene3d>
              </w:rPr>
              <w:t>3.2.2</w:t>
            </w:r>
            <w:r>
              <w:rPr>
                <w:rFonts w:asciiTheme="minorHAnsi" w:eastAsiaTheme="minorEastAsia" w:hAnsiTheme="minorHAnsi" w:cstheme="minorBidi"/>
                <w:noProof/>
                <w:sz w:val="22"/>
                <w:szCs w:val="22"/>
              </w:rPr>
              <w:tab/>
            </w:r>
            <w:r w:rsidRPr="00361FDA">
              <w:rPr>
                <w:rStyle w:val="Hyperlink"/>
                <w:noProof/>
              </w:rPr>
              <w:t>Matching Model Selection</w:t>
            </w:r>
            <w:r>
              <w:rPr>
                <w:noProof/>
                <w:webHidden/>
              </w:rPr>
              <w:tab/>
            </w:r>
            <w:r>
              <w:rPr>
                <w:noProof/>
                <w:webHidden/>
              </w:rPr>
              <w:fldChar w:fldCharType="begin"/>
            </w:r>
            <w:r>
              <w:rPr>
                <w:noProof/>
                <w:webHidden/>
              </w:rPr>
              <w:instrText xml:space="preserve"> PAGEREF _Toc415748966 \h </w:instrText>
            </w:r>
            <w:r>
              <w:rPr>
                <w:noProof/>
                <w:webHidden/>
              </w:rPr>
            </w:r>
            <w:r>
              <w:rPr>
                <w:noProof/>
                <w:webHidden/>
              </w:rPr>
              <w:fldChar w:fldCharType="separate"/>
            </w:r>
            <w:r>
              <w:rPr>
                <w:noProof/>
                <w:webHidden/>
              </w:rPr>
              <w:t>15</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67" w:history="1">
            <w:r w:rsidRPr="00361FDA">
              <w:rPr>
                <w:rStyle w:val="Hyperlink"/>
                <w:noProof/>
                <w14:scene3d>
                  <w14:camera w14:prst="orthographicFront"/>
                  <w14:lightRig w14:rig="threePt" w14:dir="t">
                    <w14:rot w14:lat="0" w14:lon="0" w14:rev="0"/>
                  </w14:lightRig>
                </w14:scene3d>
              </w:rPr>
              <w:t>3.2.3</w:t>
            </w:r>
            <w:r>
              <w:rPr>
                <w:rFonts w:asciiTheme="minorHAnsi" w:eastAsiaTheme="minorEastAsia" w:hAnsiTheme="minorHAnsi" w:cstheme="minorBidi"/>
                <w:noProof/>
                <w:sz w:val="22"/>
                <w:szCs w:val="22"/>
              </w:rPr>
              <w:tab/>
            </w:r>
            <w:r w:rsidRPr="00361FDA">
              <w:rPr>
                <w:rStyle w:val="Hyperlink"/>
                <w:noProof/>
              </w:rPr>
              <w:t>Control group selection</w:t>
            </w:r>
            <w:r>
              <w:rPr>
                <w:noProof/>
                <w:webHidden/>
              </w:rPr>
              <w:tab/>
            </w:r>
            <w:r>
              <w:rPr>
                <w:noProof/>
                <w:webHidden/>
              </w:rPr>
              <w:fldChar w:fldCharType="begin"/>
            </w:r>
            <w:r>
              <w:rPr>
                <w:noProof/>
                <w:webHidden/>
              </w:rPr>
              <w:instrText xml:space="preserve"> PAGEREF _Toc415748967 \h </w:instrText>
            </w:r>
            <w:r>
              <w:rPr>
                <w:noProof/>
                <w:webHidden/>
              </w:rPr>
            </w:r>
            <w:r>
              <w:rPr>
                <w:noProof/>
                <w:webHidden/>
              </w:rPr>
              <w:fldChar w:fldCharType="separate"/>
            </w:r>
            <w:r>
              <w:rPr>
                <w:noProof/>
                <w:webHidden/>
              </w:rPr>
              <w:t>15</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68" w:history="1">
            <w:r w:rsidRPr="00361FDA">
              <w:rPr>
                <w:rStyle w:val="Hyperlink"/>
                <w:noProof/>
                <w14:scene3d>
                  <w14:camera w14:prst="orthographicFront"/>
                  <w14:lightRig w14:rig="threePt" w14:dir="t">
                    <w14:rot w14:lat="0" w14:lon="0" w14:rev="0"/>
                  </w14:lightRig>
                </w14:scene3d>
              </w:rPr>
              <w:t>3.2.4</w:t>
            </w:r>
            <w:r>
              <w:rPr>
                <w:rFonts w:asciiTheme="minorHAnsi" w:eastAsiaTheme="minorEastAsia" w:hAnsiTheme="minorHAnsi" w:cstheme="minorBidi"/>
                <w:noProof/>
                <w:sz w:val="22"/>
                <w:szCs w:val="22"/>
              </w:rPr>
              <w:tab/>
            </w:r>
            <w:r w:rsidRPr="00361FDA">
              <w:rPr>
                <w:rStyle w:val="Hyperlink"/>
                <w:noProof/>
              </w:rPr>
              <w:t>Difference-in-difference Estimation</w:t>
            </w:r>
            <w:r>
              <w:rPr>
                <w:noProof/>
                <w:webHidden/>
              </w:rPr>
              <w:tab/>
            </w:r>
            <w:r>
              <w:rPr>
                <w:noProof/>
                <w:webHidden/>
              </w:rPr>
              <w:fldChar w:fldCharType="begin"/>
            </w:r>
            <w:r>
              <w:rPr>
                <w:noProof/>
                <w:webHidden/>
              </w:rPr>
              <w:instrText xml:space="preserve"> PAGEREF _Toc415748968 \h </w:instrText>
            </w:r>
            <w:r>
              <w:rPr>
                <w:noProof/>
                <w:webHidden/>
              </w:rPr>
            </w:r>
            <w:r>
              <w:rPr>
                <w:noProof/>
                <w:webHidden/>
              </w:rPr>
              <w:fldChar w:fldCharType="separate"/>
            </w:r>
            <w:r>
              <w:rPr>
                <w:noProof/>
                <w:webHidden/>
              </w:rPr>
              <w:t>16</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69" w:history="1">
            <w:r w:rsidRPr="00361FDA">
              <w:rPr>
                <w:rStyle w:val="Hyperlink"/>
                <w:noProof/>
                <w14:scene3d>
                  <w14:camera w14:prst="orthographicFront"/>
                  <w14:lightRig w14:rig="threePt" w14:dir="t">
                    <w14:rot w14:lat="0" w14:lon="0" w14:rev="0"/>
                  </w14:lightRig>
                </w14:scene3d>
              </w:rPr>
              <w:t>3.2.5</w:t>
            </w:r>
            <w:r>
              <w:rPr>
                <w:rFonts w:asciiTheme="minorHAnsi" w:eastAsiaTheme="minorEastAsia" w:hAnsiTheme="minorHAnsi" w:cstheme="minorBidi"/>
                <w:noProof/>
                <w:sz w:val="22"/>
                <w:szCs w:val="22"/>
              </w:rPr>
              <w:tab/>
            </w:r>
            <w:r w:rsidRPr="00361FDA">
              <w:rPr>
                <w:rStyle w:val="Hyperlink"/>
                <w:noProof/>
              </w:rPr>
              <w:t>Individual Customers Regressions</w:t>
            </w:r>
            <w:r>
              <w:rPr>
                <w:noProof/>
                <w:webHidden/>
              </w:rPr>
              <w:tab/>
            </w:r>
            <w:r>
              <w:rPr>
                <w:noProof/>
                <w:webHidden/>
              </w:rPr>
              <w:fldChar w:fldCharType="begin"/>
            </w:r>
            <w:r>
              <w:rPr>
                <w:noProof/>
                <w:webHidden/>
              </w:rPr>
              <w:instrText xml:space="preserve"> PAGEREF _Toc415748969 \h </w:instrText>
            </w:r>
            <w:r>
              <w:rPr>
                <w:noProof/>
                <w:webHidden/>
              </w:rPr>
            </w:r>
            <w:r>
              <w:rPr>
                <w:noProof/>
                <w:webHidden/>
              </w:rPr>
              <w:fldChar w:fldCharType="separate"/>
            </w:r>
            <w:r>
              <w:rPr>
                <w:noProof/>
                <w:webHidden/>
              </w:rPr>
              <w:t>18</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70" w:history="1">
            <w:r w:rsidRPr="00361FDA">
              <w:rPr>
                <w:rStyle w:val="Hyperlink"/>
                <w:noProof/>
              </w:rPr>
              <w:t>3.3</w:t>
            </w:r>
            <w:r>
              <w:rPr>
                <w:rFonts w:asciiTheme="minorHAnsi" w:eastAsiaTheme="minorEastAsia" w:hAnsiTheme="minorHAnsi" w:cstheme="minorBidi"/>
                <w:noProof/>
                <w:sz w:val="22"/>
                <w:szCs w:val="22"/>
              </w:rPr>
              <w:tab/>
            </w:r>
            <w:r w:rsidRPr="00361FDA">
              <w:rPr>
                <w:rStyle w:val="Hyperlink"/>
                <w:noProof/>
              </w:rPr>
              <w:t>CPP-D Ex-Post Load Impacts Estimates</w:t>
            </w:r>
            <w:r>
              <w:rPr>
                <w:noProof/>
                <w:webHidden/>
              </w:rPr>
              <w:tab/>
            </w:r>
            <w:r>
              <w:rPr>
                <w:noProof/>
                <w:webHidden/>
              </w:rPr>
              <w:fldChar w:fldCharType="begin"/>
            </w:r>
            <w:r>
              <w:rPr>
                <w:noProof/>
                <w:webHidden/>
              </w:rPr>
              <w:instrText xml:space="preserve"> PAGEREF _Toc415748970 \h </w:instrText>
            </w:r>
            <w:r>
              <w:rPr>
                <w:noProof/>
                <w:webHidden/>
              </w:rPr>
            </w:r>
            <w:r>
              <w:rPr>
                <w:noProof/>
                <w:webHidden/>
              </w:rPr>
              <w:fldChar w:fldCharType="separate"/>
            </w:r>
            <w:r>
              <w:rPr>
                <w:noProof/>
                <w:webHidden/>
              </w:rPr>
              <w:t>18</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71" w:history="1">
            <w:r w:rsidRPr="00361FDA">
              <w:rPr>
                <w:rStyle w:val="Hyperlink"/>
                <w:noProof/>
              </w:rPr>
              <w:t>3.4</w:t>
            </w:r>
            <w:r>
              <w:rPr>
                <w:rFonts w:asciiTheme="minorHAnsi" w:eastAsiaTheme="minorEastAsia" w:hAnsiTheme="minorHAnsi" w:cstheme="minorBidi"/>
                <w:noProof/>
                <w:sz w:val="22"/>
                <w:szCs w:val="22"/>
              </w:rPr>
              <w:tab/>
            </w:r>
            <w:r w:rsidRPr="00361FDA">
              <w:rPr>
                <w:rStyle w:val="Hyperlink"/>
                <w:noProof/>
              </w:rPr>
              <w:t>CPP-D Ex-Ante Load Impacts Methodology</w:t>
            </w:r>
            <w:r>
              <w:rPr>
                <w:noProof/>
                <w:webHidden/>
              </w:rPr>
              <w:tab/>
            </w:r>
            <w:r>
              <w:rPr>
                <w:noProof/>
                <w:webHidden/>
              </w:rPr>
              <w:fldChar w:fldCharType="begin"/>
            </w:r>
            <w:r>
              <w:rPr>
                <w:noProof/>
                <w:webHidden/>
              </w:rPr>
              <w:instrText xml:space="preserve"> PAGEREF _Toc415748971 \h </w:instrText>
            </w:r>
            <w:r>
              <w:rPr>
                <w:noProof/>
                <w:webHidden/>
              </w:rPr>
            </w:r>
            <w:r>
              <w:rPr>
                <w:noProof/>
                <w:webHidden/>
              </w:rPr>
              <w:fldChar w:fldCharType="separate"/>
            </w:r>
            <w:r>
              <w:rPr>
                <w:noProof/>
                <w:webHidden/>
              </w:rPr>
              <w:t>19</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72" w:history="1">
            <w:r w:rsidRPr="00361FDA">
              <w:rPr>
                <w:rStyle w:val="Hyperlink"/>
                <w:noProof/>
              </w:rPr>
              <w:t>3.5</w:t>
            </w:r>
            <w:r>
              <w:rPr>
                <w:rFonts w:asciiTheme="minorHAnsi" w:eastAsiaTheme="minorEastAsia" w:hAnsiTheme="minorHAnsi" w:cstheme="minorBidi"/>
                <w:noProof/>
                <w:sz w:val="22"/>
                <w:szCs w:val="22"/>
              </w:rPr>
              <w:tab/>
            </w:r>
            <w:r w:rsidRPr="00361FDA">
              <w:rPr>
                <w:rStyle w:val="Hyperlink"/>
                <w:noProof/>
              </w:rPr>
              <w:t>CPP-D Ex-Ante Load Impacts Estimates</w:t>
            </w:r>
            <w:r>
              <w:rPr>
                <w:noProof/>
                <w:webHidden/>
              </w:rPr>
              <w:tab/>
            </w:r>
            <w:r>
              <w:rPr>
                <w:noProof/>
                <w:webHidden/>
              </w:rPr>
              <w:fldChar w:fldCharType="begin"/>
            </w:r>
            <w:r>
              <w:rPr>
                <w:noProof/>
                <w:webHidden/>
              </w:rPr>
              <w:instrText xml:space="preserve"> PAGEREF _Toc415748972 \h </w:instrText>
            </w:r>
            <w:r>
              <w:rPr>
                <w:noProof/>
                <w:webHidden/>
              </w:rPr>
            </w:r>
            <w:r>
              <w:rPr>
                <w:noProof/>
                <w:webHidden/>
              </w:rPr>
              <w:fldChar w:fldCharType="separate"/>
            </w:r>
            <w:r>
              <w:rPr>
                <w:noProof/>
                <w:webHidden/>
              </w:rPr>
              <w:t>19</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73" w:history="1">
            <w:r w:rsidRPr="00361FDA">
              <w:rPr>
                <w:rStyle w:val="Hyperlink"/>
                <w:noProof/>
                <w:lang w:val="fr-FR"/>
                <w14:scene3d>
                  <w14:camera w14:prst="orthographicFront"/>
                  <w14:lightRig w14:rig="threePt" w14:dir="t">
                    <w14:rot w14:lat="0" w14:lon="0" w14:rev="0"/>
                  </w14:lightRig>
                </w14:scene3d>
              </w:rPr>
              <w:t>3.5.1</w:t>
            </w:r>
            <w:r>
              <w:rPr>
                <w:rFonts w:asciiTheme="minorHAnsi" w:eastAsiaTheme="minorEastAsia" w:hAnsiTheme="minorHAnsi" w:cstheme="minorBidi"/>
                <w:noProof/>
                <w:sz w:val="22"/>
                <w:szCs w:val="22"/>
              </w:rPr>
              <w:tab/>
            </w:r>
            <w:r w:rsidRPr="00361FDA">
              <w:rPr>
                <w:rStyle w:val="Hyperlink"/>
                <w:noProof/>
                <w:lang w:val="fr-FR"/>
              </w:rPr>
              <w:t>Large C&amp;I Ex-Ante Impacts</w:t>
            </w:r>
            <w:r>
              <w:rPr>
                <w:noProof/>
                <w:webHidden/>
              </w:rPr>
              <w:tab/>
            </w:r>
            <w:r>
              <w:rPr>
                <w:noProof/>
                <w:webHidden/>
              </w:rPr>
              <w:fldChar w:fldCharType="begin"/>
            </w:r>
            <w:r>
              <w:rPr>
                <w:noProof/>
                <w:webHidden/>
              </w:rPr>
              <w:instrText xml:space="preserve"> PAGEREF _Toc415748973 \h </w:instrText>
            </w:r>
            <w:r>
              <w:rPr>
                <w:noProof/>
                <w:webHidden/>
              </w:rPr>
            </w:r>
            <w:r>
              <w:rPr>
                <w:noProof/>
                <w:webHidden/>
              </w:rPr>
              <w:fldChar w:fldCharType="separate"/>
            </w:r>
            <w:r>
              <w:rPr>
                <w:noProof/>
                <w:webHidden/>
              </w:rPr>
              <w:t>20</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74" w:history="1">
            <w:r w:rsidRPr="00361FDA">
              <w:rPr>
                <w:rStyle w:val="Hyperlink"/>
                <w:noProof/>
                <w14:scene3d>
                  <w14:camera w14:prst="orthographicFront"/>
                  <w14:lightRig w14:rig="threePt" w14:dir="t">
                    <w14:rot w14:lat="0" w14:lon="0" w14:rev="0"/>
                  </w14:lightRig>
                </w14:scene3d>
              </w:rPr>
              <w:t>3.5.2</w:t>
            </w:r>
            <w:r>
              <w:rPr>
                <w:rFonts w:asciiTheme="minorHAnsi" w:eastAsiaTheme="minorEastAsia" w:hAnsiTheme="minorHAnsi" w:cstheme="minorBidi"/>
                <w:noProof/>
                <w:sz w:val="22"/>
                <w:szCs w:val="22"/>
              </w:rPr>
              <w:tab/>
            </w:r>
            <w:r w:rsidRPr="00361FDA">
              <w:rPr>
                <w:rStyle w:val="Hyperlink"/>
                <w:noProof/>
              </w:rPr>
              <w:t>Relationship between Ex Post and Ex Ante Estimates</w:t>
            </w:r>
            <w:r>
              <w:rPr>
                <w:noProof/>
                <w:webHidden/>
              </w:rPr>
              <w:tab/>
            </w:r>
            <w:r>
              <w:rPr>
                <w:noProof/>
                <w:webHidden/>
              </w:rPr>
              <w:fldChar w:fldCharType="begin"/>
            </w:r>
            <w:r>
              <w:rPr>
                <w:noProof/>
                <w:webHidden/>
              </w:rPr>
              <w:instrText xml:space="preserve"> PAGEREF _Toc415748974 \h </w:instrText>
            </w:r>
            <w:r>
              <w:rPr>
                <w:noProof/>
                <w:webHidden/>
              </w:rPr>
            </w:r>
            <w:r>
              <w:rPr>
                <w:noProof/>
                <w:webHidden/>
              </w:rPr>
              <w:fldChar w:fldCharType="separate"/>
            </w:r>
            <w:r>
              <w:rPr>
                <w:noProof/>
                <w:webHidden/>
              </w:rPr>
              <w:t>24</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75" w:history="1">
            <w:r w:rsidRPr="00361FDA">
              <w:rPr>
                <w:rStyle w:val="Hyperlink"/>
                <w:noProof/>
                <w14:scene3d>
                  <w14:camera w14:prst="orthographicFront"/>
                  <w14:lightRig w14:rig="threePt" w14:dir="t">
                    <w14:rot w14:lat="0" w14:lon="0" w14:rev="0"/>
                  </w14:lightRig>
                </w14:scene3d>
              </w:rPr>
              <w:t>3.5.3</w:t>
            </w:r>
            <w:r>
              <w:rPr>
                <w:rFonts w:asciiTheme="minorHAnsi" w:eastAsiaTheme="minorEastAsia" w:hAnsiTheme="minorHAnsi" w:cstheme="minorBidi"/>
                <w:noProof/>
                <w:sz w:val="22"/>
                <w:szCs w:val="22"/>
              </w:rPr>
              <w:tab/>
            </w:r>
            <w:r w:rsidRPr="00361FDA">
              <w:rPr>
                <w:rStyle w:val="Hyperlink"/>
                <w:noProof/>
              </w:rPr>
              <w:t>Medium C&amp;I Ex-Ante Impacts</w:t>
            </w:r>
            <w:r>
              <w:rPr>
                <w:noProof/>
                <w:webHidden/>
              </w:rPr>
              <w:tab/>
            </w:r>
            <w:r>
              <w:rPr>
                <w:noProof/>
                <w:webHidden/>
              </w:rPr>
              <w:fldChar w:fldCharType="begin"/>
            </w:r>
            <w:r>
              <w:rPr>
                <w:noProof/>
                <w:webHidden/>
              </w:rPr>
              <w:instrText xml:space="preserve"> PAGEREF _Toc415748975 \h </w:instrText>
            </w:r>
            <w:r>
              <w:rPr>
                <w:noProof/>
                <w:webHidden/>
              </w:rPr>
            </w:r>
            <w:r>
              <w:rPr>
                <w:noProof/>
                <w:webHidden/>
              </w:rPr>
              <w:fldChar w:fldCharType="separate"/>
            </w:r>
            <w:r>
              <w:rPr>
                <w:noProof/>
                <w:webHidden/>
              </w:rPr>
              <w:t>26</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76" w:history="1">
            <w:r w:rsidRPr="00361FDA">
              <w:rPr>
                <w:rStyle w:val="Hyperlink"/>
                <w:noProof/>
                <w14:scene3d>
                  <w14:camera w14:prst="orthographicFront"/>
                  <w14:lightRig w14:rig="threePt" w14:dir="t">
                    <w14:rot w14:lat="0" w14:lon="0" w14:rev="0"/>
                  </w14:lightRig>
                </w14:scene3d>
              </w:rPr>
              <w:t>3.5.4</w:t>
            </w:r>
            <w:r>
              <w:rPr>
                <w:rFonts w:asciiTheme="minorHAnsi" w:eastAsiaTheme="minorEastAsia" w:hAnsiTheme="minorHAnsi" w:cstheme="minorBidi"/>
                <w:noProof/>
                <w:sz w:val="22"/>
                <w:szCs w:val="22"/>
              </w:rPr>
              <w:tab/>
            </w:r>
            <w:r w:rsidRPr="00361FDA">
              <w:rPr>
                <w:rStyle w:val="Hyperlink"/>
                <w:noProof/>
              </w:rPr>
              <w:t>Monthly System Peak Day Impacts</w:t>
            </w:r>
            <w:r>
              <w:rPr>
                <w:noProof/>
                <w:webHidden/>
              </w:rPr>
              <w:tab/>
            </w:r>
            <w:r>
              <w:rPr>
                <w:noProof/>
                <w:webHidden/>
              </w:rPr>
              <w:fldChar w:fldCharType="begin"/>
            </w:r>
            <w:r>
              <w:rPr>
                <w:noProof/>
                <w:webHidden/>
              </w:rPr>
              <w:instrText xml:space="preserve"> PAGEREF _Toc415748976 \h </w:instrText>
            </w:r>
            <w:r>
              <w:rPr>
                <w:noProof/>
                <w:webHidden/>
              </w:rPr>
            </w:r>
            <w:r>
              <w:rPr>
                <w:noProof/>
                <w:webHidden/>
              </w:rPr>
              <w:fldChar w:fldCharType="separate"/>
            </w:r>
            <w:r>
              <w:rPr>
                <w:noProof/>
                <w:webHidden/>
              </w:rPr>
              <w:t>27</w:t>
            </w:r>
            <w:r>
              <w:rPr>
                <w:noProof/>
                <w:webHidden/>
              </w:rPr>
              <w:fldChar w:fldCharType="end"/>
            </w:r>
          </w:hyperlink>
        </w:p>
        <w:p w:rsidR="008863A0" w:rsidRDefault="008863A0">
          <w:pPr>
            <w:pStyle w:val="TOC1"/>
            <w:tabs>
              <w:tab w:val="left" w:pos="480"/>
              <w:tab w:val="right" w:leader="dot" w:pos="9350"/>
            </w:tabs>
            <w:rPr>
              <w:rFonts w:asciiTheme="minorHAnsi" w:eastAsiaTheme="minorEastAsia" w:hAnsiTheme="minorHAnsi" w:cstheme="minorBidi"/>
              <w:noProof/>
              <w:sz w:val="22"/>
              <w:szCs w:val="22"/>
            </w:rPr>
          </w:pPr>
          <w:hyperlink w:anchor="_Toc415748977" w:history="1">
            <w:r w:rsidRPr="00361FDA">
              <w:rPr>
                <w:rStyle w:val="Hyperlink"/>
                <w:noProof/>
              </w:rPr>
              <w:t>4</w:t>
            </w:r>
            <w:r>
              <w:rPr>
                <w:rFonts w:asciiTheme="minorHAnsi" w:eastAsiaTheme="minorEastAsia" w:hAnsiTheme="minorHAnsi" w:cstheme="minorBidi"/>
                <w:noProof/>
                <w:sz w:val="22"/>
                <w:szCs w:val="22"/>
              </w:rPr>
              <w:tab/>
            </w:r>
            <w:r w:rsidRPr="00361FDA">
              <w:rPr>
                <w:rStyle w:val="Hyperlink"/>
                <w:noProof/>
              </w:rPr>
              <w:t>Summary of SDG&amp;E’s Base Interruptible Program Report</w:t>
            </w:r>
            <w:r>
              <w:rPr>
                <w:noProof/>
                <w:webHidden/>
              </w:rPr>
              <w:tab/>
            </w:r>
            <w:r>
              <w:rPr>
                <w:noProof/>
                <w:webHidden/>
              </w:rPr>
              <w:fldChar w:fldCharType="begin"/>
            </w:r>
            <w:r>
              <w:rPr>
                <w:noProof/>
                <w:webHidden/>
              </w:rPr>
              <w:instrText xml:space="preserve"> PAGEREF _Toc415748977 \h </w:instrText>
            </w:r>
            <w:r>
              <w:rPr>
                <w:noProof/>
                <w:webHidden/>
              </w:rPr>
            </w:r>
            <w:r>
              <w:rPr>
                <w:noProof/>
                <w:webHidden/>
              </w:rPr>
              <w:fldChar w:fldCharType="separate"/>
            </w:r>
            <w:r>
              <w:rPr>
                <w:noProof/>
                <w:webHidden/>
              </w:rPr>
              <w:t>27</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78" w:history="1">
            <w:r w:rsidRPr="00361FDA">
              <w:rPr>
                <w:rStyle w:val="Hyperlink"/>
                <w:noProof/>
              </w:rPr>
              <w:t>4.1</w:t>
            </w:r>
            <w:r>
              <w:rPr>
                <w:rFonts w:asciiTheme="minorHAnsi" w:eastAsiaTheme="minorEastAsia" w:hAnsiTheme="minorHAnsi" w:cstheme="minorBidi"/>
                <w:noProof/>
                <w:sz w:val="22"/>
                <w:szCs w:val="22"/>
              </w:rPr>
              <w:tab/>
            </w:r>
            <w:r w:rsidRPr="00361FDA">
              <w:rPr>
                <w:rStyle w:val="Hyperlink"/>
                <w:noProof/>
              </w:rPr>
              <w:t>BIP Program Description</w:t>
            </w:r>
            <w:r>
              <w:rPr>
                <w:noProof/>
                <w:webHidden/>
              </w:rPr>
              <w:tab/>
            </w:r>
            <w:r>
              <w:rPr>
                <w:noProof/>
                <w:webHidden/>
              </w:rPr>
              <w:fldChar w:fldCharType="begin"/>
            </w:r>
            <w:r>
              <w:rPr>
                <w:noProof/>
                <w:webHidden/>
              </w:rPr>
              <w:instrText xml:space="preserve"> PAGEREF _Toc415748978 \h </w:instrText>
            </w:r>
            <w:r>
              <w:rPr>
                <w:noProof/>
                <w:webHidden/>
              </w:rPr>
            </w:r>
            <w:r>
              <w:rPr>
                <w:noProof/>
                <w:webHidden/>
              </w:rPr>
              <w:fldChar w:fldCharType="separate"/>
            </w:r>
            <w:r>
              <w:rPr>
                <w:noProof/>
                <w:webHidden/>
              </w:rPr>
              <w:t>27</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79" w:history="1">
            <w:r w:rsidRPr="00361FDA">
              <w:rPr>
                <w:rStyle w:val="Hyperlink"/>
                <w:noProof/>
              </w:rPr>
              <w:t>4.2</w:t>
            </w:r>
            <w:r>
              <w:rPr>
                <w:rFonts w:asciiTheme="minorHAnsi" w:eastAsiaTheme="minorEastAsia" w:hAnsiTheme="minorHAnsi" w:cstheme="minorBidi"/>
                <w:noProof/>
                <w:sz w:val="22"/>
                <w:szCs w:val="22"/>
              </w:rPr>
              <w:tab/>
            </w:r>
            <w:r w:rsidRPr="00361FDA">
              <w:rPr>
                <w:rStyle w:val="Hyperlink"/>
                <w:noProof/>
              </w:rPr>
              <w:t>BIP Ex-Post Evaluation Methodology</w:t>
            </w:r>
            <w:r>
              <w:rPr>
                <w:noProof/>
                <w:webHidden/>
              </w:rPr>
              <w:tab/>
            </w:r>
            <w:r>
              <w:rPr>
                <w:noProof/>
                <w:webHidden/>
              </w:rPr>
              <w:fldChar w:fldCharType="begin"/>
            </w:r>
            <w:r>
              <w:rPr>
                <w:noProof/>
                <w:webHidden/>
              </w:rPr>
              <w:instrText xml:space="preserve"> PAGEREF _Toc415748979 \h </w:instrText>
            </w:r>
            <w:r>
              <w:rPr>
                <w:noProof/>
                <w:webHidden/>
              </w:rPr>
            </w:r>
            <w:r>
              <w:rPr>
                <w:noProof/>
                <w:webHidden/>
              </w:rPr>
              <w:fldChar w:fldCharType="separate"/>
            </w:r>
            <w:r>
              <w:rPr>
                <w:noProof/>
                <w:webHidden/>
              </w:rPr>
              <w:t>28</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80" w:history="1">
            <w:r w:rsidRPr="00361FDA">
              <w:rPr>
                <w:rStyle w:val="Hyperlink"/>
                <w:noProof/>
              </w:rPr>
              <w:t>4.3</w:t>
            </w:r>
            <w:r>
              <w:rPr>
                <w:rFonts w:asciiTheme="minorHAnsi" w:eastAsiaTheme="minorEastAsia" w:hAnsiTheme="minorHAnsi" w:cstheme="minorBidi"/>
                <w:noProof/>
                <w:sz w:val="22"/>
                <w:szCs w:val="22"/>
              </w:rPr>
              <w:tab/>
            </w:r>
            <w:r w:rsidRPr="00361FDA">
              <w:rPr>
                <w:rStyle w:val="Hyperlink"/>
                <w:noProof/>
              </w:rPr>
              <w:t>BIP Ex-Ante Evaluation Methodology</w:t>
            </w:r>
            <w:r>
              <w:rPr>
                <w:noProof/>
                <w:webHidden/>
              </w:rPr>
              <w:tab/>
            </w:r>
            <w:r>
              <w:rPr>
                <w:noProof/>
                <w:webHidden/>
              </w:rPr>
              <w:fldChar w:fldCharType="begin"/>
            </w:r>
            <w:r>
              <w:rPr>
                <w:noProof/>
                <w:webHidden/>
              </w:rPr>
              <w:instrText xml:space="preserve"> PAGEREF _Toc415748980 \h </w:instrText>
            </w:r>
            <w:r>
              <w:rPr>
                <w:noProof/>
                <w:webHidden/>
              </w:rPr>
            </w:r>
            <w:r>
              <w:rPr>
                <w:noProof/>
                <w:webHidden/>
              </w:rPr>
              <w:fldChar w:fldCharType="separate"/>
            </w:r>
            <w:r>
              <w:rPr>
                <w:noProof/>
                <w:webHidden/>
              </w:rPr>
              <w:t>30</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81" w:history="1">
            <w:r w:rsidRPr="00361FDA">
              <w:rPr>
                <w:rStyle w:val="Hyperlink"/>
                <w:noProof/>
              </w:rPr>
              <w:t>4.4</w:t>
            </w:r>
            <w:r>
              <w:rPr>
                <w:rFonts w:asciiTheme="minorHAnsi" w:eastAsiaTheme="minorEastAsia" w:hAnsiTheme="minorHAnsi" w:cstheme="minorBidi"/>
                <w:noProof/>
                <w:sz w:val="22"/>
                <w:szCs w:val="22"/>
              </w:rPr>
              <w:tab/>
            </w:r>
            <w:r w:rsidRPr="00361FDA">
              <w:rPr>
                <w:rStyle w:val="Hyperlink"/>
                <w:noProof/>
              </w:rPr>
              <w:t>BIP Comparison of Previous versus current ex post</w:t>
            </w:r>
            <w:r>
              <w:rPr>
                <w:noProof/>
                <w:webHidden/>
              </w:rPr>
              <w:tab/>
            </w:r>
            <w:r>
              <w:rPr>
                <w:noProof/>
                <w:webHidden/>
              </w:rPr>
              <w:fldChar w:fldCharType="begin"/>
            </w:r>
            <w:r>
              <w:rPr>
                <w:noProof/>
                <w:webHidden/>
              </w:rPr>
              <w:instrText xml:space="preserve"> PAGEREF _Toc415748981 \h </w:instrText>
            </w:r>
            <w:r>
              <w:rPr>
                <w:noProof/>
                <w:webHidden/>
              </w:rPr>
            </w:r>
            <w:r>
              <w:rPr>
                <w:noProof/>
                <w:webHidden/>
              </w:rPr>
              <w:fldChar w:fldCharType="separate"/>
            </w:r>
            <w:r>
              <w:rPr>
                <w:noProof/>
                <w:webHidden/>
              </w:rPr>
              <w:t>33</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82" w:history="1">
            <w:r w:rsidRPr="00361FDA">
              <w:rPr>
                <w:rStyle w:val="Hyperlink"/>
                <w:noProof/>
              </w:rPr>
              <w:t>4.5</w:t>
            </w:r>
            <w:r>
              <w:rPr>
                <w:rFonts w:asciiTheme="minorHAnsi" w:eastAsiaTheme="minorEastAsia" w:hAnsiTheme="minorHAnsi" w:cstheme="minorBidi"/>
                <w:noProof/>
                <w:sz w:val="22"/>
                <w:szCs w:val="22"/>
              </w:rPr>
              <w:tab/>
            </w:r>
            <w:r w:rsidRPr="00361FDA">
              <w:rPr>
                <w:rStyle w:val="Hyperlink"/>
                <w:noProof/>
              </w:rPr>
              <w:t>BIP Comparison of previous versus current ex ante</w:t>
            </w:r>
            <w:r>
              <w:rPr>
                <w:noProof/>
                <w:webHidden/>
              </w:rPr>
              <w:tab/>
            </w:r>
            <w:r>
              <w:rPr>
                <w:noProof/>
                <w:webHidden/>
              </w:rPr>
              <w:fldChar w:fldCharType="begin"/>
            </w:r>
            <w:r>
              <w:rPr>
                <w:noProof/>
                <w:webHidden/>
              </w:rPr>
              <w:instrText xml:space="preserve"> PAGEREF _Toc415748982 \h </w:instrText>
            </w:r>
            <w:r>
              <w:rPr>
                <w:noProof/>
                <w:webHidden/>
              </w:rPr>
            </w:r>
            <w:r>
              <w:rPr>
                <w:noProof/>
                <w:webHidden/>
              </w:rPr>
              <w:fldChar w:fldCharType="separate"/>
            </w:r>
            <w:r>
              <w:rPr>
                <w:noProof/>
                <w:webHidden/>
              </w:rPr>
              <w:t>33</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83" w:history="1">
            <w:r w:rsidRPr="00361FDA">
              <w:rPr>
                <w:rStyle w:val="Hyperlink"/>
                <w:noProof/>
              </w:rPr>
              <w:t>4.6</w:t>
            </w:r>
            <w:r>
              <w:rPr>
                <w:rFonts w:asciiTheme="minorHAnsi" w:eastAsiaTheme="minorEastAsia" w:hAnsiTheme="minorHAnsi" w:cstheme="minorBidi"/>
                <w:noProof/>
                <w:sz w:val="22"/>
                <w:szCs w:val="22"/>
              </w:rPr>
              <w:tab/>
            </w:r>
            <w:r w:rsidRPr="00361FDA">
              <w:rPr>
                <w:rStyle w:val="Hyperlink"/>
                <w:noProof/>
              </w:rPr>
              <w:t>BIP Comparison of previous ex ante versus current ex post</w:t>
            </w:r>
            <w:r>
              <w:rPr>
                <w:noProof/>
                <w:webHidden/>
              </w:rPr>
              <w:tab/>
            </w:r>
            <w:r>
              <w:rPr>
                <w:noProof/>
                <w:webHidden/>
              </w:rPr>
              <w:fldChar w:fldCharType="begin"/>
            </w:r>
            <w:r>
              <w:rPr>
                <w:noProof/>
                <w:webHidden/>
              </w:rPr>
              <w:instrText xml:space="preserve"> PAGEREF _Toc415748983 \h </w:instrText>
            </w:r>
            <w:r>
              <w:rPr>
                <w:noProof/>
                <w:webHidden/>
              </w:rPr>
            </w:r>
            <w:r>
              <w:rPr>
                <w:noProof/>
                <w:webHidden/>
              </w:rPr>
              <w:fldChar w:fldCharType="separate"/>
            </w:r>
            <w:r>
              <w:rPr>
                <w:noProof/>
                <w:webHidden/>
              </w:rPr>
              <w:t>34</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84" w:history="1">
            <w:r w:rsidRPr="00361FDA">
              <w:rPr>
                <w:rStyle w:val="Hyperlink"/>
                <w:noProof/>
              </w:rPr>
              <w:t>4.7</w:t>
            </w:r>
            <w:r>
              <w:rPr>
                <w:rFonts w:asciiTheme="minorHAnsi" w:eastAsiaTheme="minorEastAsia" w:hAnsiTheme="minorHAnsi" w:cstheme="minorBidi"/>
                <w:noProof/>
                <w:sz w:val="22"/>
                <w:szCs w:val="22"/>
              </w:rPr>
              <w:tab/>
            </w:r>
            <w:r w:rsidRPr="00361FDA">
              <w:rPr>
                <w:rStyle w:val="Hyperlink"/>
                <w:noProof/>
              </w:rPr>
              <w:t>BIP Comparison of current ex post versus current ex ante</w:t>
            </w:r>
            <w:r>
              <w:rPr>
                <w:noProof/>
                <w:webHidden/>
              </w:rPr>
              <w:tab/>
            </w:r>
            <w:r>
              <w:rPr>
                <w:noProof/>
                <w:webHidden/>
              </w:rPr>
              <w:fldChar w:fldCharType="begin"/>
            </w:r>
            <w:r>
              <w:rPr>
                <w:noProof/>
                <w:webHidden/>
              </w:rPr>
              <w:instrText xml:space="preserve"> PAGEREF _Toc415748984 \h </w:instrText>
            </w:r>
            <w:r>
              <w:rPr>
                <w:noProof/>
                <w:webHidden/>
              </w:rPr>
            </w:r>
            <w:r>
              <w:rPr>
                <w:noProof/>
                <w:webHidden/>
              </w:rPr>
              <w:fldChar w:fldCharType="separate"/>
            </w:r>
            <w:r>
              <w:rPr>
                <w:noProof/>
                <w:webHidden/>
              </w:rPr>
              <w:t>34</w:t>
            </w:r>
            <w:r>
              <w:rPr>
                <w:noProof/>
                <w:webHidden/>
              </w:rPr>
              <w:fldChar w:fldCharType="end"/>
            </w:r>
          </w:hyperlink>
        </w:p>
        <w:p w:rsidR="008863A0" w:rsidRDefault="008863A0">
          <w:pPr>
            <w:pStyle w:val="TOC1"/>
            <w:tabs>
              <w:tab w:val="left" w:pos="480"/>
              <w:tab w:val="right" w:leader="dot" w:pos="9350"/>
            </w:tabs>
            <w:rPr>
              <w:rFonts w:asciiTheme="minorHAnsi" w:eastAsiaTheme="minorEastAsia" w:hAnsiTheme="minorHAnsi" w:cstheme="minorBidi"/>
              <w:noProof/>
              <w:sz w:val="22"/>
              <w:szCs w:val="22"/>
            </w:rPr>
          </w:pPr>
          <w:hyperlink w:anchor="_Toc415748985" w:history="1">
            <w:r w:rsidRPr="00361FDA">
              <w:rPr>
                <w:rStyle w:val="Hyperlink"/>
                <w:noProof/>
              </w:rPr>
              <w:t>5</w:t>
            </w:r>
            <w:r>
              <w:rPr>
                <w:rFonts w:asciiTheme="minorHAnsi" w:eastAsiaTheme="minorEastAsia" w:hAnsiTheme="minorHAnsi" w:cstheme="minorBidi"/>
                <w:noProof/>
                <w:sz w:val="22"/>
                <w:szCs w:val="22"/>
              </w:rPr>
              <w:tab/>
            </w:r>
            <w:r w:rsidRPr="00361FDA">
              <w:rPr>
                <w:rStyle w:val="Hyperlink"/>
                <w:noProof/>
              </w:rPr>
              <w:t>Summary of SDG&amp;E’s Demand Bidding Program Report</w:t>
            </w:r>
            <w:r>
              <w:rPr>
                <w:noProof/>
                <w:webHidden/>
              </w:rPr>
              <w:tab/>
            </w:r>
            <w:r>
              <w:rPr>
                <w:noProof/>
                <w:webHidden/>
              </w:rPr>
              <w:fldChar w:fldCharType="begin"/>
            </w:r>
            <w:r>
              <w:rPr>
                <w:noProof/>
                <w:webHidden/>
              </w:rPr>
              <w:instrText xml:space="preserve"> PAGEREF _Toc415748985 \h </w:instrText>
            </w:r>
            <w:r>
              <w:rPr>
                <w:noProof/>
                <w:webHidden/>
              </w:rPr>
            </w:r>
            <w:r>
              <w:rPr>
                <w:noProof/>
                <w:webHidden/>
              </w:rPr>
              <w:fldChar w:fldCharType="separate"/>
            </w:r>
            <w:r>
              <w:rPr>
                <w:noProof/>
                <w:webHidden/>
              </w:rPr>
              <w:t>36</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86" w:history="1">
            <w:r w:rsidRPr="00361FDA">
              <w:rPr>
                <w:rStyle w:val="Hyperlink"/>
                <w:noProof/>
              </w:rPr>
              <w:t>5.1</w:t>
            </w:r>
            <w:r>
              <w:rPr>
                <w:rFonts w:asciiTheme="minorHAnsi" w:eastAsiaTheme="minorEastAsia" w:hAnsiTheme="minorHAnsi" w:cstheme="minorBidi"/>
                <w:noProof/>
                <w:sz w:val="22"/>
                <w:szCs w:val="22"/>
              </w:rPr>
              <w:tab/>
            </w:r>
            <w:r w:rsidRPr="00361FDA">
              <w:rPr>
                <w:rStyle w:val="Hyperlink"/>
                <w:noProof/>
              </w:rPr>
              <w:t>DBP Program Description</w:t>
            </w:r>
            <w:r>
              <w:rPr>
                <w:noProof/>
                <w:webHidden/>
              </w:rPr>
              <w:tab/>
            </w:r>
            <w:r>
              <w:rPr>
                <w:noProof/>
                <w:webHidden/>
              </w:rPr>
              <w:fldChar w:fldCharType="begin"/>
            </w:r>
            <w:r>
              <w:rPr>
                <w:noProof/>
                <w:webHidden/>
              </w:rPr>
              <w:instrText xml:space="preserve"> PAGEREF _Toc415748986 \h </w:instrText>
            </w:r>
            <w:r>
              <w:rPr>
                <w:noProof/>
                <w:webHidden/>
              </w:rPr>
            </w:r>
            <w:r>
              <w:rPr>
                <w:noProof/>
                <w:webHidden/>
              </w:rPr>
              <w:fldChar w:fldCharType="separate"/>
            </w:r>
            <w:r>
              <w:rPr>
                <w:noProof/>
                <w:webHidden/>
              </w:rPr>
              <w:t>36</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87" w:history="1">
            <w:r w:rsidRPr="00361FDA">
              <w:rPr>
                <w:rStyle w:val="Hyperlink"/>
                <w:noProof/>
              </w:rPr>
              <w:t>5.2</w:t>
            </w:r>
            <w:r>
              <w:rPr>
                <w:rFonts w:asciiTheme="minorHAnsi" w:eastAsiaTheme="minorEastAsia" w:hAnsiTheme="minorHAnsi" w:cstheme="minorBidi"/>
                <w:noProof/>
                <w:sz w:val="22"/>
                <w:szCs w:val="22"/>
              </w:rPr>
              <w:tab/>
            </w:r>
            <w:r w:rsidRPr="00361FDA">
              <w:rPr>
                <w:rStyle w:val="Hyperlink"/>
                <w:noProof/>
              </w:rPr>
              <w:t>DBP Ex-Post Evaluation Methodology</w:t>
            </w:r>
            <w:r>
              <w:rPr>
                <w:noProof/>
                <w:webHidden/>
              </w:rPr>
              <w:tab/>
            </w:r>
            <w:r>
              <w:rPr>
                <w:noProof/>
                <w:webHidden/>
              </w:rPr>
              <w:fldChar w:fldCharType="begin"/>
            </w:r>
            <w:r>
              <w:rPr>
                <w:noProof/>
                <w:webHidden/>
              </w:rPr>
              <w:instrText xml:space="preserve"> PAGEREF _Toc415748987 \h </w:instrText>
            </w:r>
            <w:r>
              <w:rPr>
                <w:noProof/>
                <w:webHidden/>
              </w:rPr>
            </w:r>
            <w:r>
              <w:rPr>
                <w:noProof/>
                <w:webHidden/>
              </w:rPr>
              <w:fldChar w:fldCharType="separate"/>
            </w:r>
            <w:r>
              <w:rPr>
                <w:noProof/>
                <w:webHidden/>
              </w:rPr>
              <w:t>36</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88" w:history="1">
            <w:r w:rsidRPr="00361FDA">
              <w:rPr>
                <w:rStyle w:val="Hyperlink"/>
                <w:noProof/>
                <w14:scene3d>
                  <w14:camera w14:prst="orthographicFront"/>
                  <w14:lightRig w14:rig="threePt" w14:dir="t">
                    <w14:rot w14:lat="0" w14:lon="0" w14:rev="0"/>
                  </w14:lightRig>
                </w14:scene3d>
              </w:rPr>
              <w:t>5.2.1</w:t>
            </w:r>
            <w:r>
              <w:rPr>
                <w:rFonts w:asciiTheme="minorHAnsi" w:eastAsiaTheme="minorEastAsia" w:hAnsiTheme="minorHAnsi" w:cstheme="minorBidi"/>
                <w:noProof/>
                <w:sz w:val="22"/>
                <w:szCs w:val="22"/>
              </w:rPr>
              <w:tab/>
            </w:r>
            <w:r w:rsidRPr="00361FDA">
              <w:rPr>
                <w:rStyle w:val="Hyperlink"/>
                <w:noProof/>
              </w:rPr>
              <w:t>Regression Model</w:t>
            </w:r>
            <w:r>
              <w:rPr>
                <w:noProof/>
                <w:webHidden/>
              </w:rPr>
              <w:tab/>
            </w:r>
            <w:r>
              <w:rPr>
                <w:noProof/>
                <w:webHidden/>
              </w:rPr>
              <w:fldChar w:fldCharType="begin"/>
            </w:r>
            <w:r>
              <w:rPr>
                <w:noProof/>
                <w:webHidden/>
              </w:rPr>
              <w:instrText xml:space="preserve"> PAGEREF _Toc415748988 \h </w:instrText>
            </w:r>
            <w:r>
              <w:rPr>
                <w:noProof/>
                <w:webHidden/>
              </w:rPr>
            </w:r>
            <w:r>
              <w:rPr>
                <w:noProof/>
                <w:webHidden/>
              </w:rPr>
              <w:fldChar w:fldCharType="separate"/>
            </w:r>
            <w:r>
              <w:rPr>
                <w:noProof/>
                <w:webHidden/>
              </w:rPr>
              <w:t>37</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89" w:history="1">
            <w:r w:rsidRPr="00361FDA">
              <w:rPr>
                <w:rStyle w:val="Hyperlink"/>
                <w:noProof/>
                <w14:scene3d>
                  <w14:camera w14:prst="orthographicFront"/>
                  <w14:lightRig w14:rig="threePt" w14:dir="t">
                    <w14:rot w14:lat="0" w14:lon="0" w14:rev="0"/>
                  </w14:lightRig>
                </w14:scene3d>
              </w:rPr>
              <w:t>5.2.2</w:t>
            </w:r>
            <w:r>
              <w:rPr>
                <w:rFonts w:asciiTheme="minorHAnsi" w:eastAsiaTheme="minorEastAsia" w:hAnsiTheme="minorHAnsi" w:cstheme="minorBidi"/>
                <w:noProof/>
                <w:sz w:val="22"/>
                <w:szCs w:val="22"/>
              </w:rPr>
              <w:tab/>
            </w:r>
            <w:r w:rsidRPr="00361FDA">
              <w:rPr>
                <w:rStyle w:val="Hyperlink"/>
                <w:noProof/>
              </w:rPr>
              <w:t>Development of Uncertainty-Adjusted Load Impacts</w:t>
            </w:r>
            <w:r>
              <w:rPr>
                <w:noProof/>
                <w:webHidden/>
              </w:rPr>
              <w:tab/>
            </w:r>
            <w:r>
              <w:rPr>
                <w:noProof/>
                <w:webHidden/>
              </w:rPr>
              <w:fldChar w:fldCharType="begin"/>
            </w:r>
            <w:r>
              <w:rPr>
                <w:noProof/>
                <w:webHidden/>
              </w:rPr>
              <w:instrText xml:space="preserve"> PAGEREF _Toc415748989 \h </w:instrText>
            </w:r>
            <w:r>
              <w:rPr>
                <w:noProof/>
                <w:webHidden/>
              </w:rPr>
            </w:r>
            <w:r>
              <w:rPr>
                <w:noProof/>
                <w:webHidden/>
              </w:rPr>
              <w:fldChar w:fldCharType="separate"/>
            </w:r>
            <w:r>
              <w:rPr>
                <w:noProof/>
                <w:webHidden/>
              </w:rPr>
              <w:t>38</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90" w:history="1">
            <w:r w:rsidRPr="00361FDA">
              <w:rPr>
                <w:rStyle w:val="Hyperlink"/>
                <w:noProof/>
              </w:rPr>
              <w:t>5.3</w:t>
            </w:r>
            <w:r>
              <w:rPr>
                <w:rFonts w:asciiTheme="minorHAnsi" w:eastAsiaTheme="minorEastAsia" w:hAnsiTheme="minorHAnsi" w:cstheme="minorBidi"/>
                <w:noProof/>
                <w:sz w:val="22"/>
                <w:szCs w:val="22"/>
              </w:rPr>
              <w:tab/>
            </w:r>
            <w:r w:rsidRPr="00361FDA">
              <w:rPr>
                <w:rStyle w:val="Hyperlink"/>
                <w:noProof/>
              </w:rPr>
              <w:t>DBP Ex-Ante Evaluation Methodology</w:t>
            </w:r>
            <w:r>
              <w:rPr>
                <w:noProof/>
                <w:webHidden/>
              </w:rPr>
              <w:tab/>
            </w:r>
            <w:r>
              <w:rPr>
                <w:noProof/>
                <w:webHidden/>
              </w:rPr>
              <w:fldChar w:fldCharType="begin"/>
            </w:r>
            <w:r>
              <w:rPr>
                <w:noProof/>
                <w:webHidden/>
              </w:rPr>
              <w:instrText xml:space="preserve"> PAGEREF _Toc415748990 \h </w:instrText>
            </w:r>
            <w:r>
              <w:rPr>
                <w:noProof/>
                <w:webHidden/>
              </w:rPr>
            </w:r>
            <w:r>
              <w:rPr>
                <w:noProof/>
                <w:webHidden/>
              </w:rPr>
              <w:fldChar w:fldCharType="separate"/>
            </w:r>
            <w:r>
              <w:rPr>
                <w:noProof/>
                <w:webHidden/>
              </w:rPr>
              <w:t>38</w:t>
            </w:r>
            <w:r>
              <w:rPr>
                <w:noProof/>
                <w:webHidden/>
              </w:rPr>
              <w:fldChar w:fldCharType="end"/>
            </w:r>
          </w:hyperlink>
        </w:p>
        <w:p w:rsidR="008863A0" w:rsidRDefault="008863A0">
          <w:pPr>
            <w:pStyle w:val="TOC1"/>
            <w:tabs>
              <w:tab w:val="left" w:pos="480"/>
              <w:tab w:val="right" w:leader="dot" w:pos="9350"/>
            </w:tabs>
            <w:rPr>
              <w:rFonts w:asciiTheme="minorHAnsi" w:eastAsiaTheme="minorEastAsia" w:hAnsiTheme="minorHAnsi" w:cstheme="minorBidi"/>
              <w:noProof/>
              <w:sz w:val="22"/>
              <w:szCs w:val="22"/>
            </w:rPr>
          </w:pPr>
          <w:hyperlink w:anchor="_Toc415748991" w:history="1">
            <w:r w:rsidRPr="00361FDA">
              <w:rPr>
                <w:rStyle w:val="Hyperlink"/>
                <w:noProof/>
              </w:rPr>
              <w:t>6</w:t>
            </w:r>
            <w:r>
              <w:rPr>
                <w:rFonts w:asciiTheme="minorHAnsi" w:eastAsiaTheme="minorEastAsia" w:hAnsiTheme="minorHAnsi" w:cstheme="minorBidi"/>
                <w:noProof/>
                <w:sz w:val="22"/>
                <w:szCs w:val="22"/>
              </w:rPr>
              <w:tab/>
            </w:r>
            <w:r w:rsidRPr="00361FDA">
              <w:rPr>
                <w:rStyle w:val="Hyperlink"/>
                <w:noProof/>
              </w:rPr>
              <w:t>Summary of SDG&amp;E’s Summer Saver Report</w:t>
            </w:r>
            <w:r>
              <w:rPr>
                <w:noProof/>
                <w:webHidden/>
              </w:rPr>
              <w:tab/>
            </w:r>
            <w:r>
              <w:rPr>
                <w:noProof/>
                <w:webHidden/>
              </w:rPr>
              <w:fldChar w:fldCharType="begin"/>
            </w:r>
            <w:r>
              <w:rPr>
                <w:noProof/>
                <w:webHidden/>
              </w:rPr>
              <w:instrText xml:space="preserve"> PAGEREF _Toc415748991 \h </w:instrText>
            </w:r>
            <w:r>
              <w:rPr>
                <w:noProof/>
                <w:webHidden/>
              </w:rPr>
            </w:r>
            <w:r>
              <w:rPr>
                <w:noProof/>
                <w:webHidden/>
              </w:rPr>
              <w:fldChar w:fldCharType="separate"/>
            </w:r>
            <w:r>
              <w:rPr>
                <w:noProof/>
                <w:webHidden/>
              </w:rPr>
              <w:t>41</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92" w:history="1">
            <w:r w:rsidRPr="00361FDA">
              <w:rPr>
                <w:rStyle w:val="Hyperlink"/>
                <w:noProof/>
              </w:rPr>
              <w:t>6.1</w:t>
            </w:r>
            <w:r>
              <w:rPr>
                <w:rFonts w:asciiTheme="minorHAnsi" w:eastAsiaTheme="minorEastAsia" w:hAnsiTheme="minorHAnsi" w:cstheme="minorBidi"/>
                <w:noProof/>
                <w:sz w:val="22"/>
                <w:szCs w:val="22"/>
              </w:rPr>
              <w:tab/>
            </w:r>
            <w:r w:rsidRPr="00361FDA">
              <w:rPr>
                <w:rStyle w:val="Hyperlink"/>
                <w:noProof/>
              </w:rPr>
              <w:t>Summer Saver Program Description</w:t>
            </w:r>
            <w:r>
              <w:rPr>
                <w:noProof/>
                <w:webHidden/>
              </w:rPr>
              <w:tab/>
            </w:r>
            <w:r>
              <w:rPr>
                <w:noProof/>
                <w:webHidden/>
              </w:rPr>
              <w:fldChar w:fldCharType="begin"/>
            </w:r>
            <w:r>
              <w:rPr>
                <w:noProof/>
                <w:webHidden/>
              </w:rPr>
              <w:instrText xml:space="preserve"> PAGEREF _Toc415748992 \h </w:instrText>
            </w:r>
            <w:r>
              <w:rPr>
                <w:noProof/>
                <w:webHidden/>
              </w:rPr>
            </w:r>
            <w:r>
              <w:rPr>
                <w:noProof/>
                <w:webHidden/>
              </w:rPr>
              <w:fldChar w:fldCharType="separate"/>
            </w:r>
            <w:r>
              <w:rPr>
                <w:noProof/>
                <w:webHidden/>
              </w:rPr>
              <w:t>41</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93" w:history="1">
            <w:r w:rsidRPr="00361FDA">
              <w:rPr>
                <w:rStyle w:val="Hyperlink"/>
                <w:noProof/>
              </w:rPr>
              <w:t>6.2</w:t>
            </w:r>
            <w:r>
              <w:rPr>
                <w:rFonts w:asciiTheme="minorHAnsi" w:eastAsiaTheme="minorEastAsia" w:hAnsiTheme="minorHAnsi" w:cstheme="minorBidi"/>
                <w:noProof/>
                <w:sz w:val="22"/>
                <w:szCs w:val="22"/>
              </w:rPr>
              <w:tab/>
            </w:r>
            <w:r w:rsidRPr="00361FDA">
              <w:rPr>
                <w:rStyle w:val="Hyperlink"/>
                <w:noProof/>
              </w:rPr>
              <w:t>Summer Saver Ex-post Methodology</w:t>
            </w:r>
            <w:r>
              <w:rPr>
                <w:noProof/>
                <w:webHidden/>
              </w:rPr>
              <w:tab/>
            </w:r>
            <w:r>
              <w:rPr>
                <w:noProof/>
                <w:webHidden/>
              </w:rPr>
              <w:fldChar w:fldCharType="begin"/>
            </w:r>
            <w:r>
              <w:rPr>
                <w:noProof/>
                <w:webHidden/>
              </w:rPr>
              <w:instrText xml:space="preserve"> PAGEREF _Toc415748993 \h </w:instrText>
            </w:r>
            <w:r>
              <w:rPr>
                <w:noProof/>
                <w:webHidden/>
              </w:rPr>
            </w:r>
            <w:r>
              <w:rPr>
                <w:noProof/>
                <w:webHidden/>
              </w:rPr>
              <w:fldChar w:fldCharType="separate"/>
            </w:r>
            <w:r>
              <w:rPr>
                <w:noProof/>
                <w:webHidden/>
              </w:rPr>
              <w:t>42</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94" w:history="1">
            <w:r w:rsidRPr="00361FDA">
              <w:rPr>
                <w:rStyle w:val="Hyperlink"/>
                <w:noProof/>
              </w:rPr>
              <w:t>6.3</w:t>
            </w:r>
            <w:r>
              <w:rPr>
                <w:rFonts w:asciiTheme="minorHAnsi" w:eastAsiaTheme="minorEastAsia" w:hAnsiTheme="minorHAnsi" w:cstheme="minorBidi"/>
                <w:noProof/>
                <w:sz w:val="22"/>
                <w:szCs w:val="22"/>
              </w:rPr>
              <w:tab/>
            </w:r>
            <w:r w:rsidRPr="00361FDA">
              <w:rPr>
                <w:rStyle w:val="Hyperlink"/>
                <w:noProof/>
              </w:rPr>
              <w:t>Summer Saver Ex-Post Load Impact Estimates</w:t>
            </w:r>
            <w:r>
              <w:rPr>
                <w:noProof/>
                <w:webHidden/>
              </w:rPr>
              <w:tab/>
            </w:r>
            <w:r>
              <w:rPr>
                <w:noProof/>
                <w:webHidden/>
              </w:rPr>
              <w:fldChar w:fldCharType="begin"/>
            </w:r>
            <w:r>
              <w:rPr>
                <w:noProof/>
                <w:webHidden/>
              </w:rPr>
              <w:instrText xml:space="preserve"> PAGEREF _Toc415748994 \h </w:instrText>
            </w:r>
            <w:r>
              <w:rPr>
                <w:noProof/>
                <w:webHidden/>
              </w:rPr>
            </w:r>
            <w:r>
              <w:rPr>
                <w:noProof/>
                <w:webHidden/>
              </w:rPr>
              <w:fldChar w:fldCharType="separate"/>
            </w:r>
            <w:r>
              <w:rPr>
                <w:noProof/>
                <w:webHidden/>
              </w:rPr>
              <w:t>43</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95" w:history="1">
            <w:r w:rsidRPr="00361FDA">
              <w:rPr>
                <w:rStyle w:val="Hyperlink"/>
                <w:noProof/>
                <w14:scene3d>
                  <w14:camera w14:prst="orthographicFront"/>
                  <w14:lightRig w14:rig="threePt" w14:dir="t">
                    <w14:rot w14:lat="0" w14:lon="0" w14:rev="0"/>
                  </w14:lightRig>
                </w14:scene3d>
              </w:rPr>
              <w:t>6.3.1</w:t>
            </w:r>
            <w:r>
              <w:rPr>
                <w:rFonts w:asciiTheme="minorHAnsi" w:eastAsiaTheme="minorEastAsia" w:hAnsiTheme="minorHAnsi" w:cstheme="minorBidi"/>
                <w:noProof/>
                <w:sz w:val="22"/>
                <w:szCs w:val="22"/>
              </w:rPr>
              <w:tab/>
            </w:r>
            <w:r w:rsidRPr="00361FDA">
              <w:rPr>
                <w:rStyle w:val="Hyperlink"/>
                <w:noProof/>
              </w:rPr>
              <w:t>Summer Saver Residential Ex-Post Load Impact Estimates</w:t>
            </w:r>
            <w:r>
              <w:rPr>
                <w:noProof/>
                <w:webHidden/>
              </w:rPr>
              <w:tab/>
            </w:r>
            <w:r>
              <w:rPr>
                <w:noProof/>
                <w:webHidden/>
              </w:rPr>
              <w:fldChar w:fldCharType="begin"/>
            </w:r>
            <w:r>
              <w:rPr>
                <w:noProof/>
                <w:webHidden/>
              </w:rPr>
              <w:instrText xml:space="preserve"> PAGEREF _Toc415748995 \h </w:instrText>
            </w:r>
            <w:r>
              <w:rPr>
                <w:noProof/>
                <w:webHidden/>
              </w:rPr>
            </w:r>
            <w:r>
              <w:rPr>
                <w:noProof/>
                <w:webHidden/>
              </w:rPr>
              <w:fldChar w:fldCharType="separate"/>
            </w:r>
            <w:r>
              <w:rPr>
                <w:noProof/>
                <w:webHidden/>
              </w:rPr>
              <w:t>43</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96" w:history="1">
            <w:r w:rsidRPr="00361FDA">
              <w:rPr>
                <w:rStyle w:val="Hyperlink"/>
                <w:noProof/>
                <w14:scene3d>
                  <w14:camera w14:prst="orthographicFront"/>
                  <w14:lightRig w14:rig="threePt" w14:dir="t">
                    <w14:rot w14:lat="0" w14:lon="0" w14:rev="0"/>
                  </w14:lightRig>
                </w14:scene3d>
              </w:rPr>
              <w:t>6.3.2</w:t>
            </w:r>
            <w:r>
              <w:rPr>
                <w:rFonts w:asciiTheme="minorHAnsi" w:eastAsiaTheme="minorEastAsia" w:hAnsiTheme="minorHAnsi" w:cstheme="minorBidi"/>
                <w:noProof/>
                <w:sz w:val="22"/>
                <w:szCs w:val="22"/>
              </w:rPr>
              <w:tab/>
            </w:r>
            <w:r w:rsidRPr="00361FDA">
              <w:rPr>
                <w:rStyle w:val="Hyperlink"/>
                <w:noProof/>
              </w:rPr>
              <w:t>Summer Saver Nonresidential Ex-Post Load Impact Estimates</w:t>
            </w:r>
            <w:r>
              <w:rPr>
                <w:noProof/>
                <w:webHidden/>
              </w:rPr>
              <w:tab/>
            </w:r>
            <w:r>
              <w:rPr>
                <w:noProof/>
                <w:webHidden/>
              </w:rPr>
              <w:fldChar w:fldCharType="begin"/>
            </w:r>
            <w:r>
              <w:rPr>
                <w:noProof/>
                <w:webHidden/>
              </w:rPr>
              <w:instrText xml:space="preserve"> PAGEREF _Toc415748996 \h </w:instrText>
            </w:r>
            <w:r>
              <w:rPr>
                <w:noProof/>
                <w:webHidden/>
              </w:rPr>
            </w:r>
            <w:r>
              <w:rPr>
                <w:noProof/>
                <w:webHidden/>
              </w:rPr>
              <w:fldChar w:fldCharType="separate"/>
            </w:r>
            <w:r>
              <w:rPr>
                <w:noProof/>
                <w:webHidden/>
              </w:rPr>
              <w:t>45</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97" w:history="1">
            <w:r w:rsidRPr="00361FDA">
              <w:rPr>
                <w:rStyle w:val="Hyperlink"/>
                <w:noProof/>
              </w:rPr>
              <w:t>6.4</w:t>
            </w:r>
            <w:r>
              <w:rPr>
                <w:rFonts w:asciiTheme="minorHAnsi" w:eastAsiaTheme="minorEastAsia" w:hAnsiTheme="minorHAnsi" w:cstheme="minorBidi"/>
                <w:noProof/>
                <w:sz w:val="22"/>
                <w:szCs w:val="22"/>
              </w:rPr>
              <w:tab/>
            </w:r>
            <w:r w:rsidRPr="00361FDA">
              <w:rPr>
                <w:rStyle w:val="Hyperlink"/>
                <w:noProof/>
              </w:rPr>
              <w:t>Summer Saver Ex-Ante Impact Estimation Methodology</w:t>
            </w:r>
            <w:r>
              <w:rPr>
                <w:noProof/>
                <w:webHidden/>
              </w:rPr>
              <w:tab/>
            </w:r>
            <w:r>
              <w:rPr>
                <w:noProof/>
                <w:webHidden/>
              </w:rPr>
              <w:fldChar w:fldCharType="begin"/>
            </w:r>
            <w:r>
              <w:rPr>
                <w:noProof/>
                <w:webHidden/>
              </w:rPr>
              <w:instrText xml:space="preserve"> PAGEREF _Toc415748997 \h </w:instrText>
            </w:r>
            <w:r>
              <w:rPr>
                <w:noProof/>
                <w:webHidden/>
              </w:rPr>
            </w:r>
            <w:r>
              <w:rPr>
                <w:noProof/>
                <w:webHidden/>
              </w:rPr>
              <w:fldChar w:fldCharType="separate"/>
            </w:r>
            <w:r>
              <w:rPr>
                <w:noProof/>
                <w:webHidden/>
              </w:rPr>
              <w:t>46</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8998" w:history="1">
            <w:r w:rsidRPr="00361FDA">
              <w:rPr>
                <w:rStyle w:val="Hyperlink"/>
                <w:noProof/>
              </w:rPr>
              <w:t>6.5</w:t>
            </w:r>
            <w:r>
              <w:rPr>
                <w:rFonts w:asciiTheme="minorHAnsi" w:eastAsiaTheme="minorEastAsia" w:hAnsiTheme="minorHAnsi" w:cstheme="minorBidi"/>
                <w:noProof/>
                <w:sz w:val="22"/>
                <w:szCs w:val="22"/>
              </w:rPr>
              <w:tab/>
            </w:r>
            <w:r w:rsidRPr="00361FDA">
              <w:rPr>
                <w:rStyle w:val="Hyperlink"/>
                <w:noProof/>
              </w:rPr>
              <w:t>Summer Saver Ex-Ante Load Impact Estimates</w:t>
            </w:r>
            <w:r>
              <w:rPr>
                <w:noProof/>
                <w:webHidden/>
              </w:rPr>
              <w:tab/>
            </w:r>
            <w:r>
              <w:rPr>
                <w:noProof/>
                <w:webHidden/>
              </w:rPr>
              <w:fldChar w:fldCharType="begin"/>
            </w:r>
            <w:r>
              <w:rPr>
                <w:noProof/>
                <w:webHidden/>
              </w:rPr>
              <w:instrText xml:space="preserve"> PAGEREF _Toc415748998 \h </w:instrText>
            </w:r>
            <w:r>
              <w:rPr>
                <w:noProof/>
                <w:webHidden/>
              </w:rPr>
            </w:r>
            <w:r>
              <w:rPr>
                <w:noProof/>
                <w:webHidden/>
              </w:rPr>
              <w:fldChar w:fldCharType="separate"/>
            </w:r>
            <w:r>
              <w:rPr>
                <w:noProof/>
                <w:webHidden/>
              </w:rPr>
              <w:t>47</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8999" w:history="1">
            <w:r w:rsidRPr="00361FDA">
              <w:rPr>
                <w:rStyle w:val="Hyperlink"/>
                <w:noProof/>
                <w14:scene3d>
                  <w14:camera w14:prst="orthographicFront"/>
                  <w14:lightRig w14:rig="threePt" w14:dir="t">
                    <w14:rot w14:lat="0" w14:lon="0" w14:rev="0"/>
                  </w14:lightRig>
                </w14:scene3d>
              </w:rPr>
              <w:t>6.5.1</w:t>
            </w:r>
            <w:r>
              <w:rPr>
                <w:rFonts w:asciiTheme="minorHAnsi" w:eastAsiaTheme="minorEastAsia" w:hAnsiTheme="minorHAnsi" w:cstheme="minorBidi"/>
                <w:noProof/>
                <w:sz w:val="22"/>
                <w:szCs w:val="22"/>
              </w:rPr>
              <w:tab/>
            </w:r>
            <w:r w:rsidRPr="00361FDA">
              <w:rPr>
                <w:rStyle w:val="Hyperlink"/>
                <w:noProof/>
              </w:rPr>
              <w:t>Comparison of Ex-Ante results by Month</w:t>
            </w:r>
            <w:r>
              <w:rPr>
                <w:noProof/>
                <w:webHidden/>
              </w:rPr>
              <w:tab/>
            </w:r>
            <w:r>
              <w:rPr>
                <w:noProof/>
                <w:webHidden/>
              </w:rPr>
              <w:fldChar w:fldCharType="begin"/>
            </w:r>
            <w:r>
              <w:rPr>
                <w:noProof/>
                <w:webHidden/>
              </w:rPr>
              <w:instrText xml:space="preserve"> PAGEREF _Toc415748999 \h </w:instrText>
            </w:r>
            <w:r>
              <w:rPr>
                <w:noProof/>
                <w:webHidden/>
              </w:rPr>
            </w:r>
            <w:r>
              <w:rPr>
                <w:noProof/>
                <w:webHidden/>
              </w:rPr>
              <w:fldChar w:fldCharType="separate"/>
            </w:r>
            <w:r>
              <w:rPr>
                <w:noProof/>
                <w:webHidden/>
              </w:rPr>
              <w:t>50</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00" w:history="1">
            <w:r w:rsidRPr="00361FDA">
              <w:rPr>
                <w:rStyle w:val="Hyperlink"/>
                <w:noProof/>
              </w:rPr>
              <w:t>6.6</w:t>
            </w:r>
            <w:r>
              <w:rPr>
                <w:rFonts w:asciiTheme="minorHAnsi" w:eastAsiaTheme="minorEastAsia" w:hAnsiTheme="minorHAnsi" w:cstheme="minorBidi"/>
                <w:noProof/>
                <w:sz w:val="22"/>
                <w:szCs w:val="22"/>
              </w:rPr>
              <w:tab/>
            </w:r>
            <w:r w:rsidRPr="00361FDA">
              <w:rPr>
                <w:rStyle w:val="Hyperlink"/>
                <w:noProof/>
              </w:rPr>
              <w:t>Relationship between Ex-Post and Ex-Ante Estimates</w:t>
            </w:r>
            <w:r>
              <w:rPr>
                <w:noProof/>
                <w:webHidden/>
              </w:rPr>
              <w:tab/>
            </w:r>
            <w:r>
              <w:rPr>
                <w:noProof/>
                <w:webHidden/>
              </w:rPr>
              <w:fldChar w:fldCharType="begin"/>
            </w:r>
            <w:r>
              <w:rPr>
                <w:noProof/>
                <w:webHidden/>
              </w:rPr>
              <w:instrText xml:space="preserve"> PAGEREF _Toc415749000 \h </w:instrText>
            </w:r>
            <w:r>
              <w:rPr>
                <w:noProof/>
                <w:webHidden/>
              </w:rPr>
            </w:r>
            <w:r>
              <w:rPr>
                <w:noProof/>
                <w:webHidden/>
              </w:rPr>
              <w:fldChar w:fldCharType="separate"/>
            </w:r>
            <w:r>
              <w:rPr>
                <w:noProof/>
                <w:webHidden/>
              </w:rPr>
              <w:t>53</w:t>
            </w:r>
            <w:r>
              <w:rPr>
                <w:noProof/>
                <w:webHidden/>
              </w:rPr>
              <w:fldChar w:fldCharType="end"/>
            </w:r>
          </w:hyperlink>
        </w:p>
        <w:p w:rsidR="008863A0" w:rsidRDefault="008863A0">
          <w:pPr>
            <w:pStyle w:val="TOC1"/>
            <w:tabs>
              <w:tab w:val="left" w:pos="480"/>
              <w:tab w:val="right" w:leader="dot" w:pos="9350"/>
            </w:tabs>
            <w:rPr>
              <w:rFonts w:asciiTheme="minorHAnsi" w:eastAsiaTheme="minorEastAsia" w:hAnsiTheme="minorHAnsi" w:cstheme="minorBidi"/>
              <w:noProof/>
              <w:sz w:val="22"/>
              <w:szCs w:val="22"/>
            </w:rPr>
          </w:pPr>
          <w:hyperlink w:anchor="_Toc415749001" w:history="1">
            <w:r w:rsidRPr="00361FDA">
              <w:rPr>
                <w:rStyle w:val="Hyperlink"/>
                <w:noProof/>
              </w:rPr>
              <w:t>7</w:t>
            </w:r>
            <w:r>
              <w:rPr>
                <w:rFonts w:asciiTheme="minorHAnsi" w:eastAsiaTheme="minorEastAsia" w:hAnsiTheme="minorHAnsi" w:cstheme="minorBidi"/>
                <w:noProof/>
                <w:sz w:val="22"/>
                <w:szCs w:val="22"/>
              </w:rPr>
              <w:tab/>
            </w:r>
            <w:r w:rsidRPr="00361FDA">
              <w:rPr>
                <w:rStyle w:val="Hyperlink"/>
                <w:noProof/>
              </w:rPr>
              <w:t>Opt-in Peak Time Rebate Program (PTR) and Small Customer Technology Deployment (SCTD) Program</w:t>
            </w:r>
            <w:r>
              <w:rPr>
                <w:noProof/>
                <w:webHidden/>
              </w:rPr>
              <w:tab/>
            </w:r>
            <w:r>
              <w:rPr>
                <w:noProof/>
                <w:webHidden/>
              </w:rPr>
              <w:fldChar w:fldCharType="begin"/>
            </w:r>
            <w:r>
              <w:rPr>
                <w:noProof/>
                <w:webHidden/>
              </w:rPr>
              <w:instrText xml:space="preserve"> PAGEREF _Toc415749001 \h </w:instrText>
            </w:r>
            <w:r>
              <w:rPr>
                <w:noProof/>
                <w:webHidden/>
              </w:rPr>
            </w:r>
            <w:r>
              <w:rPr>
                <w:noProof/>
                <w:webHidden/>
              </w:rPr>
              <w:fldChar w:fldCharType="separate"/>
            </w:r>
            <w:r>
              <w:rPr>
                <w:noProof/>
                <w:webHidden/>
              </w:rPr>
              <w:t>58</w:t>
            </w:r>
            <w:r>
              <w:rPr>
                <w:noProof/>
                <w:webHidden/>
              </w:rPr>
              <w:fldChar w:fldCharType="end"/>
            </w:r>
          </w:hyperlink>
        </w:p>
        <w:p w:rsidR="008863A0" w:rsidRDefault="008863A0">
          <w:pPr>
            <w:pStyle w:val="TOC2"/>
            <w:tabs>
              <w:tab w:val="right" w:leader="dot" w:pos="9350"/>
            </w:tabs>
            <w:rPr>
              <w:rFonts w:asciiTheme="minorHAnsi" w:eastAsiaTheme="minorEastAsia" w:hAnsiTheme="minorHAnsi" w:cstheme="minorBidi"/>
              <w:noProof/>
              <w:sz w:val="22"/>
              <w:szCs w:val="22"/>
            </w:rPr>
          </w:pPr>
          <w:hyperlink w:anchor="_Toc415749002" w:history="1">
            <w:r w:rsidRPr="00361FDA">
              <w:rPr>
                <w:rStyle w:val="Hyperlink"/>
                <w:noProof/>
              </w:rPr>
              <w:t>7.1 Opt-in PTR Program Description</w:t>
            </w:r>
            <w:r>
              <w:rPr>
                <w:noProof/>
                <w:webHidden/>
              </w:rPr>
              <w:tab/>
            </w:r>
            <w:r>
              <w:rPr>
                <w:noProof/>
                <w:webHidden/>
              </w:rPr>
              <w:fldChar w:fldCharType="begin"/>
            </w:r>
            <w:r>
              <w:rPr>
                <w:noProof/>
                <w:webHidden/>
              </w:rPr>
              <w:instrText xml:space="preserve"> PAGEREF _Toc415749002 \h </w:instrText>
            </w:r>
            <w:r>
              <w:rPr>
                <w:noProof/>
                <w:webHidden/>
              </w:rPr>
            </w:r>
            <w:r>
              <w:rPr>
                <w:noProof/>
                <w:webHidden/>
              </w:rPr>
              <w:fldChar w:fldCharType="separate"/>
            </w:r>
            <w:r>
              <w:rPr>
                <w:noProof/>
                <w:webHidden/>
              </w:rPr>
              <w:t>58</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03" w:history="1">
            <w:r w:rsidRPr="00361FDA">
              <w:rPr>
                <w:rStyle w:val="Hyperlink"/>
                <w:noProof/>
              </w:rPr>
              <w:t>7.2</w:t>
            </w:r>
            <w:r>
              <w:rPr>
                <w:rFonts w:asciiTheme="minorHAnsi" w:eastAsiaTheme="minorEastAsia" w:hAnsiTheme="minorHAnsi" w:cstheme="minorBidi"/>
                <w:noProof/>
                <w:sz w:val="22"/>
                <w:szCs w:val="22"/>
              </w:rPr>
              <w:tab/>
            </w:r>
            <w:r w:rsidRPr="00361FDA">
              <w:rPr>
                <w:rStyle w:val="Hyperlink"/>
                <w:noProof/>
              </w:rPr>
              <w:t>SCTD Program Description</w:t>
            </w:r>
            <w:r>
              <w:rPr>
                <w:noProof/>
                <w:webHidden/>
              </w:rPr>
              <w:tab/>
            </w:r>
            <w:r>
              <w:rPr>
                <w:noProof/>
                <w:webHidden/>
              </w:rPr>
              <w:fldChar w:fldCharType="begin"/>
            </w:r>
            <w:r>
              <w:rPr>
                <w:noProof/>
                <w:webHidden/>
              </w:rPr>
              <w:instrText xml:space="preserve"> PAGEREF _Toc415749003 \h </w:instrText>
            </w:r>
            <w:r>
              <w:rPr>
                <w:noProof/>
                <w:webHidden/>
              </w:rPr>
            </w:r>
            <w:r>
              <w:rPr>
                <w:noProof/>
                <w:webHidden/>
              </w:rPr>
              <w:fldChar w:fldCharType="separate"/>
            </w:r>
            <w:r>
              <w:rPr>
                <w:noProof/>
                <w:webHidden/>
              </w:rPr>
              <w:t>58</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04" w:history="1">
            <w:r w:rsidRPr="00361FDA">
              <w:rPr>
                <w:rStyle w:val="Hyperlink"/>
                <w:noProof/>
              </w:rPr>
              <w:t>7.3</w:t>
            </w:r>
            <w:r>
              <w:rPr>
                <w:rFonts w:asciiTheme="minorHAnsi" w:eastAsiaTheme="minorEastAsia" w:hAnsiTheme="minorHAnsi" w:cstheme="minorBidi"/>
                <w:noProof/>
                <w:sz w:val="22"/>
                <w:szCs w:val="22"/>
              </w:rPr>
              <w:tab/>
            </w:r>
            <w:r w:rsidRPr="00361FDA">
              <w:rPr>
                <w:rStyle w:val="Hyperlink"/>
                <w:noProof/>
              </w:rPr>
              <w:t>Summary of 2014 PTR and SCTD Events</w:t>
            </w:r>
            <w:r>
              <w:rPr>
                <w:noProof/>
                <w:webHidden/>
              </w:rPr>
              <w:tab/>
            </w:r>
            <w:r>
              <w:rPr>
                <w:noProof/>
                <w:webHidden/>
              </w:rPr>
              <w:fldChar w:fldCharType="begin"/>
            </w:r>
            <w:r>
              <w:rPr>
                <w:noProof/>
                <w:webHidden/>
              </w:rPr>
              <w:instrText xml:space="preserve"> PAGEREF _Toc415749004 \h </w:instrText>
            </w:r>
            <w:r>
              <w:rPr>
                <w:noProof/>
                <w:webHidden/>
              </w:rPr>
            </w:r>
            <w:r>
              <w:rPr>
                <w:noProof/>
                <w:webHidden/>
              </w:rPr>
              <w:fldChar w:fldCharType="separate"/>
            </w:r>
            <w:r>
              <w:rPr>
                <w:noProof/>
                <w:webHidden/>
              </w:rPr>
              <w:t>59</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05" w:history="1">
            <w:r w:rsidRPr="00361FDA">
              <w:rPr>
                <w:rStyle w:val="Hyperlink"/>
                <w:noProof/>
              </w:rPr>
              <w:t>7.4</w:t>
            </w:r>
            <w:r>
              <w:rPr>
                <w:rFonts w:asciiTheme="minorHAnsi" w:eastAsiaTheme="minorEastAsia" w:hAnsiTheme="minorHAnsi" w:cstheme="minorBidi"/>
                <w:noProof/>
                <w:sz w:val="22"/>
                <w:szCs w:val="22"/>
              </w:rPr>
              <w:tab/>
            </w:r>
            <w:r w:rsidRPr="00361FDA">
              <w:rPr>
                <w:rStyle w:val="Hyperlink"/>
                <w:noProof/>
              </w:rPr>
              <w:t>Opt-in PTR Ex-Post Evaluation Methodology</w:t>
            </w:r>
            <w:r>
              <w:rPr>
                <w:noProof/>
                <w:webHidden/>
              </w:rPr>
              <w:tab/>
            </w:r>
            <w:r>
              <w:rPr>
                <w:noProof/>
                <w:webHidden/>
              </w:rPr>
              <w:fldChar w:fldCharType="begin"/>
            </w:r>
            <w:r>
              <w:rPr>
                <w:noProof/>
                <w:webHidden/>
              </w:rPr>
              <w:instrText xml:space="preserve"> PAGEREF _Toc415749005 \h </w:instrText>
            </w:r>
            <w:r>
              <w:rPr>
                <w:noProof/>
                <w:webHidden/>
              </w:rPr>
            </w:r>
            <w:r>
              <w:rPr>
                <w:noProof/>
                <w:webHidden/>
              </w:rPr>
              <w:fldChar w:fldCharType="separate"/>
            </w:r>
            <w:r>
              <w:rPr>
                <w:noProof/>
                <w:webHidden/>
              </w:rPr>
              <w:t>59</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06" w:history="1">
            <w:r w:rsidRPr="00361FDA">
              <w:rPr>
                <w:rStyle w:val="Hyperlink"/>
                <w:noProof/>
                <w14:scene3d>
                  <w14:camera w14:prst="orthographicFront"/>
                  <w14:lightRig w14:rig="threePt" w14:dir="t">
                    <w14:rot w14:lat="0" w14:lon="0" w14:rev="0"/>
                  </w14:lightRig>
                </w14:scene3d>
              </w:rPr>
              <w:t>7.4.1</w:t>
            </w:r>
            <w:r>
              <w:rPr>
                <w:rFonts w:asciiTheme="minorHAnsi" w:eastAsiaTheme="minorEastAsia" w:hAnsiTheme="minorHAnsi" w:cstheme="minorBidi"/>
                <w:noProof/>
                <w:sz w:val="22"/>
                <w:szCs w:val="22"/>
              </w:rPr>
              <w:tab/>
            </w:r>
            <w:r w:rsidRPr="00361FDA">
              <w:rPr>
                <w:rStyle w:val="Hyperlink"/>
                <w:noProof/>
              </w:rPr>
              <w:t>Control Group Selection</w:t>
            </w:r>
            <w:r>
              <w:rPr>
                <w:noProof/>
                <w:webHidden/>
              </w:rPr>
              <w:tab/>
            </w:r>
            <w:r>
              <w:rPr>
                <w:noProof/>
                <w:webHidden/>
              </w:rPr>
              <w:fldChar w:fldCharType="begin"/>
            </w:r>
            <w:r>
              <w:rPr>
                <w:noProof/>
                <w:webHidden/>
              </w:rPr>
              <w:instrText xml:space="preserve"> PAGEREF _Toc415749006 \h </w:instrText>
            </w:r>
            <w:r>
              <w:rPr>
                <w:noProof/>
                <w:webHidden/>
              </w:rPr>
            </w:r>
            <w:r>
              <w:rPr>
                <w:noProof/>
                <w:webHidden/>
              </w:rPr>
              <w:fldChar w:fldCharType="separate"/>
            </w:r>
            <w:r>
              <w:rPr>
                <w:noProof/>
                <w:webHidden/>
              </w:rPr>
              <w:t>59</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07" w:history="1">
            <w:r w:rsidRPr="00361FDA">
              <w:rPr>
                <w:rStyle w:val="Hyperlink"/>
                <w:noProof/>
                <w14:scene3d>
                  <w14:camera w14:prst="orthographicFront"/>
                  <w14:lightRig w14:rig="threePt" w14:dir="t">
                    <w14:rot w14:lat="0" w14:lon="0" w14:rev="0"/>
                  </w14:lightRig>
                </w14:scene3d>
              </w:rPr>
              <w:t>7.4.2</w:t>
            </w:r>
            <w:r>
              <w:rPr>
                <w:rFonts w:asciiTheme="minorHAnsi" w:eastAsiaTheme="minorEastAsia" w:hAnsiTheme="minorHAnsi" w:cstheme="minorBidi"/>
                <w:noProof/>
                <w:sz w:val="22"/>
                <w:szCs w:val="22"/>
              </w:rPr>
              <w:tab/>
            </w:r>
            <w:r w:rsidRPr="00361FDA">
              <w:rPr>
                <w:rStyle w:val="Hyperlink"/>
                <w:noProof/>
              </w:rPr>
              <w:t>Pre-Matching Stratification and Design</w:t>
            </w:r>
            <w:r>
              <w:rPr>
                <w:noProof/>
                <w:webHidden/>
              </w:rPr>
              <w:tab/>
            </w:r>
            <w:r>
              <w:rPr>
                <w:noProof/>
                <w:webHidden/>
              </w:rPr>
              <w:fldChar w:fldCharType="begin"/>
            </w:r>
            <w:r>
              <w:rPr>
                <w:noProof/>
                <w:webHidden/>
              </w:rPr>
              <w:instrText xml:space="preserve"> PAGEREF _Toc415749007 \h </w:instrText>
            </w:r>
            <w:r>
              <w:rPr>
                <w:noProof/>
                <w:webHidden/>
              </w:rPr>
            </w:r>
            <w:r>
              <w:rPr>
                <w:noProof/>
                <w:webHidden/>
              </w:rPr>
              <w:fldChar w:fldCharType="separate"/>
            </w:r>
            <w:r>
              <w:rPr>
                <w:noProof/>
                <w:webHidden/>
              </w:rPr>
              <w:t>60</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08" w:history="1">
            <w:r w:rsidRPr="00361FDA">
              <w:rPr>
                <w:rStyle w:val="Hyperlink"/>
                <w:noProof/>
                <w14:scene3d>
                  <w14:camera w14:prst="orthographicFront"/>
                  <w14:lightRig w14:rig="threePt" w14:dir="t">
                    <w14:rot w14:lat="0" w14:lon="0" w14:rev="0"/>
                  </w14:lightRig>
                </w14:scene3d>
              </w:rPr>
              <w:t>7.4.3</w:t>
            </w:r>
            <w:r>
              <w:rPr>
                <w:rFonts w:asciiTheme="minorHAnsi" w:eastAsiaTheme="minorEastAsia" w:hAnsiTheme="minorHAnsi" w:cstheme="minorBidi"/>
                <w:noProof/>
                <w:sz w:val="22"/>
                <w:szCs w:val="22"/>
              </w:rPr>
              <w:tab/>
            </w:r>
            <w:r w:rsidRPr="00361FDA">
              <w:rPr>
                <w:rStyle w:val="Hyperlink"/>
                <w:noProof/>
              </w:rPr>
              <w:t>Propensity Score Matching Results</w:t>
            </w:r>
            <w:r>
              <w:rPr>
                <w:noProof/>
                <w:webHidden/>
              </w:rPr>
              <w:tab/>
            </w:r>
            <w:r>
              <w:rPr>
                <w:noProof/>
                <w:webHidden/>
              </w:rPr>
              <w:fldChar w:fldCharType="begin"/>
            </w:r>
            <w:r>
              <w:rPr>
                <w:noProof/>
                <w:webHidden/>
              </w:rPr>
              <w:instrText xml:space="preserve"> PAGEREF _Toc415749008 \h </w:instrText>
            </w:r>
            <w:r>
              <w:rPr>
                <w:noProof/>
                <w:webHidden/>
              </w:rPr>
            </w:r>
            <w:r>
              <w:rPr>
                <w:noProof/>
                <w:webHidden/>
              </w:rPr>
              <w:fldChar w:fldCharType="separate"/>
            </w:r>
            <w:r>
              <w:rPr>
                <w:noProof/>
                <w:webHidden/>
              </w:rPr>
              <w:t>60</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09" w:history="1">
            <w:r w:rsidRPr="00361FDA">
              <w:rPr>
                <w:rStyle w:val="Hyperlink"/>
                <w:noProof/>
                <w14:scene3d>
                  <w14:camera w14:prst="orthographicFront"/>
                  <w14:lightRig w14:rig="threePt" w14:dir="t">
                    <w14:rot w14:lat="0" w14:lon="0" w14:rev="0"/>
                  </w14:lightRig>
                </w14:scene3d>
              </w:rPr>
              <w:t>7.4.4</w:t>
            </w:r>
            <w:r>
              <w:rPr>
                <w:rFonts w:asciiTheme="minorHAnsi" w:eastAsiaTheme="minorEastAsia" w:hAnsiTheme="minorHAnsi" w:cstheme="minorBidi"/>
                <w:noProof/>
                <w:sz w:val="22"/>
                <w:szCs w:val="22"/>
              </w:rPr>
              <w:tab/>
            </w:r>
            <w:r w:rsidRPr="00361FDA">
              <w:rPr>
                <w:rStyle w:val="Hyperlink"/>
                <w:noProof/>
              </w:rPr>
              <w:t>PTR Ex Post Estimation</w:t>
            </w:r>
            <w:r>
              <w:rPr>
                <w:noProof/>
                <w:webHidden/>
              </w:rPr>
              <w:tab/>
            </w:r>
            <w:r>
              <w:rPr>
                <w:noProof/>
                <w:webHidden/>
              </w:rPr>
              <w:fldChar w:fldCharType="begin"/>
            </w:r>
            <w:r>
              <w:rPr>
                <w:noProof/>
                <w:webHidden/>
              </w:rPr>
              <w:instrText xml:space="preserve"> PAGEREF _Toc415749009 \h </w:instrText>
            </w:r>
            <w:r>
              <w:rPr>
                <w:noProof/>
                <w:webHidden/>
              </w:rPr>
            </w:r>
            <w:r>
              <w:rPr>
                <w:noProof/>
                <w:webHidden/>
              </w:rPr>
              <w:fldChar w:fldCharType="separate"/>
            </w:r>
            <w:r>
              <w:rPr>
                <w:noProof/>
                <w:webHidden/>
              </w:rPr>
              <w:t>61</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10" w:history="1">
            <w:r w:rsidRPr="00361FDA">
              <w:rPr>
                <w:rStyle w:val="Hyperlink"/>
                <w:noProof/>
                <w14:scene3d>
                  <w14:camera w14:prst="orthographicFront"/>
                  <w14:lightRig w14:rig="threePt" w14:dir="t">
                    <w14:rot w14:lat="0" w14:lon="0" w14:rev="0"/>
                  </w14:lightRig>
                </w14:scene3d>
              </w:rPr>
              <w:t>7.4.5</w:t>
            </w:r>
            <w:r>
              <w:rPr>
                <w:rFonts w:asciiTheme="minorHAnsi" w:eastAsiaTheme="minorEastAsia" w:hAnsiTheme="minorHAnsi" w:cstheme="minorBidi"/>
                <w:noProof/>
                <w:sz w:val="22"/>
                <w:szCs w:val="22"/>
              </w:rPr>
              <w:tab/>
            </w:r>
            <w:r w:rsidRPr="00361FDA">
              <w:rPr>
                <w:rStyle w:val="Hyperlink"/>
                <w:noProof/>
              </w:rPr>
              <w:t>SCTD Ex Post Estimation</w:t>
            </w:r>
            <w:r>
              <w:rPr>
                <w:noProof/>
                <w:webHidden/>
              </w:rPr>
              <w:tab/>
            </w:r>
            <w:r>
              <w:rPr>
                <w:noProof/>
                <w:webHidden/>
              </w:rPr>
              <w:fldChar w:fldCharType="begin"/>
            </w:r>
            <w:r>
              <w:rPr>
                <w:noProof/>
                <w:webHidden/>
              </w:rPr>
              <w:instrText xml:space="preserve"> PAGEREF _Toc415749010 \h </w:instrText>
            </w:r>
            <w:r>
              <w:rPr>
                <w:noProof/>
                <w:webHidden/>
              </w:rPr>
            </w:r>
            <w:r>
              <w:rPr>
                <w:noProof/>
                <w:webHidden/>
              </w:rPr>
              <w:fldChar w:fldCharType="separate"/>
            </w:r>
            <w:r>
              <w:rPr>
                <w:noProof/>
                <w:webHidden/>
              </w:rPr>
              <w:t>62</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11" w:history="1">
            <w:r w:rsidRPr="00361FDA">
              <w:rPr>
                <w:rStyle w:val="Hyperlink"/>
                <w:noProof/>
              </w:rPr>
              <w:t>7.5</w:t>
            </w:r>
            <w:r>
              <w:rPr>
                <w:rFonts w:asciiTheme="minorHAnsi" w:eastAsiaTheme="minorEastAsia" w:hAnsiTheme="minorHAnsi" w:cstheme="minorBidi"/>
                <w:noProof/>
                <w:sz w:val="22"/>
                <w:szCs w:val="22"/>
              </w:rPr>
              <w:tab/>
            </w:r>
            <w:r w:rsidRPr="00361FDA">
              <w:rPr>
                <w:rStyle w:val="Hyperlink"/>
                <w:noProof/>
              </w:rPr>
              <w:t>PTR and SCTD Ex-Post Results</w:t>
            </w:r>
            <w:r>
              <w:rPr>
                <w:noProof/>
                <w:webHidden/>
              </w:rPr>
              <w:tab/>
            </w:r>
            <w:r>
              <w:rPr>
                <w:noProof/>
                <w:webHidden/>
              </w:rPr>
              <w:fldChar w:fldCharType="begin"/>
            </w:r>
            <w:r>
              <w:rPr>
                <w:noProof/>
                <w:webHidden/>
              </w:rPr>
              <w:instrText xml:space="preserve"> PAGEREF _Toc415749011 \h </w:instrText>
            </w:r>
            <w:r>
              <w:rPr>
                <w:noProof/>
                <w:webHidden/>
              </w:rPr>
            </w:r>
            <w:r>
              <w:rPr>
                <w:noProof/>
                <w:webHidden/>
              </w:rPr>
              <w:fldChar w:fldCharType="separate"/>
            </w:r>
            <w:r>
              <w:rPr>
                <w:noProof/>
                <w:webHidden/>
              </w:rPr>
              <w:t>62</w:t>
            </w:r>
            <w:r>
              <w:rPr>
                <w:noProof/>
                <w:webHidden/>
              </w:rPr>
              <w:fldChar w:fldCharType="end"/>
            </w:r>
          </w:hyperlink>
        </w:p>
        <w:p w:rsidR="008863A0" w:rsidRDefault="008863A0">
          <w:pPr>
            <w:pStyle w:val="TOC2"/>
            <w:tabs>
              <w:tab w:val="right" w:leader="dot" w:pos="9350"/>
            </w:tabs>
            <w:rPr>
              <w:rFonts w:asciiTheme="minorHAnsi" w:eastAsiaTheme="minorEastAsia" w:hAnsiTheme="minorHAnsi" w:cstheme="minorBidi"/>
              <w:noProof/>
              <w:sz w:val="22"/>
              <w:szCs w:val="22"/>
            </w:rPr>
          </w:pPr>
          <w:hyperlink w:anchor="_Toc415749012" w:history="1">
            <w:r w:rsidRPr="00361FDA">
              <w:rPr>
                <w:rStyle w:val="Hyperlink"/>
                <w:noProof/>
              </w:rPr>
              <w:t>7.6 Ex-Ante Load Impact Methodology</w:t>
            </w:r>
            <w:r>
              <w:rPr>
                <w:noProof/>
                <w:webHidden/>
              </w:rPr>
              <w:tab/>
            </w:r>
            <w:r>
              <w:rPr>
                <w:noProof/>
                <w:webHidden/>
              </w:rPr>
              <w:fldChar w:fldCharType="begin"/>
            </w:r>
            <w:r>
              <w:rPr>
                <w:noProof/>
                <w:webHidden/>
              </w:rPr>
              <w:instrText xml:space="preserve"> PAGEREF _Toc415749012 \h </w:instrText>
            </w:r>
            <w:r>
              <w:rPr>
                <w:noProof/>
                <w:webHidden/>
              </w:rPr>
            </w:r>
            <w:r>
              <w:rPr>
                <w:noProof/>
                <w:webHidden/>
              </w:rPr>
              <w:fldChar w:fldCharType="separate"/>
            </w:r>
            <w:r>
              <w:rPr>
                <w:noProof/>
                <w:webHidden/>
              </w:rPr>
              <w:t>64</w:t>
            </w:r>
            <w:r>
              <w:rPr>
                <w:noProof/>
                <w:webHidden/>
              </w:rPr>
              <w:fldChar w:fldCharType="end"/>
            </w:r>
          </w:hyperlink>
        </w:p>
        <w:p w:rsidR="008863A0" w:rsidRDefault="008863A0">
          <w:pPr>
            <w:pStyle w:val="TOC2"/>
            <w:tabs>
              <w:tab w:val="right" w:leader="dot" w:pos="9350"/>
            </w:tabs>
            <w:rPr>
              <w:rFonts w:asciiTheme="minorHAnsi" w:eastAsiaTheme="minorEastAsia" w:hAnsiTheme="minorHAnsi" w:cstheme="minorBidi"/>
              <w:noProof/>
              <w:sz w:val="22"/>
              <w:szCs w:val="22"/>
            </w:rPr>
          </w:pPr>
          <w:hyperlink w:anchor="_Toc415749013" w:history="1">
            <w:r w:rsidRPr="00361FDA">
              <w:rPr>
                <w:rStyle w:val="Hyperlink"/>
                <w:noProof/>
              </w:rPr>
              <w:t>7.7 Ex-Ante Load Impact Estimates</w:t>
            </w:r>
            <w:r>
              <w:rPr>
                <w:noProof/>
                <w:webHidden/>
              </w:rPr>
              <w:tab/>
            </w:r>
            <w:r>
              <w:rPr>
                <w:noProof/>
                <w:webHidden/>
              </w:rPr>
              <w:fldChar w:fldCharType="begin"/>
            </w:r>
            <w:r>
              <w:rPr>
                <w:noProof/>
                <w:webHidden/>
              </w:rPr>
              <w:instrText xml:space="preserve"> PAGEREF _Toc415749013 \h </w:instrText>
            </w:r>
            <w:r>
              <w:rPr>
                <w:noProof/>
                <w:webHidden/>
              </w:rPr>
            </w:r>
            <w:r>
              <w:rPr>
                <w:noProof/>
                <w:webHidden/>
              </w:rPr>
              <w:fldChar w:fldCharType="separate"/>
            </w:r>
            <w:r>
              <w:rPr>
                <w:noProof/>
                <w:webHidden/>
              </w:rPr>
              <w:t>65</w:t>
            </w:r>
            <w:r>
              <w:rPr>
                <w:noProof/>
                <w:webHidden/>
              </w:rPr>
              <w:fldChar w:fldCharType="end"/>
            </w:r>
          </w:hyperlink>
        </w:p>
        <w:p w:rsidR="008863A0" w:rsidRDefault="008863A0">
          <w:pPr>
            <w:pStyle w:val="TOC3"/>
            <w:tabs>
              <w:tab w:val="right" w:leader="dot" w:pos="9350"/>
            </w:tabs>
            <w:rPr>
              <w:rFonts w:asciiTheme="minorHAnsi" w:eastAsiaTheme="minorEastAsia" w:hAnsiTheme="minorHAnsi" w:cstheme="minorBidi"/>
              <w:noProof/>
              <w:sz w:val="22"/>
              <w:szCs w:val="22"/>
            </w:rPr>
          </w:pPr>
          <w:hyperlink w:anchor="_Toc415749014" w:history="1">
            <w:r w:rsidRPr="00361FDA">
              <w:rPr>
                <w:rStyle w:val="Hyperlink"/>
                <w:i/>
                <w:iCs/>
                <w:noProof/>
              </w:rPr>
              <w:t>7.7.1 PTR Only</w:t>
            </w:r>
            <w:r>
              <w:rPr>
                <w:noProof/>
                <w:webHidden/>
              </w:rPr>
              <w:tab/>
            </w:r>
            <w:r>
              <w:rPr>
                <w:noProof/>
                <w:webHidden/>
              </w:rPr>
              <w:fldChar w:fldCharType="begin"/>
            </w:r>
            <w:r>
              <w:rPr>
                <w:noProof/>
                <w:webHidden/>
              </w:rPr>
              <w:instrText xml:space="preserve"> PAGEREF _Toc415749014 \h </w:instrText>
            </w:r>
            <w:r>
              <w:rPr>
                <w:noProof/>
                <w:webHidden/>
              </w:rPr>
            </w:r>
            <w:r>
              <w:rPr>
                <w:noProof/>
                <w:webHidden/>
              </w:rPr>
              <w:fldChar w:fldCharType="separate"/>
            </w:r>
            <w:r>
              <w:rPr>
                <w:noProof/>
                <w:webHidden/>
              </w:rPr>
              <w:t>65</w:t>
            </w:r>
            <w:r>
              <w:rPr>
                <w:noProof/>
                <w:webHidden/>
              </w:rPr>
              <w:fldChar w:fldCharType="end"/>
            </w:r>
          </w:hyperlink>
        </w:p>
        <w:p w:rsidR="008863A0" w:rsidRDefault="008863A0">
          <w:pPr>
            <w:pStyle w:val="TOC3"/>
            <w:tabs>
              <w:tab w:val="right" w:leader="dot" w:pos="9350"/>
            </w:tabs>
            <w:rPr>
              <w:rFonts w:asciiTheme="minorHAnsi" w:eastAsiaTheme="minorEastAsia" w:hAnsiTheme="minorHAnsi" w:cstheme="minorBidi"/>
              <w:noProof/>
              <w:sz w:val="22"/>
              <w:szCs w:val="22"/>
            </w:rPr>
          </w:pPr>
          <w:hyperlink w:anchor="_Toc415749015" w:history="1">
            <w:r w:rsidRPr="00361FDA">
              <w:rPr>
                <w:rStyle w:val="Hyperlink"/>
                <w:i/>
                <w:iCs/>
                <w:noProof/>
              </w:rPr>
              <w:t>7.7.2 PTR Dually Enrolled in Summer Saver</w:t>
            </w:r>
            <w:r>
              <w:rPr>
                <w:noProof/>
                <w:webHidden/>
              </w:rPr>
              <w:tab/>
            </w:r>
            <w:r>
              <w:rPr>
                <w:noProof/>
                <w:webHidden/>
              </w:rPr>
              <w:fldChar w:fldCharType="begin"/>
            </w:r>
            <w:r>
              <w:rPr>
                <w:noProof/>
                <w:webHidden/>
              </w:rPr>
              <w:instrText xml:space="preserve"> PAGEREF _Toc415749015 \h </w:instrText>
            </w:r>
            <w:r>
              <w:rPr>
                <w:noProof/>
                <w:webHidden/>
              </w:rPr>
            </w:r>
            <w:r>
              <w:rPr>
                <w:noProof/>
                <w:webHidden/>
              </w:rPr>
              <w:fldChar w:fldCharType="separate"/>
            </w:r>
            <w:r>
              <w:rPr>
                <w:noProof/>
                <w:webHidden/>
              </w:rPr>
              <w:t>66</w:t>
            </w:r>
            <w:r>
              <w:rPr>
                <w:noProof/>
                <w:webHidden/>
              </w:rPr>
              <w:fldChar w:fldCharType="end"/>
            </w:r>
          </w:hyperlink>
        </w:p>
        <w:p w:rsidR="008863A0" w:rsidRDefault="008863A0">
          <w:pPr>
            <w:pStyle w:val="TOC3"/>
            <w:tabs>
              <w:tab w:val="right" w:leader="dot" w:pos="9350"/>
            </w:tabs>
            <w:rPr>
              <w:rFonts w:asciiTheme="minorHAnsi" w:eastAsiaTheme="minorEastAsia" w:hAnsiTheme="minorHAnsi" w:cstheme="minorBidi"/>
              <w:noProof/>
              <w:sz w:val="22"/>
              <w:szCs w:val="22"/>
            </w:rPr>
          </w:pPr>
          <w:hyperlink w:anchor="_Toc415749016" w:history="1">
            <w:r w:rsidRPr="00361FDA">
              <w:rPr>
                <w:rStyle w:val="Hyperlink"/>
                <w:i/>
                <w:iCs/>
                <w:noProof/>
              </w:rPr>
              <w:t>7.7.3 PTR Dually Enrolled in Summer Saver</w:t>
            </w:r>
            <w:r>
              <w:rPr>
                <w:noProof/>
                <w:webHidden/>
              </w:rPr>
              <w:tab/>
            </w:r>
            <w:r>
              <w:rPr>
                <w:noProof/>
                <w:webHidden/>
              </w:rPr>
              <w:fldChar w:fldCharType="begin"/>
            </w:r>
            <w:r>
              <w:rPr>
                <w:noProof/>
                <w:webHidden/>
              </w:rPr>
              <w:instrText xml:space="preserve"> PAGEREF _Toc415749016 \h </w:instrText>
            </w:r>
            <w:r>
              <w:rPr>
                <w:noProof/>
                <w:webHidden/>
              </w:rPr>
            </w:r>
            <w:r>
              <w:rPr>
                <w:noProof/>
                <w:webHidden/>
              </w:rPr>
              <w:fldChar w:fldCharType="separate"/>
            </w:r>
            <w:r>
              <w:rPr>
                <w:noProof/>
                <w:webHidden/>
              </w:rPr>
              <w:t>68</w:t>
            </w:r>
            <w:r>
              <w:rPr>
                <w:noProof/>
                <w:webHidden/>
              </w:rPr>
              <w:fldChar w:fldCharType="end"/>
            </w:r>
          </w:hyperlink>
        </w:p>
        <w:p w:rsidR="008863A0" w:rsidRDefault="008863A0">
          <w:pPr>
            <w:pStyle w:val="TOC3"/>
            <w:tabs>
              <w:tab w:val="right" w:leader="dot" w:pos="9350"/>
            </w:tabs>
            <w:rPr>
              <w:rFonts w:asciiTheme="minorHAnsi" w:eastAsiaTheme="minorEastAsia" w:hAnsiTheme="minorHAnsi" w:cstheme="minorBidi"/>
              <w:noProof/>
              <w:sz w:val="22"/>
              <w:szCs w:val="22"/>
            </w:rPr>
          </w:pPr>
          <w:hyperlink w:anchor="_Toc415749017" w:history="1">
            <w:r w:rsidRPr="00361FDA">
              <w:rPr>
                <w:rStyle w:val="Hyperlink"/>
                <w:i/>
                <w:iCs/>
                <w:noProof/>
              </w:rPr>
              <w:t>7.7.4 PTR Dually Enrolled in SCTD</w:t>
            </w:r>
            <w:r>
              <w:rPr>
                <w:noProof/>
                <w:webHidden/>
              </w:rPr>
              <w:tab/>
            </w:r>
            <w:r>
              <w:rPr>
                <w:noProof/>
                <w:webHidden/>
              </w:rPr>
              <w:fldChar w:fldCharType="begin"/>
            </w:r>
            <w:r>
              <w:rPr>
                <w:noProof/>
                <w:webHidden/>
              </w:rPr>
              <w:instrText xml:space="preserve"> PAGEREF _Toc415749017 \h </w:instrText>
            </w:r>
            <w:r>
              <w:rPr>
                <w:noProof/>
                <w:webHidden/>
              </w:rPr>
            </w:r>
            <w:r>
              <w:rPr>
                <w:noProof/>
                <w:webHidden/>
              </w:rPr>
              <w:fldChar w:fldCharType="separate"/>
            </w:r>
            <w:r>
              <w:rPr>
                <w:noProof/>
                <w:webHidden/>
              </w:rPr>
              <w:t>69</w:t>
            </w:r>
            <w:r>
              <w:rPr>
                <w:noProof/>
                <w:webHidden/>
              </w:rPr>
              <w:fldChar w:fldCharType="end"/>
            </w:r>
          </w:hyperlink>
        </w:p>
        <w:p w:rsidR="008863A0" w:rsidRDefault="008863A0">
          <w:pPr>
            <w:pStyle w:val="TOC3"/>
            <w:tabs>
              <w:tab w:val="right" w:leader="dot" w:pos="9350"/>
            </w:tabs>
            <w:rPr>
              <w:rFonts w:asciiTheme="minorHAnsi" w:eastAsiaTheme="minorEastAsia" w:hAnsiTheme="minorHAnsi" w:cstheme="minorBidi"/>
              <w:noProof/>
              <w:sz w:val="22"/>
              <w:szCs w:val="22"/>
            </w:rPr>
          </w:pPr>
          <w:hyperlink w:anchor="_Toc415749018" w:history="1">
            <w:r w:rsidRPr="00361FDA">
              <w:rPr>
                <w:rStyle w:val="Hyperlink"/>
                <w:i/>
                <w:iCs/>
                <w:noProof/>
              </w:rPr>
              <w:t>7.7.5 SCTD Only</w:t>
            </w:r>
            <w:r>
              <w:rPr>
                <w:noProof/>
                <w:webHidden/>
              </w:rPr>
              <w:tab/>
            </w:r>
            <w:r>
              <w:rPr>
                <w:noProof/>
                <w:webHidden/>
              </w:rPr>
              <w:fldChar w:fldCharType="begin"/>
            </w:r>
            <w:r>
              <w:rPr>
                <w:noProof/>
                <w:webHidden/>
              </w:rPr>
              <w:instrText xml:space="preserve"> PAGEREF _Toc415749018 \h </w:instrText>
            </w:r>
            <w:r>
              <w:rPr>
                <w:noProof/>
                <w:webHidden/>
              </w:rPr>
            </w:r>
            <w:r>
              <w:rPr>
                <w:noProof/>
                <w:webHidden/>
              </w:rPr>
              <w:fldChar w:fldCharType="separate"/>
            </w:r>
            <w:r>
              <w:rPr>
                <w:noProof/>
                <w:webHidden/>
              </w:rPr>
              <w:t>71</w:t>
            </w:r>
            <w:r>
              <w:rPr>
                <w:noProof/>
                <w:webHidden/>
              </w:rPr>
              <w:fldChar w:fldCharType="end"/>
            </w:r>
          </w:hyperlink>
        </w:p>
        <w:p w:rsidR="008863A0" w:rsidRDefault="008863A0">
          <w:pPr>
            <w:pStyle w:val="TOC2"/>
            <w:tabs>
              <w:tab w:val="right" w:leader="dot" w:pos="9350"/>
            </w:tabs>
            <w:rPr>
              <w:rFonts w:asciiTheme="minorHAnsi" w:eastAsiaTheme="minorEastAsia" w:hAnsiTheme="minorHAnsi" w:cstheme="minorBidi"/>
              <w:noProof/>
              <w:sz w:val="22"/>
              <w:szCs w:val="22"/>
            </w:rPr>
          </w:pPr>
          <w:hyperlink w:anchor="_Toc415749019" w:history="1">
            <w:r w:rsidRPr="00361FDA">
              <w:rPr>
                <w:rStyle w:val="Hyperlink"/>
                <w:noProof/>
              </w:rPr>
              <w:t>7.8 Comparison of 2013 and 2014 Ex Ante Estimates</w:t>
            </w:r>
            <w:r>
              <w:rPr>
                <w:noProof/>
                <w:webHidden/>
              </w:rPr>
              <w:tab/>
            </w:r>
            <w:r>
              <w:rPr>
                <w:noProof/>
                <w:webHidden/>
              </w:rPr>
              <w:fldChar w:fldCharType="begin"/>
            </w:r>
            <w:r>
              <w:rPr>
                <w:noProof/>
                <w:webHidden/>
              </w:rPr>
              <w:instrText xml:space="preserve"> PAGEREF _Toc415749019 \h </w:instrText>
            </w:r>
            <w:r>
              <w:rPr>
                <w:noProof/>
                <w:webHidden/>
              </w:rPr>
            </w:r>
            <w:r>
              <w:rPr>
                <w:noProof/>
                <w:webHidden/>
              </w:rPr>
              <w:fldChar w:fldCharType="separate"/>
            </w:r>
            <w:r>
              <w:rPr>
                <w:noProof/>
                <w:webHidden/>
              </w:rPr>
              <w:t>73</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20" w:history="1">
            <w:r w:rsidRPr="00361FDA">
              <w:rPr>
                <w:rStyle w:val="Hyperlink"/>
                <w:noProof/>
              </w:rPr>
              <w:t>7.9</w:t>
            </w:r>
            <w:r>
              <w:rPr>
                <w:rFonts w:asciiTheme="minorHAnsi" w:eastAsiaTheme="minorEastAsia" w:hAnsiTheme="minorHAnsi" w:cstheme="minorBidi"/>
                <w:noProof/>
                <w:sz w:val="22"/>
                <w:szCs w:val="22"/>
              </w:rPr>
              <w:tab/>
            </w:r>
            <w:r w:rsidRPr="00361FDA">
              <w:rPr>
                <w:rStyle w:val="Hyperlink"/>
                <w:noProof/>
              </w:rPr>
              <w:t>Relationship between Ex Post and Ex Ante Estimates</w:t>
            </w:r>
            <w:r>
              <w:rPr>
                <w:noProof/>
                <w:webHidden/>
              </w:rPr>
              <w:tab/>
            </w:r>
            <w:r>
              <w:rPr>
                <w:noProof/>
                <w:webHidden/>
              </w:rPr>
              <w:fldChar w:fldCharType="begin"/>
            </w:r>
            <w:r>
              <w:rPr>
                <w:noProof/>
                <w:webHidden/>
              </w:rPr>
              <w:instrText xml:space="preserve"> PAGEREF _Toc415749020 \h </w:instrText>
            </w:r>
            <w:r>
              <w:rPr>
                <w:noProof/>
                <w:webHidden/>
              </w:rPr>
            </w:r>
            <w:r>
              <w:rPr>
                <w:noProof/>
                <w:webHidden/>
              </w:rPr>
              <w:fldChar w:fldCharType="separate"/>
            </w:r>
            <w:r>
              <w:rPr>
                <w:noProof/>
                <w:webHidden/>
              </w:rPr>
              <w:t>76</w:t>
            </w:r>
            <w:r>
              <w:rPr>
                <w:noProof/>
                <w:webHidden/>
              </w:rPr>
              <w:fldChar w:fldCharType="end"/>
            </w:r>
          </w:hyperlink>
        </w:p>
        <w:p w:rsidR="008863A0" w:rsidRDefault="008863A0">
          <w:pPr>
            <w:pStyle w:val="TOC1"/>
            <w:tabs>
              <w:tab w:val="left" w:pos="480"/>
              <w:tab w:val="right" w:leader="dot" w:pos="9350"/>
            </w:tabs>
            <w:rPr>
              <w:rFonts w:asciiTheme="minorHAnsi" w:eastAsiaTheme="minorEastAsia" w:hAnsiTheme="minorHAnsi" w:cstheme="minorBidi"/>
              <w:noProof/>
              <w:sz w:val="22"/>
              <w:szCs w:val="22"/>
            </w:rPr>
          </w:pPr>
          <w:hyperlink w:anchor="_Toc415749021" w:history="1">
            <w:r w:rsidRPr="00361FDA">
              <w:rPr>
                <w:rStyle w:val="Hyperlink"/>
                <w:noProof/>
              </w:rPr>
              <w:t>8</w:t>
            </w:r>
            <w:r>
              <w:rPr>
                <w:rFonts w:asciiTheme="minorHAnsi" w:eastAsiaTheme="minorEastAsia" w:hAnsiTheme="minorHAnsi" w:cstheme="minorBidi"/>
                <w:noProof/>
                <w:sz w:val="22"/>
                <w:szCs w:val="22"/>
              </w:rPr>
              <w:tab/>
            </w:r>
            <w:r w:rsidRPr="00361FDA">
              <w:rPr>
                <w:rStyle w:val="Hyperlink"/>
                <w:noProof/>
              </w:rPr>
              <w:t>Permanent Load Shifting</w:t>
            </w:r>
            <w:r>
              <w:rPr>
                <w:noProof/>
                <w:webHidden/>
              </w:rPr>
              <w:tab/>
            </w:r>
            <w:r>
              <w:rPr>
                <w:noProof/>
                <w:webHidden/>
              </w:rPr>
              <w:fldChar w:fldCharType="begin"/>
            </w:r>
            <w:r>
              <w:rPr>
                <w:noProof/>
                <w:webHidden/>
              </w:rPr>
              <w:instrText xml:space="preserve"> PAGEREF _Toc415749021 \h </w:instrText>
            </w:r>
            <w:r>
              <w:rPr>
                <w:noProof/>
                <w:webHidden/>
              </w:rPr>
            </w:r>
            <w:r>
              <w:rPr>
                <w:noProof/>
                <w:webHidden/>
              </w:rPr>
              <w:fldChar w:fldCharType="separate"/>
            </w:r>
            <w:r>
              <w:rPr>
                <w:noProof/>
                <w:webHidden/>
              </w:rPr>
              <w:t>79</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22" w:history="1">
            <w:r w:rsidRPr="00361FDA">
              <w:rPr>
                <w:rStyle w:val="Hyperlink"/>
                <w:noProof/>
              </w:rPr>
              <w:t>8.1</w:t>
            </w:r>
            <w:r>
              <w:rPr>
                <w:rFonts w:asciiTheme="minorHAnsi" w:eastAsiaTheme="minorEastAsia" w:hAnsiTheme="minorHAnsi" w:cstheme="minorBidi"/>
                <w:noProof/>
                <w:sz w:val="22"/>
                <w:szCs w:val="22"/>
              </w:rPr>
              <w:tab/>
            </w:r>
            <w:r w:rsidRPr="00361FDA">
              <w:rPr>
                <w:rStyle w:val="Hyperlink"/>
                <w:noProof/>
              </w:rPr>
              <w:t>PLS Program Overview</w:t>
            </w:r>
            <w:r>
              <w:rPr>
                <w:noProof/>
                <w:webHidden/>
              </w:rPr>
              <w:tab/>
            </w:r>
            <w:r>
              <w:rPr>
                <w:noProof/>
                <w:webHidden/>
              </w:rPr>
              <w:fldChar w:fldCharType="begin"/>
            </w:r>
            <w:r>
              <w:rPr>
                <w:noProof/>
                <w:webHidden/>
              </w:rPr>
              <w:instrText xml:space="preserve"> PAGEREF _Toc415749022 \h </w:instrText>
            </w:r>
            <w:r>
              <w:rPr>
                <w:noProof/>
                <w:webHidden/>
              </w:rPr>
            </w:r>
            <w:r>
              <w:rPr>
                <w:noProof/>
                <w:webHidden/>
              </w:rPr>
              <w:fldChar w:fldCharType="separate"/>
            </w:r>
            <w:r>
              <w:rPr>
                <w:noProof/>
                <w:webHidden/>
              </w:rPr>
              <w:t>79</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23" w:history="1">
            <w:r w:rsidRPr="00361FDA">
              <w:rPr>
                <w:rStyle w:val="Hyperlink"/>
                <w:noProof/>
              </w:rPr>
              <w:t>8.2</w:t>
            </w:r>
            <w:r>
              <w:rPr>
                <w:rFonts w:asciiTheme="minorHAnsi" w:eastAsiaTheme="minorEastAsia" w:hAnsiTheme="minorHAnsi" w:cstheme="minorBidi"/>
                <w:noProof/>
                <w:sz w:val="22"/>
                <w:szCs w:val="22"/>
              </w:rPr>
              <w:tab/>
            </w:r>
            <w:r w:rsidRPr="00361FDA">
              <w:rPr>
                <w:rStyle w:val="Hyperlink"/>
                <w:noProof/>
              </w:rPr>
              <w:t>PLS Ex-Ante Methodology</w:t>
            </w:r>
            <w:r>
              <w:rPr>
                <w:noProof/>
                <w:webHidden/>
              </w:rPr>
              <w:tab/>
            </w:r>
            <w:r>
              <w:rPr>
                <w:noProof/>
                <w:webHidden/>
              </w:rPr>
              <w:fldChar w:fldCharType="begin"/>
            </w:r>
            <w:r>
              <w:rPr>
                <w:noProof/>
                <w:webHidden/>
              </w:rPr>
              <w:instrText xml:space="preserve"> PAGEREF _Toc415749023 \h </w:instrText>
            </w:r>
            <w:r>
              <w:rPr>
                <w:noProof/>
                <w:webHidden/>
              </w:rPr>
            </w:r>
            <w:r>
              <w:rPr>
                <w:noProof/>
                <w:webHidden/>
              </w:rPr>
              <w:fldChar w:fldCharType="separate"/>
            </w:r>
            <w:r>
              <w:rPr>
                <w:noProof/>
                <w:webHidden/>
              </w:rPr>
              <w:t>80</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24" w:history="1">
            <w:r w:rsidRPr="00361FDA">
              <w:rPr>
                <w:rStyle w:val="Hyperlink"/>
                <w:noProof/>
              </w:rPr>
              <w:t>8.3</w:t>
            </w:r>
            <w:r>
              <w:rPr>
                <w:rFonts w:asciiTheme="minorHAnsi" w:eastAsiaTheme="minorEastAsia" w:hAnsiTheme="minorHAnsi" w:cstheme="minorBidi"/>
                <w:noProof/>
                <w:sz w:val="22"/>
                <w:szCs w:val="22"/>
              </w:rPr>
              <w:tab/>
            </w:r>
            <w:r w:rsidRPr="00361FDA">
              <w:rPr>
                <w:rStyle w:val="Hyperlink"/>
                <w:noProof/>
              </w:rPr>
              <w:t>Estimating Ex Ante Weather Conditions</w:t>
            </w:r>
            <w:r>
              <w:rPr>
                <w:noProof/>
                <w:webHidden/>
              </w:rPr>
              <w:tab/>
            </w:r>
            <w:r>
              <w:rPr>
                <w:noProof/>
                <w:webHidden/>
              </w:rPr>
              <w:fldChar w:fldCharType="begin"/>
            </w:r>
            <w:r>
              <w:rPr>
                <w:noProof/>
                <w:webHidden/>
              </w:rPr>
              <w:instrText xml:space="preserve"> PAGEREF _Toc415749024 \h </w:instrText>
            </w:r>
            <w:r>
              <w:rPr>
                <w:noProof/>
                <w:webHidden/>
              </w:rPr>
            </w:r>
            <w:r>
              <w:rPr>
                <w:noProof/>
                <w:webHidden/>
              </w:rPr>
              <w:fldChar w:fldCharType="separate"/>
            </w:r>
            <w:r>
              <w:rPr>
                <w:noProof/>
                <w:webHidden/>
              </w:rPr>
              <w:t>83</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25" w:history="1">
            <w:r w:rsidRPr="00361FDA">
              <w:rPr>
                <w:rStyle w:val="Hyperlink"/>
                <w:noProof/>
              </w:rPr>
              <w:t>8.4</w:t>
            </w:r>
            <w:r>
              <w:rPr>
                <w:rFonts w:asciiTheme="minorHAnsi" w:eastAsiaTheme="minorEastAsia" w:hAnsiTheme="minorHAnsi" w:cstheme="minorBidi"/>
                <w:noProof/>
                <w:sz w:val="22"/>
                <w:szCs w:val="22"/>
              </w:rPr>
              <w:tab/>
            </w:r>
            <w:r w:rsidRPr="00361FDA">
              <w:rPr>
                <w:rStyle w:val="Hyperlink"/>
                <w:noProof/>
              </w:rPr>
              <w:t>PLS Ex-Ante Load Estimates</w:t>
            </w:r>
            <w:r>
              <w:rPr>
                <w:noProof/>
                <w:webHidden/>
              </w:rPr>
              <w:tab/>
            </w:r>
            <w:r>
              <w:rPr>
                <w:noProof/>
                <w:webHidden/>
              </w:rPr>
              <w:fldChar w:fldCharType="begin"/>
            </w:r>
            <w:r>
              <w:rPr>
                <w:noProof/>
                <w:webHidden/>
              </w:rPr>
              <w:instrText xml:space="preserve"> PAGEREF _Toc415749025 \h </w:instrText>
            </w:r>
            <w:r>
              <w:rPr>
                <w:noProof/>
                <w:webHidden/>
              </w:rPr>
            </w:r>
            <w:r>
              <w:rPr>
                <w:noProof/>
                <w:webHidden/>
              </w:rPr>
              <w:fldChar w:fldCharType="separate"/>
            </w:r>
            <w:r>
              <w:rPr>
                <w:noProof/>
                <w:webHidden/>
              </w:rPr>
              <w:t>84</w:t>
            </w:r>
            <w:r>
              <w:rPr>
                <w:noProof/>
                <w:webHidden/>
              </w:rPr>
              <w:fldChar w:fldCharType="end"/>
            </w:r>
          </w:hyperlink>
        </w:p>
        <w:p w:rsidR="008863A0" w:rsidRDefault="008863A0">
          <w:pPr>
            <w:pStyle w:val="TOC1"/>
            <w:tabs>
              <w:tab w:val="left" w:pos="480"/>
              <w:tab w:val="right" w:leader="dot" w:pos="9350"/>
            </w:tabs>
            <w:rPr>
              <w:rFonts w:asciiTheme="minorHAnsi" w:eastAsiaTheme="minorEastAsia" w:hAnsiTheme="minorHAnsi" w:cstheme="minorBidi"/>
              <w:noProof/>
              <w:sz w:val="22"/>
              <w:szCs w:val="22"/>
            </w:rPr>
          </w:pPr>
          <w:hyperlink w:anchor="_Toc415749026" w:history="1">
            <w:r w:rsidRPr="00361FDA">
              <w:rPr>
                <w:rStyle w:val="Hyperlink"/>
                <w:noProof/>
              </w:rPr>
              <w:t>9</w:t>
            </w:r>
            <w:r>
              <w:rPr>
                <w:rFonts w:asciiTheme="minorHAnsi" w:eastAsiaTheme="minorEastAsia" w:hAnsiTheme="minorHAnsi" w:cstheme="minorBidi"/>
                <w:noProof/>
                <w:sz w:val="22"/>
                <w:szCs w:val="22"/>
              </w:rPr>
              <w:tab/>
            </w:r>
            <w:r w:rsidRPr="00361FDA">
              <w:rPr>
                <w:rStyle w:val="Hyperlink"/>
                <w:noProof/>
              </w:rPr>
              <w:t>Non-Residential SPP Rates</w:t>
            </w:r>
            <w:r>
              <w:rPr>
                <w:noProof/>
                <w:webHidden/>
              </w:rPr>
              <w:tab/>
            </w:r>
            <w:r>
              <w:rPr>
                <w:noProof/>
                <w:webHidden/>
              </w:rPr>
              <w:fldChar w:fldCharType="begin"/>
            </w:r>
            <w:r>
              <w:rPr>
                <w:noProof/>
                <w:webHidden/>
              </w:rPr>
              <w:instrText xml:space="preserve"> PAGEREF _Toc415749026 \h </w:instrText>
            </w:r>
            <w:r>
              <w:rPr>
                <w:noProof/>
                <w:webHidden/>
              </w:rPr>
            </w:r>
            <w:r>
              <w:rPr>
                <w:noProof/>
                <w:webHidden/>
              </w:rPr>
              <w:fldChar w:fldCharType="separate"/>
            </w:r>
            <w:r>
              <w:rPr>
                <w:noProof/>
                <w:webHidden/>
              </w:rPr>
              <w:t>85</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27" w:history="1">
            <w:r w:rsidRPr="00361FDA">
              <w:rPr>
                <w:rStyle w:val="Hyperlink"/>
                <w:noProof/>
              </w:rPr>
              <w:t>9.1</w:t>
            </w:r>
            <w:r>
              <w:rPr>
                <w:rFonts w:asciiTheme="minorHAnsi" w:eastAsiaTheme="minorEastAsia" w:hAnsiTheme="minorHAnsi" w:cstheme="minorBidi"/>
                <w:noProof/>
                <w:sz w:val="22"/>
                <w:szCs w:val="22"/>
              </w:rPr>
              <w:tab/>
            </w:r>
            <w:r w:rsidRPr="00361FDA">
              <w:rPr>
                <w:rStyle w:val="Hyperlink"/>
                <w:noProof/>
              </w:rPr>
              <w:t>Non-Residential SPP Rates Overview</w:t>
            </w:r>
            <w:r>
              <w:rPr>
                <w:noProof/>
                <w:webHidden/>
              </w:rPr>
              <w:tab/>
            </w:r>
            <w:r>
              <w:rPr>
                <w:noProof/>
                <w:webHidden/>
              </w:rPr>
              <w:fldChar w:fldCharType="begin"/>
            </w:r>
            <w:r>
              <w:rPr>
                <w:noProof/>
                <w:webHidden/>
              </w:rPr>
              <w:instrText xml:space="preserve"> PAGEREF _Toc415749027 \h </w:instrText>
            </w:r>
            <w:r>
              <w:rPr>
                <w:noProof/>
                <w:webHidden/>
              </w:rPr>
            </w:r>
            <w:r>
              <w:rPr>
                <w:noProof/>
                <w:webHidden/>
              </w:rPr>
              <w:fldChar w:fldCharType="separate"/>
            </w:r>
            <w:r>
              <w:rPr>
                <w:noProof/>
                <w:webHidden/>
              </w:rPr>
              <w:t>85</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28" w:history="1">
            <w:r w:rsidRPr="00361FDA">
              <w:rPr>
                <w:rStyle w:val="Hyperlink"/>
                <w:noProof/>
              </w:rPr>
              <w:t>9.2</w:t>
            </w:r>
            <w:r>
              <w:rPr>
                <w:rFonts w:asciiTheme="minorHAnsi" w:eastAsiaTheme="minorEastAsia" w:hAnsiTheme="minorHAnsi" w:cstheme="minorBidi"/>
                <w:noProof/>
                <w:sz w:val="22"/>
                <w:szCs w:val="22"/>
              </w:rPr>
              <w:tab/>
            </w:r>
            <w:r w:rsidRPr="00361FDA">
              <w:rPr>
                <w:rStyle w:val="Hyperlink"/>
                <w:noProof/>
              </w:rPr>
              <w:t>Non-Residential SPP Rates Ex-Post Evaluation Methodology</w:t>
            </w:r>
            <w:r>
              <w:rPr>
                <w:noProof/>
                <w:webHidden/>
              </w:rPr>
              <w:tab/>
            </w:r>
            <w:r>
              <w:rPr>
                <w:noProof/>
                <w:webHidden/>
              </w:rPr>
              <w:fldChar w:fldCharType="begin"/>
            </w:r>
            <w:r>
              <w:rPr>
                <w:noProof/>
                <w:webHidden/>
              </w:rPr>
              <w:instrText xml:space="preserve"> PAGEREF _Toc415749028 \h </w:instrText>
            </w:r>
            <w:r>
              <w:rPr>
                <w:noProof/>
                <w:webHidden/>
              </w:rPr>
            </w:r>
            <w:r>
              <w:rPr>
                <w:noProof/>
                <w:webHidden/>
              </w:rPr>
              <w:fldChar w:fldCharType="separate"/>
            </w:r>
            <w:r>
              <w:rPr>
                <w:noProof/>
                <w:webHidden/>
              </w:rPr>
              <w:t>87</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29" w:history="1">
            <w:r w:rsidRPr="00361FDA">
              <w:rPr>
                <w:rStyle w:val="Hyperlink"/>
                <w:noProof/>
                <w14:scene3d>
                  <w14:camera w14:prst="orthographicFront"/>
                  <w14:lightRig w14:rig="threePt" w14:dir="t">
                    <w14:rot w14:lat="0" w14:lon="0" w14:rev="0"/>
                  </w14:lightRig>
                </w14:scene3d>
              </w:rPr>
              <w:t>9.2.1</w:t>
            </w:r>
            <w:r>
              <w:rPr>
                <w:rFonts w:asciiTheme="minorHAnsi" w:eastAsiaTheme="minorEastAsia" w:hAnsiTheme="minorHAnsi" w:cstheme="minorBidi"/>
                <w:noProof/>
                <w:sz w:val="22"/>
                <w:szCs w:val="22"/>
              </w:rPr>
              <w:tab/>
            </w:r>
            <w:r w:rsidRPr="00361FDA">
              <w:rPr>
                <w:rStyle w:val="Hyperlink"/>
                <w:noProof/>
              </w:rPr>
              <w:t>Cluster Analysis</w:t>
            </w:r>
            <w:r>
              <w:rPr>
                <w:noProof/>
                <w:webHidden/>
              </w:rPr>
              <w:tab/>
            </w:r>
            <w:r>
              <w:rPr>
                <w:noProof/>
                <w:webHidden/>
              </w:rPr>
              <w:fldChar w:fldCharType="begin"/>
            </w:r>
            <w:r>
              <w:rPr>
                <w:noProof/>
                <w:webHidden/>
              </w:rPr>
              <w:instrText xml:space="preserve"> PAGEREF _Toc415749029 \h </w:instrText>
            </w:r>
            <w:r>
              <w:rPr>
                <w:noProof/>
                <w:webHidden/>
              </w:rPr>
            </w:r>
            <w:r>
              <w:rPr>
                <w:noProof/>
                <w:webHidden/>
              </w:rPr>
              <w:fldChar w:fldCharType="separate"/>
            </w:r>
            <w:r>
              <w:rPr>
                <w:noProof/>
                <w:webHidden/>
              </w:rPr>
              <w:t>87</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30" w:history="1">
            <w:r w:rsidRPr="00361FDA">
              <w:rPr>
                <w:rStyle w:val="Hyperlink"/>
                <w:noProof/>
                <w14:scene3d>
                  <w14:camera w14:prst="orthographicFront"/>
                  <w14:lightRig w14:rig="threePt" w14:dir="t">
                    <w14:rot w14:lat="0" w14:lon="0" w14:rev="0"/>
                  </w14:lightRig>
                </w14:scene3d>
              </w:rPr>
              <w:t>9.2.2</w:t>
            </w:r>
            <w:r>
              <w:rPr>
                <w:rFonts w:asciiTheme="minorHAnsi" w:eastAsiaTheme="minorEastAsia" w:hAnsiTheme="minorHAnsi" w:cstheme="minorBidi"/>
                <w:noProof/>
                <w:sz w:val="22"/>
                <w:szCs w:val="22"/>
              </w:rPr>
              <w:tab/>
            </w:r>
            <w:r w:rsidRPr="00361FDA">
              <w:rPr>
                <w:rStyle w:val="Hyperlink"/>
                <w:noProof/>
              </w:rPr>
              <w:t>Selection of Matched Control Groups</w:t>
            </w:r>
            <w:r>
              <w:rPr>
                <w:noProof/>
                <w:webHidden/>
              </w:rPr>
              <w:tab/>
            </w:r>
            <w:r>
              <w:rPr>
                <w:noProof/>
                <w:webHidden/>
              </w:rPr>
              <w:fldChar w:fldCharType="begin"/>
            </w:r>
            <w:r>
              <w:rPr>
                <w:noProof/>
                <w:webHidden/>
              </w:rPr>
              <w:instrText xml:space="preserve"> PAGEREF _Toc415749030 \h </w:instrText>
            </w:r>
            <w:r>
              <w:rPr>
                <w:noProof/>
                <w:webHidden/>
              </w:rPr>
            </w:r>
            <w:r>
              <w:rPr>
                <w:noProof/>
                <w:webHidden/>
              </w:rPr>
              <w:fldChar w:fldCharType="separate"/>
            </w:r>
            <w:r>
              <w:rPr>
                <w:noProof/>
                <w:webHidden/>
              </w:rPr>
              <w:t>88</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31" w:history="1">
            <w:r w:rsidRPr="00361FDA">
              <w:rPr>
                <w:rStyle w:val="Hyperlink"/>
                <w:noProof/>
                <w14:scene3d>
                  <w14:camera w14:prst="orthographicFront"/>
                  <w14:lightRig w14:rig="threePt" w14:dir="t">
                    <w14:rot w14:lat="0" w14:lon="0" w14:rev="0"/>
                  </w14:lightRig>
                </w14:scene3d>
              </w:rPr>
              <w:t>9.2.3</w:t>
            </w:r>
            <w:r>
              <w:rPr>
                <w:rFonts w:asciiTheme="minorHAnsi" w:eastAsiaTheme="minorEastAsia" w:hAnsiTheme="minorHAnsi" w:cstheme="minorBidi"/>
                <w:noProof/>
                <w:sz w:val="22"/>
                <w:szCs w:val="22"/>
              </w:rPr>
              <w:tab/>
            </w:r>
            <w:r w:rsidRPr="00361FDA">
              <w:rPr>
                <w:rStyle w:val="Hyperlink"/>
                <w:noProof/>
              </w:rPr>
              <w:t>Difference-in-differences Estimation</w:t>
            </w:r>
            <w:r>
              <w:rPr>
                <w:noProof/>
                <w:webHidden/>
              </w:rPr>
              <w:tab/>
            </w:r>
            <w:r>
              <w:rPr>
                <w:noProof/>
                <w:webHidden/>
              </w:rPr>
              <w:fldChar w:fldCharType="begin"/>
            </w:r>
            <w:r>
              <w:rPr>
                <w:noProof/>
                <w:webHidden/>
              </w:rPr>
              <w:instrText xml:space="preserve"> PAGEREF _Toc415749031 \h </w:instrText>
            </w:r>
            <w:r>
              <w:rPr>
                <w:noProof/>
                <w:webHidden/>
              </w:rPr>
            </w:r>
            <w:r>
              <w:rPr>
                <w:noProof/>
                <w:webHidden/>
              </w:rPr>
              <w:fldChar w:fldCharType="separate"/>
            </w:r>
            <w:r>
              <w:rPr>
                <w:noProof/>
                <w:webHidden/>
              </w:rPr>
              <w:t>90</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32" w:history="1">
            <w:r w:rsidRPr="00361FDA">
              <w:rPr>
                <w:rStyle w:val="Hyperlink"/>
                <w:noProof/>
              </w:rPr>
              <w:t>9.3</w:t>
            </w:r>
            <w:r>
              <w:rPr>
                <w:rFonts w:asciiTheme="minorHAnsi" w:eastAsiaTheme="minorEastAsia" w:hAnsiTheme="minorHAnsi" w:cstheme="minorBidi"/>
                <w:noProof/>
                <w:sz w:val="22"/>
                <w:szCs w:val="22"/>
              </w:rPr>
              <w:tab/>
            </w:r>
            <w:r w:rsidRPr="00361FDA">
              <w:rPr>
                <w:rStyle w:val="Hyperlink"/>
                <w:noProof/>
              </w:rPr>
              <w:t>Non-Residential SPP Rates Ex-Post Load Impact Estimates</w:t>
            </w:r>
            <w:r>
              <w:rPr>
                <w:noProof/>
                <w:webHidden/>
              </w:rPr>
              <w:tab/>
            </w:r>
            <w:r>
              <w:rPr>
                <w:noProof/>
                <w:webHidden/>
              </w:rPr>
              <w:fldChar w:fldCharType="begin"/>
            </w:r>
            <w:r>
              <w:rPr>
                <w:noProof/>
                <w:webHidden/>
              </w:rPr>
              <w:instrText xml:space="preserve"> PAGEREF _Toc415749032 \h </w:instrText>
            </w:r>
            <w:r>
              <w:rPr>
                <w:noProof/>
                <w:webHidden/>
              </w:rPr>
            </w:r>
            <w:r>
              <w:rPr>
                <w:noProof/>
                <w:webHidden/>
              </w:rPr>
              <w:fldChar w:fldCharType="separate"/>
            </w:r>
            <w:r>
              <w:rPr>
                <w:noProof/>
                <w:webHidden/>
              </w:rPr>
              <w:t>91</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33" w:history="1">
            <w:r w:rsidRPr="00361FDA">
              <w:rPr>
                <w:rStyle w:val="Hyperlink"/>
                <w:noProof/>
                <w14:scene3d>
                  <w14:camera w14:prst="orthographicFront"/>
                  <w14:lightRig w14:rig="threePt" w14:dir="t">
                    <w14:rot w14:lat="0" w14:lon="0" w14:rev="0"/>
                  </w14:lightRig>
                </w14:scene3d>
              </w:rPr>
              <w:t>9.3.1</w:t>
            </w:r>
            <w:r>
              <w:rPr>
                <w:rFonts w:asciiTheme="minorHAnsi" w:eastAsiaTheme="minorEastAsia" w:hAnsiTheme="minorHAnsi" w:cstheme="minorBidi"/>
                <w:noProof/>
                <w:sz w:val="22"/>
                <w:szCs w:val="22"/>
              </w:rPr>
              <w:tab/>
            </w:r>
            <w:r w:rsidRPr="00361FDA">
              <w:rPr>
                <w:rStyle w:val="Hyperlink"/>
                <w:noProof/>
              </w:rPr>
              <w:t>TOU</w:t>
            </w:r>
            <w:r>
              <w:rPr>
                <w:noProof/>
                <w:webHidden/>
              </w:rPr>
              <w:tab/>
            </w:r>
            <w:r>
              <w:rPr>
                <w:noProof/>
                <w:webHidden/>
              </w:rPr>
              <w:fldChar w:fldCharType="begin"/>
            </w:r>
            <w:r>
              <w:rPr>
                <w:noProof/>
                <w:webHidden/>
              </w:rPr>
              <w:instrText xml:space="preserve"> PAGEREF _Toc415749033 \h </w:instrText>
            </w:r>
            <w:r>
              <w:rPr>
                <w:noProof/>
                <w:webHidden/>
              </w:rPr>
            </w:r>
            <w:r>
              <w:rPr>
                <w:noProof/>
                <w:webHidden/>
              </w:rPr>
              <w:fldChar w:fldCharType="separate"/>
            </w:r>
            <w:r>
              <w:rPr>
                <w:noProof/>
                <w:webHidden/>
              </w:rPr>
              <w:t>91</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34" w:history="1">
            <w:r w:rsidRPr="00361FDA">
              <w:rPr>
                <w:rStyle w:val="Hyperlink"/>
                <w:noProof/>
                <w14:scene3d>
                  <w14:camera w14:prst="orthographicFront"/>
                  <w14:lightRig w14:rig="threePt" w14:dir="t">
                    <w14:rot w14:lat="0" w14:lon="0" w14:rev="0"/>
                  </w14:lightRig>
                </w14:scene3d>
              </w:rPr>
              <w:t>9.3.2</w:t>
            </w:r>
            <w:r>
              <w:rPr>
                <w:rFonts w:asciiTheme="minorHAnsi" w:eastAsiaTheme="minorEastAsia" w:hAnsiTheme="minorHAnsi" w:cstheme="minorBidi"/>
                <w:noProof/>
                <w:sz w:val="22"/>
                <w:szCs w:val="22"/>
              </w:rPr>
              <w:tab/>
            </w:r>
            <w:r w:rsidRPr="00361FDA">
              <w:rPr>
                <w:rStyle w:val="Hyperlink"/>
                <w:noProof/>
              </w:rPr>
              <w:t>TOU-CPP</w:t>
            </w:r>
            <w:r>
              <w:rPr>
                <w:noProof/>
                <w:webHidden/>
              </w:rPr>
              <w:tab/>
            </w:r>
            <w:r>
              <w:rPr>
                <w:noProof/>
                <w:webHidden/>
              </w:rPr>
              <w:fldChar w:fldCharType="begin"/>
            </w:r>
            <w:r>
              <w:rPr>
                <w:noProof/>
                <w:webHidden/>
              </w:rPr>
              <w:instrText xml:space="preserve"> PAGEREF _Toc415749034 \h </w:instrText>
            </w:r>
            <w:r>
              <w:rPr>
                <w:noProof/>
                <w:webHidden/>
              </w:rPr>
            </w:r>
            <w:r>
              <w:rPr>
                <w:noProof/>
                <w:webHidden/>
              </w:rPr>
              <w:fldChar w:fldCharType="separate"/>
            </w:r>
            <w:r>
              <w:rPr>
                <w:noProof/>
                <w:webHidden/>
              </w:rPr>
              <w:t>92</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35" w:history="1">
            <w:r w:rsidRPr="00361FDA">
              <w:rPr>
                <w:rStyle w:val="Hyperlink"/>
                <w:noProof/>
              </w:rPr>
              <w:t>9.4</w:t>
            </w:r>
            <w:r>
              <w:rPr>
                <w:rFonts w:asciiTheme="minorHAnsi" w:eastAsiaTheme="minorEastAsia" w:hAnsiTheme="minorHAnsi" w:cstheme="minorBidi"/>
                <w:noProof/>
                <w:sz w:val="22"/>
                <w:szCs w:val="22"/>
              </w:rPr>
              <w:tab/>
            </w:r>
            <w:r w:rsidRPr="00361FDA">
              <w:rPr>
                <w:rStyle w:val="Hyperlink"/>
                <w:noProof/>
              </w:rPr>
              <w:t>Non-Residential SPP Rates Ex-Ante Evaluation Methodology</w:t>
            </w:r>
            <w:r>
              <w:rPr>
                <w:noProof/>
                <w:webHidden/>
              </w:rPr>
              <w:tab/>
            </w:r>
            <w:r>
              <w:rPr>
                <w:noProof/>
                <w:webHidden/>
              </w:rPr>
              <w:fldChar w:fldCharType="begin"/>
            </w:r>
            <w:r>
              <w:rPr>
                <w:noProof/>
                <w:webHidden/>
              </w:rPr>
              <w:instrText xml:space="preserve"> PAGEREF _Toc415749035 \h </w:instrText>
            </w:r>
            <w:r>
              <w:rPr>
                <w:noProof/>
                <w:webHidden/>
              </w:rPr>
            </w:r>
            <w:r>
              <w:rPr>
                <w:noProof/>
                <w:webHidden/>
              </w:rPr>
              <w:fldChar w:fldCharType="separate"/>
            </w:r>
            <w:r>
              <w:rPr>
                <w:noProof/>
                <w:webHidden/>
              </w:rPr>
              <w:t>95</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36" w:history="1">
            <w:r w:rsidRPr="00361FDA">
              <w:rPr>
                <w:rStyle w:val="Hyperlink"/>
                <w:noProof/>
                <w14:scene3d>
                  <w14:camera w14:prst="orthographicFront"/>
                  <w14:lightRig w14:rig="threePt" w14:dir="t">
                    <w14:rot w14:lat="0" w14:lon="0" w14:rev="0"/>
                  </w14:lightRig>
                </w14:scene3d>
              </w:rPr>
              <w:t>9.4.1</w:t>
            </w:r>
            <w:r>
              <w:rPr>
                <w:rFonts w:asciiTheme="minorHAnsi" w:eastAsiaTheme="minorEastAsia" w:hAnsiTheme="minorHAnsi" w:cstheme="minorBidi"/>
                <w:noProof/>
                <w:sz w:val="22"/>
                <w:szCs w:val="22"/>
              </w:rPr>
              <w:tab/>
            </w:r>
            <w:r w:rsidRPr="00361FDA">
              <w:rPr>
                <w:rStyle w:val="Hyperlink"/>
                <w:noProof/>
              </w:rPr>
              <w:t>Reference Loads</w:t>
            </w:r>
            <w:r>
              <w:rPr>
                <w:noProof/>
                <w:webHidden/>
              </w:rPr>
              <w:tab/>
            </w:r>
            <w:r>
              <w:rPr>
                <w:noProof/>
                <w:webHidden/>
              </w:rPr>
              <w:fldChar w:fldCharType="begin"/>
            </w:r>
            <w:r>
              <w:rPr>
                <w:noProof/>
                <w:webHidden/>
              </w:rPr>
              <w:instrText xml:space="preserve"> PAGEREF _Toc415749036 \h </w:instrText>
            </w:r>
            <w:r>
              <w:rPr>
                <w:noProof/>
                <w:webHidden/>
              </w:rPr>
            </w:r>
            <w:r>
              <w:rPr>
                <w:noProof/>
                <w:webHidden/>
              </w:rPr>
              <w:fldChar w:fldCharType="separate"/>
            </w:r>
            <w:r>
              <w:rPr>
                <w:noProof/>
                <w:webHidden/>
              </w:rPr>
              <w:t>95</w:t>
            </w:r>
            <w:r>
              <w:rPr>
                <w:noProof/>
                <w:webHidden/>
              </w:rPr>
              <w:fldChar w:fldCharType="end"/>
            </w:r>
          </w:hyperlink>
        </w:p>
        <w:p w:rsidR="008863A0" w:rsidRDefault="008863A0">
          <w:pPr>
            <w:pStyle w:val="TOC2"/>
            <w:tabs>
              <w:tab w:val="left" w:pos="880"/>
              <w:tab w:val="right" w:leader="dot" w:pos="9350"/>
            </w:tabs>
            <w:rPr>
              <w:rFonts w:asciiTheme="minorHAnsi" w:eastAsiaTheme="minorEastAsia" w:hAnsiTheme="minorHAnsi" w:cstheme="minorBidi"/>
              <w:noProof/>
              <w:sz w:val="22"/>
              <w:szCs w:val="22"/>
            </w:rPr>
          </w:pPr>
          <w:hyperlink w:anchor="_Toc415749037" w:history="1">
            <w:r w:rsidRPr="00361FDA">
              <w:rPr>
                <w:rStyle w:val="Hyperlink"/>
                <w:noProof/>
              </w:rPr>
              <w:t>9.5</w:t>
            </w:r>
            <w:r>
              <w:rPr>
                <w:rFonts w:asciiTheme="minorHAnsi" w:eastAsiaTheme="minorEastAsia" w:hAnsiTheme="minorHAnsi" w:cstheme="minorBidi"/>
                <w:noProof/>
                <w:sz w:val="22"/>
                <w:szCs w:val="22"/>
              </w:rPr>
              <w:tab/>
            </w:r>
            <w:r w:rsidRPr="00361FDA">
              <w:rPr>
                <w:rStyle w:val="Hyperlink"/>
                <w:noProof/>
              </w:rPr>
              <w:t>Non-Residential SPP Rates Ex-Ante Load Impact Estimates</w:t>
            </w:r>
            <w:r>
              <w:rPr>
                <w:noProof/>
                <w:webHidden/>
              </w:rPr>
              <w:tab/>
            </w:r>
            <w:r>
              <w:rPr>
                <w:noProof/>
                <w:webHidden/>
              </w:rPr>
              <w:fldChar w:fldCharType="begin"/>
            </w:r>
            <w:r>
              <w:rPr>
                <w:noProof/>
                <w:webHidden/>
              </w:rPr>
              <w:instrText xml:space="preserve"> PAGEREF _Toc415749037 \h </w:instrText>
            </w:r>
            <w:r>
              <w:rPr>
                <w:noProof/>
                <w:webHidden/>
              </w:rPr>
            </w:r>
            <w:r>
              <w:rPr>
                <w:noProof/>
                <w:webHidden/>
              </w:rPr>
              <w:fldChar w:fldCharType="separate"/>
            </w:r>
            <w:r>
              <w:rPr>
                <w:noProof/>
                <w:webHidden/>
              </w:rPr>
              <w:t>97</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38" w:history="1">
            <w:r w:rsidRPr="00361FDA">
              <w:rPr>
                <w:rStyle w:val="Hyperlink"/>
                <w:noProof/>
                <w14:scene3d>
                  <w14:camera w14:prst="orthographicFront"/>
                  <w14:lightRig w14:rig="threePt" w14:dir="t">
                    <w14:rot w14:lat="0" w14:lon="0" w14:rev="0"/>
                  </w14:lightRig>
                </w14:scene3d>
              </w:rPr>
              <w:t>9.5.1</w:t>
            </w:r>
            <w:r>
              <w:rPr>
                <w:rFonts w:asciiTheme="minorHAnsi" w:eastAsiaTheme="minorEastAsia" w:hAnsiTheme="minorHAnsi" w:cstheme="minorBidi"/>
                <w:noProof/>
                <w:sz w:val="22"/>
                <w:szCs w:val="22"/>
              </w:rPr>
              <w:tab/>
            </w:r>
            <w:r w:rsidRPr="00361FDA">
              <w:rPr>
                <w:rStyle w:val="Hyperlink"/>
                <w:noProof/>
              </w:rPr>
              <w:t>Small Commercial Customers (Approved Rate Windows)</w:t>
            </w:r>
            <w:r>
              <w:rPr>
                <w:noProof/>
                <w:webHidden/>
              </w:rPr>
              <w:tab/>
            </w:r>
            <w:r>
              <w:rPr>
                <w:noProof/>
                <w:webHidden/>
              </w:rPr>
              <w:fldChar w:fldCharType="begin"/>
            </w:r>
            <w:r>
              <w:rPr>
                <w:noProof/>
                <w:webHidden/>
              </w:rPr>
              <w:instrText xml:space="preserve"> PAGEREF _Toc415749038 \h </w:instrText>
            </w:r>
            <w:r>
              <w:rPr>
                <w:noProof/>
                <w:webHidden/>
              </w:rPr>
            </w:r>
            <w:r>
              <w:rPr>
                <w:noProof/>
                <w:webHidden/>
              </w:rPr>
              <w:fldChar w:fldCharType="separate"/>
            </w:r>
            <w:r>
              <w:rPr>
                <w:noProof/>
                <w:webHidden/>
              </w:rPr>
              <w:t>97</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39" w:history="1">
            <w:r w:rsidRPr="00361FDA">
              <w:rPr>
                <w:rStyle w:val="Hyperlink"/>
                <w:noProof/>
                <w14:scene3d>
                  <w14:camera w14:prst="orthographicFront"/>
                  <w14:lightRig w14:rig="threePt" w14:dir="t">
                    <w14:rot w14:lat="0" w14:lon="0" w14:rev="0"/>
                  </w14:lightRig>
                </w14:scene3d>
              </w:rPr>
              <w:t>9.5.2</w:t>
            </w:r>
            <w:r>
              <w:rPr>
                <w:rFonts w:asciiTheme="minorHAnsi" w:eastAsiaTheme="minorEastAsia" w:hAnsiTheme="minorHAnsi" w:cstheme="minorBidi"/>
                <w:noProof/>
                <w:sz w:val="22"/>
                <w:szCs w:val="22"/>
              </w:rPr>
              <w:tab/>
            </w:r>
            <w:r w:rsidRPr="00361FDA">
              <w:rPr>
                <w:rStyle w:val="Hyperlink"/>
                <w:noProof/>
              </w:rPr>
              <w:t>Agricultural Customers (Approved Rate Windows)</w:t>
            </w:r>
            <w:r>
              <w:rPr>
                <w:noProof/>
                <w:webHidden/>
              </w:rPr>
              <w:tab/>
            </w:r>
            <w:r>
              <w:rPr>
                <w:noProof/>
                <w:webHidden/>
              </w:rPr>
              <w:fldChar w:fldCharType="begin"/>
            </w:r>
            <w:r>
              <w:rPr>
                <w:noProof/>
                <w:webHidden/>
              </w:rPr>
              <w:instrText xml:space="preserve"> PAGEREF _Toc415749039 \h </w:instrText>
            </w:r>
            <w:r>
              <w:rPr>
                <w:noProof/>
                <w:webHidden/>
              </w:rPr>
            </w:r>
            <w:r>
              <w:rPr>
                <w:noProof/>
                <w:webHidden/>
              </w:rPr>
              <w:fldChar w:fldCharType="separate"/>
            </w:r>
            <w:r>
              <w:rPr>
                <w:noProof/>
                <w:webHidden/>
              </w:rPr>
              <w:t>99</w:t>
            </w:r>
            <w:r>
              <w:rPr>
                <w:noProof/>
                <w:webHidden/>
              </w:rPr>
              <w:fldChar w:fldCharType="end"/>
            </w:r>
          </w:hyperlink>
        </w:p>
        <w:p w:rsidR="008863A0" w:rsidRDefault="008863A0">
          <w:pPr>
            <w:pStyle w:val="TOC1"/>
            <w:tabs>
              <w:tab w:val="left" w:pos="480"/>
              <w:tab w:val="right" w:leader="dot" w:pos="9350"/>
            </w:tabs>
            <w:rPr>
              <w:rFonts w:asciiTheme="minorHAnsi" w:eastAsiaTheme="minorEastAsia" w:hAnsiTheme="minorHAnsi" w:cstheme="minorBidi"/>
              <w:noProof/>
              <w:sz w:val="22"/>
              <w:szCs w:val="22"/>
            </w:rPr>
          </w:pPr>
          <w:hyperlink w:anchor="_Toc415749040" w:history="1">
            <w:r w:rsidRPr="00361FDA">
              <w:rPr>
                <w:rStyle w:val="Hyperlink"/>
                <w:noProof/>
              </w:rPr>
              <w:t>10</w:t>
            </w:r>
            <w:r>
              <w:rPr>
                <w:rFonts w:asciiTheme="minorHAnsi" w:eastAsiaTheme="minorEastAsia" w:hAnsiTheme="minorHAnsi" w:cstheme="minorBidi"/>
                <w:noProof/>
                <w:sz w:val="22"/>
                <w:szCs w:val="22"/>
              </w:rPr>
              <w:tab/>
            </w:r>
            <w:r w:rsidRPr="00361FDA">
              <w:rPr>
                <w:rStyle w:val="Hyperlink"/>
                <w:noProof/>
              </w:rPr>
              <w:t>Commercial Thermostats</w:t>
            </w:r>
            <w:r>
              <w:rPr>
                <w:noProof/>
                <w:webHidden/>
              </w:rPr>
              <w:tab/>
            </w:r>
            <w:r>
              <w:rPr>
                <w:noProof/>
                <w:webHidden/>
              </w:rPr>
              <w:fldChar w:fldCharType="begin"/>
            </w:r>
            <w:r>
              <w:rPr>
                <w:noProof/>
                <w:webHidden/>
              </w:rPr>
              <w:instrText xml:space="preserve"> PAGEREF _Toc415749040 \h </w:instrText>
            </w:r>
            <w:r>
              <w:rPr>
                <w:noProof/>
                <w:webHidden/>
              </w:rPr>
            </w:r>
            <w:r>
              <w:rPr>
                <w:noProof/>
                <w:webHidden/>
              </w:rPr>
              <w:fldChar w:fldCharType="separate"/>
            </w:r>
            <w:r>
              <w:rPr>
                <w:noProof/>
                <w:webHidden/>
              </w:rPr>
              <w:t>101</w:t>
            </w:r>
            <w:r>
              <w:rPr>
                <w:noProof/>
                <w:webHidden/>
              </w:rPr>
              <w:fldChar w:fldCharType="end"/>
            </w:r>
          </w:hyperlink>
        </w:p>
        <w:p w:rsidR="008863A0" w:rsidRDefault="008863A0">
          <w:pPr>
            <w:pStyle w:val="TOC2"/>
            <w:tabs>
              <w:tab w:val="left" w:pos="1100"/>
              <w:tab w:val="right" w:leader="dot" w:pos="9350"/>
            </w:tabs>
            <w:rPr>
              <w:rFonts w:asciiTheme="minorHAnsi" w:eastAsiaTheme="minorEastAsia" w:hAnsiTheme="minorHAnsi" w:cstheme="minorBidi"/>
              <w:noProof/>
              <w:sz w:val="22"/>
              <w:szCs w:val="22"/>
            </w:rPr>
          </w:pPr>
          <w:hyperlink w:anchor="_Toc415749041" w:history="1">
            <w:r w:rsidRPr="00361FDA">
              <w:rPr>
                <w:rStyle w:val="Hyperlink"/>
                <w:noProof/>
              </w:rPr>
              <w:t>10.1</w:t>
            </w:r>
            <w:r>
              <w:rPr>
                <w:rFonts w:asciiTheme="minorHAnsi" w:eastAsiaTheme="minorEastAsia" w:hAnsiTheme="minorHAnsi" w:cstheme="minorBidi"/>
                <w:noProof/>
                <w:sz w:val="22"/>
                <w:szCs w:val="22"/>
              </w:rPr>
              <w:tab/>
            </w:r>
            <w:r w:rsidRPr="00361FDA">
              <w:rPr>
                <w:rStyle w:val="Hyperlink"/>
                <w:noProof/>
              </w:rPr>
              <w:t>Commercial Thermostats Overview</w:t>
            </w:r>
            <w:r>
              <w:rPr>
                <w:noProof/>
                <w:webHidden/>
              </w:rPr>
              <w:tab/>
            </w:r>
            <w:r>
              <w:rPr>
                <w:noProof/>
                <w:webHidden/>
              </w:rPr>
              <w:fldChar w:fldCharType="begin"/>
            </w:r>
            <w:r>
              <w:rPr>
                <w:noProof/>
                <w:webHidden/>
              </w:rPr>
              <w:instrText xml:space="preserve"> PAGEREF _Toc415749041 \h </w:instrText>
            </w:r>
            <w:r>
              <w:rPr>
                <w:noProof/>
                <w:webHidden/>
              </w:rPr>
            </w:r>
            <w:r>
              <w:rPr>
                <w:noProof/>
                <w:webHidden/>
              </w:rPr>
              <w:fldChar w:fldCharType="separate"/>
            </w:r>
            <w:r>
              <w:rPr>
                <w:noProof/>
                <w:webHidden/>
              </w:rPr>
              <w:t>101</w:t>
            </w:r>
            <w:r>
              <w:rPr>
                <w:noProof/>
                <w:webHidden/>
              </w:rPr>
              <w:fldChar w:fldCharType="end"/>
            </w:r>
          </w:hyperlink>
        </w:p>
        <w:p w:rsidR="008863A0" w:rsidRDefault="008863A0">
          <w:pPr>
            <w:pStyle w:val="TOC2"/>
            <w:tabs>
              <w:tab w:val="left" w:pos="1100"/>
              <w:tab w:val="right" w:leader="dot" w:pos="9350"/>
            </w:tabs>
            <w:rPr>
              <w:rFonts w:asciiTheme="minorHAnsi" w:eastAsiaTheme="minorEastAsia" w:hAnsiTheme="minorHAnsi" w:cstheme="minorBidi"/>
              <w:noProof/>
              <w:sz w:val="22"/>
              <w:szCs w:val="22"/>
            </w:rPr>
          </w:pPr>
          <w:hyperlink w:anchor="_Toc415749042" w:history="1">
            <w:r w:rsidRPr="00361FDA">
              <w:rPr>
                <w:rStyle w:val="Hyperlink"/>
                <w:noProof/>
              </w:rPr>
              <w:t>10.2</w:t>
            </w:r>
            <w:r>
              <w:rPr>
                <w:rFonts w:asciiTheme="minorHAnsi" w:eastAsiaTheme="minorEastAsia" w:hAnsiTheme="minorHAnsi" w:cstheme="minorBidi"/>
                <w:noProof/>
                <w:sz w:val="22"/>
                <w:szCs w:val="22"/>
              </w:rPr>
              <w:tab/>
            </w:r>
            <w:r w:rsidRPr="00361FDA">
              <w:rPr>
                <w:rStyle w:val="Hyperlink"/>
                <w:noProof/>
              </w:rPr>
              <w:t>Commercial Thermostats Overview</w:t>
            </w:r>
            <w:r>
              <w:rPr>
                <w:noProof/>
                <w:webHidden/>
              </w:rPr>
              <w:tab/>
            </w:r>
            <w:r>
              <w:rPr>
                <w:noProof/>
                <w:webHidden/>
              </w:rPr>
              <w:fldChar w:fldCharType="begin"/>
            </w:r>
            <w:r>
              <w:rPr>
                <w:noProof/>
                <w:webHidden/>
              </w:rPr>
              <w:instrText xml:space="preserve"> PAGEREF _Toc415749042 \h </w:instrText>
            </w:r>
            <w:r>
              <w:rPr>
                <w:noProof/>
                <w:webHidden/>
              </w:rPr>
            </w:r>
            <w:r>
              <w:rPr>
                <w:noProof/>
                <w:webHidden/>
              </w:rPr>
              <w:fldChar w:fldCharType="separate"/>
            </w:r>
            <w:r>
              <w:rPr>
                <w:noProof/>
                <w:webHidden/>
              </w:rPr>
              <w:t>101</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43" w:history="1">
            <w:r w:rsidRPr="00361FDA">
              <w:rPr>
                <w:rStyle w:val="Hyperlink"/>
                <w:noProof/>
                <w14:scene3d>
                  <w14:camera w14:prst="orthographicFront"/>
                  <w14:lightRig w14:rig="threePt" w14:dir="t">
                    <w14:rot w14:lat="0" w14:lon="0" w14:rev="0"/>
                  </w14:lightRig>
                </w14:scene3d>
              </w:rPr>
              <w:t>10.2.1</w:t>
            </w:r>
            <w:r>
              <w:rPr>
                <w:rFonts w:asciiTheme="minorHAnsi" w:eastAsiaTheme="minorEastAsia" w:hAnsiTheme="minorHAnsi" w:cstheme="minorBidi"/>
                <w:noProof/>
                <w:sz w:val="22"/>
                <w:szCs w:val="22"/>
              </w:rPr>
              <w:tab/>
            </w:r>
            <w:r w:rsidRPr="00361FDA">
              <w:rPr>
                <w:rStyle w:val="Hyperlink"/>
                <w:noProof/>
              </w:rPr>
              <w:t>Matched Control Group Methodology – Commercial</w:t>
            </w:r>
            <w:r>
              <w:rPr>
                <w:noProof/>
                <w:webHidden/>
              </w:rPr>
              <w:tab/>
            </w:r>
            <w:r>
              <w:rPr>
                <w:noProof/>
                <w:webHidden/>
              </w:rPr>
              <w:fldChar w:fldCharType="begin"/>
            </w:r>
            <w:r>
              <w:rPr>
                <w:noProof/>
                <w:webHidden/>
              </w:rPr>
              <w:instrText xml:space="preserve"> PAGEREF _Toc415749043 \h </w:instrText>
            </w:r>
            <w:r>
              <w:rPr>
                <w:noProof/>
                <w:webHidden/>
              </w:rPr>
            </w:r>
            <w:r>
              <w:rPr>
                <w:noProof/>
                <w:webHidden/>
              </w:rPr>
              <w:fldChar w:fldCharType="separate"/>
            </w:r>
            <w:r>
              <w:rPr>
                <w:noProof/>
                <w:webHidden/>
              </w:rPr>
              <w:t>101</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44" w:history="1">
            <w:r w:rsidRPr="00361FDA">
              <w:rPr>
                <w:rStyle w:val="Hyperlink"/>
                <w:noProof/>
                <w14:scene3d>
                  <w14:camera w14:prst="orthographicFront"/>
                  <w14:lightRig w14:rig="threePt" w14:dir="t">
                    <w14:rot w14:lat="0" w14:lon="0" w14:rev="0"/>
                  </w14:lightRig>
                </w14:scene3d>
              </w:rPr>
              <w:t>10.2.2</w:t>
            </w:r>
            <w:r>
              <w:rPr>
                <w:rFonts w:asciiTheme="minorHAnsi" w:eastAsiaTheme="minorEastAsia" w:hAnsiTheme="minorHAnsi" w:cstheme="minorBidi"/>
                <w:noProof/>
                <w:sz w:val="22"/>
                <w:szCs w:val="22"/>
              </w:rPr>
              <w:tab/>
            </w:r>
            <w:r w:rsidRPr="00361FDA">
              <w:rPr>
                <w:rStyle w:val="Hyperlink"/>
                <w:noProof/>
              </w:rPr>
              <w:t>Individual Customer Regression Methodology – Residential</w:t>
            </w:r>
            <w:r>
              <w:rPr>
                <w:noProof/>
                <w:webHidden/>
              </w:rPr>
              <w:tab/>
            </w:r>
            <w:r>
              <w:rPr>
                <w:noProof/>
                <w:webHidden/>
              </w:rPr>
              <w:fldChar w:fldCharType="begin"/>
            </w:r>
            <w:r>
              <w:rPr>
                <w:noProof/>
                <w:webHidden/>
              </w:rPr>
              <w:instrText xml:space="preserve"> PAGEREF _Toc415749044 \h </w:instrText>
            </w:r>
            <w:r>
              <w:rPr>
                <w:noProof/>
                <w:webHidden/>
              </w:rPr>
            </w:r>
            <w:r>
              <w:rPr>
                <w:noProof/>
                <w:webHidden/>
              </w:rPr>
              <w:fldChar w:fldCharType="separate"/>
            </w:r>
            <w:r>
              <w:rPr>
                <w:noProof/>
                <w:webHidden/>
              </w:rPr>
              <w:t>102</w:t>
            </w:r>
            <w:r>
              <w:rPr>
                <w:noProof/>
                <w:webHidden/>
              </w:rPr>
              <w:fldChar w:fldCharType="end"/>
            </w:r>
          </w:hyperlink>
        </w:p>
        <w:p w:rsidR="008863A0" w:rsidRDefault="008863A0">
          <w:pPr>
            <w:pStyle w:val="TOC2"/>
            <w:tabs>
              <w:tab w:val="left" w:pos="1100"/>
              <w:tab w:val="right" w:leader="dot" w:pos="9350"/>
            </w:tabs>
            <w:rPr>
              <w:rFonts w:asciiTheme="minorHAnsi" w:eastAsiaTheme="minorEastAsia" w:hAnsiTheme="minorHAnsi" w:cstheme="minorBidi"/>
              <w:noProof/>
              <w:sz w:val="22"/>
              <w:szCs w:val="22"/>
            </w:rPr>
          </w:pPr>
          <w:hyperlink w:anchor="_Toc415749045" w:history="1">
            <w:r w:rsidRPr="00361FDA">
              <w:rPr>
                <w:rStyle w:val="Hyperlink"/>
                <w:noProof/>
              </w:rPr>
              <w:t>10.3</w:t>
            </w:r>
            <w:r>
              <w:rPr>
                <w:rFonts w:asciiTheme="minorHAnsi" w:eastAsiaTheme="minorEastAsia" w:hAnsiTheme="minorHAnsi" w:cstheme="minorBidi"/>
                <w:noProof/>
                <w:sz w:val="22"/>
                <w:szCs w:val="22"/>
              </w:rPr>
              <w:tab/>
            </w:r>
            <w:r w:rsidRPr="00361FDA">
              <w:rPr>
                <w:rStyle w:val="Hyperlink"/>
                <w:noProof/>
              </w:rPr>
              <w:t>Commercial Thermostats Ex Post</w:t>
            </w:r>
            <w:r>
              <w:rPr>
                <w:noProof/>
                <w:webHidden/>
              </w:rPr>
              <w:tab/>
            </w:r>
            <w:r>
              <w:rPr>
                <w:noProof/>
                <w:webHidden/>
              </w:rPr>
              <w:fldChar w:fldCharType="begin"/>
            </w:r>
            <w:r>
              <w:rPr>
                <w:noProof/>
                <w:webHidden/>
              </w:rPr>
              <w:instrText xml:space="preserve"> PAGEREF _Toc415749045 \h </w:instrText>
            </w:r>
            <w:r>
              <w:rPr>
                <w:noProof/>
                <w:webHidden/>
              </w:rPr>
            </w:r>
            <w:r>
              <w:rPr>
                <w:noProof/>
                <w:webHidden/>
              </w:rPr>
              <w:fldChar w:fldCharType="separate"/>
            </w:r>
            <w:r>
              <w:rPr>
                <w:noProof/>
                <w:webHidden/>
              </w:rPr>
              <w:t>103</w:t>
            </w:r>
            <w:r>
              <w:rPr>
                <w:noProof/>
                <w:webHidden/>
              </w:rPr>
              <w:fldChar w:fldCharType="end"/>
            </w:r>
          </w:hyperlink>
        </w:p>
        <w:p w:rsidR="008863A0" w:rsidRDefault="008863A0">
          <w:pPr>
            <w:pStyle w:val="TOC2"/>
            <w:tabs>
              <w:tab w:val="left" w:pos="1100"/>
              <w:tab w:val="right" w:leader="dot" w:pos="9350"/>
            </w:tabs>
            <w:rPr>
              <w:rFonts w:asciiTheme="minorHAnsi" w:eastAsiaTheme="minorEastAsia" w:hAnsiTheme="minorHAnsi" w:cstheme="minorBidi"/>
              <w:noProof/>
              <w:sz w:val="22"/>
              <w:szCs w:val="22"/>
            </w:rPr>
          </w:pPr>
          <w:hyperlink w:anchor="_Toc415749046" w:history="1">
            <w:r w:rsidRPr="00361FDA">
              <w:rPr>
                <w:rStyle w:val="Hyperlink"/>
                <w:noProof/>
              </w:rPr>
              <w:t>10.4</w:t>
            </w:r>
            <w:r>
              <w:rPr>
                <w:rFonts w:asciiTheme="minorHAnsi" w:eastAsiaTheme="minorEastAsia" w:hAnsiTheme="minorHAnsi" w:cstheme="minorBidi"/>
                <w:noProof/>
                <w:sz w:val="22"/>
                <w:szCs w:val="22"/>
              </w:rPr>
              <w:tab/>
            </w:r>
            <w:r w:rsidRPr="00361FDA">
              <w:rPr>
                <w:rStyle w:val="Hyperlink"/>
                <w:noProof/>
              </w:rPr>
              <w:t>Load Impacts for Specific Customer Segments - Commercial</w:t>
            </w:r>
            <w:r>
              <w:rPr>
                <w:noProof/>
                <w:webHidden/>
              </w:rPr>
              <w:tab/>
            </w:r>
            <w:r>
              <w:rPr>
                <w:noProof/>
                <w:webHidden/>
              </w:rPr>
              <w:fldChar w:fldCharType="begin"/>
            </w:r>
            <w:r>
              <w:rPr>
                <w:noProof/>
                <w:webHidden/>
              </w:rPr>
              <w:instrText xml:space="preserve"> PAGEREF _Toc415749046 \h </w:instrText>
            </w:r>
            <w:r>
              <w:rPr>
                <w:noProof/>
                <w:webHidden/>
              </w:rPr>
            </w:r>
            <w:r>
              <w:rPr>
                <w:noProof/>
                <w:webHidden/>
              </w:rPr>
              <w:fldChar w:fldCharType="separate"/>
            </w:r>
            <w:r>
              <w:rPr>
                <w:noProof/>
                <w:webHidden/>
              </w:rPr>
              <w:t>104</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47" w:history="1">
            <w:r w:rsidRPr="00361FDA">
              <w:rPr>
                <w:rStyle w:val="Hyperlink"/>
                <w:noProof/>
                <w14:scene3d>
                  <w14:camera w14:prst="orthographicFront"/>
                  <w14:lightRig w14:rig="threePt" w14:dir="t">
                    <w14:rot w14:lat="0" w14:lon="0" w14:rev="0"/>
                  </w14:lightRig>
                </w14:scene3d>
              </w:rPr>
              <w:t>10.4.1</w:t>
            </w:r>
            <w:r>
              <w:rPr>
                <w:rFonts w:asciiTheme="minorHAnsi" w:eastAsiaTheme="minorEastAsia" w:hAnsiTheme="minorHAnsi" w:cstheme="minorBidi"/>
                <w:noProof/>
                <w:sz w:val="22"/>
                <w:szCs w:val="22"/>
              </w:rPr>
              <w:tab/>
            </w:r>
            <w:r w:rsidRPr="00361FDA">
              <w:rPr>
                <w:rStyle w:val="Hyperlink"/>
                <w:noProof/>
              </w:rPr>
              <w:t>Load Impacts by Climate Zone</w:t>
            </w:r>
            <w:r>
              <w:rPr>
                <w:noProof/>
                <w:webHidden/>
              </w:rPr>
              <w:tab/>
            </w:r>
            <w:r>
              <w:rPr>
                <w:noProof/>
                <w:webHidden/>
              </w:rPr>
              <w:fldChar w:fldCharType="begin"/>
            </w:r>
            <w:r>
              <w:rPr>
                <w:noProof/>
                <w:webHidden/>
              </w:rPr>
              <w:instrText xml:space="preserve"> PAGEREF _Toc415749047 \h </w:instrText>
            </w:r>
            <w:r>
              <w:rPr>
                <w:noProof/>
                <w:webHidden/>
              </w:rPr>
            </w:r>
            <w:r>
              <w:rPr>
                <w:noProof/>
                <w:webHidden/>
              </w:rPr>
              <w:fldChar w:fldCharType="separate"/>
            </w:r>
            <w:r>
              <w:rPr>
                <w:noProof/>
                <w:webHidden/>
              </w:rPr>
              <w:t>104</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48" w:history="1">
            <w:r w:rsidRPr="00361FDA">
              <w:rPr>
                <w:rStyle w:val="Hyperlink"/>
                <w:noProof/>
                <w14:scene3d>
                  <w14:camera w14:prst="orthographicFront"/>
                  <w14:lightRig w14:rig="threePt" w14:dir="t">
                    <w14:rot w14:lat="0" w14:lon="0" w14:rev="0"/>
                  </w14:lightRig>
                </w14:scene3d>
              </w:rPr>
              <w:t>10.4.2</w:t>
            </w:r>
            <w:r>
              <w:rPr>
                <w:rFonts w:asciiTheme="minorHAnsi" w:eastAsiaTheme="minorEastAsia" w:hAnsiTheme="minorHAnsi" w:cstheme="minorBidi"/>
                <w:noProof/>
                <w:sz w:val="22"/>
                <w:szCs w:val="22"/>
              </w:rPr>
              <w:tab/>
            </w:r>
            <w:r w:rsidRPr="00361FDA">
              <w:rPr>
                <w:rStyle w:val="Hyperlink"/>
                <w:noProof/>
              </w:rPr>
              <w:t>Load Impacts by Industry</w:t>
            </w:r>
            <w:r>
              <w:rPr>
                <w:noProof/>
                <w:webHidden/>
              </w:rPr>
              <w:tab/>
            </w:r>
            <w:r>
              <w:rPr>
                <w:noProof/>
                <w:webHidden/>
              </w:rPr>
              <w:fldChar w:fldCharType="begin"/>
            </w:r>
            <w:r>
              <w:rPr>
                <w:noProof/>
                <w:webHidden/>
              </w:rPr>
              <w:instrText xml:space="preserve"> PAGEREF _Toc415749048 \h </w:instrText>
            </w:r>
            <w:r>
              <w:rPr>
                <w:noProof/>
                <w:webHidden/>
              </w:rPr>
            </w:r>
            <w:r>
              <w:rPr>
                <w:noProof/>
                <w:webHidden/>
              </w:rPr>
              <w:fldChar w:fldCharType="separate"/>
            </w:r>
            <w:r>
              <w:rPr>
                <w:noProof/>
                <w:webHidden/>
              </w:rPr>
              <w:t>105</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49" w:history="1">
            <w:r w:rsidRPr="00361FDA">
              <w:rPr>
                <w:rStyle w:val="Hyperlink"/>
                <w:noProof/>
                <w14:scene3d>
                  <w14:camera w14:prst="orthographicFront"/>
                  <w14:lightRig w14:rig="threePt" w14:dir="t">
                    <w14:rot w14:lat="0" w14:lon="0" w14:rev="0"/>
                  </w14:lightRig>
                </w14:scene3d>
              </w:rPr>
              <w:t>10.4.3</w:t>
            </w:r>
            <w:r>
              <w:rPr>
                <w:rFonts w:asciiTheme="minorHAnsi" w:eastAsiaTheme="minorEastAsia" w:hAnsiTheme="minorHAnsi" w:cstheme="minorBidi"/>
                <w:noProof/>
                <w:sz w:val="22"/>
                <w:szCs w:val="22"/>
              </w:rPr>
              <w:tab/>
            </w:r>
            <w:r w:rsidRPr="00361FDA">
              <w:rPr>
                <w:rStyle w:val="Hyperlink"/>
                <w:noProof/>
              </w:rPr>
              <w:t>Load Impacts by Cycling Strategy</w:t>
            </w:r>
            <w:r>
              <w:rPr>
                <w:noProof/>
                <w:webHidden/>
              </w:rPr>
              <w:tab/>
            </w:r>
            <w:r>
              <w:rPr>
                <w:noProof/>
                <w:webHidden/>
              </w:rPr>
              <w:fldChar w:fldCharType="begin"/>
            </w:r>
            <w:r>
              <w:rPr>
                <w:noProof/>
                <w:webHidden/>
              </w:rPr>
              <w:instrText xml:space="preserve"> PAGEREF _Toc415749049 \h </w:instrText>
            </w:r>
            <w:r>
              <w:rPr>
                <w:noProof/>
                <w:webHidden/>
              </w:rPr>
            </w:r>
            <w:r>
              <w:rPr>
                <w:noProof/>
                <w:webHidden/>
              </w:rPr>
              <w:fldChar w:fldCharType="separate"/>
            </w:r>
            <w:r>
              <w:rPr>
                <w:noProof/>
                <w:webHidden/>
              </w:rPr>
              <w:t>106</w:t>
            </w:r>
            <w:r>
              <w:rPr>
                <w:noProof/>
                <w:webHidden/>
              </w:rPr>
              <w:fldChar w:fldCharType="end"/>
            </w:r>
          </w:hyperlink>
        </w:p>
        <w:p w:rsidR="008863A0" w:rsidRDefault="008863A0">
          <w:pPr>
            <w:pStyle w:val="TOC3"/>
            <w:tabs>
              <w:tab w:val="left" w:pos="1320"/>
              <w:tab w:val="right" w:leader="dot" w:pos="9350"/>
            </w:tabs>
            <w:rPr>
              <w:rFonts w:asciiTheme="minorHAnsi" w:eastAsiaTheme="minorEastAsia" w:hAnsiTheme="minorHAnsi" w:cstheme="minorBidi"/>
              <w:noProof/>
              <w:sz w:val="22"/>
              <w:szCs w:val="22"/>
            </w:rPr>
          </w:pPr>
          <w:hyperlink w:anchor="_Toc415749050" w:history="1">
            <w:r w:rsidRPr="00361FDA">
              <w:rPr>
                <w:rStyle w:val="Hyperlink"/>
                <w:noProof/>
                <w14:scene3d>
                  <w14:camera w14:prst="orthographicFront"/>
                  <w14:lightRig w14:rig="threePt" w14:dir="t">
                    <w14:rot w14:lat="0" w14:lon="0" w14:rev="0"/>
                  </w14:lightRig>
                </w14:scene3d>
              </w:rPr>
              <w:t>10.4.4</w:t>
            </w:r>
            <w:r>
              <w:rPr>
                <w:rFonts w:asciiTheme="minorHAnsi" w:eastAsiaTheme="minorEastAsia" w:hAnsiTheme="minorHAnsi" w:cstheme="minorBidi"/>
                <w:noProof/>
                <w:sz w:val="22"/>
                <w:szCs w:val="22"/>
              </w:rPr>
              <w:tab/>
            </w:r>
            <w:r w:rsidRPr="00361FDA">
              <w:rPr>
                <w:rStyle w:val="Hyperlink"/>
                <w:noProof/>
              </w:rPr>
              <w:t>Load Impacts by Source</w:t>
            </w:r>
            <w:r>
              <w:rPr>
                <w:noProof/>
                <w:webHidden/>
              </w:rPr>
              <w:tab/>
            </w:r>
            <w:r>
              <w:rPr>
                <w:noProof/>
                <w:webHidden/>
              </w:rPr>
              <w:fldChar w:fldCharType="begin"/>
            </w:r>
            <w:r>
              <w:rPr>
                <w:noProof/>
                <w:webHidden/>
              </w:rPr>
              <w:instrText xml:space="preserve"> PAGEREF _Toc415749050 \h </w:instrText>
            </w:r>
            <w:r>
              <w:rPr>
                <w:noProof/>
                <w:webHidden/>
              </w:rPr>
            </w:r>
            <w:r>
              <w:rPr>
                <w:noProof/>
                <w:webHidden/>
              </w:rPr>
              <w:fldChar w:fldCharType="separate"/>
            </w:r>
            <w:r>
              <w:rPr>
                <w:noProof/>
                <w:webHidden/>
              </w:rPr>
              <w:t>106</w:t>
            </w:r>
            <w:r>
              <w:rPr>
                <w:noProof/>
                <w:webHidden/>
              </w:rPr>
              <w:fldChar w:fldCharType="end"/>
            </w:r>
          </w:hyperlink>
        </w:p>
        <w:p w:rsidR="008863A0" w:rsidRDefault="008863A0">
          <w:pPr>
            <w:pStyle w:val="TOC2"/>
            <w:tabs>
              <w:tab w:val="left" w:pos="1100"/>
              <w:tab w:val="right" w:leader="dot" w:pos="9350"/>
            </w:tabs>
            <w:rPr>
              <w:rFonts w:asciiTheme="minorHAnsi" w:eastAsiaTheme="minorEastAsia" w:hAnsiTheme="minorHAnsi" w:cstheme="minorBidi"/>
              <w:noProof/>
              <w:sz w:val="22"/>
              <w:szCs w:val="22"/>
            </w:rPr>
          </w:pPr>
          <w:hyperlink w:anchor="_Toc415749051" w:history="1">
            <w:r w:rsidRPr="00361FDA">
              <w:rPr>
                <w:rStyle w:val="Hyperlink"/>
                <w:noProof/>
              </w:rPr>
              <w:t>10.5</w:t>
            </w:r>
            <w:r>
              <w:rPr>
                <w:rFonts w:asciiTheme="minorHAnsi" w:eastAsiaTheme="minorEastAsia" w:hAnsiTheme="minorHAnsi" w:cstheme="minorBidi"/>
                <w:noProof/>
                <w:sz w:val="22"/>
                <w:szCs w:val="22"/>
              </w:rPr>
              <w:tab/>
            </w:r>
            <w:r w:rsidRPr="00361FDA">
              <w:rPr>
                <w:rStyle w:val="Hyperlink"/>
                <w:noProof/>
              </w:rPr>
              <w:t>Ex Ante Methodology and Results</w:t>
            </w:r>
            <w:r>
              <w:rPr>
                <w:noProof/>
                <w:webHidden/>
              </w:rPr>
              <w:tab/>
            </w:r>
            <w:r>
              <w:rPr>
                <w:noProof/>
                <w:webHidden/>
              </w:rPr>
              <w:fldChar w:fldCharType="begin"/>
            </w:r>
            <w:r>
              <w:rPr>
                <w:noProof/>
                <w:webHidden/>
              </w:rPr>
              <w:instrText xml:space="preserve"> PAGEREF _Toc415749051 \h </w:instrText>
            </w:r>
            <w:r>
              <w:rPr>
                <w:noProof/>
                <w:webHidden/>
              </w:rPr>
            </w:r>
            <w:r>
              <w:rPr>
                <w:noProof/>
                <w:webHidden/>
              </w:rPr>
              <w:fldChar w:fldCharType="separate"/>
            </w:r>
            <w:r>
              <w:rPr>
                <w:noProof/>
                <w:webHidden/>
              </w:rPr>
              <w:t>107</w:t>
            </w:r>
            <w:r>
              <w:rPr>
                <w:noProof/>
                <w:webHidden/>
              </w:rPr>
              <w:fldChar w:fldCharType="end"/>
            </w:r>
          </w:hyperlink>
        </w:p>
        <w:p w:rsidR="008863A0" w:rsidRDefault="008863A0">
          <w:pPr>
            <w:pStyle w:val="TOC2"/>
            <w:tabs>
              <w:tab w:val="left" w:pos="1100"/>
              <w:tab w:val="right" w:leader="dot" w:pos="9350"/>
            </w:tabs>
            <w:rPr>
              <w:rFonts w:asciiTheme="minorHAnsi" w:eastAsiaTheme="minorEastAsia" w:hAnsiTheme="minorHAnsi" w:cstheme="minorBidi"/>
              <w:noProof/>
              <w:sz w:val="22"/>
              <w:szCs w:val="22"/>
            </w:rPr>
          </w:pPr>
          <w:hyperlink w:anchor="_Toc415749052" w:history="1">
            <w:r w:rsidRPr="00361FDA">
              <w:rPr>
                <w:rStyle w:val="Hyperlink"/>
                <w:noProof/>
              </w:rPr>
              <w:t>10.6</w:t>
            </w:r>
            <w:r>
              <w:rPr>
                <w:rFonts w:asciiTheme="minorHAnsi" w:eastAsiaTheme="minorEastAsia" w:hAnsiTheme="minorHAnsi" w:cstheme="minorBidi"/>
                <w:noProof/>
                <w:sz w:val="22"/>
                <w:szCs w:val="22"/>
              </w:rPr>
              <w:tab/>
            </w:r>
            <w:r w:rsidRPr="00361FDA">
              <w:rPr>
                <w:rStyle w:val="Hyperlink"/>
                <w:noProof/>
              </w:rPr>
              <w:t>Ex Ante Estimation Methodology</w:t>
            </w:r>
            <w:r>
              <w:rPr>
                <w:noProof/>
                <w:webHidden/>
              </w:rPr>
              <w:tab/>
            </w:r>
            <w:r>
              <w:rPr>
                <w:noProof/>
                <w:webHidden/>
              </w:rPr>
              <w:fldChar w:fldCharType="begin"/>
            </w:r>
            <w:r>
              <w:rPr>
                <w:noProof/>
                <w:webHidden/>
              </w:rPr>
              <w:instrText xml:space="preserve"> PAGEREF _Toc415749052 \h </w:instrText>
            </w:r>
            <w:r>
              <w:rPr>
                <w:noProof/>
                <w:webHidden/>
              </w:rPr>
            </w:r>
            <w:r>
              <w:rPr>
                <w:noProof/>
                <w:webHidden/>
              </w:rPr>
              <w:fldChar w:fldCharType="separate"/>
            </w:r>
            <w:r>
              <w:rPr>
                <w:noProof/>
                <w:webHidden/>
              </w:rPr>
              <w:t>107</w:t>
            </w:r>
            <w:r>
              <w:rPr>
                <w:noProof/>
                <w:webHidden/>
              </w:rPr>
              <w:fldChar w:fldCharType="end"/>
            </w:r>
          </w:hyperlink>
        </w:p>
        <w:p w:rsidR="008863A0" w:rsidRDefault="008863A0">
          <w:pPr>
            <w:pStyle w:val="TOC2"/>
            <w:tabs>
              <w:tab w:val="left" w:pos="1100"/>
              <w:tab w:val="right" w:leader="dot" w:pos="9350"/>
            </w:tabs>
            <w:rPr>
              <w:rFonts w:asciiTheme="minorHAnsi" w:eastAsiaTheme="minorEastAsia" w:hAnsiTheme="minorHAnsi" w:cstheme="minorBidi"/>
              <w:noProof/>
              <w:sz w:val="22"/>
              <w:szCs w:val="22"/>
            </w:rPr>
          </w:pPr>
          <w:hyperlink w:anchor="_Toc415749053" w:history="1">
            <w:r w:rsidRPr="00361FDA">
              <w:rPr>
                <w:rStyle w:val="Hyperlink"/>
                <w:noProof/>
              </w:rPr>
              <w:t>10.7</w:t>
            </w:r>
            <w:r>
              <w:rPr>
                <w:rFonts w:asciiTheme="minorHAnsi" w:eastAsiaTheme="minorEastAsia" w:hAnsiTheme="minorHAnsi" w:cstheme="minorBidi"/>
                <w:noProof/>
                <w:sz w:val="22"/>
                <w:szCs w:val="22"/>
              </w:rPr>
              <w:tab/>
            </w:r>
            <w:r w:rsidRPr="00361FDA">
              <w:rPr>
                <w:rStyle w:val="Hyperlink"/>
                <w:noProof/>
              </w:rPr>
              <w:t>Estimating Ex Ante Weather Conditions</w:t>
            </w:r>
            <w:r>
              <w:rPr>
                <w:noProof/>
                <w:webHidden/>
              </w:rPr>
              <w:tab/>
            </w:r>
            <w:r>
              <w:rPr>
                <w:noProof/>
                <w:webHidden/>
              </w:rPr>
              <w:fldChar w:fldCharType="begin"/>
            </w:r>
            <w:r>
              <w:rPr>
                <w:noProof/>
                <w:webHidden/>
              </w:rPr>
              <w:instrText xml:space="preserve"> PAGEREF _Toc415749053 \h </w:instrText>
            </w:r>
            <w:r>
              <w:rPr>
                <w:noProof/>
                <w:webHidden/>
              </w:rPr>
            </w:r>
            <w:r>
              <w:rPr>
                <w:noProof/>
                <w:webHidden/>
              </w:rPr>
              <w:fldChar w:fldCharType="separate"/>
            </w:r>
            <w:r>
              <w:rPr>
                <w:noProof/>
                <w:webHidden/>
              </w:rPr>
              <w:t>109</w:t>
            </w:r>
            <w:r>
              <w:rPr>
                <w:noProof/>
                <w:webHidden/>
              </w:rPr>
              <w:fldChar w:fldCharType="end"/>
            </w:r>
          </w:hyperlink>
        </w:p>
        <w:p w:rsidR="008863A0" w:rsidRDefault="008863A0">
          <w:pPr>
            <w:pStyle w:val="TOC2"/>
            <w:tabs>
              <w:tab w:val="left" w:pos="1100"/>
              <w:tab w:val="right" w:leader="dot" w:pos="9350"/>
            </w:tabs>
            <w:rPr>
              <w:rFonts w:asciiTheme="minorHAnsi" w:eastAsiaTheme="minorEastAsia" w:hAnsiTheme="minorHAnsi" w:cstheme="minorBidi"/>
              <w:noProof/>
              <w:sz w:val="22"/>
              <w:szCs w:val="22"/>
            </w:rPr>
          </w:pPr>
          <w:hyperlink w:anchor="_Toc415749054" w:history="1">
            <w:r w:rsidRPr="00361FDA">
              <w:rPr>
                <w:rStyle w:val="Hyperlink"/>
                <w:noProof/>
              </w:rPr>
              <w:t>10.8</w:t>
            </w:r>
            <w:r>
              <w:rPr>
                <w:rFonts w:asciiTheme="minorHAnsi" w:eastAsiaTheme="minorEastAsia" w:hAnsiTheme="minorHAnsi" w:cstheme="minorBidi"/>
                <w:noProof/>
                <w:sz w:val="22"/>
                <w:szCs w:val="22"/>
              </w:rPr>
              <w:tab/>
            </w:r>
            <w:r w:rsidRPr="00361FDA">
              <w:rPr>
                <w:rStyle w:val="Hyperlink"/>
                <w:noProof/>
              </w:rPr>
              <w:t>Ex Ante Load Impact Results</w:t>
            </w:r>
            <w:r>
              <w:rPr>
                <w:noProof/>
                <w:webHidden/>
              </w:rPr>
              <w:tab/>
            </w:r>
            <w:r>
              <w:rPr>
                <w:noProof/>
                <w:webHidden/>
              </w:rPr>
              <w:fldChar w:fldCharType="begin"/>
            </w:r>
            <w:r>
              <w:rPr>
                <w:noProof/>
                <w:webHidden/>
              </w:rPr>
              <w:instrText xml:space="preserve"> PAGEREF _Toc415749054 \h </w:instrText>
            </w:r>
            <w:r>
              <w:rPr>
                <w:noProof/>
                <w:webHidden/>
              </w:rPr>
            </w:r>
            <w:r>
              <w:rPr>
                <w:noProof/>
                <w:webHidden/>
              </w:rPr>
              <w:fldChar w:fldCharType="separate"/>
            </w:r>
            <w:r>
              <w:rPr>
                <w:noProof/>
                <w:webHidden/>
              </w:rPr>
              <w:t>111</w:t>
            </w:r>
            <w:r>
              <w:rPr>
                <w:noProof/>
                <w:webHidden/>
              </w:rPr>
              <w:fldChar w:fldCharType="end"/>
            </w:r>
          </w:hyperlink>
        </w:p>
        <w:p w:rsidR="008863A0" w:rsidRDefault="008863A0">
          <w:pPr>
            <w:pStyle w:val="TOC2"/>
            <w:tabs>
              <w:tab w:val="left" w:pos="1100"/>
              <w:tab w:val="right" w:leader="dot" w:pos="9350"/>
            </w:tabs>
            <w:rPr>
              <w:rFonts w:asciiTheme="minorHAnsi" w:eastAsiaTheme="minorEastAsia" w:hAnsiTheme="minorHAnsi" w:cstheme="minorBidi"/>
              <w:noProof/>
              <w:sz w:val="22"/>
              <w:szCs w:val="22"/>
            </w:rPr>
          </w:pPr>
          <w:hyperlink w:anchor="_Toc415749055" w:history="1">
            <w:r w:rsidRPr="00361FDA">
              <w:rPr>
                <w:rStyle w:val="Hyperlink"/>
                <w:noProof/>
              </w:rPr>
              <w:t>10.9</w:t>
            </w:r>
            <w:r>
              <w:rPr>
                <w:rFonts w:asciiTheme="minorHAnsi" w:eastAsiaTheme="minorEastAsia" w:hAnsiTheme="minorHAnsi" w:cstheme="minorBidi"/>
                <w:noProof/>
                <w:sz w:val="22"/>
                <w:szCs w:val="22"/>
              </w:rPr>
              <w:tab/>
            </w:r>
            <w:r w:rsidRPr="00361FDA">
              <w:rPr>
                <w:rStyle w:val="Hyperlink"/>
                <w:noProof/>
              </w:rPr>
              <w:t>Relationship Between Ex Post and Ex Ante Estimates</w:t>
            </w:r>
            <w:r>
              <w:rPr>
                <w:noProof/>
                <w:webHidden/>
              </w:rPr>
              <w:tab/>
            </w:r>
            <w:r>
              <w:rPr>
                <w:noProof/>
                <w:webHidden/>
              </w:rPr>
              <w:fldChar w:fldCharType="begin"/>
            </w:r>
            <w:r>
              <w:rPr>
                <w:noProof/>
                <w:webHidden/>
              </w:rPr>
              <w:instrText xml:space="preserve"> PAGEREF _Toc415749055 \h </w:instrText>
            </w:r>
            <w:r>
              <w:rPr>
                <w:noProof/>
                <w:webHidden/>
              </w:rPr>
            </w:r>
            <w:r>
              <w:rPr>
                <w:noProof/>
                <w:webHidden/>
              </w:rPr>
              <w:fldChar w:fldCharType="separate"/>
            </w:r>
            <w:r>
              <w:rPr>
                <w:noProof/>
                <w:webHidden/>
              </w:rPr>
              <w:t>113</w:t>
            </w:r>
            <w:r>
              <w:rPr>
                <w:noProof/>
                <w:webHidden/>
              </w:rPr>
              <w:fldChar w:fldCharType="end"/>
            </w:r>
          </w:hyperlink>
        </w:p>
        <w:p w:rsidR="009A3B18" w:rsidRDefault="003A2CE9">
          <w:r>
            <w:fldChar w:fldCharType="end"/>
          </w:r>
        </w:p>
      </w:sdtContent>
    </w:sdt>
    <w:p w:rsidR="004725D8" w:rsidRDefault="004725D8"/>
    <w:p w:rsidR="004725D8" w:rsidRDefault="004725D8"/>
    <w:p w:rsidR="005B31B2" w:rsidRDefault="005B31B2">
      <w:r>
        <w:br w:type="page"/>
      </w:r>
    </w:p>
    <w:p w:rsidR="00AF3CE7" w:rsidRPr="0006541F" w:rsidRDefault="00AF3CE7" w:rsidP="0006541F">
      <w:pPr>
        <w:pStyle w:val="Heading1"/>
        <w:spacing w:after="0" w:line="276" w:lineRule="auto"/>
        <w:rPr>
          <w:rFonts w:ascii="Times New Roman" w:hAnsi="Times New Roman" w:cs="Times New Roman"/>
          <w:color w:val="000000" w:themeColor="text1"/>
        </w:rPr>
      </w:pPr>
      <w:bookmarkStart w:id="1" w:name="_Toc259624181"/>
      <w:bookmarkStart w:id="2" w:name="_Toc259624182"/>
      <w:bookmarkStart w:id="3" w:name="_Toc259628865"/>
      <w:bookmarkStart w:id="4" w:name="_Toc289248340"/>
      <w:bookmarkStart w:id="5" w:name="_Toc351990558"/>
      <w:bookmarkStart w:id="6" w:name="_Toc352084135"/>
      <w:bookmarkStart w:id="7" w:name="_Toc415748948"/>
      <w:r w:rsidRPr="0027426A">
        <w:rPr>
          <w:rFonts w:ascii="Times New Roman" w:hAnsi="Times New Roman" w:cs="Times New Roman"/>
          <w:color w:val="000000" w:themeColor="text1"/>
        </w:rPr>
        <w:lastRenderedPageBreak/>
        <w:t>SDG&amp;E’s 2014 Load Impact Executive Summary Background</w:t>
      </w:r>
      <w:bookmarkEnd w:id="7"/>
    </w:p>
    <w:p w:rsidR="00AF3CE7" w:rsidRPr="0006541F" w:rsidRDefault="00AF3CE7" w:rsidP="0027426A">
      <w:pPr>
        <w:spacing w:line="276" w:lineRule="auto"/>
        <w:ind w:firstLine="360"/>
        <w:jc w:val="both"/>
        <w:rPr>
          <w:rFonts w:cs="BookAntiqua"/>
          <w:color w:val="000000" w:themeColor="text1"/>
          <w:szCs w:val="26"/>
        </w:rPr>
      </w:pPr>
    </w:p>
    <w:bookmarkEnd w:id="1"/>
    <w:bookmarkEnd w:id="2"/>
    <w:bookmarkEnd w:id="3"/>
    <w:bookmarkEnd w:id="4"/>
    <w:bookmarkEnd w:id="5"/>
    <w:bookmarkEnd w:id="6"/>
    <w:p w:rsidR="008626D1" w:rsidRDefault="008626D1" w:rsidP="008626D1">
      <w:pPr>
        <w:spacing w:line="276" w:lineRule="auto"/>
        <w:ind w:firstLine="360"/>
        <w:jc w:val="both"/>
        <w:rPr>
          <w:color w:val="000000"/>
        </w:rPr>
      </w:pPr>
      <w:r>
        <w:rPr>
          <w:color w:val="000000"/>
        </w:rPr>
        <w:t>In Decision (D.) 08-04-050 the Commission required the investor owned utilities (IOUs) - San Diego Gas &amp; Electric Company (SDG&amp;E), Southern California Edison (SCE) and Pacific Gas and Electric (PG&amp;E) to perform annual studies of its demand response (DR) activities in accordance with the load impact protocols and to file the load impact reports by April 1st each year. The load impact protocols require the preparation of a voluminous amount of tables that resulted in the load impact reports being too large to be filed in hard copy.  On April 6</w:t>
      </w:r>
      <w:r>
        <w:rPr>
          <w:color w:val="000000"/>
          <w:vertAlign w:val="superscript"/>
        </w:rPr>
        <w:t>th</w:t>
      </w:r>
      <w:r>
        <w:rPr>
          <w:color w:val="000000"/>
        </w:rPr>
        <w:t xml:space="preserve"> 2009 the investor owned utilities (IOUs) filed a petition to modify D.08-41-050.  The petition asked for two things:  1) the removal of the requirement to file the load impact reports in their entirety and 2) to provide the reports to the energy division of the CPUC.  On April 8th 2010 D.10-04-006 granted the utilities requests, which meant that they were not required to file the load impact reports in their entirety.  This new decision also directed the utilities to file an executive summary of the load impact reports.</w:t>
      </w:r>
    </w:p>
    <w:p w:rsidR="008626D1" w:rsidRDefault="008626D1" w:rsidP="009551BC">
      <w:pPr>
        <w:spacing w:line="276" w:lineRule="auto"/>
        <w:ind w:firstLine="360"/>
        <w:jc w:val="both"/>
        <w:rPr>
          <w:rFonts w:cs="BookAntiqua"/>
          <w:color w:val="000000" w:themeColor="text1"/>
          <w:szCs w:val="26"/>
        </w:rPr>
      </w:pPr>
    </w:p>
    <w:p w:rsidR="008626D1" w:rsidRPr="004463A2" w:rsidRDefault="008626D1" w:rsidP="009551BC">
      <w:pPr>
        <w:spacing w:line="276" w:lineRule="auto"/>
        <w:ind w:firstLine="360"/>
        <w:jc w:val="both"/>
        <w:rPr>
          <w:rFonts w:cs="BookAntiqua"/>
          <w:color w:val="000000" w:themeColor="text1"/>
          <w:szCs w:val="26"/>
        </w:rPr>
      </w:pPr>
    </w:p>
    <w:p w:rsidR="00ED7741" w:rsidRPr="004463A2" w:rsidRDefault="006951A1" w:rsidP="009551BC">
      <w:pPr>
        <w:spacing w:line="276" w:lineRule="auto"/>
        <w:ind w:firstLine="360"/>
        <w:jc w:val="both"/>
        <w:rPr>
          <w:rFonts w:cs="BookAntiqua"/>
          <w:color w:val="000000" w:themeColor="text1"/>
          <w:szCs w:val="26"/>
        </w:rPr>
      </w:pPr>
      <w:r w:rsidRPr="004463A2">
        <w:rPr>
          <w:rFonts w:cs="BookAntiqua"/>
          <w:color w:val="000000" w:themeColor="text1"/>
          <w:szCs w:val="26"/>
        </w:rPr>
        <w:t xml:space="preserve">SDG&amp;E submits this executive summary in accordance with D.10-04-006.   This report contains a summary of the ex-post and ex-ante load impacts of the SDG&amp;E Capacity Bidding Program (CBP), Critical Peak Pricing Default (CPP-D), Base Interruptible Program (BIP), Demand Bidding Program (DBP), Summer Saver program, </w:t>
      </w:r>
      <w:r w:rsidR="00250FFB">
        <w:rPr>
          <w:rFonts w:cs="BookAntiqua"/>
          <w:color w:val="000000" w:themeColor="text1"/>
          <w:szCs w:val="26"/>
        </w:rPr>
        <w:t>Residential</w:t>
      </w:r>
      <w:r w:rsidR="00037E3D" w:rsidRPr="004463A2">
        <w:rPr>
          <w:rFonts w:cs="BookAntiqua"/>
          <w:color w:val="000000" w:themeColor="text1"/>
          <w:szCs w:val="26"/>
        </w:rPr>
        <w:t xml:space="preserve"> </w:t>
      </w:r>
      <w:r w:rsidRPr="004463A2">
        <w:rPr>
          <w:rFonts w:cs="BookAntiqua"/>
          <w:color w:val="000000" w:themeColor="text1"/>
          <w:szCs w:val="26"/>
        </w:rPr>
        <w:t xml:space="preserve">Peak Time Rebate Program </w:t>
      </w:r>
      <w:r w:rsidR="00250FFB">
        <w:rPr>
          <w:rFonts w:cs="BookAntiqua"/>
          <w:color w:val="000000" w:themeColor="text1"/>
          <w:szCs w:val="26"/>
        </w:rPr>
        <w:t>and S</w:t>
      </w:r>
      <w:r w:rsidRPr="004463A2">
        <w:rPr>
          <w:rFonts w:cs="BookAntiqua"/>
          <w:color w:val="000000" w:themeColor="text1"/>
          <w:szCs w:val="26"/>
        </w:rPr>
        <w:t xml:space="preserve">mall </w:t>
      </w:r>
      <w:r w:rsidR="00250FFB">
        <w:rPr>
          <w:rFonts w:cs="BookAntiqua"/>
          <w:color w:val="000000" w:themeColor="text1"/>
          <w:szCs w:val="26"/>
        </w:rPr>
        <w:t>C</w:t>
      </w:r>
      <w:r w:rsidRPr="004463A2">
        <w:rPr>
          <w:rFonts w:cs="BookAntiqua"/>
          <w:color w:val="000000" w:themeColor="text1"/>
          <w:szCs w:val="26"/>
        </w:rPr>
        <w:t xml:space="preserve">ommercial </w:t>
      </w:r>
      <w:r w:rsidR="00250FFB">
        <w:rPr>
          <w:rFonts w:cs="BookAntiqua"/>
          <w:color w:val="000000" w:themeColor="text1"/>
          <w:szCs w:val="26"/>
        </w:rPr>
        <w:t>T</w:t>
      </w:r>
      <w:r w:rsidRPr="004463A2">
        <w:rPr>
          <w:rFonts w:cs="BookAntiqua"/>
          <w:color w:val="000000" w:themeColor="text1"/>
          <w:szCs w:val="26"/>
        </w:rPr>
        <w:t>echnology deployment program (SCTD), Permanent Load Shifting program (PLS)</w:t>
      </w:r>
      <w:r w:rsidR="00250FFB">
        <w:rPr>
          <w:rFonts w:cs="BookAntiqua"/>
          <w:color w:val="000000" w:themeColor="text1"/>
          <w:szCs w:val="26"/>
        </w:rPr>
        <w:t>, Non-Residential SPP Rates, and Commercial Thermostat Program</w:t>
      </w:r>
      <w:r w:rsidRPr="004463A2">
        <w:rPr>
          <w:rFonts w:cs="BookAntiqua"/>
          <w:color w:val="000000" w:themeColor="text1"/>
          <w:szCs w:val="26"/>
        </w:rPr>
        <w:t>. This report includes a summary of the ex-ante forecasts for these new demand response activities. The summary ex-ante tables that include the 1</w:t>
      </w:r>
      <w:r w:rsidR="009712EE" w:rsidRPr="004463A2">
        <w:rPr>
          <w:rFonts w:cs="BookAntiqua"/>
          <w:color w:val="000000" w:themeColor="text1"/>
          <w:szCs w:val="26"/>
        </w:rPr>
        <w:t>2</w:t>
      </w:r>
      <w:r w:rsidRPr="004463A2">
        <w:rPr>
          <w:rFonts w:cs="BookAntiqua"/>
          <w:color w:val="000000" w:themeColor="text1"/>
          <w:szCs w:val="26"/>
        </w:rPr>
        <w:t xml:space="preserve">-year forecast </w:t>
      </w:r>
      <w:r w:rsidR="007F4E89" w:rsidRPr="004463A2">
        <w:rPr>
          <w:rFonts w:cs="BookAntiqua"/>
          <w:color w:val="000000" w:themeColor="text1"/>
          <w:szCs w:val="26"/>
        </w:rPr>
        <w:t>(from 201</w:t>
      </w:r>
      <w:r w:rsidR="00F62507">
        <w:rPr>
          <w:rFonts w:cs="BookAntiqua"/>
          <w:color w:val="000000" w:themeColor="text1"/>
          <w:szCs w:val="26"/>
        </w:rPr>
        <w:t>4</w:t>
      </w:r>
      <w:r w:rsidR="007F4E89" w:rsidRPr="004463A2">
        <w:rPr>
          <w:rFonts w:cs="BookAntiqua"/>
          <w:color w:val="000000" w:themeColor="text1"/>
          <w:szCs w:val="26"/>
        </w:rPr>
        <w:t xml:space="preserve"> through 202</w:t>
      </w:r>
      <w:r w:rsidR="00F62507">
        <w:rPr>
          <w:rFonts w:cs="BookAntiqua"/>
          <w:color w:val="000000" w:themeColor="text1"/>
          <w:szCs w:val="26"/>
        </w:rPr>
        <w:t>5</w:t>
      </w:r>
      <w:r w:rsidR="007F4E89" w:rsidRPr="004463A2">
        <w:rPr>
          <w:rFonts w:cs="BookAntiqua"/>
          <w:color w:val="000000" w:themeColor="text1"/>
          <w:szCs w:val="26"/>
        </w:rPr>
        <w:t xml:space="preserve">) </w:t>
      </w:r>
      <w:r w:rsidRPr="004463A2">
        <w:rPr>
          <w:rFonts w:cs="BookAntiqua"/>
          <w:color w:val="000000" w:themeColor="text1"/>
          <w:szCs w:val="26"/>
        </w:rPr>
        <w:t>for the 1 in 2 individual program scenario, the 1 in 2 portfolio scenario, the 1 in 10 individual program scenario, and the 1 in 10 portfolio scenario are provided in a separate document named Appendix A.</w:t>
      </w:r>
      <w:r w:rsidR="009712EE" w:rsidRPr="004463A2">
        <w:rPr>
          <w:rFonts w:cs="BookAntiqua"/>
          <w:color w:val="000000" w:themeColor="text1"/>
          <w:szCs w:val="26"/>
        </w:rPr>
        <w:t xml:space="preserve"> The ex-ante starts in 201</w:t>
      </w:r>
      <w:r w:rsidR="00F62507">
        <w:rPr>
          <w:rFonts w:cs="BookAntiqua"/>
          <w:color w:val="000000" w:themeColor="text1"/>
          <w:szCs w:val="26"/>
        </w:rPr>
        <w:t>4</w:t>
      </w:r>
      <w:r w:rsidR="009712EE" w:rsidRPr="004463A2">
        <w:rPr>
          <w:rFonts w:cs="BookAntiqua"/>
          <w:color w:val="000000" w:themeColor="text1"/>
          <w:szCs w:val="26"/>
        </w:rPr>
        <w:t xml:space="preserve"> for the purpose of ex-post and ex-ante comparison.</w:t>
      </w:r>
    </w:p>
    <w:p w:rsidR="00317731" w:rsidRPr="004463A2" w:rsidRDefault="006951A1" w:rsidP="009551BC">
      <w:pPr>
        <w:spacing w:line="276" w:lineRule="auto"/>
        <w:ind w:firstLine="360"/>
        <w:jc w:val="both"/>
        <w:rPr>
          <w:rFonts w:cs="BookAntiqua"/>
          <w:color w:val="000000" w:themeColor="text1"/>
          <w:szCs w:val="26"/>
        </w:rPr>
      </w:pPr>
      <w:r w:rsidRPr="004463A2">
        <w:rPr>
          <w:rFonts w:cs="BookAntiqua"/>
          <w:color w:val="000000" w:themeColor="text1"/>
          <w:szCs w:val="26"/>
        </w:rPr>
        <w:t>Note that all ex-ante summaries in this report are average results for the current RA hours of 1pm-6pm in the summer (Apr-Oct) and 4pm-9pm all other months. The RA hours may change in future years as more renewable generation comes online but this report uses current RA hours.</w:t>
      </w:r>
    </w:p>
    <w:p w:rsidR="009E0FEA" w:rsidRPr="00792260" w:rsidRDefault="009E0FEA" w:rsidP="00792260">
      <w:pPr>
        <w:spacing w:line="276" w:lineRule="auto"/>
        <w:jc w:val="both"/>
        <w:rPr>
          <w:color w:val="0000CC"/>
          <w:szCs w:val="26"/>
        </w:rPr>
      </w:pPr>
    </w:p>
    <w:p w:rsidR="00ED7741" w:rsidRPr="00252370" w:rsidRDefault="00ED7741" w:rsidP="00792260">
      <w:pPr>
        <w:pStyle w:val="Heading1"/>
        <w:spacing w:after="0" w:line="276" w:lineRule="auto"/>
        <w:rPr>
          <w:rFonts w:ascii="Times New Roman" w:hAnsi="Times New Roman" w:cs="Times New Roman"/>
          <w:color w:val="000000" w:themeColor="text1"/>
        </w:rPr>
      </w:pPr>
      <w:bookmarkStart w:id="8" w:name="_Toc259624183"/>
      <w:bookmarkStart w:id="9" w:name="_Toc259624184"/>
      <w:bookmarkStart w:id="10" w:name="_Toc259624185"/>
      <w:bookmarkStart w:id="11" w:name="_Toc259624186"/>
      <w:bookmarkStart w:id="12" w:name="_Toc259624187"/>
      <w:bookmarkStart w:id="13" w:name="_Toc259628866"/>
      <w:bookmarkStart w:id="14" w:name="_Toc289248341"/>
      <w:bookmarkStart w:id="15" w:name="_Toc351990559"/>
      <w:bookmarkStart w:id="16" w:name="_Toc352084136"/>
      <w:bookmarkStart w:id="17" w:name="_Toc415748949"/>
      <w:bookmarkEnd w:id="8"/>
      <w:bookmarkEnd w:id="9"/>
      <w:bookmarkEnd w:id="10"/>
      <w:bookmarkEnd w:id="11"/>
      <w:r w:rsidRPr="00252370">
        <w:rPr>
          <w:rFonts w:ascii="Times New Roman" w:hAnsi="Times New Roman" w:cs="Times New Roman"/>
          <w:color w:val="000000" w:themeColor="text1"/>
        </w:rPr>
        <w:t>Summary of SDG&amp;E’s Capacity Bidding Program Report</w:t>
      </w:r>
      <w:bookmarkEnd w:id="12"/>
      <w:bookmarkEnd w:id="13"/>
      <w:bookmarkEnd w:id="14"/>
      <w:bookmarkEnd w:id="15"/>
      <w:bookmarkEnd w:id="16"/>
      <w:bookmarkEnd w:id="17"/>
    </w:p>
    <w:p w:rsidR="00ED7741" w:rsidRPr="00252370" w:rsidRDefault="00B23DB5" w:rsidP="00792260">
      <w:pPr>
        <w:pStyle w:val="Heading2"/>
        <w:spacing w:after="0" w:line="276" w:lineRule="auto"/>
        <w:rPr>
          <w:rFonts w:ascii="Times New Roman" w:hAnsi="Times New Roman" w:cs="Times New Roman"/>
          <w:color w:val="000000" w:themeColor="text1"/>
        </w:rPr>
      </w:pPr>
      <w:bookmarkStart w:id="18" w:name="_Toc259624188"/>
      <w:bookmarkStart w:id="19" w:name="_Toc259628867"/>
      <w:bookmarkStart w:id="20" w:name="_Toc289248342"/>
      <w:bookmarkStart w:id="21" w:name="_Toc351990560"/>
      <w:bookmarkStart w:id="22" w:name="_Toc352084137"/>
      <w:bookmarkStart w:id="23" w:name="_Toc415748950"/>
      <w:r w:rsidRPr="00252370">
        <w:rPr>
          <w:rFonts w:ascii="Times New Roman" w:hAnsi="Times New Roman" w:cs="Times New Roman"/>
          <w:color w:val="000000" w:themeColor="text1"/>
        </w:rPr>
        <w:t xml:space="preserve">CBP </w:t>
      </w:r>
      <w:r w:rsidR="00ED7741" w:rsidRPr="00252370">
        <w:rPr>
          <w:rFonts w:ascii="Times New Roman" w:hAnsi="Times New Roman" w:cs="Times New Roman"/>
          <w:color w:val="000000" w:themeColor="text1"/>
        </w:rPr>
        <w:t>Program Description</w:t>
      </w:r>
      <w:bookmarkEnd w:id="18"/>
      <w:bookmarkEnd w:id="19"/>
      <w:bookmarkEnd w:id="20"/>
      <w:bookmarkEnd w:id="21"/>
      <w:bookmarkEnd w:id="22"/>
      <w:bookmarkEnd w:id="23"/>
    </w:p>
    <w:p w:rsidR="00ED7741" w:rsidRPr="00252370" w:rsidRDefault="00ED7741" w:rsidP="00792260">
      <w:pPr>
        <w:spacing w:line="276" w:lineRule="auto"/>
        <w:jc w:val="both"/>
        <w:rPr>
          <w:color w:val="000000" w:themeColor="text1"/>
        </w:rPr>
      </w:pPr>
    </w:p>
    <w:p w:rsidR="0027426A" w:rsidRDefault="00572130" w:rsidP="000F5055">
      <w:pPr>
        <w:spacing w:line="276" w:lineRule="auto"/>
        <w:ind w:firstLine="360"/>
        <w:jc w:val="both"/>
        <w:rPr>
          <w:color w:val="000000" w:themeColor="text1"/>
        </w:rPr>
      </w:pPr>
      <w:r w:rsidRPr="00252370">
        <w:rPr>
          <w:color w:val="000000" w:themeColor="text1"/>
        </w:rPr>
        <w:t>CBP program provides monthly capacity payments ($/kW) to participants based on the nominated kW load, the specific operating month, and the program notice option</w:t>
      </w:r>
      <w:r w:rsidR="00146059">
        <w:rPr>
          <w:color w:val="000000" w:themeColor="text1"/>
        </w:rPr>
        <w:t xml:space="preserve"> Day Ahead</w:t>
      </w:r>
      <w:r w:rsidRPr="00252370">
        <w:rPr>
          <w:color w:val="000000" w:themeColor="text1"/>
        </w:rPr>
        <w:t xml:space="preserve"> (DA</w:t>
      </w:r>
      <w:r w:rsidR="00146059">
        <w:rPr>
          <w:color w:val="000000" w:themeColor="text1"/>
        </w:rPr>
        <w:t>)</w:t>
      </w:r>
      <w:r w:rsidRPr="00252370">
        <w:rPr>
          <w:color w:val="000000" w:themeColor="text1"/>
        </w:rPr>
        <w:t xml:space="preserve"> or</w:t>
      </w:r>
      <w:r w:rsidR="00146059">
        <w:rPr>
          <w:color w:val="000000" w:themeColor="text1"/>
        </w:rPr>
        <w:t xml:space="preserve"> Day Of (</w:t>
      </w:r>
      <w:r w:rsidRPr="00252370">
        <w:rPr>
          <w:color w:val="000000" w:themeColor="text1"/>
        </w:rPr>
        <w:t>DO)</w:t>
      </w:r>
      <w:r w:rsidR="00ED7741" w:rsidRPr="00252370">
        <w:rPr>
          <w:color w:val="000000" w:themeColor="text1"/>
        </w:rPr>
        <w:t>. The program has two options Capacity Bidding Program day-ahead (CBP DA) and Capacity Bidding Program day-of (CBP DO). Customers may also choose a maximum event length of 4 hour, 6 hour, or 8 hours</w:t>
      </w:r>
      <w:r w:rsidR="00E91BD6" w:rsidRPr="00252370">
        <w:rPr>
          <w:color w:val="000000" w:themeColor="text1"/>
        </w:rPr>
        <w:t xml:space="preserve">. CBP events may be called on non-holiday weekdays </w:t>
      </w:r>
      <w:r w:rsidR="00E91BD6" w:rsidRPr="00252370">
        <w:rPr>
          <w:color w:val="000000" w:themeColor="text1"/>
        </w:rPr>
        <w:lastRenderedPageBreak/>
        <w:t xml:space="preserve">in the months of May through October, between the hours of 11 a.m. and 7 p.m., with a maximum of </w:t>
      </w:r>
      <w:r w:rsidR="00E06208">
        <w:rPr>
          <w:color w:val="000000" w:themeColor="text1"/>
        </w:rPr>
        <w:t>forty</w:t>
      </w:r>
      <w:r w:rsidR="00E91BD6" w:rsidRPr="00252370">
        <w:rPr>
          <w:color w:val="000000" w:themeColor="text1"/>
        </w:rPr>
        <w:t>-four event hours per month. Customers enrolled in CBP may participate in another DR program, so</w:t>
      </w:r>
      <w:r w:rsidR="00E91BD6" w:rsidRPr="005B31B2">
        <w:rPr>
          <w:color w:val="0000FF"/>
        </w:rPr>
        <w:t xml:space="preserve"> </w:t>
      </w:r>
      <w:r w:rsidR="00E91BD6" w:rsidRPr="00252370">
        <w:rPr>
          <w:color w:val="000000" w:themeColor="text1"/>
        </w:rPr>
        <w:t>long as it is an energy-payment program and does not have the same advanced notification (</w:t>
      </w:r>
      <w:r w:rsidR="00E91BD6" w:rsidRPr="00252370">
        <w:rPr>
          <w:i/>
          <w:color w:val="000000" w:themeColor="text1"/>
        </w:rPr>
        <w:t>i.e.</w:t>
      </w:r>
      <w:r w:rsidR="00E91BD6" w:rsidRPr="00252370">
        <w:rPr>
          <w:color w:val="000000" w:themeColor="text1"/>
        </w:rPr>
        <w:t>, day-ahead or day-of).</w:t>
      </w:r>
      <w:r w:rsidR="00C633B2">
        <w:rPr>
          <w:color w:val="000000" w:themeColor="text1"/>
        </w:rPr>
        <w:t xml:space="preserve">  </w:t>
      </w:r>
      <w:r w:rsidR="00C633B2" w:rsidRPr="00C633B2">
        <w:rPr>
          <w:color w:val="000000" w:themeColor="text1"/>
        </w:rPr>
        <w:t xml:space="preserve">SDG&amp;E plans two changes in CBP beginning in 2015. </w:t>
      </w:r>
      <w:r w:rsidR="0027426A" w:rsidRPr="0027426A">
        <w:rPr>
          <w:color w:val="000000" w:themeColor="text1"/>
        </w:rPr>
        <w:t>The current day-of CBP products required the customer to be notified by 9 a.m. In 2015 a 30-minute notice option will be added to the DO product. In addition,</w:t>
      </w:r>
      <w:r w:rsidR="0027426A">
        <w:rPr>
          <w:color w:val="000000" w:themeColor="text1"/>
        </w:rPr>
        <w:t xml:space="preserve"> </w:t>
      </w:r>
      <w:r w:rsidR="0027426A" w:rsidRPr="0027426A">
        <w:rPr>
          <w:color w:val="000000" w:themeColor="text1"/>
        </w:rPr>
        <w:t>CBP will be open to small customers of less than 20 kW in size.</w:t>
      </w:r>
    </w:p>
    <w:p w:rsidR="0027426A" w:rsidRDefault="0027426A" w:rsidP="000F5055">
      <w:pPr>
        <w:spacing w:line="276" w:lineRule="auto"/>
        <w:ind w:firstLine="360"/>
        <w:jc w:val="both"/>
        <w:rPr>
          <w:color w:val="000000" w:themeColor="text1"/>
        </w:rPr>
      </w:pPr>
    </w:p>
    <w:p w:rsidR="00E91BD6" w:rsidRPr="00252370" w:rsidRDefault="00DD2C68" w:rsidP="00A10465">
      <w:pPr>
        <w:pStyle w:val="Heading2"/>
        <w:spacing w:after="0" w:line="276" w:lineRule="auto"/>
        <w:rPr>
          <w:rFonts w:ascii="Times New Roman" w:hAnsi="Times New Roman" w:cs="Times New Roman"/>
          <w:color w:val="000000" w:themeColor="text1"/>
        </w:rPr>
      </w:pPr>
      <w:bookmarkStart w:id="24" w:name="_Toc415748951"/>
      <w:r w:rsidRPr="00252370">
        <w:rPr>
          <w:rFonts w:ascii="Times New Roman" w:hAnsi="Times New Roman" w:cs="Times New Roman"/>
          <w:color w:val="000000" w:themeColor="text1"/>
        </w:rPr>
        <w:t xml:space="preserve">CBP </w:t>
      </w:r>
      <w:r w:rsidR="0015465A" w:rsidRPr="00252370">
        <w:rPr>
          <w:rFonts w:ascii="Times New Roman" w:hAnsi="Times New Roman" w:cs="Times New Roman"/>
          <w:color w:val="000000" w:themeColor="text1"/>
        </w:rPr>
        <w:t>Ex-</w:t>
      </w:r>
      <w:r w:rsidR="0091679A" w:rsidRPr="00252370">
        <w:rPr>
          <w:rFonts w:ascii="Times New Roman" w:hAnsi="Times New Roman" w:cs="Times New Roman"/>
          <w:color w:val="000000" w:themeColor="text1"/>
        </w:rPr>
        <w:t>P</w:t>
      </w:r>
      <w:r w:rsidR="0015465A" w:rsidRPr="00252370">
        <w:rPr>
          <w:rFonts w:ascii="Times New Roman" w:hAnsi="Times New Roman" w:cs="Times New Roman"/>
          <w:color w:val="000000" w:themeColor="text1"/>
        </w:rPr>
        <w:t>ost</w:t>
      </w:r>
      <w:r w:rsidRPr="00252370">
        <w:rPr>
          <w:rFonts w:ascii="Times New Roman" w:hAnsi="Times New Roman" w:cs="Times New Roman"/>
          <w:color w:val="000000" w:themeColor="text1"/>
        </w:rPr>
        <w:t xml:space="preserve"> Evaluation Methodology</w:t>
      </w:r>
      <w:bookmarkEnd w:id="24"/>
    </w:p>
    <w:p w:rsidR="00ED7741" w:rsidRPr="00252370" w:rsidRDefault="00ED7741" w:rsidP="00A10465">
      <w:pPr>
        <w:spacing w:line="276" w:lineRule="auto"/>
        <w:rPr>
          <w:b/>
          <w:color w:val="000000" w:themeColor="text1"/>
          <w:szCs w:val="26"/>
        </w:rPr>
      </w:pPr>
    </w:p>
    <w:p w:rsidR="00CC17B9" w:rsidRDefault="00CC17B9" w:rsidP="000F5055">
      <w:pPr>
        <w:spacing w:line="276" w:lineRule="auto"/>
        <w:ind w:firstLine="360"/>
        <w:rPr>
          <w:color w:val="000000" w:themeColor="text1"/>
        </w:rPr>
      </w:pPr>
      <w:r w:rsidRPr="00252370">
        <w:rPr>
          <w:color w:val="000000" w:themeColor="text1"/>
        </w:rPr>
        <w:t>The primary evaluation method used in the ex-post portion of this study involved customer-level regression analysis applied to hourly load data to estimate hourly load impacts for each customer account that was nominated and called for an event. The regression equations model hourly load as a function of a set of variables designed to control for factors affecting consumers’ hourly demand levels, such as:</w:t>
      </w:r>
    </w:p>
    <w:p w:rsidR="000F5055" w:rsidRPr="00252370" w:rsidRDefault="000F5055" w:rsidP="000F5055">
      <w:pPr>
        <w:spacing w:line="276" w:lineRule="auto"/>
        <w:ind w:firstLine="360"/>
        <w:rPr>
          <w:color w:val="000000" w:themeColor="text1"/>
        </w:rPr>
      </w:pPr>
    </w:p>
    <w:p w:rsidR="001278ED" w:rsidRPr="001278ED" w:rsidRDefault="00CC17B9" w:rsidP="000F5055">
      <w:pPr>
        <w:pStyle w:val="ListParagraph"/>
        <w:numPr>
          <w:ilvl w:val="0"/>
          <w:numId w:val="7"/>
        </w:numPr>
        <w:spacing w:line="276" w:lineRule="auto"/>
        <w:rPr>
          <w:color w:val="000000" w:themeColor="text1"/>
        </w:rPr>
      </w:pPr>
      <w:r w:rsidRPr="001278ED">
        <w:rPr>
          <w:i/>
          <w:color w:val="000000" w:themeColor="text1"/>
        </w:rPr>
        <w:t>Seasonal and hourly time patterns</w:t>
      </w:r>
      <w:r w:rsidRPr="001278ED">
        <w:rPr>
          <w:color w:val="000000" w:themeColor="text1"/>
        </w:rPr>
        <w:t xml:space="preserve"> </w:t>
      </w:r>
      <w:r w:rsidR="001278ED" w:rsidRPr="001278ED">
        <w:rPr>
          <w:color w:val="000000" w:themeColor="text1"/>
        </w:rPr>
        <w:t>(e.g., month, day-of-week, and hour, plus various hour/day-type interactions to allow hourly load patterns to vary by day-type);</w:t>
      </w:r>
    </w:p>
    <w:p w:rsidR="00CC17B9" w:rsidRPr="001278ED" w:rsidRDefault="00CC17B9" w:rsidP="000F5055">
      <w:pPr>
        <w:numPr>
          <w:ilvl w:val="0"/>
          <w:numId w:val="7"/>
        </w:numPr>
        <w:spacing w:before="120" w:line="276" w:lineRule="auto"/>
        <w:rPr>
          <w:color w:val="000000" w:themeColor="text1"/>
        </w:rPr>
      </w:pPr>
      <w:r w:rsidRPr="001278ED">
        <w:rPr>
          <w:i/>
          <w:color w:val="000000" w:themeColor="text1"/>
        </w:rPr>
        <w:t>Weather</w:t>
      </w:r>
      <w:r w:rsidRPr="001278ED">
        <w:rPr>
          <w:color w:val="000000" w:themeColor="text1"/>
        </w:rPr>
        <w:t>, including hour-specific weather coefficients;</w:t>
      </w:r>
    </w:p>
    <w:p w:rsidR="001278ED" w:rsidRPr="001278ED" w:rsidRDefault="00CC17B9" w:rsidP="000F5055">
      <w:pPr>
        <w:pStyle w:val="ListParagraph"/>
        <w:numPr>
          <w:ilvl w:val="0"/>
          <w:numId w:val="7"/>
        </w:numPr>
        <w:spacing w:line="276" w:lineRule="auto"/>
        <w:rPr>
          <w:color w:val="000000" w:themeColor="text1"/>
        </w:rPr>
      </w:pPr>
      <w:r w:rsidRPr="001278ED">
        <w:rPr>
          <w:i/>
          <w:color w:val="000000" w:themeColor="text1"/>
        </w:rPr>
        <w:t>Event variables</w:t>
      </w:r>
      <w:r w:rsidRPr="001278ED">
        <w:rPr>
          <w:color w:val="000000" w:themeColor="text1"/>
        </w:rPr>
        <w:t xml:space="preserve">. </w:t>
      </w:r>
      <w:r w:rsidR="001278ED" w:rsidRPr="001278ED">
        <w:rPr>
          <w:color w:val="000000" w:themeColor="text1"/>
        </w:rPr>
        <w:t xml:space="preserve">Indicator variables are included to account for each hour of each event day, for all DR programs in which the service account participates, which allows estimation of aggregator program load impacts for all hours across each event day, for each service account. </w:t>
      </w:r>
    </w:p>
    <w:p w:rsidR="00B75235" w:rsidRPr="001278ED" w:rsidRDefault="00B75235" w:rsidP="001278ED">
      <w:pPr>
        <w:spacing w:line="276" w:lineRule="auto"/>
        <w:ind w:left="1080"/>
        <w:rPr>
          <w:color w:val="000000" w:themeColor="text1"/>
        </w:rPr>
      </w:pPr>
    </w:p>
    <w:p w:rsidR="00F15D68" w:rsidRPr="00F15D68" w:rsidRDefault="00CC17B9" w:rsidP="000F5055">
      <w:pPr>
        <w:keepNext/>
        <w:spacing w:line="276" w:lineRule="auto"/>
        <w:rPr>
          <w:color w:val="000000" w:themeColor="text1"/>
        </w:rPr>
      </w:pPr>
      <w:r w:rsidRPr="00252370">
        <w:rPr>
          <w:color w:val="000000" w:themeColor="text1"/>
        </w:rPr>
        <w:t xml:space="preserve">The models use the level of hourly demand (kW) as the dependent variable and a separate equation is estimated for each </w:t>
      </w:r>
      <w:r w:rsidR="001278ED" w:rsidRPr="00F15D68">
        <w:rPr>
          <w:color w:val="000000" w:themeColor="text1"/>
        </w:rPr>
        <w:t>service account that was nominated and called for at least one event in 2014</w:t>
      </w:r>
      <w:r w:rsidRPr="00252370">
        <w:rPr>
          <w:color w:val="000000" w:themeColor="text1"/>
        </w:rPr>
        <w:t xml:space="preserve">. As a result, the estimated coefficients on the event day/hour variables are direct estimates of the ex-post load impacts, and their standard errors indicate the precision of the estimates. For example, an hour15 event coefficient of -100 on a particular event day implies that the </w:t>
      </w:r>
      <w:r w:rsidR="00F15D68" w:rsidRPr="00F15D68">
        <w:rPr>
          <w:color w:val="000000" w:themeColor="text1"/>
        </w:rPr>
        <w:t>service account</w:t>
      </w:r>
      <w:r w:rsidRPr="00252370">
        <w:rPr>
          <w:color w:val="000000" w:themeColor="text1"/>
        </w:rPr>
        <w:t xml:space="preserve"> reduced load by 100 kWh during hour 15 of that event day relative to </w:t>
      </w:r>
      <w:r w:rsidR="00F15D68" w:rsidRPr="00F15D68">
        <w:rPr>
          <w:color w:val="000000" w:themeColor="text1"/>
        </w:rPr>
        <w:t xml:space="preserve">what its usage in that hour would have been otherwise, under the observed day-type and weather conditions on that day. Weekends and holidays were excluded from the estimation database because aggregator events may be called only on non-holiday weekdays.  </w:t>
      </w:r>
    </w:p>
    <w:p w:rsidR="00CC17B9" w:rsidRDefault="00CC17B9" w:rsidP="00F15D68">
      <w:pPr>
        <w:spacing w:line="276" w:lineRule="auto"/>
        <w:ind w:firstLine="360"/>
        <w:rPr>
          <w:color w:val="000000" w:themeColor="text1"/>
        </w:rPr>
      </w:pPr>
    </w:p>
    <w:p w:rsidR="00CC17B9" w:rsidRPr="00252370" w:rsidRDefault="00CC17B9" w:rsidP="00A10465">
      <w:pPr>
        <w:pStyle w:val="Heading3"/>
        <w:spacing w:after="0" w:line="276" w:lineRule="auto"/>
        <w:rPr>
          <w:rFonts w:ascii="Times New Roman" w:hAnsi="Times New Roman" w:cs="Times New Roman"/>
          <w:color w:val="000000" w:themeColor="text1"/>
        </w:rPr>
      </w:pPr>
      <w:bookmarkStart w:id="25" w:name="_Toc346119220"/>
      <w:bookmarkStart w:id="26" w:name="_Toc380073990"/>
      <w:bookmarkStart w:id="27" w:name="_Toc415748952"/>
      <w:r w:rsidRPr="00252370">
        <w:rPr>
          <w:rFonts w:ascii="Times New Roman" w:hAnsi="Times New Roman" w:cs="Times New Roman"/>
          <w:color w:val="000000" w:themeColor="text1"/>
        </w:rPr>
        <w:t>Regression Model</w:t>
      </w:r>
      <w:bookmarkEnd w:id="25"/>
      <w:bookmarkEnd w:id="26"/>
      <w:bookmarkEnd w:id="27"/>
    </w:p>
    <w:p w:rsidR="00C31CCD" w:rsidRPr="00252370" w:rsidRDefault="00C31CCD" w:rsidP="00A10465">
      <w:pPr>
        <w:spacing w:line="276" w:lineRule="auto"/>
        <w:rPr>
          <w:color w:val="000000" w:themeColor="text1"/>
        </w:rPr>
      </w:pPr>
    </w:p>
    <w:p w:rsidR="00CC17B9" w:rsidRPr="00252370" w:rsidRDefault="005D7374" w:rsidP="000F5055">
      <w:pPr>
        <w:spacing w:line="276" w:lineRule="auto"/>
        <w:ind w:firstLine="720"/>
        <w:rPr>
          <w:color w:val="000000" w:themeColor="text1"/>
        </w:rPr>
      </w:pPr>
      <w:r w:rsidRPr="005D7374">
        <w:rPr>
          <w:color w:val="000000" w:themeColor="text1"/>
        </w:rPr>
        <w:lastRenderedPageBreak/>
        <w:t xml:space="preserve">The model shown below characterizes the nature of the regression equations, which were estimated separately for each service account. Table </w:t>
      </w:r>
      <w:r>
        <w:rPr>
          <w:color w:val="000000" w:themeColor="text1"/>
        </w:rPr>
        <w:t>2</w:t>
      </w:r>
      <w:r w:rsidRPr="005D7374">
        <w:rPr>
          <w:color w:val="000000" w:themeColor="text1"/>
        </w:rPr>
        <w:t>–1 describes the terms included in the equation.</w:t>
      </w:r>
    </w:p>
    <w:p w:rsidR="00CC17B9" w:rsidRPr="00EE3CB7" w:rsidRDefault="00CC17B9" w:rsidP="00CC091E">
      <w:pPr>
        <w:jc w:val="center"/>
        <w:rPr>
          <w:color w:val="0000CC"/>
        </w:rPr>
      </w:pPr>
      <w:r w:rsidRPr="00EE3CB7">
        <w:rPr>
          <w:color w:val="0000CC"/>
          <w:position w:val="-134"/>
        </w:rPr>
        <w:object w:dxaOrig="8280" w:dyaOrig="2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39.5pt" o:ole="">
            <v:imagedata r:id="rId10" o:title=""/>
          </v:shape>
          <o:OLEObject Type="Embed" ProgID="Equation.3" ShapeID="_x0000_i1025" DrawAspect="Content" ObjectID="_1489490865" r:id="rId11"/>
        </w:object>
      </w:r>
    </w:p>
    <w:p w:rsidR="00CC17B9" w:rsidRDefault="00CC17B9" w:rsidP="00CC17B9">
      <w:pPr>
        <w:rPr>
          <w:color w:val="0000CC"/>
        </w:rPr>
      </w:pPr>
    </w:p>
    <w:p w:rsidR="00651193" w:rsidRPr="00EE3CB7" w:rsidRDefault="00651193" w:rsidP="00CC17B9">
      <w:pPr>
        <w:rPr>
          <w:color w:val="0000CC"/>
        </w:rPr>
      </w:pPr>
    </w:p>
    <w:p w:rsidR="00CC17B9" w:rsidRDefault="00427C65" w:rsidP="00CC17B9">
      <w:pPr>
        <w:pStyle w:val="TableCaption"/>
        <w:rPr>
          <w:color w:val="000000" w:themeColor="text1"/>
          <w:sz w:val="20"/>
        </w:rPr>
      </w:pPr>
      <w:bookmarkStart w:id="28" w:name="_Toc346119266"/>
      <w:bookmarkStart w:id="29" w:name="_Toc380074231"/>
      <w:r w:rsidRPr="00252370">
        <w:rPr>
          <w:color w:val="000000" w:themeColor="text1"/>
          <w:sz w:val="20"/>
        </w:rPr>
        <w:t xml:space="preserve">Table2-1: </w:t>
      </w:r>
      <w:r w:rsidR="00CC17B9" w:rsidRPr="00252370">
        <w:rPr>
          <w:color w:val="000000" w:themeColor="text1"/>
          <w:sz w:val="20"/>
        </w:rPr>
        <w:t xml:space="preserve">Descriptions of Terms included in the </w:t>
      </w:r>
      <w:r w:rsidR="00CC17B9" w:rsidRPr="00252370">
        <w:rPr>
          <w:i/>
          <w:color w:val="000000" w:themeColor="text1"/>
          <w:sz w:val="20"/>
        </w:rPr>
        <w:t>Ex-Post</w:t>
      </w:r>
      <w:r w:rsidR="00CC17B9" w:rsidRPr="00252370">
        <w:rPr>
          <w:color w:val="000000" w:themeColor="text1"/>
          <w:sz w:val="20"/>
        </w:rPr>
        <w:t xml:space="preserve"> Regression Equation</w:t>
      </w:r>
      <w:bookmarkEnd w:id="28"/>
      <w:bookmarkEnd w:id="29"/>
    </w:p>
    <w:tbl>
      <w:tblPr>
        <w:tblW w:w="0" w:type="auto"/>
        <w:jc w:val="center"/>
        <w:tblLook w:val="01E0" w:firstRow="1" w:lastRow="1" w:firstColumn="1" w:lastColumn="1" w:noHBand="0" w:noVBand="0"/>
      </w:tblPr>
      <w:tblGrid>
        <w:gridCol w:w="2019"/>
        <w:gridCol w:w="7557"/>
      </w:tblGrid>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5D7374" w:rsidRPr="00077984" w:rsidRDefault="005D7374" w:rsidP="00324486">
            <w:pPr>
              <w:keepNext/>
              <w:keepLines/>
              <w:jc w:val="center"/>
              <w:rPr>
                <w:rFonts w:cs="Arial"/>
                <w:szCs w:val="20"/>
              </w:rPr>
            </w:pPr>
            <w:r w:rsidRPr="00077984">
              <w:rPr>
                <w:rFonts w:cs="Arial"/>
                <w:szCs w:val="20"/>
              </w:rPr>
              <w:t>Variable Name / Term</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5D7374" w:rsidRPr="00077984" w:rsidRDefault="005D7374" w:rsidP="00324486">
            <w:pPr>
              <w:keepNext/>
              <w:keepLines/>
              <w:jc w:val="center"/>
              <w:rPr>
                <w:rFonts w:cs="Arial"/>
                <w:szCs w:val="20"/>
              </w:rPr>
            </w:pPr>
            <w:r w:rsidRPr="00077984">
              <w:rPr>
                <w:rFonts w:cs="Arial"/>
                <w:szCs w:val="20"/>
              </w:rPr>
              <w:t>Variable / Term Description</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C2024F" w:rsidRDefault="005D7374" w:rsidP="00324486">
            <w:pPr>
              <w:keepNext/>
              <w:keepLines/>
              <w:jc w:val="center"/>
              <w:rPr>
                <w:rFonts w:cs="Arial"/>
                <w:i/>
                <w:szCs w:val="20"/>
              </w:rPr>
            </w:pPr>
            <w:r w:rsidRPr="00C2024F">
              <w:rPr>
                <w:rFonts w:cs="Arial"/>
                <w:i/>
                <w:szCs w:val="20"/>
              </w:rPr>
              <w:t>Q</w:t>
            </w:r>
            <w:r w:rsidRPr="00C2024F">
              <w:rPr>
                <w:rFonts w:cs="Arial"/>
                <w:i/>
                <w:szCs w:val="20"/>
                <w:vertAlign w:val="subscript"/>
              </w:rPr>
              <w:t>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T</w:t>
            </w:r>
            <w:r w:rsidRPr="00077984">
              <w:rPr>
                <w:rFonts w:cs="Arial"/>
                <w:szCs w:val="20"/>
              </w:rPr>
              <w:t xml:space="preserve">he demand in hour </w:t>
            </w:r>
            <w:r w:rsidRPr="00C2024F">
              <w:rPr>
                <w:rFonts w:cs="Arial"/>
                <w:i/>
                <w:szCs w:val="20"/>
              </w:rPr>
              <w:t>t</w:t>
            </w:r>
            <w:r>
              <w:rPr>
                <w:rFonts w:cs="Arial"/>
                <w:szCs w:val="20"/>
              </w:rPr>
              <w:t xml:space="preserve">, on day </w:t>
            </w:r>
            <w:r w:rsidRPr="00C2024F">
              <w:rPr>
                <w:rFonts w:cs="Arial"/>
                <w:i/>
                <w:szCs w:val="20"/>
              </w:rPr>
              <w:t>d</w:t>
            </w:r>
            <w:r>
              <w:rPr>
                <w:rFonts w:cs="Arial"/>
                <w:szCs w:val="20"/>
              </w:rPr>
              <w:t xml:space="preserve"> </w:t>
            </w:r>
            <w:r w:rsidRPr="00077984">
              <w:rPr>
                <w:rFonts w:cs="Arial"/>
                <w:szCs w:val="20"/>
              </w:rPr>
              <w:t xml:space="preserve">for a customer </w:t>
            </w:r>
            <w:r>
              <w:rPr>
                <w:rFonts w:cs="Arial"/>
                <w:szCs w:val="20"/>
              </w:rPr>
              <w:t>nominated</w:t>
            </w:r>
            <w:r w:rsidRPr="00077984">
              <w:rPr>
                <w:rFonts w:cs="Arial"/>
                <w:szCs w:val="20"/>
              </w:rPr>
              <w:t xml:space="preserve"> </w:t>
            </w:r>
            <w:r>
              <w:rPr>
                <w:rFonts w:cs="Arial"/>
                <w:szCs w:val="20"/>
              </w:rPr>
              <w:t>to</w:t>
            </w:r>
            <w:r w:rsidRPr="00077984">
              <w:rPr>
                <w:rFonts w:cs="Arial"/>
                <w:szCs w:val="20"/>
              </w:rPr>
              <w:t xml:space="preserve"> </w:t>
            </w:r>
            <w:r>
              <w:rPr>
                <w:rFonts w:cs="Arial"/>
                <w:szCs w:val="20"/>
              </w:rPr>
              <w:t>the aggregator program</w:t>
            </w:r>
            <w:r w:rsidRPr="00077984">
              <w:rPr>
                <w:rFonts w:cs="Arial"/>
                <w:szCs w:val="20"/>
              </w:rPr>
              <w:t xml:space="preserve"> prior to the last event date</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 xml:space="preserve">The various b’s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sidRPr="00077984">
              <w:rPr>
                <w:rFonts w:cs="Arial"/>
                <w:szCs w:val="20"/>
              </w:rPr>
              <w:t>The estimated parameters</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C2024F" w:rsidRDefault="005D7374" w:rsidP="00324486">
            <w:pPr>
              <w:keepNext/>
              <w:keepLines/>
              <w:jc w:val="center"/>
              <w:rPr>
                <w:rFonts w:cs="Arial"/>
                <w:i/>
                <w:szCs w:val="20"/>
              </w:rPr>
            </w:pPr>
            <w:r w:rsidRPr="00C2024F">
              <w:rPr>
                <w:rFonts w:cs="Arial"/>
                <w:i/>
                <w:szCs w:val="20"/>
              </w:rPr>
              <w:t>h</w:t>
            </w:r>
            <w:r w:rsidRPr="00C2024F">
              <w:rPr>
                <w:rFonts w:cs="Arial"/>
                <w:i/>
                <w:szCs w:val="20"/>
                <w:vertAlign w:val="subscript"/>
              </w:rPr>
              <w:t>i,t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An indicator</w:t>
            </w:r>
            <w:r w:rsidRPr="00077984">
              <w:rPr>
                <w:rFonts w:cs="Arial"/>
                <w:szCs w:val="20"/>
              </w:rPr>
              <w:t xml:space="preserve"> variable for hour </w:t>
            </w:r>
            <w:r w:rsidRPr="00C2024F">
              <w:rPr>
                <w:rFonts w:cs="Arial"/>
                <w:i/>
                <w:szCs w:val="20"/>
              </w:rPr>
              <w:t>i</w:t>
            </w:r>
            <w:r>
              <w:rPr>
                <w:rFonts w:cs="Arial"/>
                <w:szCs w:val="20"/>
              </w:rPr>
              <w:t xml:space="preserve"> (</w:t>
            </w:r>
            <w:r>
              <w:rPr>
                <w:rFonts w:cs="Arial"/>
                <w:i/>
                <w:szCs w:val="20"/>
              </w:rPr>
              <w:t>i.e.</w:t>
            </w:r>
            <w:r>
              <w:rPr>
                <w:rFonts w:cs="Arial"/>
                <w:szCs w:val="20"/>
              </w:rPr>
              <w:t>, h</w:t>
            </w:r>
            <w:r w:rsidRPr="00C2024F">
              <w:rPr>
                <w:rFonts w:cs="Arial"/>
                <w:szCs w:val="20"/>
                <w:vertAlign w:val="subscript"/>
              </w:rPr>
              <w:t>i,t</w:t>
            </w:r>
            <w:r>
              <w:rPr>
                <w:rFonts w:cs="Arial"/>
                <w:szCs w:val="20"/>
              </w:rPr>
              <w:t xml:space="preserve"> = 1 if </w:t>
            </w:r>
            <w:r w:rsidRPr="00C2024F">
              <w:rPr>
                <w:rFonts w:cs="Arial"/>
                <w:i/>
                <w:szCs w:val="20"/>
              </w:rPr>
              <w:t>i</w:t>
            </w:r>
            <w:r>
              <w:rPr>
                <w:rFonts w:cs="Arial"/>
                <w:szCs w:val="20"/>
              </w:rPr>
              <w:t>=</w:t>
            </w:r>
            <w:r w:rsidRPr="00C2024F">
              <w:rPr>
                <w:rFonts w:cs="Arial"/>
                <w:i/>
                <w:szCs w:val="20"/>
              </w:rPr>
              <w:t>t</w:t>
            </w:r>
            <w:r>
              <w:rPr>
                <w:rFonts w:cs="Arial"/>
                <w:szCs w:val="20"/>
              </w:rPr>
              <w:t>, and 0 otherwise</w:t>
            </w:r>
            <w:r>
              <w:rPr>
                <w:rFonts w:cs="Arial"/>
                <w:i/>
                <w:szCs w:val="20"/>
              </w:rPr>
              <w:t xml:space="preserve"> </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AGG</w:t>
            </w:r>
            <w:r w:rsidRPr="00077984">
              <w:rPr>
                <w:rFonts w:cs="Arial"/>
                <w:szCs w:val="20"/>
                <w:vertAlign w:val="subscript"/>
              </w:rPr>
              <w:t>t</w:t>
            </w:r>
            <w:r>
              <w:rPr>
                <w:rFonts w:cs="Arial"/>
                <w:szCs w:val="20"/>
                <w:vertAlign w:val="subscript"/>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A</w:t>
            </w:r>
            <w:r w:rsidRPr="00077984">
              <w:rPr>
                <w:rFonts w:cs="Arial"/>
                <w:szCs w:val="20"/>
              </w:rPr>
              <w:t xml:space="preserve">n indicator variable for </w:t>
            </w:r>
            <w:r>
              <w:rPr>
                <w:rFonts w:cs="Arial"/>
                <w:szCs w:val="20"/>
              </w:rPr>
              <w:t xml:space="preserve">aggregator </w:t>
            </w:r>
            <w:r w:rsidRPr="00077984">
              <w:rPr>
                <w:rFonts w:cs="Arial"/>
                <w:szCs w:val="20"/>
              </w:rPr>
              <w:t>program event days</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Weather</w:t>
            </w:r>
            <w:r w:rsidRPr="00077984">
              <w:rPr>
                <w:rFonts w:cs="Arial"/>
                <w:szCs w:val="20"/>
                <w:vertAlign w:val="subscript"/>
              </w:rPr>
              <w:t>t</w:t>
            </w:r>
            <w:r>
              <w:rPr>
                <w:rFonts w:cs="Arial"/>
                <w:szCs w:val="20"/>
                <w:vertAlign w:val="subscript"/>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sidRPr="00077984">
              <w:rPr>
                <w:rFonts w:cs="Arial"/>
                <w:szCs w:val="20"/>
              </w:rPr>
              <w:t xml:space="preserve">The weather variables selected </w:t>
            </w:r>
            <w:r>
              <w:rPr>
                <w:rFonts w:cs="Arial"/>
                <w:szCs w:val="20"/>
              </w:rPr>
              <w:t>in</w:t>
            </w:r>
            <w:r w:rsidRPr="00077984">
              <w:rPr>
                <w:rFonts w:cs="Arial"/>
                <w:szCs w:val="20"/>
              </w:rPr>
              <w:t xml:space="preserve"> our model screening process </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sidRPr="00077984">
              <w:rPr>
                <w:rFonts w:cs="Arial"/>
                <w:szCs w:val="20"/>
              </w:rPr>
              <w:t xml:space="preserve">The number of event days that occurred during the program year </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MornLoad</w:t>
            </w:r>
            <w:r>
              <w:rPr>
                <w:rFonts w:cs="Arial"/>
                <w:szCs w:val="20"/>
                <w:vertAlign w:val="subscript"/>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T</w:t>
            </w:r>
            <w:r w:rsidRPr="00077984">
              <w:rPr>
                <w:rFonts w:cs="Arial"/>
                <w:szCs w:val="20"/>
              </w:rPr>
              <w:t>he average of day</w:t>
            </w:r>
            <w:r>
              <w:rPr>
                <w:rFonts w:cs="Arial"/>
                <w:szCs w:val="20"/>
              </w:rPr>
              <w:t xml:space="preserve"> </w:t>
            </w:r>
            <w:r>
              <w:rPr>
                <w:rFonts w:cs="Arial"/>
                <w:i/>
                <w:szCs w:val="20"/>
              </w:rPr>
              <w:t>d</w:t>
            </w:r>
            <w:r w:rsidRPr="00077984">
              <w:rPr>
                <w:rFonts w:cs="Arial"/>
                <w:szCs w:val="20"/>
              </w:rPr>
              <w:t>’s load in hours 1 through 10</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OtherEvt</w:t>
            </w:r>
            <w:r>
              <w:rPr>
                <w:rFonts w:cs="Arial"/>
                <w:szCs w:val="20"/>
                <w:vertAlign w:val="subscript"/>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E</w:t>
            </w:r>
            <w:r w:rsidRPr="00077984">
              <w:rPr>
                <w:rFonts w:cs="Arial"/>
                <w:szCs w:val="20"/>
              </w:rPr>
              <w:t xml:space="preserve">quals one </w:t>
            </w:r>
            <w:r>
              <w:rPr>
                <w:rFonts w:cs="Arial"/>
                <w:szCs w:val="20"/>
              </w:rPr>
              <w:t>o</w:t>
            </w:r>
            <w:r w:rsidRPr="00077984">
              <w:rPr>
                <w:rFonts w:cs="Arial"/>
                <w:szCs w:val="20"/>
              </w:rPr>
              <w:t xml:space="preserve">n event </w:t>
            </w:r>
            <w:r>
              <w:rPr>
                <w:rFonts w:cs="Arial"/>
                <w:szCs w:val="20"/>
              </w:rPr>
              <w:t xml:space="preserve">days </w:t>
            </w:r>
            <w:r w:rsidRPr="00077984">
              <w:rPr>
                <w:rFonts w:cs="Arial"/>
                <w:szCs w:val="20"/>
              </w:rPr>
              <w:t xml:space="preserve">of other demand response programs in which the customer is enrolled </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MON</w:t>
            </w:r>
            <w:r>
              <w:rPr>
                <w:rFonts w:cs="Arial"/>
                <w:szCs w:val="20"/>
                <w:vertAlign w:val="subscript"/>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An indicator</w:t>
            </w:r>
            <w:r w:rsidRPr="00077984">
              <w:rPr>
                <w:rFonts w:cs="Arial"/>
                <w:szCs w:val="20"/>
              </w:rPr>
              <w:t xml:space="preserve"> variable for Monday</w:t>
            </w:r>
            <w:r>
              <w:rPr>
                <w:rFonts w:cs="Arial"/>
                <w:szCs w:val="20"/>
              </w:rPr>
              <w:t>s</w:t>
            </w:r>
            <w:r w:rsidRPr="00077984">
              <w:rPr>
                <w:rFonts w:cs="Arial"/>
                <w:szCs w:val="20"/>
              </w:rPr>
              <w:t xml:space="preserve"> </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FRI</w:t>
            </w:r>
            <w:r>
              <w:rPr>
                <w:rFonts w:cs="Arial"/>
                <w:szCs w:val="20"/>
                <w:vertAlign w:val="subscript"/>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An indicator</w:t>
            </w:r>
            <w:r w:rsidRPr="00077984">
              <w:rPr>
                <w:rFonts w:cs="Arial"/>
                <w:szCs w:val="20"/>
              </w:rPr>
              <w:t xml:space="preserve"> variable for Friday</w:t>
            </w:r>
            <w:r>
              <w:rPr>
                <w:rFonts w:cs="Arial"/>
                <w:szCs w:val="20"/>
              </w:rPr>
              <w:t>s</w:t>
            </w:r>
            <w:r w:rsidRPr="00077984">
              <w:rPr>
                <w:rFonts w:cs="Arial"/>
                <w:szCs w:val="20"/>
              </w:rPr>
              <w:t xml:space="preserve"> </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SUMMER</w:t>
            </w:r>
            <w:r>
              <w:rPr>
                <w:rFonts w:cs="Arial"/>
                <w:szCs w:val="20"/>
                <w:vertAlign w:val="subscript"/>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An indicator</w:t>
            </w:r>
            <w:r w:rsidRPr="00077984">
              <w:rPr>
                <w:rFonts w:cs="Arial"/>
                <w:szCs w:val="20"/>
              </w:rPr>
              <w:t xml:space="preserve"> variable for the summer pricing season</w:t>
            </w:r>
            <w:r w:rsidRPr="00077984">
              <w:rPr>
                <w:rStyle w:val="FootnoteReference"/>
                <w:szCs w:val="20"/>
              </w:rPr>
              <w:footnoteReference w:id="1"/>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DTYPE</w:t>
            </w:r>
            <w:r w:rsidRPr="00077984">
              <w:rPr>
                <w:rFonts w:cs="Arial"/>
                <w:szCs w:val="20"/>
                <w:vertAlign w:val="subscript"/>
              </w:rPr>
              <w:t>i,</w:t>
            </w:r>
            <w:r>
              <w:rPr>
                <w:rFonts w:cs="Arial"/>
                <w:szCs w:val="20"/>
                <w:vertAlign w:val="subscript"/>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A</w:t>
            </w:r>
            <w:r w:rsidRPr="00077984">
              <w:rPr>
                <w:rFonts w:cs="Arial"/>
                <w:szCs w:val="20"/>
              </w:rPr>
              <w:t xml:space="preserve"> series of </w:t>
            </w:r>
            <w:r>
              <w:rPr>
                <w:rFonts w:cs="Arial"/>
                <w:szCs w:val="20"/>
              </w:rPr>
              <w:t>indicator</w:t>
            </w:r>
            <w:r w:rsidRPr="00077984">
              <w:rPr>
                <w:rFonts w:cs="Arial"/>
                <w:szCs w:val="20"/>
              </w:rPr>
              <w:t xml:space="preserve"> variable</w:t>
            </w:r>
            <w:r>
              <w:rPr>
                <w:rFonts w:cs="Arial"/>
                <w:szCs w:val="20"/>
              </w:rPr>
              <w:t>s</w:t>
            </w:r>
            <w:r w:rsidRPr="00077984">
              <w:rPr>
                <w:rFonts w:cs="Arial"/>
                <w:szCs w:val="20"/>
              </w:rPr>
              <w:t xml:space="preserve"> for each day of the week</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jc w:val="center"/>
              <w:rPr>
                <w:rFonts w:cs="Arial"/>
                <w:szCs w:val="20"/>
              </w:rPr>
            </w:pPr>
            <w:r w:rsidRPr="00077984">
              <w:rPr>
                <w:rFonts w:cs="Arial"/>
                <w:szCs w:val="20"/>
              </w:rPr>
              <w:t>MONTH</w:t>
            </w:r>
            <w:r w:rsidRPr="00077984">
              <w:rPr>
                <w:rFonts w:cs="Arial"/>
                <w:szCs w:val="20"/>
                <w:vertAlign w:val="subscript"/>
              </w:rPr>
              <w:t>i,</w:t>
            </w:r>
            <w:r>
              <w:rPr>
                <w:rFonts w:cs="Arial"/>
                <w:szCs w:val="20"/>
                <w:vertAlign w:val="subscript"/>
              </w:rPr>
              <w: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Pr>
                <w:rFonts w:cs="Arial"/>
                <w:szCs w:val="20"/>
              </w:rPr>
              <w:t>A</w:t>
            </w:r>
            <w:r w:rsidRPr="00077984">
              <w:rPr>
                <w:rFonts w:cs="Arial"/>
                <w:szCs w:val="20"/>
              </w:rPr>
              <w:t xml:space="preserve"> series of </w:t>
            </w:r>
            <w:r>
              <w:rPr>
                <w:rFonts w:cs="Arial"/>
                <w:szCs w:val="20"/>
              </w:rPr>
              <w:t>indicator</w:t>
            </w:r>
            <w:r w:rsidRPr="00077984">
              <w:rPr>
                <w:rFonts w:cs="Arial"/>
                <w:szCs w:val="20"/>
              </w:rPr>
              <w:t xml:space="preserve"> variables for each month </w:t>
            </w:r>
          </w:p>
        </w:tc>
      </w:tr>
      <w:tr w:rsidR="005D7374" w:rsidRPr="000249A3" w:rsidTr="0032448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C2024F" w:rsidRDefault="005D7374" w:rsidP="00324486">
            <w:pPr>
              <w:keepNext/>
              <w:keepLines/>
              <w:jc w:val="center"/>
              <w:rPr>
                <w:rFonts w:cs="Arial"/>
                <w:i/>
                <w:szCs w:val="20"/>
              </w:rPr>
            </w:pPr>
            <w:r w:rsidRPr="00C2024F">
              <w:rPr>
                <w:rFonts w:cs="Arial"/>
                <w:i/>
                <w:szCs w:val="20"/>
              </w:rPr>
              <w:t>e</w:t>
            </w:r>
            <w:r w:rsidRPr="00C2024F">
              <w:rPr>
                <w:rFonts w:cs="Arial"/>
                <w:i/>
                <w:szCs w:val="20"/>
                <w:vertAlign w:val="subscript"/>
              </w:rPr>
              <w:t>t,d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7374" w:rsidRPr="00077984" w:rsidRDefault="005D7374" w:rsidP="00324486">
            <w:pPr>
              <w:keepNext/>
              <w:keepLines/>
              <w:rPr>
                <w:rFonts w:cs="Arial"/>
                <w:szCs w:val="20"/>
              </w:rPr>
            </w:pPr>
            <w:r w:rsidRPr="00077984">
              <w:rPr>
                <w:rFonts w:cs="Arial"/>
                <w:szCs w:val="20"/>
              </w:rPr>
              <w:t>The error term.</w:t>
            </w:r>
          </w:p>
        </w:tc>
      </w:tr>
      <w:tr w:rsidR="00EE3CB7" w:rsidRPr="00252370" w:rsidTr="003C53D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jc w:val="center"/>
              <w:rPr>
                <w:rFonts w:cs="Arial"/>
                <w:color w:val="000000" w:themeColor="text1"/>
                <w:szCs w:val="20"/>
              </w:rPr>
            </w:pPr>
            <w:r w:rsidRPr="00252370">
              <w:rPr>
                <w:rFonts w:cs="Arial"/>
                <w:color w:val="000000" w:themeColor="text1"/>
                <w:szCs w:val="20"/>
              </w:rPr>
              <w:t>e</w:t>
            </w:r>
            <w:r w:rsidRPr="00252370">
              <w:rPr>
                <w:rFonts w:cs="Arial"/>
                <w:color w:val="000000" w:themeColor="text1"/>
                <w:szCs w:val="20"/>
                <w:vertAlign w:val="subscript"/>
              </w:rPr>
              <w:t>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7B9" w:rsidRPr="00252370" w:rsidRDefault="00CC17B9" w:rsidP="003C53D3">
            <w:pPr>
              <w:keepNext/>
              <w:keepLines/>
              <w:rPr>
                <w:rFonts w:cs="Arial"/>
                <w:color w:val="000000" w:themeColor="text1"/>
                <w:szCs w:val="20"/>
              </w:rPr>
            </w:pPr>
            <w:r w:rsidRPr="00252370">
              <w:rPr>
                <w:rFonts w:cs="Arial"/>
                <w:color w:val="000000" w:themeColor="text1"/>
                <w:szCs w:val="20"/>
              </w:rPr>
              <w:t>The error term.</w:t>
            </w:r>
          </w:p>
        </w:tc>
      </w:tr>
    </w:tbl>
    <w:p w:rsidR="00CC17B9" w:rsidRPr="00252370" w:rsidRDefault="00CC17B9" w:rsidP="00CC17B9">
      <w:pPr>
        <w:rPr>
          <w:color w:val="000000" w:themeColor="text1"/>
        </w:rPr>
      </w:pPr>
    </w:p>
    <w:p w:rsidR="00503036" w:rsidRPr="000249A3" w:rsidRDefault="00503036" w:rsidP="003578E7">
      <w:pPr>
        <w:spacing w:line="276" w:lineRule="auto"/>
        <w:ind w:firstLine="360"/>
      </w:pPr>
      <w:r w:rsidRPr="000249A3">
        <w:t xml:space="preserve">The OtherEvt variables help the model explain load changes that occur on event days in cases in which </w:t>
      </w:r>
      <w:r>
        <w:t>aggregator service account</w:t>
      </w:r>
      <w:r w:rsidRPr="000249A3">
        <w:t>s are dually enrolled</w:t>
      </w:r>
      <w:r>
        <w:t xml:space="preserve"> in other DR programs</w:t>
      </w:r>
      <w:r w:rsidRPr="000249A3">
        <w:t xml:space="preserve">. (In the absence of these variables, any load reductions that occur on such days may be falsely attributed </w:t>
      </w:r>
      <w:r w:rsidRPr="000249A3">
        <w:lastRenderedPageBreak/>
        <w:t>to other included variables, such as weather condition or day</w:t>
      </w:r>
      <w:r>
        <w:t>-</w:t>
      </w:r>
      <w:r w:rsidRPr="000249A3">
        <w:t xml:space="preserve">type variables.) The </w:t>
      </w:r>
      <w:r>
        <w:t>“</w:t>
      </w:r>
      <w:r w:rsidRPr="000249A3">
        <w:t>morning load</w:t>
      </w:r>
      <w:r>
        <w:t>”</w:t>
      </w:r>
      <w:r w:rsidRPr="000249A3">
        <w:t xml:space="preserve"> variables are included in the same spirit as the day-of adjustment to the 10-in-10 baseline settlement method. That is, those variables help adjust the reference loads (or the loads that would have been observed in the absence of an event) for factors that affect pre-event usage, but are not accounted for by the other included variables. </w:t>
      </w:r>
    </w:p>
    <w:p w:rsidR="00503036" w:rsidRPr="00252370" w:rsidRDefault="00503036" w:rsidP="003578E7">
      <w:pPr>
        <w:spacing w:line="276" w:lineRule="auto"/>
        <w:ind w:firstLine="360"/>
        <w:rPr>
          <w:color w:val="000000" w:themeColor="text1"/>
        </w:rPr>
      </w:pPr>
    </w:p>
    <w:p w:rsidR="00CC17B9" w:rsidRDefault="00503036" w:rsidP="003578E7">
      <w:pPr>
        <w:spacing w:line="276" w:lineRule="auto"/>
        <w:ind w:firstLine="360"/>
        <w:rPr>
          <w:color w:val="000000" w:themeColor="text1"/>
        </w:rPr>
      </w:pPr>
      <w:r w:rsidRPr="00503036">
        <w:rPr>
          <w:color w:val="000000" w:themeColor="text1"/>
        </w:rPr>
        <w:t>The model allows for the hourly load profile to differ by: day of week, with separate profiles for Monday, Tuesday through Thursday, and Friday; and by pricing season (i.e., summer versus non-summer), in order to account for customer load changes in response to seasonal differences in peak energy prices and/or demand charges.</w:t>
      </w:r>
    </w:p>
    <w:p w:rsidR="00503036" w:rsidRDefault="00503036" w:rsidP="003578E7">
      <w:pPr>
        <w:spacing w:line="276" w:lineRule="auto"/>
      </w:pPr>
    </w:p>
    <w:p w:rsidR="00503036" w:rsidRPr="000249A3" w:rsidRDefault="00503036" w:rsidP="003578E7">
      <w:pPr>
        <w:spacing w:line="276" w:lineRule="auto"/>
        <w:ind w:firstLine="360"/>
      </w:pPr>
      <w:r w:rsidRPr="000249A3">
        <w:t xml:space="preserve">Separate models were estimated for each customer. The load impacts were aggregated across </w:t>
      </w:r>
      <w:r>
        <w:t>service accounts</w:t>
      </w:r>
      <w:r w:rsidRPr="000249A3">
        <w:t xml:space="preserve"> as appropriate to arrive at program-level load impacts, as well as load impacts by industry group and local capacity area (LCA). </w:t>
      </w:r>
    </w:p>
    <w:p w:rsidR="00503036" w:rsidRPr="00252370" w:rsidRDefault="00503036" w:rsidP="00503036">
      <w:pPr>
        <w:spacing w:line="276" w:lineRule="auto"/>
        <w:ind w:firstLine="360"/>
        <w:rPr>
          <w:color w:val="000000" w:themeColor="text1"/>
        </w:rPr>
      </w:pPr>
    </w:p>
    <w:p w:rsidR="00CC17B9" w:rsidRPr="00252370" w:rsidRDefault="00CC17B9" w:rsidP="00922C3B">
      <w:pPr>
        <w:pStyle w:val="Heading3"/>
        <w:spacing w:after="0" w:line="276" w:lineRule="auto"/>
        <w:rPr>
          <w:rFonts w:ascii="Times New Roman" w:hAnsi="Times New Roman" w:cs="Times New Roman"/>
          <w:color w:val="000000" w:themeColor="text1"/>
        </w:rPr>
      </w:pPr>
      <w:bookmarkStart w:id="30" w:name="_Toc346119221"/>
      <w:bookmarkStart w:id="31" w:name="_Toc380073991"/>
      <w:bookmarkStart w:id="32" w:name="OLE_LINK3"/>
      <w:bookmarkStart w:id="33" w:name="OLE_LINK4"/>
      <w:bookmarkStart w:id="34" w:name="_Toc415748953"/>
      <w:r w:rsidRPr="00252370">
        <w:rPr>
          <w:rFonts w:ascii="Times New Roman" w:hAnsi="Times New Roman" w:cs="Times New Roman"/>
          <w:color w:val="000000" w:themeColor="text1"/>
        </w:rPr>
        <w:t>Development of Uncertainty-Adjusted Load Impacts</w:t>
      </w:r>
      <w:bookmarkEnd w:id="30"/>
      <w:bookmarkEnd w:id="31"/>
      <w:bookmarkEnd w:id="34"/>
    </w:p>
    <w:bookmarkEnd w:id="32"/>
    <w:bookmarkEnd w:id="33"/>
    <w:p w:rsidR="00C31CCD" w:rsidRPr="00252370" w:rsidRDefault="00C31CCD" w:rsidP="00922C3B">
      <w:pPr>
        <w:spacing w:line="276" w:lineRule="auto"/>
        <w:ind w:firstLine="360"/>
        <w:rPr>
          <w:color w:val="000000" w:themeColor="text1"/>
        </w:rPr>
      </w:pPr>
    </w:p>
    <w:p w:rsidR="00CC17B9" w:rsidRPr="00252370" w:rsidRDefault="00CC17B9" w:rsidP="003578E7">
      <w:pPr>
        <w:spacing w:line="276" w:lineRule="auto"/>
        <w:ind w:firstLine="360"/>
        <w:rPr>
          <w:color w:val="000000" w:themeColor="text1"/>
        </w:rPr>
      </w:pPr>
      <w:r w:rsidRPr="00252370">
        <w:rPr>
          <w:color w:val="000000" w:themeColor="text1"/>
        </w:rPr>
        <w:t xml:space="preserve">In addition to producing point estimates of the ex-post load impacts, </w:t>
      </w:r>
      <w:r w:rsidR="002F533A" w:rsidRPr="00252370">
        <w:rPr>
          <w:color w:val="000000" w:themeColor="text1"/>
        </w:rPr>
        <w:t xml:space="preserve">this section includes the </w:t>
      </w:r>
      <w:r w:rsidRPr="00252370">
        <w:rPr>
          <w:i/>
          <w:color w:val="000000" w:themeColor="text1"/>
        </w:rPr>
        <w:t>uncertainty-adjusted</w:t>
      </w:r>
      <w:r w:rsidRPr="00252370">
        <w:rPr>
          <w:color w:val="000000" w:themeColor="text1"/>
        </w:rPr>
        <w:t xml:space="preserve"> program impacts for each event, which show the uncertainty around the estimated impacts, as required by the Protocols. These methods use the estimated load-impact parameter values and the associated variances to derive scenarios of hourly load impacts.</w:t>
      </w:r>
    </w:p>
    <w:p w:rsidR="00CC17B9" w:rsidRDefault="00CC17B9" w:rsidP="00922C3B">
      <w:pPr>
        <w:spacing w:line="276" w:lineRule="auto"/>
        <w:rPr>
          <w:b/>
          <w:color w:val="000000" w:themeColor="text1"/>
          <w:szCs w:val="26"/>
        </w:rPr>
      </w:pPr>
    </w:p>
    <w:p w:rsidR="008C2300" w:rsidRPr="00252370" w:rsidRDefault="008C2300" w:rsidP="00922C3B">
      <w:pPr>
        <w:pStyle w:val="Heading2"/>
        <w:spacing w:after="0" w:line="276" w:lineRule="auto"/>
        <w:rPr>
          <w:rFonts w:ascii="Times New Roman" w:hAnsi="Times New Roman" w:cs="Times New Roman"/>
          <w:color w:val="000000" w:themeColor="text1"/>
        </w:rPr>
      </w:pPr>
      <w:bookmarkStart w:id="35" w:name="_Toc415748954"/>
      <w:r w:rsidRPr="00252370">
        <w:rPr>
          <w:rFonts w:ascii="Times New Roman" w:hAnsi="Times New Roman" w:cs="Times New Roman"/>
          <w:color w:val="000000" w:themeColor="text1"/>
        </w:rPr>
        <w:t>CBP Ex-Post Load Impact Estimates</w:t>
      </w:r>
      <w:bookmarkEnd w:id="35"/>
    </w:p>
    <w:p w:rsidR="00B20A9E" w:rsidRDefault="00B20A9E" w:rsidP="003578E7">
      <w:pPr>
        <w:spacing w:before="240" w:line="276" w:lineRule="auto"/>
        <w:ind w:firstLine="576"/>
      </w:pPr>
      <w:r>
        <w:t>Table</w:t>
      </w:r>
      <w:r w:rsidRPr="00401B10">
        <w:t xml:space="preserve"> </w:t>
      </w:r>
      <w:r>
        <w:t>2-2</w:t>
      </w:r>
      <w:r w:rsidRPr="00401B10">
        <w:t xml:space="preserve"> show</w:t>
      </w:r>
      <w:r>
        <w:t>s</w:t>
      </w:r>
      <w:r w:rsidRPr="00401B10">
        <w:t xml:space="preserve"> </w:t>
      </w:r>
      <w:r>
        <w:t>average event-hour</w:t>
      </w:r>
      <w:r w:rsidRPr="00401B10">
        <w:t xml:space="preserve"> estimated </w:t>
      </w:r>
      <w:r w:rsidRPr="00401B10">
        <w:rPr>
          <w:i/>
        </w:rPr>
        <w:t>reference load</w:t>
      </w:r>
      <w:r w:rsidRPr="00401B10">
        <w:t xml:space="preserve">, </w:t>
      </w:r>
      <w:r w:rsidRPr="00401B10">
        <w:rPr>
          <w:i/>
        </w:rPr>
        <w:t>observed load</w:t>
      </w:r>
      <w:r w:rsidRPr="00401B10">
        <w:t xml:space="preserve">, </w:t>
      </w:r>
      <w:r w:rsidRPr="00401B10">
        <w:rPr>
          <w:i/>
        </w:rPr>
        <w:t>load impacts</w:t>
      </w:r>
      <w:r w:rsidRPr="00401B10">
        <w:t xml:space="preserve"> and </w:t>
      </w:r>
      <w:r w:rsidRPr="00401B10">
        <w:rPr>
          <w:i/>
        </w:rPr>
        <w:t>percentage load impacts</w:t>
      </w:r>
      <w:r w:rsidRPr="00401B10">
        <w:t xml:space="preserve"> for the DA and DO </w:t>
      </w:r>
      <w:r>
        <w:t xml:space="preserve">notice and associated </w:t>
      </w:r>
      <w:r w:rsidRPr="00401B10">
        <w:t xml:space="preserve">product types, for each of </w:t>
      </w:r>
      <w:r>
        <w:t>SDG&amp;</w:t>
      </w:r>
      <w:r w:rsidRPr="00401B10">
        <w:t>E</w:t>
      </w:r>
      <w:r>
        <w:t>’</w:t>
      </w:r>
      <w:r w:rsidRPr="00401B10">
        <w:t xml:space="preserve">s CBP events, and for averages across the respective </w:t>
      </w:r>
      <w:r>
        <w:t xml:space="preserve">typical </w:t>
      </w:r>
      <w:r w:rsidRPr="00401B10">
        <w:t>events</w:t>
      </w:r>
      <w:r>
        <w:t xml:space="preserve">. </w:t>
      </w:r>
      <w:r w:rsidRPr="00401B10">
        <w:t xml:space="preserve">The </w:t>
      </w:r>
      <w:r>
        <w:t>average event-hour</w:t>
      </w:r>
      <w:r w:rsidRPr="00401B10">
        <w:t xml:space="preserve"> DA load impact </w:t>
      </w:r>
      <w:r>
        <w:t xml:space="preserve">for the typical event </w:t>
      </w:r>
      <w:r w:rsidRPr="00401B10">
        <w:t xml:space="preserve">was </w:t>
      </w:r>
      <w:r>
        <w:t>9.9</w:t>
      </w:r>
      <w:r w:rsidRPr="00401B10">
        <w:t xml:space="preserve"> MW, while DO load impact</w:t>
      </w:r>
      <w:r>
        <w:t>s</w:t>
      </w:r>
      <w:r w:rsidRPr="00401B10">
        <w:t xml:space="preserve"> averaged </w:t>
      </w:r>
      <w:r>
        <w:t>5</w:t>
      </w:r>
      <w:r w:rsidRPr="00401B10">
        <w:t xml:space="preserve"> MW</w:t>
      </w:r>
      <w:r>
        <w:t xml:space="preserve"> for the 1-4 Hour product, and 3.8 MW for the 2-6 Hour product</w:t>
      </w:r>
      <w:r w:rsidRPr="00401B10">
        <w:t xml:space="preserve">. </w:t>
      </w:r>
      <w:r>
        <w:t>Average percentage load impacts were 25 percent for the DA product, and 15 to 18 percent for the two DO product types.</w:t>
      </w:r>
      <w:r w:rsidRPr="00401B10">
        <w:t xml:space="preserve"> </w:t>
      </w:r>
    </w:p>
    <w:p w:rsidR="008863A0" w:rsidRDefault="008863A0" w:rsidP="003578E7">
      <w:pPr>
        <w:spacing w:before="240" w:line="276" w:lineRule="auto"/>
        <w:ind w:firstLine="576"/>
      </w:pPr>
    </w:p>
    <w:p w:rsidR="008863A0" w:rsidRDefault="008863A0" w:rsidP="003578E7">
      <w:pPr>
        <w:spacing w:before="240" w:line="276" w:lineRule="auto"/>
        <w:ind w:firstLine="576"/>
      </w:pPr>
    </w:p>
    <w:p w:rsidR="008863A0" w:rsidRDefault="008863A0" w:rsidP="003578E7">
      <w:pPr>
        <w:spacing w:before="240" w:line="276" w:lineRule="auto"/>
        <w:ind w:firstLine="576"/>
      </w:pPr>
    </w:p>
    <w:p w:rsidR="008863A0" w:rsidRDefault="008863A0" w:rsidP="003578E7">
      <w:pPr>
        <w:spacing w:before="240" w:line="276" w:lineRule="auto"/>
        <w:ind w:firstLine="576"/>
      </w:pPr>
    </w:p>
    <w:p w:rsidR="008863A0" w:rsidRDefault="008863A0" w:rsidP="003578E7">
      <w:pPr>
        <w:spacing w:before="240" w:line="276" w:lineRule="auto"/>
        <w:ind w:firstLine="576"/>
      </w:pPr>
    </w:p>
    <w:p w:rsidR="008863A0" w:rsidRPr="008863A0" w:rsidRDefault="008863A0" w:rsidP="00922C3B">
      <w:pPr>
        <w:pStyle w:val="Heading2"/>
        <w:spacing w:after="0" w:line="276" w:lineRule="auto"/>
        <w:rPr>
          <w:rFonts w:ascii="Times New Roman" w:hAnsi="Times New Roman" w:cs="Times New Roman"/>
          <w:color w:val="000000" w:themeColor="text1"/>
          <w:szCs w:val="24"/>
        </w:rPr>
      </w:pPr>
      <w:bookmarkStart w:id="36" w:name="_Toc380074245"/>
      <w:bookmarkStart w:id="37" w:name="_Toc259624193"/>
      <w:bookmarkStart w:id="38" w:name="_Toc259628870"/>
      <w:bookmarkStart w:id="39" w:name="_Toc289248345"/>
      <w:bookmarkStart w:id="40" w:name="_Toc351990565"/>
      <w:bookmarkStart w:id="41" w:name="_Toc352084142"/>
      <w:bookmarkStart w:id="42" w:name="_Toc415748955"/>
      <w:r w:rsidRPr="00252370">
        <w:rPr>
          <w:rFonts w:ascii="Times New Roman" w:hAnsi="Times New Roman" w:cs="Times New Roman"/>
          <w:color w:val="000000" w:themeColor="text1"/>
          <w:szCs w:val="24"/>
        </w:rPr>
        <w:lastRenderedPageBreak/>
        <w:t xml:space="preserve">CBP Ex-Ante </w:t>
      </w:r>
      <w:bookmarkEnd w:id="37"/>
      <w:bookmarkEnd w:id="38"/>
      <w:bookmarkEnd w:id="39"/>
      <w:bookmarkEnd w:id="40"/>
      <w:bookmarkEnd w:id="41"/>
      <w:r w:rsidRPr="00252370">
        <w:rPr>
          <w:rFonts w:ascii="Times New Roman" w:hAnsi="Times New Roman" w:cs="Times New Roman"/>
          <w:color w:val="000000" w:themeColor="text1"/>
          <w:szCs w:val="24"/>
        </w:rPr>
        <w:t>Evaluation Methodology</w:t>
      </w:r>
      <w:bookmarkEnd w:id="42"/>
    </w:p>
    <w:p w:rsidR="008863A0" w:rsidRDefault="008863A0" w:rsidP="008863A0">
      <w:pPr>
        <w:pStyle w:val="TableText"/>
      </w:pPr>
    </w:p>
    <w:p w:rsidR="00ED7741" w:rsidRPr="00252370" w:rsidRDefault="00427C65" w:rsidP="008863A0">
      <w:pPr>
        <w:pStyle w:val="TableText"/>
        <w:jc w:val="center"/>
      </w:pPr>
      <w:r w:rsidRPr="008863A0">
        <w:t xml:space="preserve">Table 2-2: </w:t>
      </w:r>
      <w:r w:rsidR="00C31CCD" w:rsidRPr="008863A0">
        <w:t>Average Event-Hour Load Impacts by Event – SDG&amp;E CBP</w:t>
      </w:r>
      <w:bookmarkEnd w:id="36"/>
      <w:r w:rsidR="009463B2" w:rsidRPr="006A7DFE">
        <w:rPr>
          <w:noProof/>
        </w:rPr>
        <w:drawing>
          <wp:inline distT="0" distB="0" distL="0" distR="0" wp14:anchorId="4E862A35" wp14:editId="0C0E12F1">
            <wp:extent cx="5486400" cy="525982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259823"/>
                    </a:xfrm>
                    <a:prstGeom prst="rect">
                      <a:avLst/>
                    </a:prstGeom>
                    <a:noFill/>
                    <a:ln>
                      <a:noFill/>
                    </a:ln>
                  </pic:spPr>
                </pic:pic>
              </a:graphicData>
            </a:graphic>
          </wp:inline>
        </w:drawing>
      </w:r>
      <w:bookmarkStart w:id="43" w:name="_Toc259624190"/>
      <w:bookmarkStart w:id="44" w:name="_Toc259624191"/>
      <w:bookmarkEnd w:id="43"/>
      <w:bookmarkEnd w:id="44"/>
    </w:p>
    <w:p w:rsidR="00ED7741" w:rsidRPr="00252370" w:rsidRDefault="00ED7741" w:rsidP="00922C3B">
      <w:pPr>
        <w:spacing w:line="276" w:lineRule="auto"/>
        <w:rPr>
          <w:color w:val="000000" w:themeColor="text1"/>
        </w:rPr>
      </w:pPr>
    </w:p>
    <w:p w:rsidR="004C11F1" w:rsidRDefault="004C11F1" w:rsidP="003578E7">
      <w:pPr>
        <w:spacing w:line="276" w:lineRule="auto"/>
        <w:ind w:firstLine="360"/>
        <w:rPr>
          <w:color w:val="000000" w:themeColor="text1"/>
        </w:rPr>
      </w:pPr>
      <w:r w:rsidRPr="00252370">
        <w:rPr>
          <w:color w:val="000000" w:themeColor="text1"/>
        </w:rPr>
        <w:t xml:space="preserve">This section describes the methods used to develop the relevant groups of customers, to develop reference loads for the relevant customer types and event day-types, and to develop load impacts for a typical event day.  </w:t>
      </w:r>
    </w:p>
    <w:p w:rsidR="004C11F1" w:rsidRPr="00252370" w:rsidRDefault="00D65B8C" w:rsidP="00922C3B">
      <w:pPr>
        <w:pStyle w:val="Heading3"/>
        <w:numPr>
          <w:ilvl w:val="0"/>
          <w:numId w:val="0"/>
        </w:numPr>
        <w:spacing w:after="0" w:line="276" w:lineRule="auto"/>
        <w:ind w:left="720" w:hanging="720"/>
        <w:rPr>
          <w:rFonts w:ascii="Times New Roman" w:hAnsi="Times New Roman" w:cs="Times New Roman"/>
          <w:color w:val="000000" w:themeColor="text1"/>
          <w:szCs w:val="24"/>
        </w:rPr>
      </w:pPr>
      <w:bookmarkStart w:id="45" w:name="_Toc227658381"/>
      <w:bookmarkStart w:id="46" w:name="_Toc252887014"/>
      <w:bookmarkStart w:id="47" w:name="_Toc257708626"/>
      <w:bookmarkStart w:id="48" w:name="_Toc289180093"/>
      <w:bookmarkStart w:id="49" w:name="_Toc326224656"/>
      <w:bookmarkStart w:id="50" w:name="_Toc350439473"/>
      <w:bookmarkStart w:id="51" w:name="_Toc351990566"/>
      <w:bookmarkStart w:id="52" w:name="_Toc352084143"/>
      <w:bookmarkStart w:id="53" w:name="_Toc415748956"/>
      <w:r w:rsidRPr="00252370">
        <w:rPr>
          <w:rFonts w:ascii="Times New Roman" w:hAnsi="Times New Roman" w:cs="Times New Roman"/>
          <w:color w:val="000000" w:themeColor="text1"/>
          <w:szCs w:val="24"/>
        </w:rPr>
        <w:t>2</w:t>
      </w:r>
      <w:r w:rsidR="004C11F1" w:rsidRPr="00252370">
        <w:rPr>
          <w:rFonts w:ascii="Times New Roman" w:hAnsi="Times New Roman" w:cs="Times New Roman"/>
          <w:color w:val="000000" w:themeColor="text1"/>
          <w:szCs w:val="24"/>
        </w:rPr>
        <w:t>.</w:t>
      </w:r>
      <w:r w:rsidRPr="00252370">
        <w:rPr>
          <w:rFonts w:ascii="Times New Roman" w:hAnsi="Times New Roman" w:cs="Times New Roman"/>
          <w:color w:val="000000" w:themeColor="text1"/>
          <w:szCs w:val="24"/>
        </w:rPr>
        <w:t>4</w:t>
      </w:r>
      <w:r w:rsidR="004C11F1" w:rsidRPr="00252370">
        <w:rPr>
          <w:rFonts w:ascii="Times New Roman" w:hAnsi="Times New Roman" w:cs="Times New Roman"/>
          <w:color w:val="000000" w:themeColor="text1"/>
          <w:szCs w:val="24"/>
        </w:rPr>
        <w:t>.</w:t>
      </w:r>
      <w:r w:rsidRPr="00252370">
        <w:rPr>
          <w:rFonts w:ascii="Times New Roman" w:hAnsi="Times New Roman" w:cs="Times New Roman"/>
          <w:color w:val="000000" w:themeColor="text1"/>
          <w:szCs w:val="24"/>
        </w:rPr>
        <w:t>1</w:t>
      </w:r>
      <w:r w:rsidR="004C11F1" w:rsidRPr="00252370">
        <w:rPr>
          <w:rFonts w:ascii="Times New Roman" w:hAnsi="Times New Roman" w:cs="Times New Roman"/>
          <w:color w:val="000000" w:themeColor="text1"/>
          <w:szCs w:val="24"/>
        </w:rPr>
        <w:t xml:space="preserve"> Development of Reference Loads and Load Impacts</w:t>
      </w:r>
      <w:bookmarkEnd w:id="45"/>
      <w:bookmarkEnd w:id="46"/>
      <w:bookmarkEnd w:id="47"/>
      <w:bookmarkEnd w:id="48"/>
      <w:bookmarkEnd w:id="49"/>
      <w:bookmarkEnd w:id="50"/>
      <w:bookmarkEnd w:id="51"/>
      <w:bookmarkEnd w:id="52"/>
      <w:bookmarkEnd w:id="53"/>
    </w:p>
    <w:p w:rsidR="00D65B8C" w:rsidRPr="00252370" w:rsidRDefault="00D65B8C" w:rsidP="00922C3B">
      <w:pPr>
        <w:spacing w:line="276" w:lineRule="auto"/>
        <w:ind w:firstLine="360"/>
        <w:rPr>
          <w:color w:val="000000" w:themeColor="text1"/>
        </w:rPr>
      </w:pPr>
    </w:p>
    <w:p w:rsidR="002B4216" w:rsidRPr="002B4216" w:rsidRDefault="002B4216" w:rsidP="003578E7">
      <w:pPr>
        <w:spacing w:line="276" w:lineRule="auto"/>
        <w:ind w:firstLine="720"/>
        <w:rPr>
          <w:color w:val="000000" w:themeColor="text1"/>
        </w:rPr>
      </w:pPr>
      <w:r w:rsidRPr="002B4216">
        <w:rPr>
          <w:color w:val="000000" w:themeColor="text1"/>
        </w:rPr>
        <w:t>Reference loads and load impacts for the above customer groups were developed in the following series of steps:</w:t>
      </w:r>
    </w:p>
    <w:p w:rsidR="002B4216" w:rsidRPr="002B4216" w:rsidRDefault="002B4216" w:rsidP="003578E7">
      <w:pPr>
        <w:spacing w:line="276" w:lineRule="auto"/>
        <w:rPr>
          <w:color w:val="000000" w:themeColor="text1"/>
        </w:rPr>
      </w:pPr>
    </w:p>
    <w:p w:rsidR="002B4216" w:rsidRPr="002B4216" w:rsidRDefault="002B4216" w:rsidP="003578E7">
      <w:pPr>
        <w:pStyle w:val="ListParagraph"/>
        <w:numPr>
          <w:ilvl w:val="0"/>
          <w:numId w:val="19"/>
        </w:numPr>
        <w:spacing w:line="276" w:lineRule="auto"/>
        <w:rPr>
          <w:color w:val="000000" w:themeColor="text1"/>
        </w:rPr>
      </w:pPr>
      <w:r w:rsidRPr="002B4216">
        <w:rPr>
          <w:color w:val="000000" w:themeColor="text1"/>
        </w:rPr>
        <w:t>Define data sources;</w:t>
      </w:r>
    </w:p>
    <w:p w:rsidR="002B4216" w:rsidRPr="002B4216" w:rsidRDefault="002B4216" w:rsidP="003578E7">
      <w:pPr>
        <w:pStyle w:val="ListParagraph"/>
        <w:numPr>
          <w:ilvl w:val="0"/>
          <w:numId w:val="19"/>
        </w:numPr>
        <w:spacing w:line="276" w:lineRule="auto"/>
        <w:rPr>
          <w:color w:val="000000" w:themeColor="text1"/>
        </w:rPr>
      </w:pPr>
      <w:r w:rsidRPr="002B4216">
        <w:rPr>
          <w:color w:val="000000" w:themeColor="text1"/>
        </w:rPr>
        <w:lastRenderedPageBreak/>
        <w:t>Estimate ex-ante regressions and simulate reference loads by service account and scenario;</w:t>
      </w:r>
    </w:p>
    <w:p w:rsidR="002B4216" w:rsidRPr="002B4216" w:rsidRDefault="002B4216" w:rsidP="003578E7">
      <w:pPr>
        <w:pStyle w:val="ListParagraph"/>
        <w:numPr>
          <w:ilvl w:val="0"/>
          <w:numId w:val="19"/>
        </w:numPr>
        <w:spacing w:line="276" w:lineRule="auto"/>
        <w:rPr>
          <w:color w:val="000000" w:themeColor="text1"/>
        </w:rPr>
      </w:pPr>
      <w:r w:rsidRPr="002B4216">
        <w:rPr>
          <w:color w:val="000000" w:themeColor="text1"/>
        </w:rPr>
        <w:t>Calculate percentage load impacts from ex-post results;</w:t>
      </w:r>
    </w:p>
    <w:p w:rsidR="002B4216" w:rsidRPr="002B4216" w:rsidRDefault="002B4216" w:rsidP="003578E7">
      <w:pPr>
        <w:pStyle w:val="ListParagraph"/>
        <w:numPr>
          <w:ilvl w:val="0"/>
          <w:numId w:val="19"/>
        </w:numPr>
        <w:spacing w:line="276" w:lineRule="auto"/>
        <w:rPr>
          <w:color w:val="000000" w:themeColor="text1"/>
        </w:rPr>
      </w:pPr>
      <w:r w:rsidRPr="002B4216">
        <w:rPr>
          <w:color w:val="000000" w:themeColor="text1"/>
        </w:rPr>
        <w:t>Apply percentage load impacts to the reference loads; and</w:t>
      </w:r>
    </w:p>
    <w:p w:rsidR="002B4216" w:rsidRPr="002B4216" w:rsidRDefault="002B4216" w:rsidP="003578E7">
      <w:pPr>
        <w:pStyle w:val="ListParagraph"/>
        <w:numPr>
          <w:ilvl w:val="0"/>
          <w:numId w:val="19"/>
        </w:numPr>
        <w:spacing w:line="276" w:lineRule="auto"/>
        <w:rPr>
          <w:color w:val="000000" w:themeColor="text1"/>
        </w:rPr>
      </w:pPr>
      <w:r w:rsidRPr="002B4216">
        <w:rPr>
          <w:color w:val="000000" w:themeColor="text1"/>
        </w:rPr>
        <w:t>Scale the reference loads using enrollment forecasts.</w:t>
      </w:r>
    </w:p>
    <w:p w:rsidR="004C11F1" w:rsidRPr="00252370" w:rsidRDefault="004C11F1" w:rsidP="003578E7">
      <w:pPr>
        <w:spacing w:line="276" w:lineRule="auto"/>
        <w:rPr>
          <w:color w:val="000000" w:themeColor="text1"/>
        </w:rPr>
      </w:pPr>
    </w:p>
    <w:p w:rsidR="004C11F1" w:rsidRPr="00252370" w:rsidRDefault="004C11F1" w:rsidP="003578E7">
      <w:pPr>
        <w:spacing w:line="276" w:lineRule="auto"/>
        <w:rPr>
          <w:color w:val="000000" w:themeColor="text1"/>
        </w:rPr>
      </w:pPr>
      <w:r w:rsidRPr="00252370">
        <w:rPr>
          <w:color w:val="000000" w:themeColor="text1"/>
        </w:rPr>
        <w:t>Each of these steps is described below.</w:t>
      </w:r>
    </w:p>
    <w:p w:rsidR="004C11F1" w:rsidRPr="00252370" w:rsidRDefault="004C11F1" w:rsidP="003578E7">
      <w:pPr>
        <w:spacing w:line="276" w:lineRule="auto"/>
        <w:rPr>
          <w:color w:val="000000" w:themeColor="text1"/>
        </w:rPr>
      </w:pPr>
    </w:p>
    <w:p w:rsidR="004C11F1" w:rsidRDefault="004C11F1" w:rsidP="003578E7">
      <w:pPr>
        <w:spacing w:line="276" w:lineRule="auto"/>
        <w:ind w:firstLine="360"/>
        <w:rPr>
          <w:color w:val="000000" w:themeColor="text1"/>
        </w:rPr>
      </w:pPr>
      <w:r w:rsidRPr="00252370">
        <w:rPr>
          <w:i/>
          <w:color w:val="000000" w:themeColor="text1"/>
        </w:rPr>
        <w:t>Define data sources</w:t>
      </w:r>
      <w:r w:rsidR="002F4968" w:rsidRPr="00252370">
        <w:rPr>
          <w:i/>
          <w:color w:val="000000" w:themeColor="text1"/>
        </w:rPr>
        <w:t xml:space="preserve">: </w:t>
      </w:r>
      <w:r w:rsidR="002B4216" w:rsidRPr="002B4216">
        <w:rPr>
          <w:color w:val="000000" w:themeColor="text1"/>
        </w:rPr>
        <w:t>The reference loads are developed using data for customers enrolled and nominated during the 2014 program year. The percentage load impacts are developed using the estimated ex-post load impacts for the same customers, using event-specific data for program years 2012, 2013 and 2014.</w:t>
      </w:r>
    </w:p>
    <w:p w:rsidR="002B4216" w:rsidRPr="00252370" w:rsidRDefault="002B4216" w:rsidP="003578E7">
      <w:pPr>
        <w:tabs>
          <w:tab w:val="left" w:pos="4140"/>
        </w:tabs>
        <w:spacing w:line="276" w:lineRule="auto"/>
        <w:rPr>
          <w:color w:val="000000" w:themeColor="text1"/>
        </w:rPr>
      </w:pPr>
    </w:p>
    <w:p w:rsidR="00A939A2" w:rsidRDefault="004C11F1" w:rsidP="003578E7">
      <w:pPr>
        <w:spacing w:line="276" w:lineRule="auto"/>
        <w:ind w:firstLine="360"/>
        <w:rPr>
          <w:color w:val="000000" w:themeColor="text1"/>
        </w:rPr>
      </w:pPr>
      <w:r w:rsidRPr="00252370">
        <w:rPr>
          <w:i/>
          <w:color w:val="000000" w:themeColor="text1"/>
        </w:rPr>
        <w:t>Simulate reference loads</w:t>
      </w:r>
      <w:r w:rsidR="002F4968" w:rsidRPr="00252370">
        <w:rPr>
          <w:i/>
          <w:color w:val="000000" w:themeColor="text1"/>
        </w:rPr>
        <w:t xml:space="preserve">: </w:t>
      </w:r>
      <w:r w:rsidR="008C5C68" w:rsidRPr="008C5C68">
        <w:rPr>
          <w:color w:val="000000" w:themeColor="text1"/>
        </w:rPr>
        <w:t xml:space="preserve">In order to develop reference loads, we first re-estimate regression equations for each nominated customer account, using load and weather data for the current program year. The resulting estimates are used to simulate reference loads for each service account under the various scenarios required by the Protocols (e.g., the typical event day under 1-in-2 weather conditions).   </w:t>
      </w:r>
    </w:p>
    <w:p w:rsidR="004C11F1" w:rsidRPr="00252370" w:rsidRDefault="004C11F1" w:rsidP="003578E7">
      <w:pPr>
        <w:spacing w:line="276" w:lineRule="auto"/>
        <w:rPr>
          <w:color w:val="000000" w:themeColor="text1"/>
        </w:rPr>
      </w:pPr>
    </w:p>
    <w:p w:rsidR="004C11F1" w:rsidRDefault="00B17BC4" w:rsidP="003578E7">
      <w:pPr>
        <w:spacing w:line="276" w:lineRule="auto"/>
        <w:ind w:firstLine="360"/>
        <w:rPr>
          <w:color w:val="000000" w:themeColor="text1"/>
        </w:rPr>
      </w:pPr>
      <w:r>
        <w:rPr>
          <w:color w:val="000000" w:themeColor="text1"/>
        </w:rPr>
        <w:t>T</w:t>
      </w:r>
      <w:r w:rsidRPr="00B17BC4">
        <w:rPr>
          <w:color w:val="000000" w:themeColor="text1"/>
        </w:rPr>
        <w:t>he ex-ante models exclude the morning-usage variables. While these variables are useful for improving accuracy in estimating ex-post load impacts for particular events, they complicate the use of the equations for ex-ante simulation, because they would essentially require a separate simulation of the level of the morning load variable. The second difference between the ex-post and ex-ante models is that the ex-ante models use CDH60 as the weather variables in place of the weather variables used in the ex-post regressions. The primary reason for this is that ex-ante weather days were selected based on current-day temperatures, not factoring in lagged values or humidity. Therefore, we determined that including a weather variable that is based on only current-day temperature is the most consistent way of reflecting the alternative 1-in-2 and 1-in-10 weather conditions.</w:t>
      </w:r>
    </w:p>
    <w:p w:rsidR="00B17BC4" w:rsidRDefault="00B17BC4" w:rsidP="003578E7">
      <w:pPr>
        <w:spacing w:line="276" w:lineRule="auto"/>
      </w:pPr>
    </w:p>
    <w:p w:rsidR="00B17BC4" w:rsidRDefault="00B17BC4" w:rsidP="003578E7">
      <w:pPr>
        <w:spacing w:line="276" w:lineRule="auto"/>
        <w:ind w:firstLine="360"/>
      </w:pPr>
      <w:r>
        <w:t xml:space="preserve">Once these models are estimated, we simulate 24-hour load profiles for each customer account, for each required scenario. The typical event day was assumed to occur in August. Most of the differences across scenarios can be attributed to varying weather conditions. The definitions of the two sets of 1-in-2 and 1-in-10 weather conditions for each utility have been newly developed for this program year.  </w:t>
      </w:r>
    </w:p>
    <w:p w:rsidR="00B17BC4" w:rsidRDefault="00B17BC4" w:rsidP="003578E7">
      <w:pPr>
        <w:spacing w:line="276" w:lineRule="auto"/>
        <w:rPr>
          <w:color w:val="000000" w:themeColor="text1"/>
        </w:rPr>
      </w:pPr>
    </w:p>
    <w:p w:rsidR="00A217FA" w:rsidRDefault="004C11F1" w:rsidP="003578E7">
      <w:pPr>
        <w:spacing w:line="276" w:lineRule="auto"/>
        <w:ind w:firstLine="360"/>
        <w:rPr>
          <w:color w:val="000000" w:themeColor="text1"/>
        </w:rPr>
      </w:pPr>
      <w:r w:rsidRPr="00252370">
        <w:rPr>
          <w:i/>
          <w:color w:val="000000" w:themeColor="text1"/>
        </w:rPr>
        <w:t>Calculate forecast percentage load impacts</w:t>
      </w:r>
      <w:r w:rsidR="002F4968" w:rsidRPr="00252370">
        <w:rPr>
          <w:i/>
          <w:color w:val="000000" w:themeColor="text1"/>
        </w:rPr>
        <w:t xml:space="preserve">: </w:t>
      </w:r>
      <w:r w:rsidR="002F4968" w:rsidRPr="00252370">
        <w:rPr>
          <w:color w:val="000000" w:themeColor="text1"/>
        </w:rPr>
        <w:t>T</w:t>
      </w:r>
      <w:r w:rsidRPr="00252370">
        <w:rPr>
          <w:color w:val="000000" w:themeColor="text1"/>
        </w:rPr>
        <w:t xml:space="preserve">he percentage load impacts were based on the </w:t>
      </w:r>
      <w:r w:rsidR="0015465A" w:rsidRPr="00252370">
        <w:rPr>
          <w:color w:val="000000" w:themeColor="text1"/>
        </w:rPr>
        <w:t>ex-post</w:t>
      </w:r>
      <w:r w:rsidRPr="00252370">
        <w:rPr>
          <w:color w:val="000000" w:themeColor="text1"/>
        </w:rPr>
        <w:t xml:space="preserve"> load impacts for each event during the </w:t>
      </w:r>
      <w:r w:rsidR="00C07630" w:rsidRPr="00C07630">
        <w:rPr>
          <w:color w:val="000000" w:themeColor="text1"/>
        </w:rPr>
        <w:t xml:space="preserve">2012, 2013 and 2014 program years. Specifically, we examine only customers enrolled and nominated in PY2014, but include available data from the 2012 and 2013 program years for those customers that were also nominated in those years. </w:t>
      </w:r>
      <w:r w:rsidR="00C07630" w:rsidRPr="00C07630">
        <w:rPr>
          <w:color w:val="000000" w:themeColor="text1"/>
        </w:rPr>
        <w:lastRenderedPageBreak/>
        <w:t>This method allows us to base the ex-ante load impacts on a larger sample of events than just the current year, which should improve the reliability and consistency of the load impacts across forecasts.</w:t>
      </w:r>
    </w:p>
    <w:p w:rsidR="00C07630" w:rsidRDefault="00C07630" w:rsidP="003578E7">
      <w:pPr>
        <w:spacing w:line="276" w:lineRule="auto"/>
        <w:rPr>
          <w:color w:val="000000" w:themeColor="text1"/>
        </w:rPr>
      </w:pPr>
    </w:p>
    <w:p w:rsidR="000E0814" w:rsidRDefault="000E0814" w:rsidP="003578E7">
      <w:pPr>
        <w:spacing w:line="276" w:lineRule="auto"/>
        <w:ind w:firstLine="360"/>
      </w:pPr>
      <w:r>
        <w:t>For each service account, we calculate the average and standard deviation of the load impacts across the available event days for four categories of hours: event hours; hours immediately adjacent to events; hours prior to; and hours following the adjacent hours (</w:t>
      </w:r>
      <w:r>
        <w:rPr>
          <w:i/>
        </w:rPr>
        <w:t>i.e</w:t>
      </w:r>
      <w:r>
        <w:t>., morning and late evening). These values of load impacts for categories of hours are applied to the simulated reference loads to produce each customer’s hourly load impact forecast values.</w:t>
      </w:r>
    </w:p>
    <w:p w:rsidR="000E0814" w:rsidRDefault="000E0814" w:rsidP="003578E7">
      <w:pPr>
        <w:spacing w:line="276" w:lineRule="auto"/>
        <w:ind w:firstLine="360"/>
        <w:rPr>
          <w:color w:val="000000" w:themeColor="text1"/>
        </w:rPr>
      </w:pPr>
    </w:p>
    <w:p w:rsidR="005C630C" w:rsidRPr="005C630C" w:rsidRDefault="005C630C" w:rsidP="003578E7">
      <w:pPr>
        <w:spacing w:line="276" w:lineRule="auto"/>
        <w:ind w:firstLine="360"/>
        <w:rPr>
          <w:color w:val="000000" w:themeColor="text1"/>
        </w:rPr>
      </w:pPr>
      <w:r w:rsidRPr="005C630C">
        <w:rPr>
          <w:color w:val="000000" w:themeColor="text1"/>
        </w:rPr>
        <w:t>For any given sub-group of customers (e.g., CBP day-of customers greater than or equal to 200 kW in size, in the Greater Bay Area), we sum the observed loads, hourly load impacts and their variances across the applicable service accounts for reporting purposes.</w:t>
      </w:r>
    </w:p>
    <w:p w:rsidR="005C630C" w:rsidRPr="005C630C" w:rsidRDefault="005C630C" w:rsidP="003578E7">
      <w:pPr>
        <w:spacing w:line="276" w:lineRule="auto"/>
        <w:rPr>
          <w:color w:val="000000" w:themeColor="text1"/>
        </w:rPr>
      </w:pPr>
    </w:p>
    <w:p w:rsidR="005C630C" w:rsidRPr="005C630C" w:rsidRDefault="005C630C" w:rsidP="003578E7">
      <w:pPr>
        <w:spacing w:line="276" w:lineRule="auto"/>
        <w:ind w:firstLine="360"/>
        <w:rPr>
          <w:color w:val="000000" w:themeColor="text1"/>
        </w:rPr>
      </w:pPr>
      <w:r w:rsidRPr="005C630C">
        <w:rPr>
          <w:color w:val="000000" w:themeColor="text1"/>
        </w:rPr>
        <w:t xml:space="preserve">We calculate percentage load impacts by the four hour types in order to “standardize” the load impacts for application to the ex-ante forecast event window (1:00 to 6:00 p.m. in April through October). That is, it allows us to control for the fact that the historical (i.e., ex-post) event hours can differ across programs, customers, and event days, and generally differ from the ex-ante event window. The use of the load impacts by hour-type allows us to simulate load impacts as though all customers (within a program and notice level) are called for the same event window. </w:t>
      </w:r>
    </w:p>
    <w:p w:rsidR="005C630C" w:rsidRPr="005C630C" w:rsidRDefault="005C630C" w:rsidP="003578E7">
      <w:pPr>
        <w:spacing w:line="276" w:lineRule="auto"/>
        <w:rPr>
          <w:color w:val="000000" w:themeColor="text1"/>
        </w:rPr>
      </w:pPr>
    </w:p>
    <w:p w:rsidR="005C630C" w:rsidRPr="005C630C" w:rsidRDefault="005C630C" w:rsidP="003578E7">
      <w:pPr>
        <w:spacing w:line="276" w:lineRule="auto"/>
        <w:ind w:firstLine="360"/>
        <w:rPr>
          <w:color w:val="000000" w:themeColor="text1"/>
        </w:rPr>
      </w:pPr>
      <w:r w:rsidRPr="005C630C">
        <w:rPr>
          <w:color w:val="000000" w:themeColor="text1"/>
        </w:rPr>
        <w:t>The uncertainty-adjusted load impacts (i.e., the 10th, 30th, 50th, 70th, and 90th percentile scenarios of load impacts) are based on the variability of each customer’s response across event days. That is, we calculate the standard deviation of each customer’s percentage load impact across the available event days. The square of the standard deviation (i.e., the variance) is added across customers within each required subgroup. Each uncertainty-adjusted scenario is then calculated under the assumption that the load impacts are normally distributed with a mean equal to the total estimated load impact and a variance based on the variability of load impacts across event days.</w:t>
      </w:r>
    </w:p>
    <w:p w:rsidR="003D5FC0" w:rsidRPr="00252370" w:rsidRDefault="003D5FC0" w:rsidP="003578E7">
      <w:pPr>
        <w:spacing w:line="276" w:lineRule="auto"/>
        <w:rPr>
          <w:color w:val="000000" w:themeColor="text1"/>
        </w:rPr>
      </w:pPr>
    </w:p>
    <w:p w:rsidR="004C11F1" w:rsidRDefault="004C11F1" w:rsidP="003578E7">
      <w:pPr>
        <w:spacing w:line="276" w:lineRule="auto"/>
        <w:ind w:firstLine="360"/>
        <w:rPr>
          <w:color w:val="000000" w:themeColor="text1"/>
        </w:rPr>
      </w:pPr>
      <w:r w:rsidRPr="00252370">
        <w:rPr>
          <w:i/>
          <w:color w:val="000000" w:themeColor="text1"/>
        </w:rPr>
        <w:t>Apply percentage load impacts to reference loads for each event scenario</w:t>
      </w:r>
      <w:r w:rsidR="002F4968" w:rsidRPr="00252370">
        <w:rPr>
          <w:i/>
          <w:color w:val="000000" w:themeColor="text1"/>
        </w:rPr>
        <w:t>:</w:t>
      </w:r>
      <w:r w:rsidRPr="00252370">
        <w:rPr>
          <w:color w:val="000000" w:themeColor="text1"/>
        </w:rPr>
        <w:t xml:space="preserve"> In this step, </w:t>
      </w:r>
      <w:r w:rsidR="00E979CB" w:rsidRPr="00E979CB">
        <w:rPr>
          <w:color w:val="000000" w:themeColor="text1"/>
        </w:rPr>
        <w:t>the percentage load impacts are applied to the reference loads for each scenario to produce all of the required reference loads, estimated event-day loads, and scenarios of load impacts.</w:t>
      </w:r>
    </w:p>
    <w:p w:rsidR="00E979CB" w:rsidRPr="00252370" w:rsidRDefault="00E979CB" w:rsidP="003578E7">
      <w:pPr>
        <w:spacing w:line="276" w:lineRule="auto"/>
        <w:ind w:firstLine="360"/>
        <w:rPr>
          <w:color w:val="000000" w:themeColor="text1"/>
        </w:rPr>
      </w:pPr>
    </w:p>
    <w:p w:rsidR="0091679A" w:rsidRPr="00252370" w:rsidRDefault="004C11F1" w:rsidP="003578E7">
      <w:pPr>
        <w:spacing w:line="276" w:lineRule="auto"/>
        <w:ind w:firstLine="360"/>
        <w:rPr>
          <w:color w:val="000000" w:themeColor="text1"/>
        </w:rPr>
      </w:pPr>
      <w:r w:rsidRPr="00252370">
        <w:rPr>
          <w:i/>
          <w:color w:val="000000" w:themeColor="text1"/>
        </w:rPr>
        <w:t>Apply forecast enrollments to produce program-level load impacts</w:t>
      </w:r>
      <w:r w:rsidR="005C4C8C" w:rsidRPr="00252370">
        <w:rPr>
          <w:i/>
          <w:color w:val="000000" w:themeColor="text1"/>
        </w:rPr>
        <w:t xml:space="preserve">: </w:t>
      </w:r>
      <w:r w:rsidR="00E979CB" w:rsidRPr="00E979CB">
        <w:rPr>
          <w:color w:val="000000" w:themeColor="text1"/>
        </w:rPr>
        <w:t>The enrollments are then used to scale up the per-customer reference loads and load impacts for each required scenario and customer subgroup.</w:t>
      </w:r>
    </w:p>
    <w:p w:rsidR="008C2300" w:rsidRPr="00B13241" w:rsidRDefault="008C2300" w:rsidP="003C4AD3">
      <w:pPr>
        <w:pStyle w:val="Heading2"/>
        <w:spacing w:after="0" w:line="276" w:lineRule="auto"/>
        <w:rPr>
          <w:rFonts w:ascii="Times New Roman" w:hAnsi="Times New Roman" w:cs="Times New Roman"/>
          <w:color w:val="000000" w:themeColor="text1"/>
        </w:rPr>
      </w:pPr>
      <w:bookmarkStart w:id="54" w:name="_Toc415748957"/>
      <w:r w:rsidRPr="00B13241">
        <w:rPr>
          <w:rFonts w:ascii="Times New Roman" w:hAnsi="Times New Roman" w:cs="Times New Roman"/>
          <w:color w:val="000000" w:themeColor="text1"/>
        </w:rPr>
        <w:t>CBP Ex-Ante Load Impact Estimates</w:t>
      </w:r>
      <w:bookmarkEnd w:id="54"/>
    </w:p>
    <w:p w:rsidR="00571D25" w:rsidRPr="00252370" w:rsidRDefault="00571D25" w:rsidP="003C4AD3">
      <w:pPr>
        <w:spacing w:line="276" w:lineRule="auto"/>
        <w:rPr>
          <w:color w:val="000000" w:themeColor="text1"/>
        </w:rPr>
      </w:pPr>
    </w:p>
    <w:p w:rsidR="00571D25" w:rsidRDefault="00571D25" w:rsidP="003578E7">
      <w:pPr>
        <w:spacing w:line="276" w:lineRule="auto"/>
        <w:ind w:firstLine="360"/>
        <w:rPr>
          <w:color w:val="000000" w:themeColor="text1"/>
        </w:rPr>
      </w:pPr>
      <w:r w:rsidRPr="00252370">
        <w:rPr>
          <w:color w:val="000000" w:themeColor="text1"/>
        </w:rPr>
        <w:lastRenderedPageBreak/>
        <w:t xml:space="preserve">The enrollment forecast provided by SDG&amp;E for the purpose of this report anticipates that </w:t>
      </w:r>
      <w:r w:rsidR="00044FCF" w:rsidRPr="00044FCF">
        <w:rPr>
          <w:color w:val="000000" w:themeColor="text1"/>
        </w:rPr>
        <w:t>the number of nominated customer service accounts for CBP DA will remain steady at 159, while CBP DO will increase somewhat through the summer of 2015, from 239 in May, to 284 in October, and then remain constant over the forecast period.</w:t>
      </w:r>
    </w:p>
    <w:p w:rsidR="00C633B2" w:rsidRDefault="00C633B2" w:rsidP="003578E7">
      <w:pPr>
        <w:spacing w:line="276" w:lineRule="auto"/>
        <w:ind w:firstLine="360"/>
        <w:rPr>
          <w:color w:val="000000" w:themeColor="text1"/>
        </w:rPr>
      </w:pPr>
    </w:p>
    <w:p w:rsidR="00044FCF" w:rsidRDefault="00044FCF" w:rsidP="003578E7">
      <w:pPr>
        <w:spacing w:line="276" w:lineRule="auto"/>
        <w:ind w:firstLine="360"/>
      </w:pPr>
      <w:r>
        <w:t>Table 2-3 compares DA and DO (separately for DO 1-4 and 2-6) load impacts for an August peak day in 1-in-2 and 1-in-10 weather years, under the utility-peak and CAISO-peak scenarios. Average event-hour load impacts vary slightly across scenarios in expected ways, and are 11.9 MW for DA and 9.78 MW for DO in the 1-in-2 utility-peak weather scenario.</w:t>
      </w:r>
    </w:p>
    <w:p w:rsidR="00C633B2" w:rsidRDefault="00C633B2" w:rsidP="00651193">
      <w:pPr>
        <w:spacing w:line="276" w:lineRule="auto"/>
        <w:ind w:firstLine="360"/>
        <w:rPr>
          <w:color w:val="000000" w:themeColor="text1"/>
        </w:rPr>
      </w:pPr>
    </w:p>
    <w:p w:rsidR="001055CE" w:rsidRDefault="00427C65" w:rsidP="001055CE">
      <w:pPr>
        <w:pStyle w:val="TableCaption"/>
        <w:rPr>
          <w:color w:val="000000" w:themeColor="text1"/>
          <w:sz w:val="20"/>
        </w:rPr>
      </w:pPr>
      <w:bookmarkStart w:id="55" w:name="_Toc380074266"/>
      <w:r w:rsidRPr="00252370">
        <w:rPr>
          <w:color w:val="000000" w:themeColor="text1"/>
          <w:sz w:val="20"/>
        </w:rPr>
        <w:t xml:space="preserve">Table 2-3: </w:t>
      </w:r>
      <w:bookmarkEnd w:id="55"/>
      <w:r w:rsidR="00044FCF" w:rsidRPr="00044FCF">
        <w:rPr>
          <w:color w:val="000000" w:themeColor="text1"/>
          <w:sz w:val="20"/>
        </w:rPr>
        <w:t>Average Event-Hour Load Impacts for an August Peak Day in 1-in-2 and 1-in-10 Weather Years (2015 – 2025) – SDG&amp;E CBP DA and DO</w:t>
      </w:r>
    </w:p>
    <w:p w:rsidR="00044FCF" w:rsidRDefault="00044FCF" w:rsidP="001055CE">
      <w:pPr>
        <w:pStyle w:val="TableCaption"/>
        <w:rPr>
          <w:color w:val="000000" w:themeColor="text1"/>
          <w:sz w:val="20"/>
        </w:rPr>
      </w:pPr>
      <w:r w:rsidRPr="003329BA">
        <w:rPr>
          <w:noProof/>
        </w:rPr>
        <w:drawing>
          <wp:inline distT="0" distB="0" distL="0" distR="0" wp14:anchorId="49403804" wp14:editId="3FB1D781">
            <wp:extent cx="3228975" cy="1123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1123950"/>
                    </a:xfrm>
                    <a:prstGeom prst="rect">
                      <a:avLst/>
                    </a:prstGeom>
                    <a:noFill/>
                    <a:ln>
                      <a:noFill/>
                    </a:ln>
                  </pic:spPr>
                </pic:pic>
              </a:graphicData>
            </a:graphic>
          </wp:inline>
        </w:drawing>
      </w:r>
    </w:p>
    <w:p w:rsidR="004829BE" w:rsidRPr="00252370" w:rsidRDefault="004829BE" w:rsidP="003C4AD3">
      <w:pPr>
        <w:pStyle w:val="Heading2"/>
        <w:spacing w:after="0" w:line="276" w:lineRule="auto"/>
        <w:rPr>
          <w:rFonts w:ascii="Times New Roman" w:hAnsi="Times New Roman" w:cs="Times New Roman"/>
          <w:color w:val="000000" w:themeColor="text1"/>
        </w:rPr>
      </w:pPr>
      <w:bookmarkStart w:id="56" w:name="_Toc415748958"/>
      <w:r w:rsidRPr="00252370">
        <w:rPr>
          <w:rFonts w:ascii="Times New Roman" w:hAnsi="Times New Roman" w:cs="Times New Roman"/>
          <w:color w:val="000000" w:themeColor="text1"/>
        </w:rPr>
        <w:t>CBP Comparisons of Ex-Post and Ex-Ante Results</w:t>
      </w:r>
      <w:bookmarkEnd w:id="56"/>
    </w:p>
    <w:p w:rsidR="004829BE" w:rsidRPr="00252370" w:rsidRDefault="004829BE" w:rsidP="003C4AD3">
      <w:pPr>
        <w:spacing w:line="276" w:lineRule="auto"/>
        <w:jc w:val="center"/>
        <w:rPr>
          <w:color w:val="000000" w:themeColor="text1"/>
        </w:rPr>
      </w:pPr>
    </w:p>
    <w:p w:rsidR="00B83772" w:rsidRPr="00252370" w:rsidRDefault="008070B8" w:rsidP="00651193">
      <w:pPr>
        <w:spacing w:line="276" w:lineRule="auto"/>
        <w:ind w:firstLine="360"/>
        <w:rPr>
          <w:color w:val="000000" w:themeColor="text1"/>
        </w:rPr>
      </w:pPr>
      <w:r w:rsidRPr="00252370">
        <w:rPr>
          <w:color w:val="000000" w:themeColor="text1"/>
        </w:rPr>
        <w:t xml:space="preserve">In response to </w:t>
      </w:r>
      <w:r w:rsidR="00601307" w:rsidRPr="00252370">
        <w:rPr>
          <w:color w:val="000000" w:themeColor="text1"/>
        </w:rPr>
        <w:t xml:space="preserve">the </w:t>
      </w:r>
      <w:r w:rsidRPr="00252370">
        <w:rPr>
          <w:color w:val="000000" w:themeColor="text1"/>
        </w:rPr>
        <w:t>request to improve the transparency of the linkage between ex-post and ex-ante results, th</w:t>
      </w:r>
      <w:r w:rsidR="009A2C74" w:rsidRPr="00252370">
        <w:rPr>
          <w:color w:val="000000" w:themeColor="text1"/>
        </w:rPr>
        <w:t xml:space="preserve">is </w:t>
      </w:r>
      <w:r w:rsidRPr="00252370">
        <w:rPr>
          <w:color w:val="000000" w:themeColor="text1"/>
        </w:rPr>
        <w:t xml:space="preserve">section </w:t>
      </w:r>
      <w:r w:rsidR="009A2C74" w:rsidRPr="00252370">
        <w:rPr>
          <w:color w:val="000000" w:themeColor="text1"/>
        </w:rPr>
        <w:t>c</w:t>
      </w:r>
      <w:r w:rsidR="00601307" w:rsidRPr="00252370">
        <w:rPr>
          <w:color w:val="000000" w:themeColor="text1"/>
        </w:rPr>
        <w:t xml:space="preserve">ompares </w:t>
      </w:r>
      <w:r w:rsidR="004A2F32">
        <w:rPr>
          <w:color w:val="000000" w:themeColor="text1"/>
        </w:rPr>
        <w:t>three</w:t>
      </w:r>
      <w:r w:rsidR="00FE33AF">
        <w:rPr>
          <w:color w:val="000000" w:themeColor="text1"/>
        </w:rPr>
        <w:t xml:space="preserve"> </w:t>
      </w:r>
      <w:r w:rsidR="00601307" w:rsidRPr="00252370">
        <w:rPr>
          <w:color w:val="000000" w:themeColor="text1"/>
        </w:rPr>
        <w:t>set of estimated load impacts.</w:t>
      </w:r>
    </w:p>
    <w:p w:rsidR="00B83772" w:rsidRPr="00252370" w:rsidRDefault="00FE33AF" w:rsidP="003C4AD3">
      <w:pPr>
        <w:pStyle w:val="Heading3"/>
        <w:spacing w:after="0" w:line="276" w:lineRule="auto"/>
        <w:rPr>
          <w:rFonts w:ascii="Times New Roman" w:hAnsi="Times New Roman" w:cs="Times New Roman"/>
          <w:color w:val="000000" w:themeColor="text1"/>
        </w:rPr>
      </w:pPr>
      <w:bookmarkStart w:id="57" w:name="_Toc415748959"/>
      <w:r>
        <w:rPr>
          <w:rFonts w:ascii="Times New Roman" w:hAnsi="Times New Roman" w:cs="Times New Roman"/>
          <w:color w:val="000000" w:themeColor="text1"/>
        </w:rPr>
        <w:t>Ex-post load impacts from the current and previous studies</w:t>
      </w:r>
      <w:bookmarkEnd w:id="57"/>
    </w:p>
    <w:p w:rsidR="004355E2" w:rsidRDefault="004355E2" w:rsidP="003C4AD3">
      <w:pPr>
        <w:spacing w:line="276" w:lineRule="auto"/>
        <w:rPr>
          <w:color w:val="000000" w:themeColor="text1"/>
        </w:rPr>
      </w:pPr>
    </w:p>
    <w:p w:rsidR="00745560" w:rsidRDefault="00745560" w:rsidP="00745560">
      <w:pPr>
        <w:spacing w:line="276" w:lineRule="auto"/>
        <w:ind w:firstLine="360"/>
        <w:rPr>
          <w:color w:val="000000" w:themeColor="text1"/>
        </w:rPr>
      </w:pPr>
      <w:r w:rsidRPr="00745560">
        <w:rPr>
          <w:color w:val="000000" w:themeColor="text1"/>
        </w:rPr>
        <w:t xml:space="preserve">Table </w:t>
      </w:r>
      <w:r>
        <w:rPr>
          <w:color w:val="000000" w:themeColor="text1"/>
        </w:rPr>
        <w:t>2-4</w:t>
      </w:r>
      <w:r w:rsidRPr="00745560">
        <w:rPr>
          <w:color w:val="000000" w:themeColor="text1"/>
        </w:rPr>
        <w:t xml:space="preserve"> compares estimated ex-post load impacts for the average of the typical CBP events in the current and two previous program years, by notice type, along with this year’s ex-ante forecast for 2015. </w:t>
      </w:r>
    </w:p>
    <w:p w:rsidR="00B83772" w:rsidRPr="00252370" w:rsidRDefault="00B83772" w:rsidP="004355E2">
      <w:pPr>
        <w:spacing w:line="276" w:lineRule="auto"/>
        <w:rPr>
          <w:color w:val="000000" w:themeColor="text1"/>
        </w:rPr>
      </w:pPr>
      <w:r w:rsidRPr="00252370">
        <w:rPr>
          <w:color w:val="000000" w:themeColor="text1"/>
        </w:rPr>
        <w:t xml:space="preserve"> </w:t>
      </w:r>
    </w:p>
    <w:p w:rsidR="00B83772" w:rsidRPr="00252370" w:rsidRDefault="00745560" w:rsidP="00651193">
      <w:pPr>
        <w:spacing w:line="276" w:lineRule="auto"/>
        <w:ind w:firstLine="360"/>
        <w:rPr>
          <w:color w:val="000000" w:themeColor="text1"/>
        </w:rPr>
      </w:pPr>
      <w:r w:rsidRPr="00745560">
        <w:rPr>
          <w:color w:val="000000" w:themeColor="text1"/>
        </w:rPr>
        <w:t>The number of customers nominated in CBP DA ha</w:t>
      </w:r>
      <w:r>
        <w:rPr>
          <w:color w:val="000000" w:themeColor="text1"/>
        </w:rPr>
        <w:t>s</w:t>
      </w:r>
      <w:r w:rsidRPr="00745560">
        <w:rPr>
          <w:color w:val="000000" w:themeColor="text1"/>
        </w:rPr>
        <w:t xml:space="preserve"> increased steadily over the past three years. Customers nominated in CBP DO have declined over the same years. Forecast numbers of customers for 2015 are expected to remain approximately at the 2014 level for DA, and to increase somewhat for DO from the numbers in 2014. Aggregate estimated ex-post load impacts for both notice types have remained fairly level, except for a dip in 2012 for DA.  Forecast load impacts for 2015 are up modestly for both DA and DO from the 2014 ex-post results. The forecasts are based on the ex-post performance for up to the last three program years for service accounts enrolled and nominated in 2014, and not dropping out of the program before the end of the summer.</w:t>
      </w:r>
    </w:p>
    <w:p w:rsidR="00B83772" w:rsidRPr="00252370" w:rsidRDefault="00B83772" w:rsidP="004355E2">
      <w:pPr>
        <w:spacing w:line="276" w:lineRule="auto"/>
        <w:rPr>
          <w:color w:val="000000" w:themeColor="text1"/>
        </w:rPr>
      </w:pPr>
    </w:p>
    <w:p w:rsidR="00B83772" w:rsidRPr="00252370" w:rsidRDefault="000E665E" w:rsidP="00B83772">
      <w:pPr>
        <w:pStyle w:val="TableCaption"/>
        <w:rPr>
          <w:color w:val="000000" w:themeColor="text1"/>
          <w:sz w:val="20"/>
        </w:rPr>
      </w:pPr>
      <w:bookmarkStart w:id="58" w:name="_Toc382208939"/>
      <w:r w:rsidRPr="00252370">
        <w:rPr>
          <w:color w:val="000000" w:themeColor="text1"/>
          <w:sz w:val="20"/>
        </w:rPr>
        <w:lastRenderedPageBreak/>
        <w:t xml:space="preserve">Table2-4: </w:t>
      </w:r>
      <w:bookmarkEnd w:id="58"/>
      <w:r w:rsidR="00745560" w:rsidRPr="00745560">
        <w:rPr>
          <w:i/>
          <w:color w:val="000000" w:themeColor="text1"/>
          <w:sz w:val="20"/>
        </w:rPr>
        <w:t>Ex-Post</w:t>
      </w:r>
      <w:r w:rsidR="00745560" w:rsidRPr="00745560">
        <w:rPr>
          <w:color w:val="000000" w:themeColor="text1"/>
          <w:sz w:val="20"/>
        </w:rPr>
        <w:t xml:space="preserve"> Load Impacts for PY2012 through 2014, and </w:t>
      </w:r>
      <w:r w:rsidR="00745560" w:rsidRPr="00745560">
        <w:rPr>
          <w:i/>
          <w:color w:val="000000" w:themeColor="text1"/>
          <w:sz w:val="20"/>
        </w:rPr>
        <w:t>Ex-Ante</w:t>
      </w:r>
      <w:r w:rsidR="00745560" w:rsidRPr="00745560">
        <w:rPr>
          <w:color w:val="000000" w:themeColor="text1"/>
          <w:sz w:val="20"/>
        </w:rPr>
        <w:t xml:space="preserve"> for 2015 – </w:t>
      </w:r>
      <w:r w:rsidR="00745560" w:rsidRPr="00745560">
        <w:rPr>
          <w:color w:val="000000" w:themeColor="text1"/>
          <w:sz w:val="20"/>
        </w:rPr>
        <w:br/>
      </w:r>
      <w:r w:rsidR="00745560" w:rsidRPr="00745560">
        <w:rPr>
          <w:i/>
          <w:color w:val="000000" w:themeColor="text1"/>
          <w:sz w:val="20"/>
        </w:rPr>
        <w:t>SDG&amp;E CBP</w:t>
      </w:r>
    </w:p>
    <w:p w:rsidR="00B83772" w:rsidRPr="008078BF" w:rsidRDefault="00C46C5B" w:rsidP="00B83772">
      <w:pPr>
        <w:jc w:val="center"/>
        <w:rPr>
          <w:color w:val="0000CC"/>
        </w:rPr>
      </w:pPr>
      <w:r w:rsidRPr="00574C98">
        <w:rPr>
          <w:noProof/>
        </w:rPr>
        <w:drawing>
          <wp:inline distT="0" distB="0" distL="0" distR="0" wp14:anchorId="24A558D7" wp14:editId="764DF5F0">
            <wp:extent cx="5486400" cy="211888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118886"/>
                    </a:xfrm>
                    <a:prstGeom prst="rect">
                      <a:avLst/>
                    </a:prstGeom>
                    <a:noFill/>
                    <a:ln>
                      <a:noFill/>
                    </a:ln>
                  </pic:spPr>
                </pic:pic>
              </a:graphicData>
            </a:graphic>
          </wp:inline>
        </w:drawing>
      </w:r>
    </w:p>
    <w:p w:rsidR="00B83772" w:rsidRPr="00252370" w:rsidRDefault="00B83772" w:rsidP="0055775B">
      <w:pPr>
        <w:spacing w:line="276" w:lineRule="auto"/>
        <w:rPr>
          <w:color w:val="000000" w:themeColor="text1"/>
        </w:rPr>
      </w:pPr>
    </w:p>
    <w:p w:rsidR="00B83772" w:rsidRPr="00252370" w:rsidRDefault="00B83772" w:rsidP="0055775B">
      <w:pPr>
        <w:pStyle w:val="Heading3"/>
        <w:spacing w:after="0" w:line="276" w:lineRule="auto"/>
        <w:rPr>
          <w:rFonts w:ascii="Times New Roman" w:hAnsi="Times New Roman" w:cs="Times New Roman"/>
          <w:color w:val="000000" w:themeColor="text1"/>
        </w:rPr>
      </w:pPr>
      <w:bookmarkStart w:id="59" w:name="_Toc382225560"/>
      <w:bookmarkStart w:id="60" w:name="_Toc415748960"/>
      <w:r w:rsidRPr="00252370">
        <w:rPr>
          <w:rFonts w:ascii="Times New Roman" w:hAnsi="Times New Roman" w:cs="Times New Roman"/>
          <w:color w:val="000000" w:themeColor="text1"/>
        </w:rPr>
        <w:t>Previous versus current ex-ante</w:t>
      </w:r>
      <w:bookmarkEnd w:id="59"/>
      <w:bookmarkEnd w:id="60"/>
    </w:p>
    <w:p w:rsidR="00B83772" w:rsidRPr="00252370" w:rsidRDefault="00B83772" w:rsidP="0055775B">
      <w:pPr>
        <w:spacing w:line="276" w:lineRule="auto"/>
        <w:rPr>
          <w:color w:val="000000" w:themeColor="text1"/>
        </w:rPr>
      </w:pPr>
    </w:p>
    <w:p w:rsidR="00687AAA" w:rsidRPr="00687AAA" w:rsidRDefault="00687AAA" w:rsidP="003578E7">
      <w:pPr>
        <w:spacing w:line="276" w:lineRule="auto"/>
        <w:ind w:firstLine="720"/>
        <w:rPr>
          <w:color w:val="000000" w:themeColor="text1"/>
        </w:rPr>
      </w:pPr>
      <w:r w:rsidRPr="00687AAA">
        <w:rPr>
          <w:color w:val="000000" w:themeColor="text1"/>
        </w:rPr>
        <w:t xml:space="preserve">Table </w:t>
      </w:r>
      <w:r>
        <w:rPr>
          <w:color w:val="000000" w:themeColor="text1"/>
        </w:rPr>
        <w:t>2-5</w:t>
      </w:r>
      <w:r w:rsidRPr="00687AAA">
        <w:rPr>
          <w:color w:val="000000" w:themeColor="text1"/>
        </w:rPr>
        <w:t xml:space="preserve"> compares the CBP ex-ante forecasts for program-year 2015 that were produced as part of this 2014 evaluation and the previous evaluation. In both cases, the forecast represents the August peak day in the utility-peak 1-in-2 weather scenario. There is no difference between the program- and portfolio-level impacts. </w:t>
      </w:r>
    </w:p>
    <w:p w:rsidR="00687AAA" w:rsidRPr="00687AAA" w:rsidRDefault="00687AAA" w:rsidP="003578E7">
      <w:pPr>
        <w:spacing w:line="276" w:lineRule="auto"/>
        <w:rPr>
          <w:color w:val="000000" w:themeColor="text1"/>
        </w:rPr>
      </w:pPr>
    </w:p>
    <w:p w:rsidR="00743631" w:rsidRDefault="00687AAA" w:rsidP="003578E7">
      <w:pPr>
        <w:spacing w:line="276" w:lineRule="auto"/>
        <w:ind w:firstLine="720"/>
        <w:rPr>
          <w:color w:val="000000" w:themeColor="text1"/>
        </w:rPr>
      </w:pPr>
      <w:r w:rsidRPr="00687AAA">
        <w:rPr>
          <w:color w:val="000000" w:themeColor="text1"/>
        </w:rPr>
        <w:t>The projected aggregate load reductions for the CBP DA option increase from 9.5 MW to 11.9 MW between the two studies, which is consistent with the larger number of nominated service accounts and an increase in the projected percent load impacts (which is in turn based on the performance of the service accounts remaining in the program at the end of program-year 2014. For CBP DO, the projected aggregate load impact matches the previous forecast quite closely (9.8 MW in the current study compared to 10.2 MW in the previous study).</w:t>
      </w:r>
    </w:p>
    <w:p w:rsidR="00687AAA" w:rsidRPr="00743631" w:rsidRDefault="00687AAA" w:rsidP="00687AAA">
      <w:pPr>
        <w:rPr>
          <w:color w:val="0000FF"/>
        </w:rPr>
      </w:pPr>
    </w:p>
    <w:p w:rsidR="00B83772" w:rsidRPr="004B2046" w:rsidRDefault="00BE2F46" w:rsidP="00B83772">
      <w:pPr>
        <w:pStyle w:val="TableCaption"/>
        <w:rPr>
          <w:color w:val="000000" w:themeColor="text1"/>
          <w:sz w:val="20"/>
        </w:rPr>
      </w:pPr>
      <w:bookmarkStart w:id="61" w:name="_Toc382208940"/>
      <w:r w:rsidRPr="004B2046">
        <w:rPr>
          <w:color w:val="000000" w:themeColor="text1"/>
          <w:sz w:val="20"/>
        </w:rPr>
        <w:t xml:space="preserve">Table 2-5: </w:t>
      </w:r>
      <w:bookmarkEnd w:id="61"/>
      <w:r w:rsidR="00687AAA" w:rsidRPr="00687AAA">
        <w:rPr>
          <w:color w:val="000000" w:themeColor="text1"/>
          <w:sz w:val="20"/>
        </w:rPr>
        <w:t>Ex-Ante Load Impacts for 2015 from PY 2013 and PY 2014 Studies, SDG&amp;E</w:t>
      </w:r>
    </w:p>
    <w:p w:rsidR="00B83772" w:rsidRPr="004B2046" w:rsidRDefault="001B1839" w:rsidP="00B83772">
      <w:pPr>
        <w:jc w:val="center"/>
        <w:rPr>
          <w:color w:val="000000" w:themeColor="text1"/>
        </w:rPr>
      </w:pPr>
      <w:r w:rsidRPr="00574C98">
        <w:rPr>
          <w:noProof/>
        </w:rPr>
        <w:drawing>
          <wp:inline distT="0" distB="0" distL="0" distR="0" wp14:anchorId="27E0DD1E" wp14:editId="788F9525">
            <wp:extent cx="4886325" cy="12382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6325" cy="1238250"/>
                    </a:xfrm>
                    <a:prstGeom prst="rect">
                      <a:avLst/>
                    </a:prstGeom>
                    <a:noFill/>
                    <a:ln>
                      <a:noFill/>
                    </a:ln>
                  </pic:spPr>
                </pic:pic>
              </a:graphicData>
            </a:graphic>
          </wp:inline>
        </w:drawing>
      </w:r>
    </w:p>
    <w:p w:rsidR="008F2D07" w:rsidRPr="004B2046" w:rsidRDefault="008F2D07" w:rsidP="00B83772">
      <w:pPr>
        <w:jc w:val="center"/>
        <w:rPr>
          <w:color w:val="000000" w:themeColor="text1"/>
        </w:rPr>
      </w:pPr>
    </w:p>
    <w:p w:rsidR="00B83772" w:rsidRPr="004B2046" w:rsidRDefault="00B83772" w:rsidP="008F2D07">
      <w:pPr>
        <w:pStyle w:val="Heading3"/>
        <w:spacing w:after="0" w:line="276" w:lineRule="auto"/>
        <w:rPr>
          <w:rFonts w:ascii="Times New Roman" w:hAnsi="Times New Roman" w:cs="Times New Roman"/>
          <w:color w:val="000000" w:themeColor="text1"/>
        </w:rPr>
      </w:pPr>
      <w:bookmarkStart w:id="62" w:name="_Toc382225561"/>
      <w:bookmarkStart w:id="63" w:name="_Toc415748961"/>
      <w:r w:rsidRPr="004B2046">
        <w:rPr>
          <w:rFonts w:ascii="Times New Roman" w:hAnsi="Times New Roman" w:cs="Times New Roman"/>
          <w:color w:val="000000" w:themeColor="text1"/>
        </w:rPr>
        <w:t>Current ex-post compared to previous ex-ante</w:t>
      </w:r>
      <w:bookmarkEnd w:id="62"/>
      <w:bookmarkEnd w:id="63"/>
    </w:p>
    <w:p w:rsidR="00B83772" w:rsidRPr="004B2046" w:rsidRDefault="00B83772" w:rsidP="008F2D07">
      <w:pPr>
        <w:spacing w:line="276" w:lineRule="auto"/>
        <w:rPr>
          <w:color w:val="000000" w:themeColor="text1"/>
        </w:rPr>
      </w:pPr>
    </w:p>
    <w:p w:rsidR="00765432" w:rsidRPr="00765432" w:rsidRDefault="00765432" w:rsidP="003578E7">
      <w:pPr>
        <w:spacing w:line="276" w:lineRule="auto"/>
        <w:ind w:firstLine="720"/>
        <w:rPr>
          <w:color w:val="000000" w:themeColor="text1"/>
        </w:rPr>
      </w:pPr>
      <w:r w:rsidRPr="00765432">
        <w:rPr>
          <w:color w:val="000000" w:themeColor="text1"/>
        </w:rPr>
        <w:t xml:space="preserve">Table </w:t>
      </w:r>
      <w:r>
        <w:rPr>
          <w:color w:val="000000" w:themeColor="text1"/>
        </w:rPr>
        <w:t>2-6</w:t>
      </w:r>
      <w:r w:rsidRPr="00765432">
        <w:rPr>
          <w:color w:val="000000" w:themeColor="text1"/>
        </w:rPr>
        <w:t xml:space="preserve"> compares current PY2014 ex-post load impacts to values for 2014 from the PY2013 ex-ante forecast. Current-year numbers of nominated service accounts were higher than </w:t>
      </w:r>
      <w:r w:rsidRPr="00765432">
        <w:rPr>
          <w:color w:val="000000" w:themeColor="text1"/>
        </w:rPr>
        <w:lastRenderedPageBreak/>
        <w:t xml:space="preserve">expected for CBP DA and lower than expected for CBP DO, compared to the forecast for 2014 in the PY2013 forecast. Average customer size, as reflected in the reference loads, is somewhat smaller than anticipated for DA, and slightly larger for DO, while percentage load impacts are similar. </w:t>
      </w:r>
    </w:p>
    <w:p w:rsidR="00765432" w:rsidRPr="00765432" w:rsidRDefault="00765432" w:rsidP="003578E7">
      <w:pPr>
        <w:spacing w:line="276" w:lineRule="auto"/>
        <w:rPr>
          <w:color w:val="000000" w:themeColor="text1"/>
        </w:rPr>
      </w:pPr>
    </w:p>
    <w:p w:rsidR="00B83772" w:rsidRDefault="00765432" w:rsidP="003578E7">
      <w:pPr>
        <w:spacing w:line="276" w:lineRule="auto"/>
        <w:rPr>
          <w:color w:val="000000" w:themeColor="text1"/>
        </w:rPr>
      </w:pPr>
      <w:r w:rsidRPr="00765432">
        <w:rPr>
          <w:color w:val="000000" w:themeColor="text1"/>
        </w:rPr>
        <w:t>For DA, the aggregate estimated load impact (9.9 MW) was slightly higher than the forecast value (9.5 MW). For DO, the aggregate load impact of 8.8 MW is down somewhat from the forecast value, which is consistent with the smaller number of nominated service accounts than forecast.</w:t>
      </w:r>
    </w:p>
    <w:p w:rsidR="00765432" w:rsidRPr="004B2046" w:rsidRDefault="00765432" w:rsidP="00765432">
      <w:pPr>
        <w:rPr>
          <w:color w:val="000000" w:themeColor="text1"/>
        </w:rPr>
      </w:pPr>
    </w:p>
    <w:p w:rsidR="00B83772" w:rsidRPr="004B2046" w:rsidRDefault="00280A1D" w:rsidP="00B83772">
      <w:pPr>
        <w:pStyle w:val="TableCaption"/>
        <w:rPr>
          <w:color w:val="000000" w:themeColor="text1"/>
          <w:sz w:val="20"/>
        </w:rPr>
      </w:pPr>
      <w:bookmarkStart w:id="64" w:name="_Toc382208941"/>
      <w:r w:rsidRPr="004B2046">
        <w:rPr>
          <w:color w:val="000000" w:themeColor="text1"/>
          <w:sz w:val="20"/>
        </w:rPr>
        <w:t xml:space="preserve">Table 2-6: </w:t>
      </w:r>
      <w:bookmarkEnd w:id="64"/>
      <w:r w:rsidR="00765432" w:rsidRPr="00765432">
        <w:rPr>
          <w:color w:val="000000" w:themeColor="text1"/>
          <w:sz w:val="20"/>
        </w:rPr>
        <w:t>Current Ex-Post and PY2013 Ex-Ante Load Impacts for 2014, SDG&amp;E</w:t>
      </w:r>
    </w:p>
    <w:p w:rsidR="00B83772" w:rsidRPr="008078BF" w:rsidRDefault="000A5E1A" w:rsidP="00B83772">
      <w:pPr>
        <w:jc w:val="center"/>
        <w:rPr>
          <w:color w:val="0000CC"/>
        </w:rPr>
      </w:pPr>
      <w:r w:rsidRPr="003C5330">
        <w:rPr>
          <w:noProof/>
        </w:rPr>
        <w:drawing>
          <wp:inline distT="0" distB="0" distL="0" distR="0" wp14:anchorId="3759B70F" wp14:editId="07D095A4">
            <wp:extent cx="4886325" cy="13144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6325" cy="1314450"/>
                    </a:xfrm>
                    <a:prstGeom prst="rect">
                      <a:avLst/>
                    </a:prstGeom>
                    <a:noFill/>
                    <a:ln>
                      <a:noFill/>
                    </a:ln>
                  </pic:spPr>
                </pic:pic>
              </a:graphicData>
            </a:graphic>
          </wp:inline>
        </w:drawing>
      </w:r>
    </w:p>
    <w:p w:rsidR="009A3B18" w:rsidRPr="008F2D07" w:rsidRDefault="009A3B18" w:rsidP="008F2D07">
      <w:pPr>
        <w:spacing w:line="276" w:lineRule="auto"/>
        <w:rPr>
          <w:color w:val="0000CC"/>
        </w:rPr>
      </w:pPr>
    </w:p>
    <w:p w:rsidR="00ED7741" w:rsidRPr="004B2046" w:rsidRDefault="00ED7741" w:rsidP="008F2D07">
      <w:pPr>
        <w:pStyle w:val="Heading1"/>
        <w:spacing w:after="0" w:line="276" w:lineRule="auto"/>
        <w:rPr>
          <w:rFonts w:ascii="Times New Roman" w:hAnsi="Times New Roman" w:cs="Times New Roman"/>
          <w:color w:val="000000" w:themeColor="text1"/>
        </w:rPr>
      </w:pPr>
      <w:bookmarkStart w:id="65" w:name="_Toc259624194"/>
      <w:bookmarkStart w:id="66" w:name="_Toc259628871"/>
      <w:bookmarkStart w:id="67" w:name="_Toc289248346"/>
      <w:bookmarkStart w:id="68" w:name="_Toc351990567"/>
      <w:bookmarkStart w:id="69" w:name="_Toc352084144"/>
      <w:bookmarkStart w:id="70" w:name="_Toc415748962"/>
      <w:r w:rsidRPr="004B2046">
        <w:rPr>
          <w:rFonts w:ascii="Times New Roman" w:hAnsi="Times New Roman" w:cs="Times New Roman"/>
          <w:color w:val="000000" w:themeColor="text1"/>
        </w:rPr>
        <w:t>Summary of SDG&amp;E’s Critical Peak Pricing Default Report</w:t>
      </w:r>
      <w:bookmarkEnd w:id="65"/>
      <w:bookmarkEnd w:id="66"/>
      <w:bookmarkEnd w:id="67"/>
      <w:bookmarkEnd w:id="68"/>
      <w:bookmarkEnd w:id="69"/>
      <w:bookmarkEnd w:id="70"/>
    </w:p>
    <w:p w:rsidR="004829BE" w:rsidRPr="004B2046" w:rsidRDefault="004829BE" w:rsidP="008F2D07">
      <w:pPr>
        <w:pStyle w:val="Heading2"/>
        <w:spacing w:after="0" w:line="276" w:lineRule="auto"/>
        <w:rPr>
          <w:rFonts w:ascii="Times New Roman" w:hAnsi="Times New Roman" w:cs="Times New Roman"/>
          <w:color w:val="000000" w:themeColor="text1"/>
        </w:rPr>
      </w:pPr>
      <w:bookmarkStart w:id="71" w:name="_Toc415748963"/>
      <w:r w:rsidRPr="004B2046">
        <w:rPr>
          <w:rFonts w:ascii="Times New Roman" w:hAnsi="Times New Roman" w:cs="Times New Roman"/>
          <w:color w:val="000000" w:themeColor="text1"/>
        </w:rPr>
        <w:t>CPP Rate Description</w:t>
      </w:r>
      <w:bookmarkEnd w:id="71"/>
    </w:p>
    <w:p w:rsidR="004829BE" w:rsidRPr="004B2046" w:rsidRDefault="004829BE" w:rsidP="008F2D07">
      <w:pPr>
        <w:spacing w:line="276" w:lineRule="auto"/>
        <w:rPr>
          <w:b/>
          <w:color w:val="000000" w:themeColor="text1"/>
        </w:rPr>
      </w:pPr>
    </w:p>
    <w:p w:rsidR="0079002F" w:rsidRPr="004B2046" w:rsidRDefault="00FC0F37" w:rsidP="0033429B">
      <w:pPr>
        <w:spacing w:line="276" w:lineRule="auto"/>
        <w:ind w:firstLine="360"/>
        <w:rPr>
          <w:color w:val="000000" w:themeColor="text1"/>
        </w:rPr>
      </w:pPr>
      <w:r w:rsidRPr="004B2046">
        <w:rPr>
          <w:color w:val="000000" w:themeColor="text1"/>
        </w:rPr>
        <w:t xml:space="preserve">Critical Peak Pricing is an electric rate in which </w:t>
      </w:r>
      <w:r w:rsidR="00BE5EE5" w:rsidRPr="004B2046">
        <w:rPr>
          <w:color w:val="000000" w:themeColor="text1"/>
        </w:rPr>
        <w:t xml:space="preserve">the </w:t>
      </w:r>
      <w:r w:rsidRPr="004B2046">
        <w:rPr>
          <w:color w:val="000000" w:themeColor="text1"/>
        </w:rPr>
        <w:t xml:space="preserve">utility charges a higher price for consumption of electricity during peak hours on selected days, referred to as critical peak days or event days.  The higher price during peak hours on critical event days is designed to encourage reductions in demand and reflects the fact that electric demand during those hours drives a substantial portion of electric infrastructure costs. </w:t>
      </w:r>
      <w:r w:rsidR="00144779" w:rsidRPr="004B2046">
        <w:rPr>
          <w:color w:val="000000" w:themeColor="text1"/>
        </w:rPr>
        <w:t>The CPPD schedule is the default commodity</w:t>
      </w:r>
      <w:r w:rsidR="00144779" w:rsidRPr="00144779">
        <w:rPr>
          <w:color w:val="0000FF"/>
        </w:rPr>
        <w:t xml:space="preserve"> </w:t>
      </w:r>
      <w:r w:rsidR="00144779" w:rsidRPr="004B2046">
        <w:rPr>
          <w:color w:val="000000" w:themeColor="text1"/>
        </w:rPr>
        <w:t xml:space="preserve">rate for customers currently receiving bundled utility service whose maximum demand is equal to or exceeds or is expected to equal or exceed 20 kW for twelve consecutive months. </w:t>
      </w:r>
      <w:r w:rsidRPr="004B2046">
        <w:rPr>
          <w:color w:val="000000" w:themeColor="text1"/>
        </w:rPr>
        <w:t>At SDG&amp;E, customers are locked into the CPP rate for a full year if they do not opt out prior to going on the default rate</w:t>
      </w:r>
      <w:r w:rsidR="0079002F" w:rsidRPr="004B2046">
        <w:rPr>
          <w:color w:val="000000" w:themeColor="text1"/>
        </w:rPr>
        <w:t xml:space="preserve">; </w:t>
      </w:r>
      <w:r w:rsidR="00334B92" w:rsidRPr="004B2046">
        <w:rPr>
          <w:color w:val="000000" w:themeColor="text1"/>
        </w:rPr>
        <w:t>e</w:t>
      </w:r>
      <w:r w:rsidR="0079002F" w:rsidRPr="004B2046">
        <w:rPr>
          <w:color w:val="000000" w:themeColor="text1"/>
        </w:rPr>
        <w:t>vents for the SDG&amp;E CPP-D rate last from 11am-6pm and can be called on any day of the year.</w:t>
      </w:r>
    </w:p>
    <w:p w:rsidR="00BE5EE5" w:rsidRPr="004B2046" w:rsidRDefault="0079002F" w:rsidP="0033429B">
      <w:pPr>
        <w:spacing w:line="276" w:lineRule="auto"/>
        <w:ind w:firstLine="360"/>
        <w:rPr>
          <w:color w:val="000000" w:themeColor="text1"/>
        </w:rPr>
      </w:pPr>
      <w:r w:rsidRPr="004B2046">
        <w:rPr>
          <w:color w:val="000000" w:themeColor="text1"/>
        </w:rPr>
        <w:t>Al</w:t>
      </w:r>
      <w:r w:rsidR="00FC0F37" w:rsidRPr="004B2046">
        <w:rPr>
          <w:color w:val="000000" w:themeColor="text1"/>
        </w:rPr>
        <w:t xml:space="preserve">l customers </w:t>
      </w:r>
      <w:r w:rsidRPr="004B2046">
        <w:rPr>
          <w:color w:val="000000" w:themeColor="text1"/>
        </w:rPr>
        <w:t xml:space="preserve">have </w:t>
      </w:r>
      <w:r w:rsidR="00FC0F37" w:rsidRPr="004B2046">
        <w:rPr>
          <w:color w:val="000000" w:themeColor="text1"/>
        </w:rPr>
        <w:t>the ability to hedge part or all of their demand against higher CPP prices, a feature known as a capacity reservation (CR).</w:t>
      </w:r>
      <w:r w:rsidR="00BE5EE5" w:rsidRPr="004B2046">
        <w:rPr>
          <w:color w:val="000000" w:themeColor="text1"/>
        </w:rPr>
        <w:t xml:space="preserve"> The capacity reservation option, which is a type of insurance contract in which a customer pays a fee (paid per kW) to set a level of demand below which it will be charged the non-CPP, TOU price during event periods. </w:t>
      </w:r>
      <w:r w:rsidRPr="004B2046">
        <w:rPr>
          <w:color w:val="000000" w:themeColor="text1"/>
        </w:rPr>
        <w:t xml:space="preserve">The company </w:t>
      </w:r>
      <w:r w:rsidR="00BE5EE5" w:rsidRPr="004B2046">
        <w:rPr>
          <w:color w:val="000000" w:themeColor="text1"/>
        </w:rPr>
        <w:t>charges $6.33 per kW per month, year-round, for this option and the default level for customers is 50% of a customer’s maximum on-peak demand from the prior summer. Default CRLs are set to zero for those customers with no SDG&amp;E summer usage history.</w:t>
      </w:r>
    </w:p>
    <w:p w:rsidR="00334B92" w:rsidRPr="004B2046" w:rsidRDefault="00334B92" w:rsidP="0033429B">
      <w:pPr>
        <w:spacing w:line="276" w:lineRule="auto"/>
        <w:ind w:firstLine="360"/>
        <w:rPr>
          <w:color w:val="000000" w:themeColor="text1"/>
        </w:rPr>
      </w:pPr>
      <w:r w:rsidRPr="004B2046">
        <w:rPr>
          <w:color w:val="000000" w:themeColor="text1"/>
        </w:rPr>
        <w:lastRenderedPageBreak/>
        <w:t xml:space="preserve">In addition, the program offers customers CPP bill protection during their default year, which ensures that the customer does not pay more for the energy commodity under CPP than they would have under the otherwise applicable tariff (OAT).  </w:t>
      </w:r>
    </w:p>
    <w:p w:rsidR="00ED7741" w:rsidRPr="004B2046" w:rsidRDefault="00ED7741" w:rsidP="00E1600F">
      <w:pPr>
        <w:pStyle w:val="Heading2"/>
        <w:spacing w:after="0" w:line="276" w:lineRule="auto"/>
        <w:rPr>
          <w:rFonts w:ascii="Times New Roman" w:hAnsi="Times New Roman" w:cs="Times New Roman"/>
          <w:color w:val="000000" w:themeColor="text1"/>
        </w:rPr>
      </w:pPr>
      <w:bookmarkStart w:id="72" w:name="_Toc259624197"/>
      <w:bookmarkStart w:id="73" w:name="_Toc257716973"/>
      <w:bookmarkStart w:id="74" w:name="_Toc259624198"/>
      <w:bookmarkStart w:id="75" w:name="_Toc259628874"/>
      <w:bookmarkStart w:id="76" w:name="_Toc289248349"/>
      <w:bookmarkStart w:id="77" w:name="_Toc351990570"/>
      <w:bookmarkStart w:id="78" w:name="_Toc352084147"/>
      <w:bookmarkStart w:id="79" w:name="_Toc415748964"/>
      <w:bookmarkEnd w:id="72"/>
      <w:r w:rsidRPr="004B2046">
        <w:rPr>
          <w:rFonts w:ascii="Times New Roman" w:hAnsi="Times New Roman" w:cs="Times New Roman"/>
          <w:color w:val="000000" w:themeColor="text1"/>
        </w:rPr>
        <w:t xml:space="preserve">CPP-D </w:t>
      </w:r>
      <w:r w:rsidR="00B84C76" w:rsidRPr="004B2046">
        <w:rPr>
          <w:rFonts w:ascii="Times New Roman" w:hAnsi="Times New Roman" w:cs="Times New Roman"/>
          <w:color w:val="000000" w:themeColor="text1"/>
        </w:rPr>
        <w:t xml:space="preserve">Ex-Post </w:t>
      </w:r>
      <w:r w:rsidRPr="004B2046">
        <w:rPr>
          <w:rFonts w:ascii="Times New Roman" w:hAnsi="Times New Roman" w:cs="Times New Roman"/>
          <w:color w:val="000000" w:themeColor="text1"/>
        </w:rPr>
        <w:t>Evaluation Methodology</w:t>
      </w:r>
      <w:bookmarkEnd w:id="73"/>
      <w:bookmarkEnd w:id="74"/>
      <w:bookmarkEnd w:id="75"/>
      <w:bookmarkEnd w:id="76"/>
      <w:bookmarkEnd w:id="77"/>
      <w:bookmarkEnd w:id="78"/>
      <w:bookmarkEnd w:id="79"/>
    </w:p>
    <w:p w:rsidR="00ED7741" w:rsidRPr="004B2046" w:rsidRDefault="00ED7741" w:rsidP="00E1600F">
      <w:pPr>
        <w:spacing w:line="276" w:lineRule="auto"/>
        <w:rPr>
          <w:color w:val="000000" w:themeColor="text1"/>
        </w:rPr>
      </w:pPr>
    </w:p>
    <w:p w:rsidR="00D226C9" w:rsidRDefault="00D226C9" w:rsidP="00EB389F">
      <w:pPr>
        <w:spacing w:line="276" w:lineRule="auto"/>
        <w:ind w:firstLine="360"/>
        <w:jc w:val="both"/>
        <w:rPr>
          <w:color w:val="000000" w:themeColor="text1"/>
        </w:rPr>
      </w:pPr>
      <w:r w:rsidRPr="00D226C9">
        <w:rPr>
          <w:color w:val="000000" w:themeColor="text1"/>
        </w:rPr>
        <w:t xml:space="preserve">Ex post evaluation is designed to estimate demand reductions on event days when higher CPP prices are in effect.  Ex post impacts reflect the enrollment mix, weather, dispatch strategy and program rules in effect at the time of each event and, as a result, may not reflect the full demand reduction capability of a resource.  </w:t>
      </w:r>
    </w:p>
    <w:p w:rsidR="00D226C9" w:rsidRDefault="00D226C9" w:rsidP="00EB389F">
      <w:pPr>
        <w:spacing w:line="276" w:lineRule="auto"/>
        <w:ind w:firstLine="360"/>
        <w:jc w:val="both"/>
        <w:rPr>
          <w:color w:val="000000" w:themeColor="text1"/>
        </w:rPr>
      </w:pPr>
      <w:r w:rsidRPr="00D226C9">
        <w:rPr>
          <w:color w:val="000000" w:themeColor="text1"/>
        </w:rPr>
        <w:t xml:space="preserve">To calculate load reductions for demand response programs, customers’ load patterns in the absence of higher event-day prices—the reference load—must be estimated.  Reference loads can be estimated using pre-enrollment data, by observing differences in behavior during event and non-event days (i.e., a within-subjects design), by using an external control group (a between-subjects design) or through a combination of the above.  Load impacts are estimated for 2014 using a combination of customer specific regressions and difference-in-differences.  </w:t>
      </w:r>
    </w:p>
    <w:p w:rsidR="003F693C" w:rsidRDefault="003F693C" w:rsidP="00EB389F">
      <w:pPr>
        <w:spacing w:line="276" w:lineRule="auto"/>
        <w:ind w:firstLine="360"/>
        <w:jc w:val="both"/>
        <w:rPr>
          <w:color w:val="000000" w:themeColor="text1"/>
        </w:rPr>
      </w:pPr>
    </w:p>
    <w:p w:rsidR="003F693C" w:rsidRPr="004B2046" w:rsidRDefault="003F693C" w:rsidP="00EB389F">
      <w:pPr>
        <w:spacing w:line="276" w:lineRule="auto"/>
        <w:ind w:firstLine="360"/>
        <w:jc w:val="both"/>
        <w:rPr>
          <w:color w:val="000000" w:themeColor="text1"/>
        </w:rPr>
      </w:pPr>
      <w:r>
        <w:t xml:space="preserve">The subsections that follow describe the work to select a matching model and the subsequent control group selection.  </w:t>
      </w:r>
    </w:p>
    <w:p w:rsidR="00B163D2" w:rsidRPr="00B163D2" w:rsidRDefault="00B163D2" w:rsidP="00B163D2">
      <w:pPr>
        <w:pStyle w:val="Heading3"/>
        <w:rPr>
          <w:rFonts w:ascii="Times New Roman" w:hAnsi="Times New Roman" w:cs="Times New Roman"/>
          <w:color w:val="000000" w:themeColor="text1"/>
        </w:rPr>
      </w:pPr>
      <w:bookmarkStart w:id="80" w:name="_Toc415748965"/>
      <w:r w:rsidRPr="00B163D2">
        <w:rPr>
          <w:rFonts w:ascii="Times New Roman" w:hAnsi="Times New Roman" w:cs="Times New Roman"/>
          <w:color w:val="000000" w:themeColor="text1"/>
        </w:rPr>
        <w:t>Proxy Day Selection</w:t>
      </w:r>
      <w:bookmarkEnd w:id="80"/>
    </w:p>
    <w:p w:rsidR="00A86836" w:rsidRDefault="00A86836" w:rsidP="00A86836">
      <w:pPr>
        <w:spacing w:line="276" w:lineRule="auto"/>
        <w:ind w:firstLine="360"/>
        <w:jc w:val="both"/>
        <w:rPr>
          <w:color w:val="000000" w:themeColor="text1"/>
        </w:rPr>
      </w:pPr>
    </w:p>
    <w:p w:rsidR="00B163D2" w:rsidRDefault="00A86836" w:rsidP="00A86836">
      <w:pPr>
        <w:spacing w:line="276" w:lineRule="auto"/>
        <w:ind w:firstLine="360"/>
        <w:jc w:val="both"/>
        <w:rPr>
          <w:color w:val="000000" w:themeColor="text1"/>
        </w:rPr>
      </w:pPr>
      <w:r w:rsidRPr="00A86836">
        <w:rPr>
          <w:color w:val="000000" w:themeColor="text1"/>
        </w:rPr>
        <w:t>Proxy event days are selected by matching historical events to non-event days based on system loads, temperature conditions, month and day of week.   CPP event days tend to differ from typical days.  System loads are typically higher, the days are hotter and they are more likely to fall on specific weekdays.  Most event days were matched to similar non-event days</w:t>
      </w:r>
      <w:r>
        <w:rPr>
          <w:color w:val="000000" w:themeColor="text1"/>
        </w:rPr>
        <w:t>;</w:t>
      </w:r>
      <w:r w:rsidRPr="00A86836">
        <w:rPr>
          <w:color w:val="000000" w:themeColor="text1"/>
        </w:rPr>
        <w:t xml:space="preserve"> however, comparable non-event days are not available for some of the days with the most extreme weather.  </w:t>
      </w:r>
    </w:p>
    <w:p w:rsidR="001501BC" w:rsidRPr="001501BC" w:rsidRDefault="001501BC" w:rsidP="001501BC">
      <w:pPr>
        <w:pStyle w:val="Heading3"/>
        <w:rPr>
          <w:rFonts w:ascii="Times New Roman" w:hAnsi="Times New Roman" w:cs="Times New Roman"/>
          <w:color w:val="000000" w:themeColor="text1"/>
        </w:rPr>
      </w:pPr>
      <w:bookmarkStart w:id="81" w:name="_Toc415748966"/>
      <w:r w:rsidRPr="001501BC">
        <w:rPr>
          <w:rFonts w:ascii="Times New Roman" w:hAnsi="Times New Roman" w:cs="Times New Roman"/>
          <w:color w:val="000000" w:themeColor="text1"/>
        </w:rPr>
        <w:t>Matching Model Selection</w:t>
      </w:r>
      <w:bookmarkEnd w:id="81"/>
    </w:p>
    <w:p w:rsidR="001501BC" w:rsidRDefault="001501BC" w:rsidP="001501BC">
      <w:pPr>
        <w:spacing w:line="276" w:lineRule="auto"/>
        <w:ind w:firstLine="360"/>
        <w:jc w:val="both"/>
        <w:rPr>
          <w:color w:val="000000" w:themeColor="text1"/>
        </w:rPr>
      </w:pPr>
    </w:p>
    <w:p w:rsidR="001501BC" w:rsidRDefault="001501BC" w:rsidP="001501BC">
      <w:pPr>
        <w:spacing w:line="276" w:lineRule="auto"/>
        <w:ind w:firstLine="360"/>
        <w:jc w:val="both"/>
        <w:rPr>
          <w:color w:val="000000" w:themeColor="text1"/>
        </w:rPr>
      </w:pPr>
      <w:r w:rsidRPr="001501BC">
        <w:rPr>
          <w:color w:val="000000" w:themeColor="text1"/>
        </w:rPr>
        <w:t xml:space="preserve">Propensity score matching using a probit model was used to select valid control groups for each utility and relevant customer segment.  This method is a standard approach for identifying statistical look-alikes from a pool of control group candidates and is typically used to address self-selection based on observable differences between CPP participants and non-participants. </w:t>
      </w:r>
    </w:p>
    <w:p w:rsidR="00A15809" w:rsidRPr="004B2046" w:rsidRDefault="00A15809" w:rsidP="00A15809">
      <w:pPr>
        <w:pStyle w:val="Heading3"/>
        <w:spacing w:after="0" w:line="276" w:lineRule="auto"/>
        <w:rPr>
          <w:rFonts w:ascii="Times New Roman" w:hAnsi="Times New Roman" w:cs="Times New Roman"/>
          <w:color w:val="000000" w:themeColor="text1"/>
        </w:rPr>
      </w:pPr>
      <w:bookmarkStart w:id="82" w:name="_Toc415748967"/>
      <w:r w:rsidRPr="004B2046">
        <w:rPr>
          <w:rFonts w:ascii="Times New Roman" w:hAnsi="Times New Roman" w:cs="Times New Roman"/>
          <w:color w:val="000000" w:themeColor="text1"/>
        </w:rPr>
        <w:t>Control group selection</w:t>
      </w:r>
      <w:bookmarkEnd w:id="82"/>
    </w:p>
    <w:p w:rsidR="00A15809" w:rsidRPr="004B2046" w:rsidRDefault="00A15809" w:rsidP="00A15809">
      <w:pPr>
        <w:rPr>
          <w:color w:val="000000" w:themeColor="text1"/>
        </w:rPr>
      </w:pPr>
    </w:p>
    <w:p w:rsidR="00430D2B" w:rsidRDefault="00430D2B" w:rsidP="0033429B">
      <w:pPr>
        <w:spacing w:line="276" w:lineRule="auto"/>
        <w:ind w:firstLine="360"/>
        <w:rPr>
          <w:color w:val="000000" w:themeColor="text1"/>
        </w:rPr>
      </w:pPr>
      <w:r w:rsidRPr="00430D2B">
        <w:rPr>
          <w:color w:val="000000" w:themeColor="text1"/>
        </w:rPr>
        <w:t xml:space="preserve">The control group was selected from customers who were not on CPP rates, but were on the otherwise applicable TOU tariff.  The best performing probit model and caliper were used to select customers from the control pool.  The majority of CPP customers were successfully </w:t>
      </w:r>
      <w:r w:rsidRPr="00430D2B">
        <w:rPr>
          <w:color w:val="000000" w:themeColor="text1"/>
        </w:rPr>
        <w:lastRenderedPageBreak/>
        <w:t>matched</w:t>
      </w:r>
      <w:r>
        <w:rPr>
          <w:color w:val="000000" w:themeColor="text1"/>
        </w:rPr>
        <w:t xml:space="preserve"> i.e. </w:t>
      </w:r>
      <w:r w:rsidRPr="00430D2B">
        <w:rPr>
          <w:color w:val="000000" w:themeColor="text1"/>
        </w:rPr>
        <w:t>93% for SDG&amp;E.  Customers who were not matched were moved to the individual customer regression group.  Some control group customers were selected more than once – that is, if customer A was the best match for both customer B and customer C, it was chosen twice.  Figure 3-</w:t>
      </w:r>
      <w:r>
        <w:rPr>
          <w:color w:val="000000" w:themeColor="text1"/>
        </w:rPr>
        <w:t>1</w:t>
      </w:r>
      <w:r w:rsidRPr="00430D2B">
        <w:rPr>
          <w:color w:val="000000" w:themeColor="text1"/>
        </w:rPr>
        <w:t xml:space="preserve"> shows load for the matched treatment and control customers on the average proxy event day.  The loads match closely, particularly during event hours.  </w:t>
      </w:r>
    </w:p>
    <w:p w:rsidR="00360E0E" w:rsidRDefault="00360E0E" w:rsidP="0033429B">
      <w:pPr>
        <w:spacing w:line="276" w:lineRule="auto"/>
        <w:ind w:firstLine="360"/>
        <w:rPr>
          <w:color w:val="000000" w:themeColor="text1"/>
        </w:rPr>
      </w:pPr>
    </w:p>
    <w:p w:rsidR="00360E0E" w:rsidRDefault="00360E0E" w:rsidP="00360E0E">
      <w:pPr>
        <w:pStyle w:val="TableCaption"/>
        <w:rPr>
          <w:color w:val="000000" w:themeColor="text1"/>
        </w:rPr>
      </w:pPr>
      <w:r>
        <w:rPr>
          <w:color w:val="000000" w:themeColor="text1"/>
          <w:sz w:val="20"/>
        </w:rPr>
        <w:t>Figure 3</w:t>
      </w:r>
      <w:r w:rsidRPr="004B2046">
        <w:rPr>
          <w:color w:val="000000" w:themeColor="text1"/>
          <w:sz w:val="20"/>
        </w:rPr>
        <w:t xml:space="preserve">-: </w:t>
      </w:r>
      <w:r w:rsidRPr="00360E0E">
        <w:rPr>
          <w:color w:val="000000" w:themeColor="text1"/>
          <w:sz w:val="20"/>
        </w:rPr>
        <w:t>Comparison of Matched Treatment and Control Group Load on Average Proxy Event Day</w:t>
      </w:r>
    </w:p>
    <w:p w:rsidR="00430D2B" w:rsidRDefault="00360E0E" w:rsidP="00360E0E">
      <w:pPr>
        <w:spacing w:line="276" w:lineRule="auto"/>
        <w:jc w:val="center"/>
        <w:rPr>
          <w:color w:val="000000" w:themeColor="text1"/>
        </w:rPr>
      </w:pPr>
      <w:r>
        <w:rPr>
          <w:noProof/>
          <w:color w:val="000000" w:themeColor="text1"/>
        </w:rPr>
        <w:drawing>
          <wp:inline distT="0" distB="0" distL="0" distR="0" wp14:anchorId="68096A3A" wp14:editId="4C3D0F02">
            <wp:extent cx="4886325" cy="1800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6325" cy="1800225"/>
                    </a:xfrm>
                    <a:prstGeom prst="rect">
                      <a:avLst/>
                    </a:prstGeom>
                    <a:noFill/>
                    <a:ln>
                      <a:noFill/>
                    </a:ln>
                  </pic:spPr>
                </pic:pic>
              </a:graphicData>
            </a:graphic>
          </wp:inline>
        </w:drawing>
      </w:r>
    </w:p>
    <w:p w:rsidR="00430D2B" w:rsidRPr="004B2046" w:rsidRDefault="00430D2B" w:rsidP="0033429B">
      <w:pPr>
        <w:spacing w:line="276" w:lineRule="auto"/>
        <w:ind w:firstLine="360"/>
        <w:rPr>
          <w:color w:val="000000" w:themeColor="text1"/>
        </w:rPr>
      </w:pPr>
    </w:p>
    <w:p w:rsidR="00DD4A30" w:rsidRPr="004B2046" w:rsidRDefault="00DD4A30" w:rsidP="00DD4A30">
      <w:pPr>
        <w:pStyle w:val="Heading3"/>
        <w:spacing w:after="0" w:line="276" w:lineRule="auto"/>
        <w:rPr>
          <w:rFonts w:ascii="Times New Roman" w:hAnsi="Times New Roman" w:cs="Times New Roman"/>
          <w:color w:val="000000" w:themeColor="text1"/>
        </w:rPr>
      </w:pPr>
      <w:bookmarkStart w:id="83" w:name="_Toc415748968"/>
      <w:r w:rsidRPr="004B2046">
        <w:rPr>
          <w:rFonts w:ascii="Times New Roman" w:hAnsi="Times New Roman" w:cs="Times New Roman"/>
          <w:color w:val="000000" w:themeColor="text1"/>
        </w:rPr>
        <w:t>Difference-in-difference Estimation</w:t>
      </w:r>
      <w:bookmarkEnd w:id="83"/>
    </w:p>
    <w:p w:rsidR="00A15809" w:rsidRPr="004B2046" w:rsidRDefault="00A15809" w:rsidP="00A15809">
      <w:pPr>
        <w:rPr>
          <w:color w:val="000000" w:themeColor="text1"/>
        </w:rPr>
      </w:pPr>
    </w:p>
    <w:p w:rsidR="001A4590" w:rsidRDefault="001A4590" w:rsidP="0033429B">
      <w:pPr>
        <w:spacing w:line="276" w:lineRule="auto"/>
        <w:ind w:firstLine="360"/>
        <w:rPr>
          <w:color w:val="000000" w:themeColor="text1"/>
        </w:rPr>
      </w:pPr>
      <w:r w:rsidRPr="001A4590">
        <w:rPr>
          <w:color w:val="000000" w:themeColor="text1"/>
        </w:rPr>
        <w:t xml:space="preserve">Using the matched control groups, 2014 ex post CPP load impacts were estimated for the majority of customers with the difference-in-differences approach. </w:t>
      </w:r>
    </w:p>
    <w:p w:rsidR="001A4590" w:rsidRDefault="001A4590" w:rsidP="0033429B">
      <w:pPr>
        <w:spacing w:line="276" w:lineRule="auto"/>
        <w:ind w:firstLine="360"/>
        <w:rPr>
          <w:color w:val="000000" w:themeColor="text1"/>
        </w:rPr>
      </w:pPr>
    </w:p>
    <w:p w:rsidR="0033429B" w:rsidRPr="004B2046" w:rsidRDefault="001A4590" w:rsidP="0033429B">
      <w:pPr>
        <w:spacing w:line="276" w:lineRule="auto"/>
        <w:ind w:firstLine="360"/>
        <w:rPr>
          <w:color w:val="000000" w:themeColor="text1"/>
        </w:rPr>
      </w:pPr>
      <w:r w:rsidRPr="001A4590">
        <w:rPr>
          <w:color w:val="000000" w:themeColor="text1"/>
        </w:rPr>
        <w:t xml:space="preserve"> </w:t>
      </w:r>
      <w:r w:rsidR="0033429B" w:rsidRPr="004B2046">
        <w:rPr>
          <w:color w:val="000000" w:themeColor="text1"/>
        </w:rPr>
        <w:t xml:space="preserve">The difference-in-differences regression makes full use of non-event and event day data available for CPP and control group customers.  It takes into account whether peak load patterns changed for CPP customers and whether load patterns changed for customers who did not experience CPP prices.  It also accounts for differences between CPP participants and the control group observed during non-event days.    </w:t>
      </w:r>
    </w:p>
    <w:p w:rsidR="00DD4A30" w:rsidRPr="004B2046" w:rsidRDefault="0033429B" w:rsidP="00DD4A30">
      <w:pPr>
        <w:spacing w:line="276" w:lineRule="auto"/>
        <w:ind w:firstLine="360"/>
        <w:rPr>
          <w:color w:val="000000" w:themeColor="text1"/>
        </w:rPr>
      </w:pPr>
      <w:r w:rsidRPr="004B2046">
        <w:rPr>
          <w:color w:val="000000" w:themeColor="text1"/>
        </w:rPr>
        <w:t xml:space="preserve">The regression analysis employed a simple model that relies on no explanatory variables other than customer fixed effects and time effects.   This model does not rely on modeling the relationship between customers’ electricity usage and other factors such as weather; it is informed by control group customers that experience the event day weather but do not experience the CPP event day prices.   </w:t>
      </w:r>
    </w:p>
    <w:p w:rsidR="008D6FBB" w:rsidRDefault="000117DA" w:rsidP="00DD4A30">
      <w:pPr>
        <w:spacing w:line="276" w:lineRule="auto"/>
        <w:ind w:firstLine="360"/>
        <w:rPr>
          <w:color w:val="000000" w:themeColor="text1"/>
        </w:rPr>
      </w:pPr>
      <w:r>
        <w:rPr>
          <w:color w:val="000000" w:themeColor="text1"/>
        </w:rPr>
        <w:t>S</w:t>
      </w:r>
      <w:r w:rsidRPr="000117DA">
        <w:rPr>
          <w:color w:val="000000" w:themeColor="text1"/>
        </w:rPr>
        <w:t>eparate models are estimated for each hour.  The analysis dataset consisted of the event-like days and actual event days for CPP customers and their matched control group customers.  The dependent variable was the hourly consumption over the course of each hour.  Nexant elected to use a treatment model rather than a price elasticity model for two reasons.  First, for any hour there are only two price points, or at most three, which is insufficient for fitting price elasticity curves.  Second, it avoids assumptions such as constant price elasticity inherent in demand models.  The model is expressed by the below equations</w:t>
      </w:r>
      <w:r>
        <w:rPr>
          <w:color w:val="000000" w:themeColor="text1"/>
        </w:rPr>
        <w:t>:</w:t>
      </w:r>
    </w:p>
    <w:p w:rsidR="000117DA" w:rsidRDefault="000117DA" w:rsidP="000117DA">
      <w:pPr>
        <w:pStyle w:val="BodyBeforeBulle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0117DA" w:rsidTr="00324486">
        <w:trPr>
          <w:trHeight w:val="432"/>
        </w:trPr>
        <w:tc>
          <w:tcPr>
            <w:tcW w:w="1728" w:type="dxa"/>
            <w:tcMar>
              <w:top w:w="144" w:type="dxa"/>
              <w:left w:w="115" w:type="dxa"/>
              <w:bottom w:w="144" w:type="dxa"/>
              <w:right w:w="115" w:type="dxa"/>
            </w:tcMar>
            <w:vAlign w:val="center"/>
          </w:tcPr>
          <w:p w:rsidR="000117DA" w:rsidRDefault="000117DA" w:rsidP="00324486">
            <w:pPr>
              <w:pStyle w:val="BodyParagraph"/>
              <w:spacing w:after="0"/>
              <w:jc w:val="center"/>
            </w:pPr>
            <w:r>
              <w:t>Avg. Event Equation:</w:t>
            </w:r>
          </w:p>
        </w:tc>
        <w:tc>
          <w:tcPr>
            <w:tcW w:w="7848" w:type="dxa"/>
            <w:tcMar>
              <w:top w:w="144" w:type="dxa"/>
              <w:left w:w="115" w:type="dxa"/>
              <w:bottom w:w="144" w:type="dxa"/>
              <w:right w:w="115" w:type="dxa"/>
            </w:tcMar>
            <w:vAlign w:val="center"/>
          </w:tcPr>
          <w:p w:rsidR="000117DA" w:rsidRPr="009560DB" w:rsidRDefault="00947B52" w:rsidP="00324486">
            <w:pPr>
              <w:pStyle w:val="BodyParagraph"/>
              <w:spacing w:after="0"/>
              <w:jc w:val="both"/>
              <w:rPr>
                <w:i/>
                <w:szCs w:val="18"/>
              </w:rPr>
            </w:pPr>
            <m:oMathPara>
              <m:oMathParaPr>
                <m:jc m:val="left"/>
              </m:oMathParaPr>
              <m:oMath>
                <m:sSub>
                  <m:sSubPr>
                    <m:ctrlPr>
                      <w:rPr>
                        <w:rFonts w:ascii="Cambria Math" w:hAnsi="Cambria Math"/>
                        <w:i/>
                        <w:szCs w:val="18"/>
                      </w:rPr>
                    </m:ctrlPr>
                  </m:sSubPr>
                  <m:e>
                    <m:r>
                      <w:rPr>
                        <w:rFonts w:ascii="Cambria Math" w:hAnsi="Cambria Math"/>
                        <w:szCs w:val="18"/>
                      </w:rPr>
                      <m:t>kW</m:t>
                    </m:r>
                  </m:e>
                  <m:sub>
                    <m:r>
                      <w:rPr>
                        <w:rFonts w:ascii="Cambria Math" w:hAnsi="Cambria Math"/>
                        <w:szCs w:val="18"/>
                      </w:rPr>
                      <m:t>i,t</m:t>
                    </m:r>
                  </m:sub>
                </m:sSub>
                <m:r>
                  <w:rPr>
                    <w:rFonts w:ascii="Cambria Math" w:hAnsi="Cambria Math"/>
                    <w:szCs w:val="18"/>
                  </w:rPr>
                  <m:t>=a+b∙</m:t>
                </m:r>
                <m:sSub>
                  <m:sSubPr>
                    <m:ctrlPr>
                      <w:rPr>
                        <w:rFonts w:ascii="Cambria Math" w:hAnsi="Cambria Math"/>
                        <w:i/>
                        <w:szCs w:val="18"/>
                      </w:rPr>
                    </m:ctrlPr>
                  </m:sSubPr>
                  <m:e>
                    <m:r>
                      <w:rPr>
                        <w:rFonts w:ascii="Cambria Math" w:hAnsi="Cambria Math"/>
                        <w:szCs w:val="18"/>
                      </w:rPr>
                      <m:t>Treatment</m:t>
                    </m:r>
                  </m:e>
                  <m:sub>
                    <m:r>
                      <w:rPr>
                        <w:rFonts w:ascii="Cambria Math" w:hAnsi="Cambria Math"/>
                        <w:szCs w:val="18"/>
                      </w:rPr>
                      <m:t>i</m:t>
                    </m:r>
                  </m:sub>
                </m:sSub>
                <m:r>
                  <w:rPr>
                    <w:rFonts w:ascii="Cambria Math" w:hAnsi="Cambria Math"/>
                    <w:szCs w:val="18"/>
                  </w:rPr>
                  <m:t>+c∙</m:t>
                </m:r>
                <m:sSub>
                  <m:sSubPr>
                    <m:ctrlPr>
                      <w:rPr>
                        <w:rFonts w:ascii="Cambria Math" w:hAnsi="Cambria Math"/>
                        <w:i/>
                        <w:szCs w:val="18"/>
                      </w:rPr>
                    </m:ctrlPr>
                  </m:sSubPr>
                  <m:e>
                    <m:r>
                      <w:rPr>
                        <w:rFonts w:ascii="Cambria Math" w:hAnsi="Cambria Math"/>
                        <w:szCs w:val="18"/>
                      </w:rPr>
                      <m:t>Event</m:t>
                    </m:r>
                  </m:e>
                  <m:sub>
                    <m:r>
                      <w:rPr>
                        <w:rFonts w:ascii="Cambria Math" w:hAnsi="Cambria Math"/>
                        <w:szCs w:val="18"/>
                      </w:rPr>
                      <m:t>t</m:t>
                    </m:r>
                  </m:sub>
                </m:sSub>
                <m:r>
                  <w:rPr>
                    <w:rFonts w:ascii="Cambria Math" w:hAnsi="Cambria Math"/>
                    <w:szCs w:val="18"/>
                  </w:rPr>
                  <m:t>+d∙</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Treatment</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Event</m:t>
                        </m:r>
                      </m:e>
                      <m:sub>
                        <m:r>
                          <w:rPr>
                            <w:rFonts w:ascii="Cambria Math" w:hAnsi="Cambria Math"/>
                            <w:szCs w:val="18"/>
                          </w:rPr>
                          <m:t>t</m:t>
                        </m:r>
                      </m:sub>
                    </m:sSub>
                  </m:e>
                </m:d>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t</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ε</m:t>
                    </m:r>
                  </m:e>
                  <m:sub>
                    <m:r>
                      <w:rPr>
                        <w:rFonts w:ascii="Cambria Math" w:hAnsi="Cambria Math"/>
                        <w:szCs w:val="18"/>
                      </w:rPr>
                      <m:t>i,t</m:t>
                    </m:r>
                  </m:sub>
                </m:sSub>
                <m:r>
                  <w:rPr>
                    <w:rFonts w:ascii="Cambria Math" w:hAnsi="Cambria Math"/>
                    <w:szCs w:val="18"/>
                  </w:rPr>
                  <m:t xml:space="preserve"> </m:t>
                </m:r>
                <m:r>
                  <m:rPr>
                    <m:sty m:val="p"/>
                  </m:rPr>
                  <w:rPr>
                    <w:rFonts w:ascii="Cambria Math" w:hAnsi="Cambria Math"/>
                    <w:szCs w:val="18"/>
                  </w:rPr>
                  <m:t xml:space="preserve">for </m:t>
                </m:r>
                <m:r>
                  <w:rPr>
                    <w:rFonts w:ascii="Cambria Math" w:hAnsi="Cambria Math"/>
                    <w:szCs w:val="18"/>
                  </w:rPr>
                  <m:t xml:space="preserve">i ∈ </m:t>
                </m:r>
                <m:d>
                  <m:dPr>
                    <m:begChr m:val="{"/>
                    <m:endChr m:val="}"/>
                    <m:ctrlPr>
                      <w:rPr>
                        <w:rFonts w:ascii="Cambria Math" w:hAnsi="Cambria Math"/>
                        <w:i/>
                        <w:szCs w:val="18"/>
                      </w:rPr>
                    </m:ctrlPr>
                  </m:dPr>
                  <m:e>
                    <m:r>
                      <w:rPr>
                        <w:rFonts w:ascii="Cambria Math" w:hAnsi="Cambria Math"/>
                        <w:szCs w:val="18"/>
                      </w:rPr>
                      <m:t>1,…,</m:t>
                    </m:r>
                    <m:sSub>
                      <m:sSubPr>
                        <m:ctrlPr>
                          <w:rPr>
                            <w:rFonts w:ascii="Cambria Math" w:hAnsi="Cambria Math"/>
                            <w:i/>
                            <w:szCs w:val="18"/>
                          </w:rPr>
                        </m:ctrlPr>
                      </m:sSubPr>
                      <m:e>
                        <m:r>
                          <w:rPr>
                            <w:rFonts w:ascii="Cambria Math" w:hAnsi="Cambria Math"/>
                            <w:szCs w:val="18"/>
                          </w:rPr>
                          <m:t>n</m:t>
                        </m:r>
                      </m:e>
                      <m:sub>
                        <m:r>
                          <w:rPr>
                            <w:rFonts w:ascii="Cambria Math" w:hAnsi="Cambria Math"/>
                            <w:szCs w:val="18"/>
                          </w:rPr>
                          <m:t>i</m:t>
                        </m:r>
                      </m:sub>
                    </m:sSub>
                  </m:e>
                </m:d>
                <m:r>
                  <w:rPr>
                    <w:rFonts w:ascii="Cambria Math" w:hAnsi="Cambria Math"/>
                    <w:szCs w:val="18"/>
                  </w:rPr>
                  <m:t xml:space="preserve"> </m:t>
                </m:r>
                <m:r>
                  <m:rPr>
                    <m:sty m:val="p"/>
                  </m:rPr>
                  <w:rPr>
                    <w:rFonts w:ascii="Cambria Math" w:hAnsi="Cambria Math"/>
                    <w:szCs w:val="18"/>
                  </w:rPr>
                  <m:t xml:space="preserve">and </m:t>
                </m:r>
                <m:r>
                  <w:rPr>
                    <w:rFonts w:ascii="Cambria Math" w:hAnsi="Cambria Math"/>
                    <w:szCs w:val="18"/>
                  </w:rPr>
                  <m:t xml:space="preserve">t ∈ </m:t>
                </m:r>
                <m:d>
                  <m:dPr>
                    <m:begChr m:val="{"/>
                    <m:endChr m:val="}"/>
                    <m:ctrlPr>
                      <w:rPr>
                        <w:rFonts w:ascii="Cambria Math" w:hAnsi="Cambria Math"/>
                        <w:i/>
                        <w:szCs w:val="18"/>
                      </w:rPr>
                    </m:ctrlPr>
                  </m:dPr>
                  <m:e>
                    <m:r>
                      <w:rPr>
                        <w:rFonts w:ascii="Cambria Math" w:hAnsi="Cambria Math"/>
                        <w:szCs w:val="18"/>
                      </w:rPr>
                      <m:t>1,…,</m:t>
                    </m:r>
                    <m:sSub>
                      <m:sSubPr>
                        <m:ctrlPr>
                          <w:rPr>
                            <w:rFonts w:ascii="Cambria Math" w:hAnsi="Cambria Math"/>
                            <w:i/>
                            <w:szCs w:val="18"/>
                          </w:rPr>
                        </m:ctrlPr>
                      </m:sSubPr>
                      <m:e>
                        <m:r>
                          <w:rPr>
                            <w:rFonts w:ascii="Cambria Math" w:hAnsi="Cambria Math"/>
                            <w:szCs w:val="18"/>
                          </w:rPr>
                          <m:t>n</m:t>
                        </m:r>
                      </m:e>
                      <m:sub>
                        <m:r>
                          <w:rPr>
                            <w:rFonts w:ascii="Cambria Math" w:hAnsi="Cambria Math"/>
                            <w:szCs w:val="18"/>
                          </w:rPr>
                          <m:t>t</m:t>
                        </m:r>
                      </m:sub>
                    </m:sSub>
                  </m:e>
                </m:d>
              </m:oMath>
            </m:oMathPara>
          </w:p>
        </w:tc>
      </w:tr>
      <w:tr w:rsidR="000117DA" w:rsidTr="00324486">
        <w:trPr>
          <w:trHeight w:val="432"/>
        </w:trPr>
        <w:tc>
          <w:tcPr>
            <w:tcW w:w="1728" w:type="dxa"/>
            <w:tcMar>
              <w:top w:w="144" w:type="dxa"/>
              <w:left w:w="115" w:type="dxa"/>
              <w:bottom w:w="144" w:type="dxa"/>
              <w:right w:w="115" w:type="dxa"/>
            </w:tcMar>
            <w:vAlign w:val="center"/>
          </w:tcPr>
          <w:p w:rsidR="000117DA" w:rsidRDefault="000117DA" w:rsidP="00324486">
            <w:pPr>
              <w:pStyle w:val="BodyParagraph"/>
              <w:spacing w:after="0"/>
              <w:jc w:val="center"/>
            </w:pPr>
            <w:r>
              <w:t>Individual Event Equation:</w:t>
            </w:r>
          </w:p>
        </w:tc>
        <w:tc>
          <w:tcPr>
            <w:tcW w:w="7848" w:type="dxa"/>
            <w:tcMar>
              <w:top w:w="144" w:type="dxa"/>
              <w:left w:w="115" w:type="dxa"/>
              <w:bottom w:w="144" w:type="dxa"/>
              <w:right w:w="115" w:type="dxa"/>
            </w:tcMar>
            <w:vAlign w:val="center"/>
          </w:tcPr>
          <w:p w:rsidR="000117DA" w:rsidRPr="00BA1B39" w:rsidRDefault="00947B52" w:rsidP="00324486">
            <w:pPr>
              <w:pStyle w:val="BodyParagraph"/>
              <w:spacing w:after="0"/>
              <w:jc w:val="both"/>
              <w:rPr>
                <w:szCs w:val="18"/>
              </w:rPr>
            </w:pPr>
            <m:oMathPara>
              <m:oMathParaPr>
                <m:jc m:val="left"/>
              </m:oMathParaPr>
              <m:oMath>
                <m:sSub>
                  <m:sSubPr>
                    <m:ctrlPr>
                      <w:rPr>
                        <w:rFonts w:ascii="Cambria Math" w:hAnsi="Cambria Math"/>
                        <w:i/>
                        <w:szCs w:val="18"/>
                      </w:rPr>
                    </m:ctrlPr>
                  </m:sSubPr>
                  <m:e>
                    <m:r>
                      <w:rPr>
                        <w:rFonts w:ascii="Cambria Math" w:hAnsi="Cambria Math"/>
                        <w:szCs w:val="18"/>
                      </w:rPr>
                      <m:t>kW</m:t>
                    </m:r>
                  </m:e>
                  <m:sub>
                    <m:r>
                      <w:rPr>
                        <w:rFonts w:ascii="Cambria Math" w:hAnsi="Cambria Math"/>
                        <w:szCs w:val="18"/>
                      </w:rPr>
                      <m:t>i,t</m:t>
                    </m:r>
                  </m:sub>
                </m:sSub>
                <m:r>
                  <w:rPr>
                    <w:rFonts w:ascii="Cambria Math" w:hAnsi="Cambria Math"/>
                    <w:szCs w:val="18"/>
                  </w:rPr>
                  <m:t>=a+b∙</m:t>
                </m:r>
                <m:sSub>
                  <m:sSubPr>
                    <m:ctrlPr>
                      <w:rPr>
                        <w:rFonts w:ascii="Cambria Math" w:hAnsi="Cambria Math"/>
                        <w:i/>
                        <w:szCs w:val="18"/>
                      </w:rPr>
                    </m:ctrlPr>
                  </m:sSubPr>
                  <m:e>
                    <m:r>
                      <w:rPr>
                        <w:rFonts w:ascii="Cambria Math" w:hAnsi="Cambria Math"/>
                        <w:szCs w:val="18"/>
                      </w:rPr>
                      <m:t>Treatment</m:t>
                    </m:r>
                  </m:e>
                  <m:sub>
                    <m:r>
                      <w:rPr>
                        <w:rFonts w:ascii="Cambria Math" w:hAnsi="Cambria Math"/>
                        <w:szCs w:val="18"/>
                      </w:rPr>
                      <m:t>i</m:t>
                    </m:r>
                  </m:sub>
                </m:sSub>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n=1</m:t>
                    </m:r>
                  </m:sub>
                  <m:sup>
                    <m:r>
                      <w:rPr>
                        <w:rFonts w:ascii="Cambria Math" w:hAnsi="Cambria Math"/>
                        <w:szCs w:val="18"/>
                      </w:rPr>
                      <m:t>max</m:t>
                    </m:r>
                  </m:sup>
                  <m:e>
                    <m:sSub>
                      <m:sSubPr>
                        <m:ctrlPr>
                          <w:rPr>
                            <w:rFonts w:ascii="Cambria Math" w:hAnsi="Cambria Math"/>
                            <w:i/>
                            <w:szCs w:val="18"/>
                          </w:rPr>
                        </m:ctrlPr>
                      </m:sSubPr>
                      <m:e>
                        <m:r>
                          <w:rPr>
                            <w:rFonts w:ascii="Cambria Math" w:hAnsi="Cambria Math"/>
                            <w:szCs w:val="18"/>
                          </w:rPr>
                          <m:t>c</m:t>
                        </m:r>
                      </m:e>
                      <m:sub>
                        <m:r>
                          <w:rPr>
                            <w:rFonts w:ascii="Cambria Math" w:hAnsi="Cambria Math"/>
                            <w:szCs w:val="18"/>
                          </w:rPr>
                          <m:t>n</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Event</m:t>
                        </m:r>
                      </m:e>
                      <m:sub>
                        <m:r>
                          <w:rPr>
                            <w:rFonts w:ascii="Cambria Math" w:hAnsi="Cambria Math"/>
                            <w:szCs w:val="18"/>
                          </w:rPr>
                          <m:t>n</m:t>
                        </m:r>
                      </m:sub>
                    </m:sSub>
                  </m:e>
                </m:nary>
                <m:r>
                  <w:rPr>
                    <w:rFonts w:ascii="Cambria Math" w:hAnsi="Cambria Math"/>
                    <w:szCs w:val="18"/>
                  </w:rPr>
                  <m:t>+</m:t>
                </m:r>
                <m:nary>
                  <m:naryPr>
                    <m:chr m:val="∑"/>
                    <m:limLoc m:val="undOvr"/>
                    <m:ctrlPr>
                      <w:rPr>
                        <w:rFonts w:ascii="Cambria Math" w:hAnsi="Cambria Math"/>
                        <w:i/>
                        <w:szCs w:val="18"/>
                      </w:rPr>
                    </m:ctrlPr>
                  </m:naryPr>
                  <m:sub>
                    <m:r>
                      <w:rPr>
                        <w:rFonts w:ascii="Cambria Math" w:hAnsi="Cambria Math"/>
                        <w:szCs w:val="18"/>
                      </w:rPr>
                      <m:t>n=1</m:t>
                    </m:r>
                  </m:sub>
                  <m:sup>
                    <m:r>
                      <w:rPr>
                        <w:rFonts w:ascii="Cambria Math" w:hAnsi="Cambria Math"/>
                        <w:szCs w:val="18"/>
                      </w:rPr>
                      <m:t>max</m:t>
                    </m:r>
                  </m:sup>
                  <m:e>
                    <m:sSub>
                      <m:sSubPr>
                        <m:ctrlPr>
                          <w:rPr>
                            <w:rFonts w:ascii="Cambria Math" w:hAnsi="Cambria Math"/>
                            <w:i/>
                            <w:szCs w:val="18"/>
                          </w:rPr>
                        </m:ctrlPr>
                      </m:sSubPr>
                      <m:e>
                        <m:r>
                          <w:rPr>
                            <w:rFonts w:ascii="Cambria Math" w:hAnsi="Cambria Math"/>
                            <w:szCs w:val="18"/>
                          </w:rPr>
                          <m:t>d</m:t>
                        </m:r>
                      </m:e>
                      <m:sub>
                        <m:r>
                          <w:rPr>
                            <w:rFonts w:ascii="Cambria Math" w:hAnsi="Cambria Math"/>
                            <w:szCs w:val="18"/>
                          </w:rPr>
                          <m:t>n</m:t>
                        </m:r>
                      </m:sub>
                    </m:sSub>
                    <m:r>
                      <w:rPr>
                        <w:rFonts w:ascii="Cambria Math" w:hAnsi="Cambria Math"/>
                        <w:szCs w:val="18"/>
                      </w:rPr>
                      <m:t>∙</m:t>
                    </m:r>
                    <m:d>
                      <m:dPr>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Treatment</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Event</m:t>
                            </m:r>
                          </m:e>
                          <m:sub>
                            <m:r>
                              <w:rPr>
                                <w:rFonts w:ascii="Cambria Math" w:hAnsi="Cambria Math"/>
                                <w:szCs w:val="18"/>
                              </w:rPr>
                              <m:t>n</m:t>
                            </m:r>
                          </m:sub>
                        </m:sSub>
                      </m:e>
                    </m:d>
                  </m:e>
                </m:nary>
                <m:r>
                  <w:rPr>
                    <w:rFonts w:ascii="Cambria Math" w:hAnsi="Cambria Math"/>
                    <w:szCs w:val="18"/>
                  </w:rPr>
                  <m:t xml:space="preserve">+ </m:t>
                </m:r>
                <m:sSub>
                  <m:sSubPr>
                    <m:ctrlPr>
                      <w:rPr>
                        <w:rFonts w:ascii="Cambria Math" w:hAnsi="Cambria Math"/>
                        <w:i/>
                        <w:szCs w:val="18"/>
                      </w:rPr>
                    </m:ctrlPr>
                  </m:sSubPr>
                  <m:e>
                    <m:r>
                      <w:rPr>
                        <w:rFonts w:ascii="Cambria Math" w:hAnsi="Cambria Math"/>
                        <w:szCs w:val="18"/>
                      </w:rPr>
                      <m:t>u</m:t>
                    </m:r>
                  </m:e>
                  <m:sub>
                    <m:r>
                      <w:rPr>
                        <w:rFonts w:ascii="Cambria Math" w:hAnsi="Cambria Math"/>
                        <w:szCs w:val="18"/>
                      </w:rPr>
                      <m:t>t</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v</m:t>
                    </m:r>
                  </m:e>
                  <m:sub>
                    <m:r>
                      <w:rPr>
                        <w:rFonts w:ascii="Cambria Math" w:hAnsi="Cambria Math"/>
                        <w:szCs w:val="18"/>
                      </w:rPr>
                      <m:t>i</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ε</m:t>
                    </m:r>
                  </m:e>
                  <m:sub>
                    <m:r>
                      <w:rPr>
                        <w:rFonts w:ascii="Cambria Math" w:hAnsi="Cambria Math"/>
                        <w:szCs w:val="18"/>
                      </w:rPr>
                      <m:t>i,t</m:t>
                    </m:r>
                  </m:sub>
                </m:sSub>
                <m:r>
                  <m:rPr>
                    <m:sty m:val="p"/>
                  </m:rPr>
                  <w:rPr>
                    <w:rFonts w:ascii="Cambria Math" w:hAnsi="Cambria Math"/>
                    <w:szCs w:val="18"/>
                  </w:rPr>
                  <m:t xml:space="preserve"> for </m:t>
                </m:r>
                <m:r>
                  <w:rPr>
                    <w:rFonts w:ascii="Cambria Math" w:hAnsi="Cambria Math"/>
                    <w:szCs w:val="18"/>
                  </w:rPr>
                  <m:t xml:space="preserve">i ∈ </m:t>
                </m:r>
                <m:d>
                  <m:dPr>
                    <m:begChr m:val="{"/>
                    <m:endChr m:val="}"/>
                    <m:ctrlPr>
                      <w:rPr>
                        <w:rFonts w:ascii="Cambria Math" w:hAnsi="Cambria Math"/>
                        <w:i/>
                        <w:szCs w:val="18"/>
                      </w:rPr>
                    </m:ctrlPr>
                  </m:dPr>
                  <m:e>
                    <m:r>
                      <w:rPr>
                        <w:rFonts w:ascii="Cambria Math" w:hAnsi="Cambria Math"/>
                        <w:szCs w:val="18"/>
                      </w:rPr>
                      <m:t>1,…,</m:t>
                    </m:r>
                    <m:sSub>
                      <m:sSubPr>
                        <m:ctrlPr>
                          <w:rPr>
                            <w:rFonts w:ascii="Cambria Math" w:hAnsi="Cambria Math"/>
                            <w:i/>
                            <w:szCs w:val="18"/>
                          </w:rPr>
                        </m:ctrlPr>
                      </m:sSubPr>
                      <m:e>
                        <m:r>
                          <w:rPr>
                            <w:rFonts w:ascii="Cambria Math" w:hAnsi="Cambria Math"/>
                            <w:szCs w:val="18"/>
                          </w:rPr>
                          <m:t>n</m:t>
                        </m:r>
                      </m:e>
                      <m:sub>
                        <m:r>
                          <w:rPr>
                            <w:rFonts w:ascii="Cambria Math" w:hAnsi="Cambria Math"/>
                            <w:szCs w:val="18"/>
                          </w:rPr>
                          <m:t>i</m:t>
                        </m:r>
                      </m:sub>
                    </m:sSub>
                  </m:e>
                </m:d>
                <m:r>
                  <w:rPr>
                    <w:rFonts w:ascii="Cambria Math" w:hAnsi="Cambria Math"/>
                    <w:szCs w:val="18"/>
                  </w:rPr>
                  <m:t xml:space="preserve"> </m:t>
                </m:r>
                <m:r>
                  <m:rPr>
                    <m:sty m:val="p"/>
                  </m:rPr>
                  <w:rPr>
                    <w:rFonts w:ascii="Cambria Math" w:hAnsi="Cambria Math"/>
                    <w:szCs w:val="18"/>
                  </w:rPr>
                  <m:t xml:space="preserve">and </m:t>
                </m:r>
                <m:r>
                  <w:rPr>
                    <w:rFonts w:ascii="Cambria Math" w:hAnsi="Cambria Math"/>
                    <w:szCs w:val="18"/>
                  </w:rPr>
                  <m:t xml:space="preserve">t ∈ </m:t>
                </m:r>
                <m:d>
                  <m:dPr>
                    <m:begChr m:val="{"/>
                    <m:endChr m:val="}"/>
                    <m:ctrlPr>
                      <w:rPr>
                        <w:rFonts w:ascii="Cambria Math" w:hAnsi="Cambria Math"/>
                        <w:i/>
                        <w:szCs w:val="18"/>
                      </w:rPr>
                    </m:ctrlPr>
                  </m:dPr>
                  <m:e>
                    <m:r>
                      <w:rPr>
                        <w:rFonts w:ascii="Cambria Math" w:hAnsi="Cambria Math"/>
                        <w:szCs w:val="18"/>
                      </w:rPr>
                      <m:t>1,…,</m:t>
                    </m:r>
                    <m:sSub>
                      <m:sSubPr>
                        <m:ctrlPr>
                          <w:rPr>
                            <w:rFonts w:ascii="Cambria Math" w:hAnsi="Cambria Math"/>
                            <w:i/>
                            <w:szCs w:val="18"/>
                          </w:rPr>
                        </m:ctrlPr>
                      </m:sSubPr>
                      <m:e>
                        <m:r>
                          <w:rPr>
                            <w:rFonts w:ascii="Cambria Math" w:hAnsi="Cambria Math"/>
                            <w:szCs w:val="18"/>
                          </w:rPr>
                          <m:t>n</m:t>
                        </m:r>
                      </m:e>
                      <m:sub>
                        <m:r>
                          <w:rPr>
                            <w:rFonts w:ascii="Cambria Math" w:hAnsi="Cambria Math"/>
                            <w:szCs w:val="18"/>
                          </w:rPr>
                          <m:t>t</m:t>
                        </m:r>
                      </m:sub>
                    </m:sSub>
                  </m:e>
                </m:d>
              </m:oMath>
            </m:oMathPara>
          </w:p>
        </w:tc>
      </w:tr>
    </w:tbl>
    <w:p w:rsidR="000117DA" w:rsidRDefault="000117DA" w:rsidP="00DD4A30">
      <w:pPr>
        <w:spacing w:line="276" w:lineRule="auto"/>
        <w:ind w:firstLine="360"/>
        <w:rPr>
          <w:color w:val="000000" w:themeColor="text1"/>
        </w:rPr>
      </w:pPr>
    </w:p>
    <w:tbl>
      <w:tblPr>
        <w:tblStyle w:val="TableGrid"/>
        <w:tblpPr w:leftFromText="180" w:rightFromText="180" w:vertAnchor="text" w:horzAnchor="margin" w:tblpXSpec="right" w:tblpY="249"/>
        <w:tblW w:w="0" w:type="auto"/>
        <w:tblLook w:val="04A0" w:firstRow="1" w:lastRow="0" w:firstColumn="1" w:lastColumn="0" w:noHBand="0" w:noVBand="1"/>
      </w:tblPr>
      <w:tblGrid>
        <w:gridCol w:w="1124"/>
        <w:gridCol w:w="8159"/>
      </w:tblGrid>
      <w:tr w:rsidR="000117DA" w:rsidRPr="0047139E" w:rsidTr="00324486">
        <w:trPr>
          <w:trHeight w:val="302"/>
        </w:trPr>
        <w:tc>
          <w:tcPr>
            <w:tcW w:w="1039" w:type="dxa"/>
            <w:tcBorders>
              <w:right w:val="single" w:sz="4" w:space="0" w:color="FFFFFF" w:themeColor="background1"/>
            </w:tcBorders>
            <w:shd w:val="clear" w:color="auto" w:fill="0070CD"/>
          </w:tcPr>
          <w:p w:rsidR="000117DA" w:rsidRPr="0047139E" w:rsidRDefault="000117DA" w:rsidP="00324486">
            <w:pPr>
              <w:pStyle w:val="TableHeader"/>
            </w:pPr>
            <w:r w:rsidRPr="0047139E">
              <w:t>Variable</w:t>
            </w:r>
          </w:p>
        </w:tc>
        <w:tc>
          <w:tcPr>
            <w:tcW w:w="8159" w:type="dxa"/>
            <w:tcBorders>
              <w:left w:val="single" w:sz="4" w:space="0" w:color="FFFFFF" w:themeColor="background1"/>
            </w:tcBorders>
            <w:shd w:val="clear" w:color="auto" w:fill="0070CD"/>
          </w:tcPr>
          <w:p w:rsidR="000117DA" w:rsidRPr="0047139E" w:rsidRDefault="000117DA" w:rsidP="00324486">
            <w:pPr>
              <w:pStyle w:val="TableHeader"/>
            </w:pPr>
            <w:r w:rsidRPr="0047139E">
              <w:t>Definition</w:t>
            </w:r>
          </w:p>
        </w:tc>
      </w:tr>
      <w:tr w:rsidR="000117DA" w:rsidRPr="0047139E" w:rsidTr="00324486">
        <w:trPr>
          <w:trHeight w:val="302"/>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i, t, n</w:t>
            </w:r>
          </w:p>
        </w:tc>
        <w:tc>
          <w:tcPr>
            <w:tcW w:w="8159" w:type="dxa"/>
            <w:vAlign w:val="center"/>
          </w:tcPr>
          <w:p w:rsidR="000117DA" w:rsidRPr="0047139E" w:rsidRDefault="000117DA" w:rsidP="00324486">
            <w:pPr>
              <w:pStyle w:val="TableText"/>
            </w:pPr>
            <w:r w:rsidRPr="0047139E">
              <w:t>Indicate obse</w:t>
            </w:r>
            <w:r>
              <w:t xml:space="preserve">rvations for each individual </w:t>
            </w:r>
            <w:r w:rsidRPr="005F2A67">
              <w:rPr>
                <w:rFonts w:ascii="Times New Roman" w:hAnsi="Times New Roman"/>
                <w:i/>
              </w:rPr>
              <w:t>i</w:t>
            </w:r>
            <w:r w:rsidRPr="0047139E">
              <w:t xml:space="preserve">, date </w:t>
            </w:r>
            <w:r w:rsidRPr="005F2A67">
              <w:rPr>
                <w:rFonts w:ascii="Times New Roman" w:hAnsi="Times New Roman"/>
                <w:i/>
              </w:rPr>
              <w:t>t</w:t>
            </w:r>
            <w:r w:rsidRPr="0047139E">
              <w:t xml:space="preserve"> and event number</w:t>
            </w:r>
            <w:r>
              <w:t xml:space="preserve"> </w:t>
            </w:r>
            <w:r w:rsidRPr="005F2A67">
              <w:rPr>
                <w:rFonts w:ascii="Times New Roman" w:hAnsi="Times New Roman"/>
                <w:i/>
              </w:rPr>
              <w:t>n</w:t>
            </w:r>
            <w:r>
              <w:t xml:space="preserve">, where the number of events varies by utility and is denoted </w:t>
            </w:r>
            <w:r w:rsidRPr="005F2A67">
              <w:rPr>
                <w:rFonts w:ascii="Times New Roman" w:hAnsi="Times New Roman"/>
                <w:i/>
              </w:rPr>
              <w:t>max</w:t>
            </w:r>
          </w:p>
        </w:tc>
      </w:tr>
      <w:tr w:rsidR="000117DA" w:rsidRPr="0047139E" w:rsidTr="00324486">
        <w:trPr>
          <w:trHeight w:val="302"/>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a</w:t>
            </w:r>
          </w:p>
        </w:tc>
        <w:tc>
          <w:tcPr>
            <w:tcW w:w="8159" w:type="dxa"/>
            <w:vAlign w:val="center"/>
          </w:tcPr>
          <w:p w:rsidR="000117DA" w:rsidRPr="0047139E" w:rsidRDefault="000117DA" w:rsidP="00324486">
            <w:pPr>
              <w:pStyle w:val="TableText"/>
            </w:pPr>
            <w:r>
              <w:t>The model constant</w:t>
            </w:r>
          </w:p>
        </w:tc>
      </w:tr>
      <w:tr w:rsidR="000117DA" w:rsidRPr="0047139E" w:rsidTr="00324486">
        <w:trPr>
          <w:trHeight w:val="302"/>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b</w:t>
            </w:r>
          </w:p>
        </w:tc>
        <w:tc>
          <w:tcPr>
            <w:tcW w:w="8159" w:type="dxa"/>
            <w:vAlign w:val="center"/>
          </w:tcPr>
          <w:p w:rsidR="000117DA" w:rsidRPr="0047139E" w:rsidRDefault="000117DA" w:rsidP="00324486">
            <w:pPr>
              <w:pStyle w:val="TableText"/>
            </w:pPr>
            <w:r w:rsidRPr="0047139E">
              <w:t>Pre-existing difference between treatment</w:t>
            </w:r>
            <w:r>
              <w:t xml:space="preserve"> and control customers</w:t>
            </w:r>
          </w:p>
        </w:tc>
      </w:tr>
      <w:tr w:rsidR="000117DA" w:rsidRPr="0047139E" w:rsidTr="00324486">
        <w:trPr>
          <w:trHeight w:val="302"/>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c</w:t>
            </w:r>
          </w:p>
        </w:tc>
        <w:tc>
          <w:tcPr>
            <w:tcW w:w="8159" w:type="dxa"/>
            <w:vAlign w:val="center"/>
          </w:tcPr>
          <w:p w:rsidR="000117DA" w:rsidRPr="0047139E" w:rsidRDefault="000117DA" w:rsidP="00324486">
            <w:pPr>
              <w:pStyle w:val="TableText"/>
            </w:pPr>
            <w:r w:rsidRPr="0047139E">
              <w:t>The difference between event and non-event days common to both CPP partici</w:t>
            </w:r>
            <w:r>
              <w:t>pants and control group members</w:t>
            </w:r>
            <w:r w:rsidRPr="00995491">
              <w:rPr>
                <w:rStyle w:val="FootnoteReference"/>
              </w:rPr>
              <w:footnoteReference w:id="2"/>
            </w:r>
          </w:p>
        </w:tc>
      </w:tr>
      <w:tr w:rsidR="000117DA" w:rsidRPr="0047139E" w:rsidTr="00324486">
        <w:trPr>
          <w:trHeight w:val="287"/>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d</w:t>
            </w:r>
          </w:p>
        </w:tc>
        <w:tc>
          <w:tcPr>
            <w:tcW w:w="8159" w:type="dxa"/>
            <w:vAlign w:val="center"/>
          </w:tcPr>
          <w:p w:rsidR="000117DA" w:rsidRPr="0047139E" w:rsidRDefault="000117DA" w:rsidP="00324486">
            <w:pPr>
              <w:pStyle w:val="TableText"/>
            </w:pPr>
            <w:r w:rsidRPr="0047139E">
              <w:t>The net difference between CPP and control group customers during event days – this parameter represents the differen</w:t>
            </w:r>
            <w:r>
              <w:t>ce-in-differences</w:t>
            </w:r>
          </w:p>
        </w:tc>
      </w:tr>
      <w:tr w:rsidR="000117DA" w:rsidRPr="0047139E" w:rsidTr="00324486">
        <w:trPr>
          <w:trHeight w:val="603"/>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u</w:t>
            </w:r>
          </w:p>
        </w:tc>
        <w:tc>
          <w:tcPr>
            <w:tcW w:w="8159" w:type="dxa"/>
            <w:vAlign w:val="center"/>
          </w:tcPr>
          <w:p w:rsidR="000117DA" w:rsidRPr="0047139E" w:rsidRDefault="000117DA" w:rsidP="00324486">
            <w:pPr>
              <w:pStyle w:val="TableText"/>
            </w:pPr>
            <w:r>
              <w:t xml:space="preserve">Time effects for each date that </w:t>
            </w:r>
            <w:r w:rsidRPr="0047139E">
              <w:t>control for unobserved factors that are common to all treatment and control customer</w:t>
            </w:r>
            <w:r>
              <w:t>s but unique to the time period</w:t>
            </w:r>
            <w:r w:rsidRPr="0047139E">
              <w:t xml:space="preserve"> </w:t>
            </w:r>
          </w:p>
        </w:tc>
      </w:tr>
      <w:tr w:rsidR="000117DA" w:rsidRPr="0047139E" w:rsidTr="00324486">
        <w:trPr>
          <w:trHeight w:val="603"/>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v</w:t>
            </w:r>
          </w:p>
        </w:tc>
        <w:tc>
          <w:tcPr>
            <w:tcW w:w="8159" w:type="dxa"/>
            <w:vAlign w:val="center"/>
          </w:tcPr>
          <w:p w:rsidR="000117DA" w:rsidRPr="0047139E" w:rsidRDefault="000117DA" w:rsidP="00324486">
            <w:pPr>
              <w:pStyle w:val="TableText"/>
            </w:pPr>
            <w:r>
              <w:t xml:space="preserve">Customer fixed effects that </w:t>
            </w:r>
            <w:r w:rsidRPr="0047139E">
              <w:t>control for unobserved factors that are time</w:t>
            </w:r>
            <w:r>
              <w:t>-</w:t>
            </w:r>
            <w:r w:rsidRPr="0047139E">
              <w:t>invari</w:t>
            </w:r>
            <w:r>
              <w:t xml:space="preserve">ant and unique to each customer; fixed effects do </w:t>
            </w:r>
            <w:r w:rsidRPr="0047139E">
              <w:t>not control for fixed characteristics such as air conditioning that interact with time varying factors like weather</w:t>
            </w:r>
          </w:p>
        </w:tc>
      </w:tr>
      <w:tr w:rsidR="000117DA" w:rsidRPr="0047139E" w:rsidTr="00324486">
        <w:trPr>
          <w:trHeight w:val="302"/>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Ε</w:t>
            </w:r>
          </w:p>
        </w:tc>
        <w:tc>
          <w:tcPr>
            <w:tcW w:w="8159" w:type="dxa"/>
            <w:vAlign w:val="center"/>
          </w:tcPr>
          <w:p w:rsidR="000117DA" w:rsidRPr="0047139E" w:rsidRDefault="000117DA" w:rsidP="00324486">
            <w:pPr>
              <w:pStyle w:val="TableText"/>
            </w:pPr>
            <w:r w:rsidRPr="0047139E">
              <w:t>The error for each individual customer and time period</w:t>
            </w:r>
          </w:p>
        </w:tc>
      </w:tr>
      <w:tr w:rsidR="000117DA" w:rsidRPr="0047139E" w:rsidTr="00324486">
        <w:trPr>
          <w:trHeight w:val="302"/>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Treatment</w:t>
            </w:r>
          </w:p>
        </w:tc>
        <w:tc>
          <w:tcPr>
            <w:tcW w:w="8159" w:type="dxa"/>
            <w:vAlign w:val="center"/>
          </w:tcPr>
          <w:p w:rsidR="000117DA" w:rsidRPr="0047139E" w:rsidRDefault="000117DA" w:rsidP="00324486">
            <w:pPr>
              <w:pStyle w:val="TableText"/>
            </w:pPr>
            <w:r w:rsidRPr="0047139E">
              <w:t>A binary indicator or whether or not the customer is part of the t</w:t>
            </w:r>
            <w:r>
              <w:t>reatment (CPP) or control group</w:t>
            </w:r>
          </w:p>
        </w:tc>
      </w:tr>
      <w:tr w:rsidR="000117DA" w:rsidRPr="0047139E" w:rsidTr="00324486">
        <w:trPr>
          <w:trHeight w:val="302"/>
        </w:trPr>
        <w:tc>
          <w:tcPr>
            <w:tcW w:w="1039" w:type="dxa"/>
            <w:vAlign w:val="center"/>
          </w:tcPr>
          <w:p w:rsidR="000117DA" w:rsidRPr="004A7CF8" w:rsidRDefault="000117DA" w:rsidP="00324486">
            <w:pPr>
              <w:pStyle w:val="BodyParagraph"/>
              <w:spacing w:after="0"/>
              <w:jc w:val="center"/>
              <w:rPr>
                <w:rFonts w:ascii="Cambria Math" w:hAnsi="Cambria Math"/>
                <w:i/>
                <w:szCs w:val="18"/>
              </w:rPr>
            </w:pPr>
            <w:r w:rsidRPr="004A7CF8">
              <w:rPr>
                <w:rFonts w:ascii="Cambria Math" w:hAnsi="Cambria Math"/>
                <w:i/>
                <w:szCs w:val="18"/>
              </w:rPr>
              <w:t>Event</w:t>
            </w:r>
          </w:p>
        </w:tc>
        <w:tc>
          <w:tcPr>
            <w:tcW w:w="8159" w:type="dxa"/>
            <w:vAlign w:val="center"/>
          </w:tcPr>
          <w:p w:rsidR="000117DA" w:rsidRPr="0047139E" w:rsidRDefault="000117DA" w:rsidP="00324486">
            <w:pPr>
              <w:pStyle w:val="TableText"/>
            </w:pPr>
            <w:r w:rsidRPr="0047139E">
              <w:t>A binary indicator of wheth</w:t>
            </w:r>
            <w:r>
              <w:t>er an event occurred that day – i</w:t>
            </w:r>
            <w:r w:rsidRPr="0047139E">
              <w:t>mpacts are only observed if the customer is on CPP (</w:t>
            </w:r>
            <w:r w:rsidRPr="00995491">
              <w:rPr>
                <w:rFonts w:ascii="Times New Roman" w:hAnsi="Times New Roman"/>
                <w:i/>
              </w:rPr>
              <w:t>Treatment</w:t>
            </w:r>
            <w:r w:rsidRPr="0047139E">
              <w:t xml:space="preserve"> =</w:t>
            </w:r>
            <w:r>
              <w:t xml:space="preserve"> 1) and it was an event day</w:t>
            </w:r>
          </w:p>
        </w:tc>
      </w:tr>
    </w:tbl>
    <w:p w:rsidR="008D6FBB" w:rsidRPr="004B2046" w:rsidRDefault="008D6FBB" w:rsidP="00DD4A30">
      <w:pPr>
        <w:spacing w:line="276" w:lineRule="auto"/>
        <w:ind w:firstLine="36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ED2D68" w:rsidTr="0084717A">
        <w:trPr>
          <w:trHeight w:val="432"/>
        </w:trPr>
        <w:tc>
          <w:tcPr>
            <w:tcW w:w="1728" w:type="dxa"/>
            <w:tcMar>
              <w:top w:w="144" w:type="dxa"/>
              <w:left w:w="115" w:type="dxa"/>
              <w:bottom w:w="144" w:type="dxa"/>
              <w:right w:w="115" w:type="dxa"/>
            </w:tcMar>
            <w:vAlign w:val="center"/>
          </w:tcPr>
          <w:p w:rsidR="00ED2D68" w:rsidRDefault="00ED2D68" w:rsidP="0084717A">
            <w:pPr>
              <w:pStyle w:val="BodyParagraph"/>
              <w:spacing w:after="0"/>
              <w:jc w:val="center"/>
            </w:pPr>
          </w:p>
        </w:tc>
        <w:tc>
          <w:tcPr>
            <w:tcW w:w="7848" w:type="dxa"/>
            <w:tcMar>
              <w:top w:w="144" w:type="dxa"/>
              <w:left w:w="115" w:type="dxa"/>
              <w:bottom w:w="144" w:type="dxa"/>
              <w:right w:w="115" w:type="dxa"/>
            </w:tcMar>
            <w:vAlign w:val="center"/>
          </w:tcPr>
          <w:p w:rsidR="00ED2D68" w:rsidRPr="00BA1B39" w:rsidRDefault="00ED2D68" w:rsidP="0084717A">
            <w:pPr>
              <w:pStyle w:val="BodyParagraph"/>
              <w:spacing w:after="0"/>
              <w:jc w:val="both"/>
              <w:rPr>
                <w:szCs w:val="18"/>
              </w:rPr>
            </w:pPr>
          </w:p>
        </w:tc>
      </w:tr>
      <w:tr w:rsidR="00ED2D68" w:rsidTr="0084717A">
        <w:trPr>
          <w:trHeight w:val="432"/>
        </w:trPr>
        <w:tc>
          <w:tcPr>
            <w:tcW w:w="1728" w:type="dxa"/>
            <w:tcMar>
              <w:top w:w="144" w:type="dxa"/>
              <w:left w:w="115" w:type="dxa"/>
              <w:bottom w:w="144" w:type="dxa"/>
              <w:right w:w="115" w:type="dxa"/>
            </w:tcMar>
            <w:vAlign w:val="center"/>
          </w:tcPr>
          <w:p w:rsidR="00ED2D68" w:rsidRDefault="00ED2D68" w:rsidP="0084717A">
            <w:pPr>
              <w:pStyle w:val="BodyParagraph"/>
              <w:spacing w:after="0"/>
              <w:jc w:val="center"/>
            </w:pPr>
          </w:p>
        </w:tc>
        <w:tc>
          <w:tcPr>
            <w:tcW w:w="7848" w:type="dxa"/>
            <w:tcMar>
              <w:top w:w="144" w:type="dxa"/>
              <w:left w:w="115" w:type="dxa"/>
              <w:bottom w:w="144" w:type="dxa"/>
              <w:right w:w="115" w:type="dxa"/>
            </w:tcMar>
            <w:vAlign w:val="center"/>
          </w:tcPr>
          <w:p w:rsidR="00ED2D68" w:rsidRPr="00BA1B39" w:rsidRDefault="00ED2D68" w:rsidP="0084717A">
            <w:pPr>
              <w:pStyle w:val="BodyParagraph"/>
              <w:spacing w:after="0"/>
              <w:jc w:val="both"/>
              <w:rPr>
                <w:szCs w:val="18"/>
              </w:rPr>
            </w:pPr>
          </w:p>
        </w:tc>
      </w:tr>
    </w:tbl>
    <w:p w:rsidR="008D6FBB" w:rsidRDefault="008D6FBB"/>
    <w:p w:rsidR="008D6FBB" w:rsidRDefault="008D6FBB"/>
    <w:p w:rsidR="008D6FBB" w:rsidRDefault="008D6FBB"/>
    <w:p w:rsidR="008D6FBB" w:rsidRDefault="008D6FBB"/>
    <w:p w:rsidR="008D6FBB" w:rsidRDefault="008D6FBB"/>
    <w:p w:rsidR="008D6FBB" w:rsidRDefault="008D6FBB"/>
    <w:p w:rsidR="00CF0D86" w:rsidRDefault="00CF0D86" w:rsidP="00EB389F">
      <w:pPr>
        <w:spacing w:line="276" w:lineRule="auto"/>
        <w:ind w:firstLine="360"/>
        <w:jc w:val="both"/>
      </w:pPr>
    </w:p>
    <w:p w:rsidR="008F1D53" w:rsidRPr="004B2046" w:rsidRDefault="008F1D53" w:rsidP="008F1D53">
      <w:pPr>
        <w:pStyle w:val="Heading3"/>
        <w:spacing w:after="0" w:line="276" w:lineRule="auto"/>
        <w:rPr>
          <w:rFonts w:ascii="Times New Roman" w:hAnsi="Times New Roman" w:cs="Times New Roman"/>
          <w:color w:val="000000" w:themeColor="text1"/>
          <w:szCs w:val="24"/>
        </w:rPr>
      </w:pPr>
      <w:bookmarkStart w:id="84" w:name="_Toc415748969"/>
      <w:r w:rsidRPr="004B2046">
        <w:rPr>
          <w:rFonts w:ascii="Times New Roman" w:hAnsi="Times New Roman" w:cs="Times New Roman"/>
          <w:color w:val="000000" w:themeColor="text1"/>
          <w:szCs w:val="24"/>
        </w:rPr>
        <w:lastRenderedPageBreak/>
        <w:t>Individual Customers Regressions</w:t>
      </w:r>
      <w:bookmarkEnd w:id="84"/>
      <w:r w:rsidRPr="004B2046">
        <w:rPr>
          <w:rFonts w:ascii="Times New Roman" w:hAnsi="Times New Roman" w:cs="Times New Roman"/>
          <w:color w:val="000000" w:themeColor="text1"/>
          <w:szCs w:val="24"/>
        </w:rPr>
        <w:t xml:space="preserve"> </w:t>
      </w:r>
    </w:p>
    <w:p w:rsidR="008F1D53" w:rsidRPr="004B2046" w:rsidRDefault="008F1D53" w:rsidP="008F1D53">
      <w:pPr>
        <w:pStyle w:val="BodyParagraph"/>
        <w:spacing w:after="0" w:line="276" w:lineRule="auto"/>
        <w:rPr>
          <w:rFonts w:ascii="Times New Roman" w:hAnsi="Times New Roman"/>
          <w:color w:val="000000" w:themeColor="text1"/>
          <w:sz w:val="24"/>
          <w:szCs w:val="24"/>
        </w:rPr>
      </w:pPr>
    </w:p>
    <w:p w:rsidR="006A3632" w:rsidRDefault="006A3632" w:rsidP="006A3632">
      <w:pPr>
        <w:pStyle w:val="BodyParagraph"/>
        <w:spacing w:after="0" w:line="276" w:lineRule="auto"/>
        <w:ind w:firstLine="360"/>
        <w:rPr>
          <w:rFonts w:ascii="Times New Roman" w:hAnsi="Times New Roman"/>
          <w:color w:val="000000" w:themeColor="text1"/>
          <w:sz w:val="24"/>
          <w:szCs w:val="24"/>
        </w:rPr>
      </w:pPr>
      <w:r>
        <w:rPr>
          <w:rFonts w:ascii="Times New Roman" w:hAnsi="Times New Roman"/>
          <w:color w:val="000000" w:themeColor="text1"/>
          <w:sz w:val="24"/>
          <w:szCs w:val="24"/>
        </w:rPr>
        <w:t>T</w:t>
      </w:r>
      <w:r w:rsidRPr="006A3632">
        <w:rPr>
          <w:rFonts w:ascii="Times New Roman" w:hAnsi="Times New Roman"/>
          <w:color w:val="000000" w:themeColor="text1"/>
          <w:sz w:val="24"/>
          <w:szCs w:val="24"/>
        </w:rPr>
        <w:t xml:space="preserve">his type of analysis consists of applying regression models to the hourly load data for each individual customer.  The estimated coefficients vary for each customer, as does the amount of data used for each customer.  The fact that each customer has its own parameters automatically accounts for variables that are constant for each customer, such as industry and geographic location. </w:t>
      </w:r>
    </w:p>
    <w:p w:rsidR="006A3632" w:rsidRDefault="006A3632" w:rsidP="006A3632">
      <w:pPr>
        <w:pStyle w:val="BodyParagraph"/>
        <w:spacing w:after="0" w:line="276" w:lineRule="auto"/>
        <w:ind w:firstLine="360"/>
        <w:rPr>
          <w:rFonts w:ascii="Times New Roman" w:hAnsi="Times New Roman"/>
          <w:color w:val="000000" w:themeColor="text1"/>
          <w:sz w:val="24"/>
          <w:szCs w:val="24"/>
        </w:rPr>
      </w:pPr>
    </w:p>
    <w:p w:rsidR="006A3632" w:rsidRPr="006A3632" w:rsidRDefault="006A3632" w:rsidP="006A3632">
      <w:pPr>
        <w:pStyle w:val="BodyParagraph"/>
        <w:spacing w:line="276" w:lineRule="auto"/>
        <w:rPr>
          <w:rFonts w:ascii="Times New Roman" w:hAnsi="Times New Roman"/>
          <w:color w:val="000000" w:themeColor="text1"/>
          <w:sz w:val="24"/>
          <w:szCs w:val="24"/>
        </w:rPr>
      </w:pPr>
      <w:r w:rsidRPr="006A3632">
        <w:rPr>
          <w:rFonts w:ascii="Times New Roman" w:hAnsi="Times New Roman"/>
          <w:color w:val="000000" w:themeColor="text1"/>
          <w:sz w:val="24"/>
          <w:szCs w:val="24"/>
        </w:rPr>
        <w:t>Customer specific regressions were only used for customers wh</w:t>
      </w:r>
      <w:r>
        <w:rPr>
          <w:rFonts w:ascii="Times New Roman" w:hAnsi="Times New Roman"/>
          <w:color w:val="000000" w:themeColor="text1"/>
          <w:sz w:val="24"/>
          <w:szCs w:val="24"/>
        </w:rPr>
        <w:t xml:space="preserve">o </w:t>
      </w:r>
      <w:r w:rsidRPr="006A3632">
        <w:rPr>
          <w:rFonts w:ascii="Times New Roman" w:hAnsi="Times New Roman"/>
          <w:color w:val="000000" w:themeColor="text1"/>
          <w:sz w:val="24"/>
          <w:szCs w:val="24"/>
        </w:rPr>
        <w:t>an adequate control group match could not be found.</w:t>
      </w:r>
    </w:p>
    <w:p w:rsidR="006A3632" w:rsidRPr="006A3632" w:rsidRDefault="006A3632" w:rsidP="006A3632">
      <w:pPr>
        <w:pStyle w:val="BodyBeforeBullet"/>
        <w:spacing w:line="276" w:lineRule="auto"/>
        <w:rPr>
          <w:rFonts w:ascii="Times New Roman" w:hAnsi="Times New Roman"/>
          <w:color w:val="000000" w:themeColor="text1"/>
          <w:sz w:val="24"/>
          <w:szCs w:val="24"/>
        </w:rPr>
      </w:pPr>
      <w:r w:rsidRPr="006A3632">
        <w:rPr>
          <w:rFonts w:ascii="Times New Roman" w:hAnsi="Times New Roman"/>
          <w:color w:val="000000" w:themeColor="text1"/>
          <w:sz w:val="24"/>
          <w:szCs w:val="24"/>
        </w:rPr>
        <w:t xml:space="preserve">For each customer, we: </w:t>
      </w:r>
    </w:p>
    <w:p w:rsidR="006A3632" w:rsidRPr="006A3632" w:rsidRDefault="006A3632" w:rsidP="006A3632">
      <w:pPr>
        <w:pStyle w:val="Bullets"/>
        <w:spacing w:line="276" w:lineRule="auto"/>
        <w:rPr>
          <w:rFonts w:ascii="Times New Roman" w:hAnsi="Times New Roman" w:cs="Times New Roman"/>
          <w:color w:val="000000" w:themeColor="text1"/>
          <w:sz w:val="24"/>
          <w:szCs w:val="24"/>
        </w:rPr>
      </w:pPr>
      <w:r w:rsidRPr="006A3632">
        <w:rPr>
          <w:rFonts w:ascii="Times New Roman" w:hAnsi="Times New Roman" w:cs="Times New Roman"/>
          <w:color w:val="000000" w:themeColor="text1"/>
          <w:sz w:val="24"/>
          <w:szCs w:val="24"/>
        </w:rPr>
        <w:t>Analyzed hot weekdays from 2014.  To the extent possible, the regressions for each customer excluded cooler days, which typically do not provide much information about behavior under event conditions.  For example, if the lowest event day maximum temperature a customer experienced was 100°F, only days that exceed 85% of 100°F (or 85°F) were included.</w:t>
      </w:r>
    </w:p>
    <w:p w:rsidR="006A3632" w:rsidRPr="006A3632" w:rsidRDefault="006A3632" w:rsidP="006A3632">
      <w:pPr>
        <w:pStyle w:val="Bullets"/>
        <w:spacing w:line="276" w:lineRule="auto"/>
        <w:rPr>
          <w:rFonts w:ascii="Times New Roman" w:hAnsi="Times New Roman" w:cs="Times New Roman"/>
          <w:color w:val="000000" w:themeColor="text1"/>
          <w:sz w:val="24"/>
          <w:szCs w:val="24"/>
        </w:rPr>
      </w:pPr>
      <w:r w:rsidRPr="006A3632">
        <w:rPr>
          <w:rFonts w:ascii="Times New Roman" w:hAnsi="Times New Roman" w:cs="Times New Roman"/>
          <w:color w:val="000000" w:themeColor="text1"/>
          <w:sz w:val="24"/>
          <w:szCs w:val="24"/>
        </w:rPr>
        <w:t>Estimated 10 different regression models and used them to predict out-of-sample for event-like days where, in fact, CPP events were not called.  This allowed us to identify the regression model that produced the most accurate results for each customer.  The 10 models vary in how weather variables were defined, if at all, and in the inclusion of monthly or seasonal variables.</w:t>
      </w:r>
    </w:p>
    <w:p w:rsidR="006A3632" w:rsidRPr="006A3632" w:rsidRDefault="006A3632" w:rsidP="006A3632">
      <w:pPr>
        <w:pStyle w:val="BulletLast"/>
        <w:spacing w:after="240" w:line="276" w:lineRule="auto"/>
        <w:rPr>
          <w:rFonts w:ascii="Times New Roman" w:hAnsi="Times New Roman" w:cs="Times New Roman"/>
          <w:color w:val="000000" w:themeColor="text1"/>
          <w:sz w:val="24"/>
          <w:szCs w:val="24"/>
        </w:rPr>
      </w:pPr>
      <w:r w:rsidRPr="006A3632">
        <w:rPr>
          <w:rFonts w:ascii="Times New Roman" w:hAnsi="Times New Roman" w:cs="Times New Roman"/>
          <w:color w:val="000000" w:themeColor="text1"/>
          <w:sz w:val="24"/>
          <w:szCs w:val="24"/>
        </w:rPr>
        <w:t xml:space="preserve">Selected the most accurate model specification and used it to estimate demand reductions during actual event days.  </w:t>
      </w:r>
    </w:p>
    <w:p w:rsidR="000327F0" w:rsidRPr="00C21646" w:rsidRDefault="000327F0" w:rsidP="00573A4D">
      <w:pPr>
        <w:pStyle w:val="Heading2"/>
        <w:spacing w:after="0" w:line="276" w:lineRule="auto"/>
        <w:rPr>
          <w:rFonts w:ascii="Times New Roman" w:hAnsi="Times New Roman" w:cs="Times New Roman"/>
          <w:color w:val="000000" w:themeColor="text1"/>
          <w:szCs w:val="24"/>
        </w:rPr>
      </w:pPr>
      <w:r w:rsidRPr="00C21646">
        <w:rPr>
          <w:rFonts w:ascii="Times New Roman" w:hAnsi="Times New Roman" w:cs="Times New Roman"/>
          <w:color w:val="000000" w:themeColor="text1"/>
        </w:rPr>
        <w:tab/>
        <w:t xml:space="preserve"> </w:t>
      </w:r>
      <w:bookmarkStart w:id="85" w:name="_Toc415748970"/>
      <w:r w:rsidRPr="00C21646">
        <w:rPr>
          <w:rFonts w:ascii="Times New Roman" w:hAnsi="Times New Roman" w:cs="Times New Roman"/>
          <w:color w:val="000000" w:themeColor="text1"/>
          <w:szCs w:val="24"/>
        </w:rPr>
        <w:t>CPP-D Ex-Post Load Impacts Estimates</w:t>
      </w:r>
      <w:bookmarkEnd w:id="85"/>
    </w:p>
    <w:p w:rsidR="00573A4D" w:rsidRPr="004B2046" w:rsidRDefault="00573A4D" w:rsidP="00573A4D">
      <w:pPr>
        <w:pStyle w:val="BodyParagraph"/>
        <w:spacing w:after="0" w:line="276" w:lineRule="auto"/>
        <w:rPr>
          <w:rFonts w:ascii="Times New Roman" w:hAnsi="Times New Roman"/>
          <w:color w:val="000000" w:themeColor="text1"/>
          <w:sz w:val="24"/>
          <w:szCs w:val="24"/>
        </w:rPr>
      </w:pPr>
    </w:p>
    <w:p w:rsidR="00772C35" w:rsidRPr="00772C35" w:rsidRDefault="00772C35" w:rsidP="00772C35">
      <w:pPr>
        <w:pStyle w:val="BodyParagraph"/>
        <w:spacing w:after="0" w:line="276" w:lineRule="auto"/>
        <w:ind w:firstLine="360"/>
        <w:rPr>
          <w:rFonts w:ascii="Times New Roman" w:hAnsi="Times New Roman"/>
          <w:color w:val="000000" w:themeColor="text1"/>
          <w:sz w:val="24"/>
          <w:szCs w:val="24"/>
        </w:rPr>
      </w:pPr>
      <w:r w:rsidRPr="00772C35">
        <w:rPr>
          <w:rFonts w:ascii="Times New Roman" w:hAnsi="Times New Roman"/>
          <w:color w:val="000000" w:themeColor="text1"/>
          <w:sz w:val="24"/>
          <w:szCs w:val="24"/>
        </w:rPr>
        <w:t xml:space="preserve">This section summarizes the ex post load impact evaluation for customers on SDG&amp;E’s CPP tariff.  SDG&amp;E called six CPP events in 2014.  The first event occurred on February 7 and the last was held on September 17.  On average, there were 1,142 accounts enrolled on SDG&amp;E’s tariff in 2014.  There was some minor variation in enrollment during the course of the summer largely due to typical customer churn, with the highest enrollment at 1,143 participants and the lowest enrollment at 1,141.  The average 2014 CPP customer enrollment of 1,142 represents a 7.3% increase from 2013 enrollment, which was 1,064 customers.  </w:t>
      </w:r>
    </w:p>
    <w:p w:rsidR="00772C35" w:rsidRPr="004B2046" w:rsidRDefault="00772C35" w:rsidP="00573A4D">
      <w:pPr>
        <w:pStyle w:val="BodyParagraph"/>
        <w:spacing w:after="0" w:line="276" w:lineRule="auto"/>
        <w:ind w:firstLine="360"/>
        <w:rPr>
          <w:rFonts w:ascii="Times New Roman" w:hAnsi="Times New Roman"/>
          <w:color w:val="000000" w:themeColor="text1"/>
          <w:sz w:val="24"/>
          <w:szCs w:val="24"/>
        </w:rPr>
      </w:pPr>
    </w:p>
    <w:p w:rsidR="00573A4D" w:rsidRPr="004B2046" w:rsidRDefault="00772C35" w:rsidP="00987244">
      <w:pPr>
        <w:pStyle w:val="BodyParagraph"/>
        <w:ind w:firstLine="360"/>
        <w:rPr>
          <w:rFonts w:ascii="Times New Roman" w:hAnsi="Times New Roman"/>
          <w:color w:val="000000" w:themeColor="text1"/>
          <w:sz w:val="24"/>
          <w:szCs w:val="24"/>
        </w:rPr>
      </w:pPr>
      <w:r w:rsidRPr="00772C35">
        <w:rPr>
          <w:rFonts w:ascii="Times New Roman" w:hAnsi="Times New Roman"/>
          <w:color w:val="000000" w:themeColor="text1"/>
          <w:sz w:val="24"/>
          <w:szCs w:val="24"/>
        </w:rPr>
        <w:t xml:space="preserve">Table 3-1 shows the ex post load impact estimates for each event day and for the average event in 2014.  The participant-weighted average temperature during the event period ranged from a low of 60.4°F to a high of 93.8°F.  Percent impacts ranged from 7.1% to 11.7%, average impacts ranged from 12.8 kW to 29.5 kW and aggregate impacts ranged from 14.6 MW to 33.7 </w:t>
      </w:r>
      <w:r w:rsidRPr="00772C35">
        <w:rPr>
          <w:rFonts w:ascii="Times New Roman" w:hAnsi="Times New Roman"/>
          <w:color w:val="000000" w:themeColor="text1"/>
          <w:sz w:val="24"/>
          <w:szCs w:val="24"/>
        </w:rPr>
        <w:lastRenderedPageBreak/>
        <w:t>MW.  On the average event day, the average participant reduced peak period load by 8.8%, or 22.3 kW.  In aggregate, SDG&amp;E’s CPP customers reduced load by 25.4 MW on average across the four events in 2014.</w:t>
      </w:r>
    </w:p>
    <w:p w:rsidR="00F151BB" w:rsidRPr="00F151BB" w:rsidRDefault="00573A4D" w:rsidP="00F151BB">
      <w:pPr>
        <w:pStyle w:val="TableFigureCaption"/>
        <w:rPr>
          <w:rFonts w:ascii="Times New Roman" w:hAnsi="Times New Roman"/>
          <w:color w:val="000000" w:themeColor="text1"/>
          <w:sz w:val="20"/>
          <w:szCs w:val="20"/>
        </w:rPr>
      </w:pPr>
      <w:r w:rsidRPr="004B2046">
        <w:rPr>
          <w:rFonts w:ascii="Times New Roman" w:hAnsi="Times New Roman"/>
          <w:color w:val="000000" w:themeColor="text1"/>
          <w:sz w:val="20"/>
          <w:szCs w:val="20"/>
        </w:rPr>
        <w:t xml:space="preserve">Table 3-1: </w:t>
      </w:r>
      <w:r w:rsidR="00F151BB" w:rsidRPr="00F151BB">
        <w:rPr>
          <w:rFonts w:ascii="Times New Roman" w:hAnsi="Times New Roman"/>
          <w:color w:val="000000" w:themeColor="text1"/>
          <w:sz w:val="20"/>
          <w:szCs w:val="20"/>
        </w:rPr>
        <w:t>Default CPP Ex</w:t>
      </w:r>
      <w:r w:rsidR="00E707CC">
        <w:rPr>
          <w:rFonts w:ascii="Times New Roman" w:hAnsi="Times New Roman"/>
          <w:color w:val="000000" w:themeColor="text1"/>
          <w:sz w:val="20"/>
          <w:szCs w:val="20"/>
        </w:rPr>
        <w:t>-</w:t>
      </w:r>
      <w:r w:rsidR="00F151BB" w:rsidRPr="00F151BB">
        <w:rPr>
          <w:rFonts w:ascii="Times New Roman" w:hAnsi="Times New Roman"/>
          <w:color w:val="000000" w:themeColor="text1"/>
          <w:sz w:val="20"/>
          <w:szCs w:val="20"/>
        </w:rPr>
        <w:t>Post Load Impact Estimates by Event Day</w:t>
      </w:r>
    </w:p>
    <w:p w:rsidR="00F151BB" w:rsidRDefault="00F151BB" w:rsidP="00F151BB">
      <w:pPr>
        <w:pStyle w:val="TableFigureCaption"/>
        <w:rPr>
          <w:rFonts w:ascii="Times New Roman" w:hAnsi="Times New Roman"/>
          <w:color w:val="000000" w:themeColor="text1"/>
          <w:sz w:val="20"/>
          <w:szCs w:val="20"/>
        </w:rPr>
      </w:pPr>
      <w:r w:rsidRPr="00F151BB">
        <w:rPr>
          <w:rFonts w:ascii="Times New Roman" w:hAnsi="Times New Roman"/>
          <w:color w:val="000000" w:themeColor="text1"/>
          <w:sz w:val="20"/>
          <w:szCs w:val="20"/>
        </w:rPr>
        <w:t>SDG&amp;E 2014 CPP Events (11 AM to 6 PM)</w:t>
      </w:r>
    </w:p>
    <w:tbl>
      <w:tblPr>
        <w:tblW w:w="11301" w:type="dxa"/>
        <w:jc w:val="center"/>
        <w:tblInd w:w="93" w:type="dxa"/>
        <w:tblLook w:val="04A0" w:firstRow="1" w:lastRow="0" w:firstColumn="1" w:lastColumn="0" w:noHBand="0" w:noVBand="1"/>
      </w:tblPr>
      <w:tblGrid>
        <w:gridCol w:w="1420"/>
        <w:gridCol w:w="960"/>
        <w:gridCol w:w="1137"/>
        <w:gridCol w:w="1213"/>
        <w:gridCol w:w="1150"/>
        <w:gridCol w:w="960"/>
        <w:gridCol w:w="1273"/>
        <w:gridCol w:w="1197"/>
        <w:gridCol w:w="960"/>
        <w:gridCol w:w="1184"/>
      </w:tblGrid>
      <w:tr w:rsidR="00F151BB" w:rsidRPr="0061265C" w:rsidTr="00F151BB">
        <w:trPr>
          <w:trHeight w:val="1020"/>
          <w:jc w:val="center"/>
        </w:trPr>
        <w:tc>
          <w:tcPr>
            <w:tcW w:w="1420" w:type="dxa"/>
            <w:vMerge w:val="restart"/>
            <w:tcBorders>
              <w:top w:val="single" w:sz="4" w:space="0" w:color="auto"/>
              <w:left w:val="single" w:sz="4" w:space="0" w:color="auto"/>
              <w:bottom w:val="single" w:sz="4" w:space="0" w:color="auto"/>
              <w:right w:val="single" w:sz="4" w:space="0" w:color="FFFFFF" w:themeColor="background1"/>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Event Date</w:t>
            </w:r>
          </w:p>
        </w:tc>
        <w:tc>
          <w:tcPr>
            <w:tcW w:w="960"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Day of Week</w:t>
            </w:r>
          </w:p>
        </w:tc>
        <w:tc>
          <w:tcPr>
            <w:tcW w:w="1128" w:type="dxa"/>
            <w:vMerge w:val="restart"/>
            <w:tcBorders>
              <w:top w:val="single" w:sz="4" w:space="0" w:color="auto"/>
              <w:left w:val="single" w:sz="4" w:space="0" w:color="FFFFFF" w:themeColor="background1"/>
              <w:bottom w:val="single" w:sz="4" w:space="0" w:color="auto"/>
              <w:right w:val="single" w:sz="4" w:space="0" w:color="FFFFFF" w:themeColor="background1"/>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Accounts</w:t>
            </w:r>
          </w:p>
        </w:tc>
        <w:tc>
          <w:tcPr>
            <w:tcW w:w="118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Avg. Customer Reference Load</w:t>
            </w:r>
          </w:p>
        </w:tc>
        <w:tc>
          <w:tcPr>
            <w:tcW w:w="115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Avg. Customer Load w/ DR</w:t>
            </w:r>
          </w:p>
        </w:tc>
        <w:tc>
          <w:tcPr>
            <w:tcW w:w="96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Impact</w:t>
            </w:r>
          </w:p>
        </w:tc>
        <w:tc>
          <w:tcPr>
            <w:tcW w:w="120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Aggregate Impact</w:t>
            </w:r>
          </w:p>
        </w:tc>
        <w:tc>
          <w:tcPr>
            <w:tcW w:w="119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 Reduction</w:t>
            </w:r>
          </w:p>
        </w:tc>
        <w:tc>
          <w:tcPr>
            <w:tcW w:w="96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Avg. Temp.</w:t>
            </w:r>
          </w:p>
        </w:tc>
        <w:tc>
          <w:tcPr>
            <w:tcW w:w="1139"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70CD"/>
            <w:vAlign w:val="center"/>
            <w:hideMark/>
          </w:tcPr>
          <w:p w:rsidR="00F151BB" w:rsidRPr="00F151BB" w:rsidRDefault="00F151BB" w:rsidP="00324486">
            <w:pPr>
              <w:jc w:val="center"/>
              <w:rPr>
                <w:rFonts w:ascii="Century Gothic" w:hAnsi="Century Gothic" w:cs="Arial"/>
                <w:b/>
                <w:bCs/>
                <w:color w:val="FFFFFF"/>
                <w:sz w:val="20"/>
                <w:szCs w:val="20"/>
              </w:rPr>
            </w:pPr>
            <w:r w:rsidRPr="00F151BB">
              <w:rPr>
                <w:rFonts w:ascii="Century Gothic" w:hAnsi="Century Gothic" w:cs="Arial"/>
                <w:b/>
                <w:bCs/>
                <w:color w:val="FFFFFF"/>
                <w:sz w:val="20"/>
                <w:szCs w:val="20"/>
              </w:rPr>
              <w:t>Daily Maximum Temp.</w:t>
            </w:r>
          </w:p>
        </w:tc>
      </w:tr>
      <w:tr w:rsidR="00F151BB" w:rsidRPr="0061265C" w:rsidTr="00F151BB">
        <w:trPr>
          <w:trHeight w:val="300"/>
          <w:jc w:val="center"/>
        </w:trPr>
        <w:tc>
          <w:tcPr>
            <w:tcW w:w="1420" w:type="dxa"/>
            <w:vMerge/>
            <w:tcBorders>
              <w:top w:val="single" w:sz="4" w:space="0" w:color="auto"/>
              <w:left w:val="single" w:sz="4" w:space="0" w:color="auto"/>
              <w:bottom w:val="single" w:sz="4" w:space="0" w:color="auto"/>
              <w:right w:val="single" w:sz="4" w:space="0" w:color="FFFFFF" w:themeColor="background1"/>
            </w:tcBorders>
            <w:shd w:val="clear" w:color="auto" w:fill="0070CD"/>
            <w:vAlign w:val="center"/>
            <w:hideMark/>
          </w:tcPr>
          <w:p w:rsidR="00F151BB" w:rsidRPr="00F151BB" w:rsidRDefault="00F151BB" w:rsidP="00324486">
            <w:pPr>
              <w:rPr>
                <w:rFonts w:ascii="Century Gothic" w:hAnsi="Century Gothic" w:cs="Arial"/>
                <w:b/>
                <w:bCs/>
                <w:color w:val="FFFFFF"/>
                <w:sz w:val="20"/>
                <w:szCs w:val="20"/>
              </w:rPr>
            </w:pPr>
          </w:p>
        </w:tc>
        <w:tc>
          <w:tcPr>
            <w:tcW w:w="960" w:type="dxa"/>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D"/>
            <w:vAlign w:val="center"/>
            <w:hideMark/>
          </w:tcPr>
          <w:p w:rsidR="00F151BB" w:rsidRPr="00F151BB" w:rsidRDefault="00F151BB" w:rsidP="00324486">
            <w:pPr>
              <w:rPr>
                <w:rFonts w:ascii="Century Gothic" w:hAnsi="Century Gothic" w:cs="Arial"/>
                <w:b/>
                <w:bCs/>
                <w:color w:val="FFFFFF"/>
                <w:sz w:val="20"/>
                <w:szCs w:val="20"/>
              </w:rPr>
            </w:pPr>
          </w:p>
        </w:tc>
        <w:tc>
          <w:tcPr>
            <w:tcW w:w="1128" w:type="dxa"/>
            <w:vMerge/>
            <w:tcBorders>
              <w:top w:val="single" w:sz="4" w:space="0" w:color="auto"/>
              <w:left w:val="single" w:sz="4" w:space="0" w:color="FFFFFF" w:themeColor="background1"/>
              <w:bottom w:val="single" w:sz="4" w:space="0" w:color="auto"/>
              <w:right w:val="single" w:sz="4" w:space="0" w:color="FFFFFF" w:themeColor="background1"/>
            </w:tcBorders>
            <w:shd w:val="clear" w:color="auto" w:fill="0070CD"/>
            <w:vAlign w:val="center"/>
            <w:hideMark/>
          </w:tcPr>
          <w:p w:rsidR="00F151BB" w:rsidRPr="00F151BB" w:rsidRDefault="00F151BB" w:rsidP="00324486">
            <w:pPr>
              <w:rPr>
                <w:rFonts w:ascii="Century Gothic" w:hAnsi="Century Gothic" w:cs="Arial"/>
                <w:b/>
                <w:bCs/>
                <w:color w:val="FFFFFF"/>
                <w:sz w:val="20"/>
                <w:szCs w:val="20"/>
              </w:rPr>
            </w:pPr>
          </w:p>
        </w:tc>
        <w:tc>
          <w:tcPr>
            <w:tcW w:w="11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noWrap/>
            <w:vAlign w:val="center"/>
            <w:hideMark/>
          </w:tcPr>
          <w:p w:rsidR="00F151BB" w:rsidRPr="00F151BB" w:rsidRDefault="00F151BB" w:rsidP="00324486">
            <w:pPr>
              <w:jc w:val="center"/>
              <w:rPr>
                <w:rFonts w:ascii="Century Gothic" w:hAnsi="Century Gothic" w:cs="Arial"/>
                <w:b/>
                <w:color w:val="FFFFFF"/>
                <w:sz w:val="20"/>
                <w:szCs w:val="20"/>
              </w:rPr>
            </w:pPr>
            <w:r w:rsidRPr="00F151BB">
              <w:rPr>
                <w:rFonts w:ascii="Century Gothic" w:hAnsi="Century Gothic" w:cs="Arial"/>
                <w:b/>
                <w:color w:val="FFFFFF"/>
                <w:sz w:val="20"/>
                <w:szCs w:val="20"/>
              </w:rPr>
              <w:t>(kW)</w:t>
            </w:r>
          </w:p>
        </w:tc>
        <w:tc>
          <w:tcPr>
            <w:tcW w:w="11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noWrap/>
            <w:vAlign w:val="center"/>
            <w:hideMark/>
          </w:tcPr>
          <w:p w:rsidR="00F151BB" w:rsidRPr="00F151BB" w:rsidRDefault="00F151BB" w:rsidP="00324486">
            <w:pPr>
              <w:jc w:val="center"/>
              <w:rPr>
                <w:rFonts w:ascii="Century Gothic" w:hAnsi="Century Gothic" w:cs="Arial"/>
                <w:b/>
                <w:color w:val="FFFFFF"/>
                <w:sz w:val="20"/>
                <w:szCs w:val="20"/>
              </w:rPr>
            </w:pPr>
            <w:r w:rsidRPr="00F151BB">
              <w:rPr>
                <w:rFonts w:ascii="Century Gothic" w:hAnsi="Century Gothic" w:cs="Arial"/>
                <w:b/>
                <w:color w:val="FFFFFF"/>
                <w:sz w:val="20"/>
                <w:szCs w:val="20"/>
              </w:rPr>
              <w:t>(kW)</w:t>
            </w:r>
          </w:p>
        </w:tc>
        <w:tc>
          <w:tcPr>
            <w:tcW w:w="9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noWrap/>
            <w:vAlign w:val="center"/>
            <w:hideMark/>
          </w:tcPr>
          <w:p w:rsidR="00F151BB" w:rsidRPr="00F151BB" w:rsidRDefault="00F151BB" w:rsidP="00324486">
            <w:pPr>
              <w:jc w:val="center"/>
              <w:rPr>
                <w:rFonts w:ascii="Century Gothic" w:hAnsi="Century Gothic" w:cs="Arial"/>
                <w:b/>
                <w:color w:val="FFFFFF"/>
                <w:sz w:val="20"/>
                <w:szCs w:val="20"/>
              </w:rPr>
            </w:pPr>
            <w:r w:rsidRPr="00F151BB">
              <w:rPr>
                <w:rFonts w:ascii="Century Gothic" w:hAnsi="Century Gothic" w:cs="Arial"/>
                <w:b/>
                <w:color w:val="FFFFFF"/>
                <w:sz w:val="20"/>
                <w:szCs w:val="20"/>
              </w:rPr>
              <w:t>(kW)</w:t>
            </w:r>
          </w:p>
        </w:tc>
        <w:tc>
          <w:tcPr>
            <w:tcW w:w="120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noWrap/>
            <w:vAlign w:val="center"/>
            <w:hideMark/>
          </w:tcPr>
          <w:p w:rsidR="00F151BB" w:rsidRPr="00F151BB" w:rsidRDefault="00F151BB" w:rsidP="00324486">
            <w:pPr>
              <w:jc w:val="center"/>
              <w:rPr>
                <w:rFonts w:ascii="Century Gothic" w:hAnsi="Century Gothic" w:cs="Arial"/>
                <w:b/>
                <w:color w:val="FFFFFF"/>
                <w:sz w:val="20"/>
                <w:szCs w:val="20"/>
              </w:rPr>
            </w:pPr>
            <w:r w:rsidRPr="00F151BB">
              <w:rPr>
                <w:rFonts w:ascii="Century Gothic" w:hAnsi="Century Gothic" w:cs="Arial"/>
                <w:b/>
                <w:color w:val="FFFFFF"/>
                <w:sz w:val="20"/>
                <w:szCs w:val="20"/>
              </w:rPr>
              <w:t>(MW)</w:t>
            </w:r>
          </w:p>
        </w:tc>
        <w:tc>
          <w:tcPr>
            <w:tcW w:w="119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noWrap/>
            <w:vAlign w:val="center"/>
            <w:hideMark/>
          </w:tcPr>
          <w:p w:rsidR="00F151BB" w:rsidRPr="00F151BB" w:rsidRDefault="00F151BB" w:rsidP="00324486">
            <w:pPr>
              <w:jc w:val="center"/>
              <w:rPr>
                <w:rFonts w:ascii="Century Gothic" w:hAnsi="Century Gothic" w:cs="Arial"/>
                <w:b/>
                <w:color w:val="FFFFFF"/>
                <w:sz w:val="20"/>
                <w:szCs w:val="20"/>
              </w:rPr>
            </w:pPr>
            <w:r w:rsidRPr="00F151BB">
              <w:rPr>
                <w:rFonts w:ascii="Century Gothic" w:hAnsi="Century Gothic" w:cs="Arial"/>
                <w:b/>
                <w:color w:val="FFFFFF"/>
                <w:sz w:val="20"/>
                <w:szCs w:val="20"/>
              </w:rPr>
              <w:t>%</w:t>
            </w:r>
          </w:p>
        </w:tc>
        <w:tc>
          <w:tcPr>
            <w:tcW w:w="9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noWrap/>
            <w:vAlign w:val="center"/>
            <w:hideMark/>
          </w:tcPr>
          <w:p w:rsidR="00F151BB" w:rsidRPr="00F151BB" w:rsidRDefault="00F151BB" w:rsidP="00324486">
            <w:pPr>
              <w:jc w:val="center"/>
              <w:rPr>
                <w:rFonts w:ascii="Century Gothic" w:hAnsi="Century Gothic" w:cs="Arial"/>
                <w:b/>
                <w:color w:val="FFFFFF"/>
                <w:sz w:val="20"/>
                <w:szCs w:val="20"/>
              </w:rPr>
            </w:pPr>
            <w:r w:rsidRPr="00F151BB">
              <w:rPr>
                <w:rFonts w:ascii="Century Gothic" w:hAnsi="Century Gothic" w:cs="Arial"/>
                <w:b/>
                <w:color w:val="FFFFFF"/>
                <w:sz w:val="20"/>
                <w:szCs w:val="20"/>
              </w:rPr>
              <w:t>°F</w:t>
            </w:r>
          </w:p>
        </w:tc>
        <w:tc>
          <w:tcPr>
            <w:tcW w:w="1139"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70CD"/>
            <w:noWrap/>
            <w:vAlign w:val="center"/>
            <w:hideMark/>
          </w:tcPr>
          <w:p w:rsidR="00F151BB" w:rsidRPr="00F151BB" w:rsidRDefault="00F151BB" w:rsidP="00324486">
            <w:pPr>
              <w:jc w:val="center"/>
              <w:rPr>
                <w:rFonts w:ascii="Century Gothic" w:hAnsi="Century Gothic" w:cs="Arial"/>
                <w:b/>
                <w:color w:val="FFFFFF"/>
                <w:sz w:val="20"/>
                <w:szCs w:val="20"/>
              </w:rPr>
            </w:pPr>
            <w:r w:rsidRPr="00F151BB">
              <w:rPr>
                <w:rFonts w:ascii="Century Gothic" w:hAnsi="Century Gothic" w:cs="Arial"/>
                <w:b/>
                <w:color w:val="FFFFFF"/>
                <w:sz w:val="20"/>
                <w:szCs w:val="20"/>
              </w:rPr>
              <w:t>°F</w:t>
            </w:r>
          </w:p>
        </w:tc>
      </w:tr>
      <w:tr w:rsidR="00F151BB" w:rsidRPr="00A15FA2" w:rsidTr="00F151BB">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2/7/2014</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Fri</w:t>
            </w:r>
          </w:p>
        </w:tc>
        <w:tc>
          <w:tcPr>
            <w:tcW w:w="1128"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1,141</w:t>
            </w:r>
          </w:p>
        </w:tc>
        <w:tc>
          <w:tcPr>
            <w:tcW w:w="118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181.8</w:t>
            </w:r>
          </w:p>
        </w:tc>
        <w:tc>
          <w:tcPr>
            <w:tcW w:w="115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169.0</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12.8</w:t>
            </w:r>
          </w:p>
        </w:tc>
        <w:tc>
          <w:tcPr>
            <w:tcW w:w="1206"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14.6</w:t>
            </w:r>
          </w:p>
        </w:tc>
        <w:tc>
          <w:tcPr>
            <w:tcW w:w="119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7.1%</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60.4</w:t>
            </w:r>
          </w:p>
        </w:tc>
        <w:tc>
          <w:tcPr>
            <w:tcW w:w="1139"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64.0</w:t>
            </w:r>
          </w:p>
        </w:tc>
      </w:tr>
      <w:tr w:rsidR="00F151BB" w:rsidRPr="00A15FA2" w:rsidTr="00F151BB">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5/15/2014</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Thu</w:t>
            </w:r>
          </w:p>
        </w:tc>
        <w:tc>
          <w:tcPr>
            <w:tcW w:w="1128"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1,142</w:t>
            </w:r>
          </w:p>
        </w:tc>
        <w:tc>
          <w:tcPr>
            <w:tcW w:w="118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242.8</w:t>
            </w:r>
          </w:p>
        </w:tc>
        <w:tc>
          <w:tcPr>
            <w:tcW w:w="115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221.5</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21.3</w:t>
            </w:r>
          </w:p>
        </w:tc>
        <w:tc>
          <w:tcPr>
            <w:tcW w:w="1206"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24.3</w:t>
            </w:r>
          </w:p>
        </w:tc>
        <w:tc>
          <w:tcPr>
            <w:tcW w:w="119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8.8%</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93.8</w:t>
            </w:r>
          </w:p>
        </w:tc>
        <w:tc>
          <w:tcPr>
            <w:tcW w:w="1139"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101.5</w:t>
            </w:r>
          </w:p>
        </w:tc>
      </w:tr>
      <w:tr w:rsidR="00F151BB" w:rsidRPr="00A15FA2" w:rsidTr="00F151BB">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7/31/2014</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Thu</w:t>
            </w:r>
          </w:p>
        </w:tc>
        <w:tc>
          <w:tcPr>
            <w:tcW w:w="1128"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1,143</w:t>
            </w:r>
          </w:p>
        </w:tc>
        <w:tc>
          <w:tcPr>
            <w:tcW w:w="118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252.6</w:t>
            </w:r>
          </w:p>
        </w:tc>
        <w:tc>
          <w:tcPr>
            <w:tcW w:w="115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223.1</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29.5</w:t>
            </w:r>
          </w:p>
        </w:tc>
        <w:tc>
          <w:tcPr>
            <w:tcW w:w="1206"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33.7</w:t>
            </w:r>
          </w:p>
        </w:tc>
        <w:tc>
          <w:tcPr>
            <w:tcW w:w="119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11.7%</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79.9</w:t>
            </w:r>
          </w:p>
        </w:tc>
        <w:tc>
          <w:tcPr>
            <w:tcW w:w="1139"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88.8</w:t>
            </w:r>
          </w:p>
        </w:tc>
      </w:tr>
      <w:tr w:rsidR="00F151BB" w:rsidRPr="00A15FA2" w:rsidTr="00F151BB">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9/15/2014</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Mon</w:t>
            </w:r>
          </w:p>
        </w:tc>
        <w:tc>
          <w:tcPr>
            <w:tcW w:w="1128"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1,143</w:t>
            </w:r>
          </w:p>
        </w:tc>
        <w:tc>
          <w:tcPr>
            <w:tcW w:w="118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282.1</w:t>
            </w:r>
          </w:p>
        </w:tc>
        <w:tc>
          <w:tcPr>
            <w:tcW w:w="115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259.0</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23.0</w:t>
            </w:r>
          </w:p>
        </w:tc>
        <w:tc>
          <w:tcPr>
            <w:tcW w:w="1206"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26.3</w:t>
            </w:r>
          </w:p>
        </w:tc>
        <w:tc>
          <w:tcPr>
            <w:tcW w:w="119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8.2%</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87.2</w:t>
            </w:r>
          </w:p>
        </w:tc>
        <w:tc>
          <w:tcPr>
            <w:tcW w:w="1139"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97.3</w:t>
            </w:r>
          </w:p>
        </w:tc>
      </w:tr>
      <w:tr w:rsidR="00F151BB" w:rsidRPr="00A15FA2" w:rsidTr="00F151BB">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9/16/2014</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Tue</w:t>
            </w:r>
          </w:p>
        </w:tc>
        <w:tc>
          <w:tcPr>
            <w:tcW w:w="1128"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1,142</w:t>
            </w:r>
          </w:p>
        </w:tc>
        <w:tc>
          <w:tcPr>
            <w:tcW w:w="118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285.8</w:t>
            </w:r>
          </w:p>
        </w:tc>
        <w:tc>
          <w:tcPr>
            <w:tcW w:w="115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263.5</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22.4</w:t>
            </w:r>
          </w:p>
        </w:tc>
        <w:tc>
          <w:tcPr>
            <w:tcW w:w="1206"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25.5</w:t>
            </w:r>
          </w:p>
        </w:tc>
        <w:tc>
          <w:tcPr>
            <w:tcW w:w="119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7.8%</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91.3</w:t>
            </w:r>
          </w:p>
        </w:tc>
        <w:tc>
          <w:tcPr>
            <w:tcW w:w="1139"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101.6</w:t>
            </w:r>
          </w:p>
        </w:tc>
      </w:tr>
      <w:tr w:rsidR="00F151BB" w:rsidRPr="00A15FA2" w:rsidTr="00F151BB">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9/17/2014</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Wed</w:t>
            </w:r>
          </w:p>
        </w:tc>
        <w:tc>
          <w:tcPr>
            <w:tcW w:w="1128"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1,141</w:t>
            </w:r>
          </w:p>
        </w:tc>
        <w:tc>
          <w:tcPr>
            <w:tcW w:w="118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281.4</w:t>
            </w:r>
          </w:p>
        </w:tc>
        <w:tc>
          <w:tcPr>
            <w:tcW w:w="115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256.8</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24.6</w:t>
            </w:r>
          </w:p>
        </w:tc>
        <w:tc>
          <w:tcPr>
            <w:tcW w:w="1206"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28.1</w:t>
            </w:r>
          </w:p>
        </w:tc>
        <w:tc>
          <w:tcPr>
            <w:tcW w:w="119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8.7%</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83.7</w:t>
            </w:r>
          </w:p>
        </w:tc>
        <w:tc>
          <w:tcPr>
            <w:tcW w:w="1139"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sz w:val="20"/>
                <w:szCs w:val="20"/>
              </w:rPr>
            </w:pPr>
            <w:r w:rsidRPr="00F151BB">
              <w:rPr>
                <w:rFonts w:ascii="Century Gothic" w:hAnsi="Century Gothic" w:cs="Arial"/>
                <w:sz w:val="20"/>
                <w:szCs w:val="20"/>
              </w:rPr>
              <w:t>96.3</w:t>
            </w:r>
          </w:p>
        </w:tc>
      </w:tr>
      <w:tr w:rsidR="00F151BB" w:rsidRPr="00A15FA2" w:rsidTr="00F151BB">
        <w:trPr>
          <w:trHeight w:val="300"/>
          <w:jc w:val="center"/>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51BB" w:rsidRPr="00F151BB" w:rsidRDefault="00F151BB" w:rsidP="00324486">
            <w:pPr>
              <w:jc w:val="center"/>
              <w:rPr>
                <w:rFonts w:ascii="Century Gothic" w:hAnsi="Century Gothic" w:cs="Arial"/>
                <w:b/>
                <w:bCs/>
                <w:sz w:val="20"/>
                <w:szCs w:val="20"/>
              </w:rPr>
            </w:pPr>
            <w:r w:rsidRPr="00F151BB">
              <w:rPr>
                <w:rFonts w:ascii="Century Gothic" w:hAnsi="Century Gothic" w:cs="Arial"/>
                <w:b/>
                <w:bCs/>
                <w:sz w:val="20"/>
                <w:szCs w:val="20"/>
              </w:rPr>
              <w:t>Avg. Event</w:t>
            </w:r>
          </w:p>
        </w:tc>
        <w:tc>
          <w:tcPr>
            <w:tcW w:w="1128"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b/>
                <w:bCs/>
                <w:sz w:val="20"/>
                <w:szCs w:val="20"/>
              </w:rPr>
            </w:pPr>
            <w:r w:rsidRPr="00F151BB">
              <w:rPr>
                <w:rFonts w:ascii="Century Gothic" w:hAnsi="Century Gothic" w:cs="Arial"/>
                <w:b/>
                <w:bCs/>
                <w:sz w:val="20"/>
                <w:szCs w:val="20"/>
              </w:rPr>
              <w:t>1,142</w:t>
            </w:r>
          </w:p>
        </w:tc>
        <w:tc>
          <w:tcPr>
            <w:tcW w:w="118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b/>
                <w:bCs/>
                <w:sz w:val="20"/>
                <w:szCs w:val="20"/>
              </w:rPr>
            </w:pPr>
            <w:r w:rsidRPr="00F151BB">
              <w:rPr>
                <w:rFonts w:ascii="Century Gothic" w:hAnsi="Century Gothic" w:cs="Arial"/>
                <w:b/>
                <w:bCs/>
                <w:sz w:val="20"/>
                <w:szCs w:val="20"/>
              </w:rPr>
              <w:t>254.4</w:t>
            </w:r>
          </w:p>
        </w:tc>
        <w:tc>
          <w:tcPr>
            <w:tcW w:w="115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b/>
                <w:bCs/>
                <w:sz w:val="20"/>
                <w:szCs w:val="20"/>
              </w:rPr>
            </w:pPr>
            <w:r w:rsidRPr="00F151BB">
              <w:rPr>
                <w:rFonts w:ascii="Century Gothic" w:hAnsi="Century Gothic" w:cs="Arial"/>
                <w:b/>
                <w:bCs/>
                <w:sz w:val="20"/>
                <w:szCs w:val="20"/>
              </w:rPr>
              <w:t>232.2</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b/>
                <w:bCs/>
                <w:sz w:val="20"/>
                <w:szCs w:val="20"/>
              </w:rPr>
            </w:pPr>
            <w:r w:rsidRPr="00F151BB">
              <w:rPr>
                <w:rFonts w:ascii="Century Gothic" w:hAnsi="Century Gothic" w:cs="Arial"/>
                <w:b/>
                <w:bCs/>
                <w:sz w:val="20"/>
                <w:szCs w:val="20"/>
              </w:rPr>
              <w:t>22.3</w:t>
            </w:r>
          </w:p>
        </w:tc>
        <w:tc>
          <w:tcPr>
            <w:tcW w:w="1206"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b/>
                <w:bCs/>
                <w:sz w:val="20"/>
                <w:szCs w:val="20"/>
              </w:rPr>
            </w:pPr>
            <w:r w:rsidRPr="00F151BB">
              <w:rPr>
                <w:rFonts w:ascii="Century Gothic" w:hAnsi="Century Gothic" w:cs="Arial"/>
                <w:b/>
                <w:bCs/>
                <w:sz w:val="20"/>
                <w:szCs w:val="20"/>
              </w:rPr>
              <w:t>25.4</w:t>
            </w:r>
          </w:p>
        </w:tc>
        <w:tc>
          <w:tcPr>
            <w:tcW w:w="1194"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b/>
                <w:bCs/>
                <w:sz w:val="20"/>
                <w:szCs w:val="20"/>
              </w:rPr>
            </w:pPr>
            <w:r w:rsidRPr="00F151BB">
              <w:rPr>
                <w:rFonts w:ascii="Century Gothic" w:hAnsi="Century Gothic" w:cs="Arial"/>
                <w:b/>
                <w:bCs/>
                <w:sz w:val="20"/>
                <w:szCs w:val="20"/>
              </w:rPr>
              <w:t>8.8%</w:t>
            </w:r>
          </w:p>
        </w:tc>
        <w:tc>
          <w:tcPr>
            <w:tcW w:w="960"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b/>
                <w:bCs/>
                <w:sz w:val="20"/>
                <w:szCs w:val="20"/>
              </w:rPr>
            </w:pPr>
            <w:r w:rsidRPr="00F151BB">
              <w:rPr>
                <w:rFonts w:ascii="Century Gothic" w:hAnsi="Century Gothic" w:cs="Arial"/>
                <w:b/>
                <w:bCs/>
                <w:sz w:val="20"/>
                <w:szCs w:val="20"/>
              </w:rPr>
              <w:t>82.7</w:t>
            </w:r>
          </w:p>
        </w:tc>
        <w:tc>
          <w:tcPr>
            <w:tcW w:w="1139" w:type="dxa"/>
            <w:tcBorders>
              <w:top w:val="nil"/>
              <w:left w:val="nil"/>
              <w:bottom w:val="single" w:sz="4" w:space="0" w:color="auto"/>
              <w:right w:val="single" w:sz="4" w:space="0" w:color="auto"/>
            </w:tcBorders>
            <w:shd w:val="clear" w:color="auto" w:fill="auto"/>
            <w:noWrap/>
            <w:vAlign w:val="bottom"/>
            <w:hideMark/>
          </w:tcPr>
          <w:p w:rsidR="00F151BB" w:rsidRPr="00F151BB" w:rsidRDefault="00F151BB" w:rsidP="00324486">
            <w:pPr>
              <w:jc w:val="center"/>
              <w:rPr>
                <w:rFonts w:ascii="Century Gothic" w:hAnsi="Century Gothic" w:cs="Arial"/>
                <w:b/>
                <w:bCs/>
                <w:sz w:val="20"/>
                <w:szCs w:val="20"/>
              </w:rPr>
            </w:pPr>
            <w:r w:rsidRPr="00F151BB">
              <w:rPr>
                <w:rFonts w:ascii="Century Gothic" w:hAnsi="Century Gothic" w:cs="Arial"/>
                <w:b/>
                <w:bCs/>
                <w:sz w:val="20"/>
                <w:szCs w:val="20"/>
              </w:rPr>
              <w:t>96.4</w:t>
            </w:r>
          </w:p>
        </w:tc>
      </w:tr>
    </w:tbl>
    <w:p w:rsidR="00ED7741" w:rsidRPr="008F1D53" w:rsidRDefault="00F151BB" w:rsidP="00F151BB">
      <w:pPr>
        <w:pStyle w:val="TableFigureCaption"/>
      </w:pPr>
      <w:r w:rsidRPr="008F1D53">
        <w:t xml:space="preserve"> </w:t>
      </w:r>
    </w:p>
    <w:p w:rsidR="000E252D" w:rsidRPr="00EB389F" w:rsidRDefault="00ED7741" w:rsidP="00EB389F">
      <w:pPr>
        <w:pStyle w:val="Heading2"/>
        <w:spacing w:after="0" w:line="276" w:lineRule="auto"/>
        <w:rPr>
          <w:rFonts w:ascii="Times New Roman" w:hAnsi="Times New Roman" w:cs="Times New Roman"/>
        </w:rPr>
      </w:pPr>
      <w:r w:rsidRPr="00EB389F">
        <w:rPr>
          <w:rFonts w:ascii="Times New Roman" w:hAnsi="Times New Roman" w:cs="Times New Roman"/>
          <w:color w:val="008000"/>
        </w:rPr>
        <w:tab/>
        <w:t xml:space="preserve"> </w:t>
      </w:r>
      <w:bookmarkStart w:id="86" w:name="_Toc415748971"/>
      <w:r w:rsidR="000E252D" w:rsidRPr="00EB389F">
        <w:rPr>
          <w:rFonts w:ascii="Times New Roman" w:hAnsi="Times New Roman" w:cs="Times New Roman"/>
        </w:rPr>
        <w:t xml:space="preserve">CPP-D Ex-Ante Load Impacts </w:t>
      </w:r>
      <w:r w:rsidR="00852AD2">
        <w:rPr>
          <w:rFonts w:ascii="Times New Roman" w:hAnsi="Times New Roman" w:cs="Times New Roman"/>
        </w:rPr>
        <w:t>Methodology</w:t>
      </w:r>
      <w:bookmarkEnd w:id="86"/>
    </w:p>
    <w:p w:rsidR="00ED7741" w:rsidRPr="004B2046" w:rsidRDefault="00ED7741" w:rsidP="00EB389F">
      <w:pPr>
        <w:spacing w:line="276" w:lineRule="auto"/>
        <w:rPr>
          <w:color w:val="000000" w:themeColor="text1"/>
        </w:rPr>
      </w:pPr>
    </w:p>
    <w:p w:rsidR="0071612D" w:rsidRDefault="00693B2B" w:rsidP="0071612D">
      <w:pPr>
        <w:pStyle w:val="BodyParagraph"/>
        <w:spacing w:after="0" w:line="276" w:lineRule="auto"/>
        <w:ind w:firstLine="360"/>
        <w:rPr>
          <w:rFonts w:ascii="Times New Roman" w:hAnsi="Times New Roman"/>
          <w:color w:val="000000" w:themeColor="text1"/>
          <w:sz w:val="24"/>
          <w:szCs w:val="24"/>
        </w:rPr>
      </w:pPr>
      <w:r w:rsidRPr="00693B2B">
        <w:rPr>
          <w:rFonts w:ascii="Times New Roman" w:hAnsi="Times New Roman"/>
          <w:color w:val="000000" w:themeColor="text1"/>
          <w:sz w:val="24"/>
          <w:szCs w:val="24"/>
        </w:rPr>
        <w:t xml:space="preserve">Ex ante impacts are designed to reflect demand reduction capabilities under a standard set of peak hours, 1 to 6 PM for the summer season, under both 1-in-2 and 1-in-10 weather conditions.  </w:t>
      </w:r>
    </w:p>
    <w:p w:rsidR="00693B2B" w:rsidRPr="004B2046" w:rsidRDefault="00693B2B" w:rsidP="0071612D">
      <w:pPr>
        <w:pStyle w:val="BodyParagraph"/>
        <w:spacing w:after="0" w:line="276" w:lineRule="auto"/>
        <w:ind w:firstLine="360"/>
        <w:rPr>
          <w:rFonts w:ascii="Times New Roman" w:hAnsi="Times New Roman"/>
          <w:color w:val="000000" w:themeColor="text1"/>
          <w:sz w:val="24"/>
          <w:szCs w:val="24"/>
        </w:rPr>
      </w:pPr>
    </w:p>
    <w:p w:rsidR="00693B2B" w:rsidRDefault="00693B2B" w:rsidP="00693B2B">
      <w:pPr>
        <w:pStyle w:val="BodyParagraph"/>
        <w:spacing w:line="276" w:lineRule="auto"/>
        <w:ind w:firstLine="360"/>
        <w:rPr>
          <w:rFonts w:ascii="Times New Roman" w:hAnsi="Times New Roman"/>
          <w:color w:val="000000" w:themeColor="text1"/>
          <w:sz w:val="24"/>
          <w:szCs w:val="24"/>
        </w:rPr>
      </w:pPr>
      <w:r w:rsidRPr="00693B2B">
        <w:rPr>
          <w:rFonts w:ascii="Times New Roman" w:hAnsi="Times New Roman"/>
          <w:color w:val="000000" w:themeColor="text1"/>
          <w:sz w:val="24"/>
          <w:szCs w:val="24"/>
        </w:rPr>
        <w:t xml:space="preserve">The process to estimate ex ante load impacts differed for large C&amp;I customers (peak demands above 200 kW) and small/medium customers (peak demands between 20 and 200 kW).  For large customers, the ex ante estimation process began by re-estimating ex post load impacts from 2013 and 2014 for customers enrolled in both years with data for all events (persistent customers), using the same estimation model. </w:t>
      </w:r>
      <w:r w:rsidR="000B18DE">
        <w:rPr>
          <w:rFonts w:ascii="Times New Roman" w:hAnsi="Times New Roman"/>
          <w:color w:val="000000" w:themeColor="text1"/>
          <w:sz w:val="24"/>
          <w:szCs w:val="24"/>
        </w:rPr>
        <w:t>T</w:t>
      </w:r>
      <w:r w:rsidRPr="00693B2B">
        <w:rPr>
          <w:rFonts w:ascii="Times New Roman" w:hAnsi="Times New Roman"/>
          <w:color w:val="000000" w:themeColor="text1"/>
          <w:sz w:val="24"/>
          <w:szCs w:val="24"/>
        </w:rPr>
        <w:t xml:space="preserve">hen modeled reference loads for 1-in-2 and 1-in-10 weather conditions.  Reference loads are estimated separately for the large and small/medium C&amp;I customer classes.  For the large C&amp;I customer class, hourly default CPP customer load, by LCA, is modeled as a function of temperature and month.  Temperature is represented by daily average of the first 17 hours (mean17), which is used to capture heat buildup in the daylight hours.  </w:t>
      </w:r>
    </w:p>
    <w:p w:rsidR="00DB72AA" w:rsidRPr="004B2046" w:rsidRDefault="00DB72AA" w:rsidP="00B73C4A">
      <w:pPr>
        <w:pStyle w:val="Heading2"/>
        <w:spacing w:after="0" w:line="276" w:lineRule="auto"/>
        <w:rPr>
          <w:rFonts w:ascii="Times New Roman" w:hAnsi="Times New Roman" w:cs="Times New Roman"/>
          <w:color w:val="000000" w:themeColor="text1"/>
        </w:rPr>
      </w:pPr>
      <w:r w:rsidRPr="004B2046">
        <w:rPr>
          <w:rFonts w:ascii="Times New Roman" w:hAnsi="Times New Roman" w:cs="Times New Roman"/>
          <w:color w:val="000000" w:themeColor="text1"/>
        </w:rPr>
        <w:t xml:space="preserve"> </w:t>
      </w:r>
      <w:bookmarkStart w:id="87" w:name="_Toc415748972"/>
      <w:r w:rsidRPr="004B2046">
        <w:rPr>
          <w:rFonts w:ascii="Times New Roman" w:hAnsi="Times New Roman" w:cs="Times New Roman"/>
          <w:color w:val="000000" w:themeColor="text1"/>
        </w:rPr>
        <w:t>CPP-D Ex-Ante Load Impacts Estimates</w:t>
      </w:r>
      <w:bookmarkEnd w:id="87"/>
    </w:p>
    <w:p w:rsidR="00B73C4A" w:rsidRPr="004B2046" w:rsidRDefault="00B73C4A" w:rsidP="00B73C4A">
      <w:pPr>
        <w:pStyle w:val="BodyParagraph"/>
        <w:spacing w:after="0" w:line="276" w:lineRule="auto"/>
        <w:ind w:firstLine="360"/>
        <w:rPr>
          <w:rFonts w:ascii="Times New Roman" w:hAnsi="Times New Roman"/>
          <w:color w:val="000000" w:themeColor="text1"/>
          <w:sz w:val="24"/>
          <w:szCs w:val="24"/>
        </w:rPr>
      </w:pPr>
    </w:p>
    <w:p w:rsidR="00B63E0D" w:rsidRPr="00B63E0D" w:rsidRDefault="00B63E0D" w:rsidP="00B63E0D">
      <w:pPr>
        <w:pStyle w:val="BodyParagraph"/>
        <w:ind w:firstLine="360"/>
        <w:rPr>
          <w:rFonts w:ascii="Times New Roman" w:hAnsi="Times New Roman"/>
          <w:color w:val="000000" w:themeColor="text1"/>
          <w:sz w:val="24"/>
          <w:szCs w:val="24"/>
        </w:rPr>
      </w:pPr>
      <w:r w:rsidRPr="00B63E0D">
        <w:rPr>
          <w:rFonts w:ascii="Times New Roman" w:hAnsi="Times New Roman"/>
          <w:color w:val="000000" w:themeColor="text1"/>
          <w:sz w:val="24"/>
          <w:szCs w:val="24"/>
        </w:rPr>
        <w:t xml:space="preserve">The ex ante impact estimates for SDG&amp;E are based on ex post load impacts of CPP events that occurred in 2013 and 2014.  In total, load impact estimates for up to 10 events were used as </w:t>
      </w:r>
      <w:r w:rsidRPr="00B63E0D">
        <w:rPr>
          <w:rFonts w:ascii="Times New Roman" w:hAnsi="Times New Roman"/>
          <w:color w:val="000000" w:themeColor="text1"/>
          <w:sz w:val="24"/>
          <w:szCs w:val="24"/>
        </w:rPr>
        <w:lastRenderedPageBreak/>
        <w:t>input to the ex ante model.  All load impact estimates presented here are incremental to the effects of the underlying TOU rates.</w:t>
      </w:r>
    </w:p>
    <w:p w:rsidR="00B63E0D" w:rsidRPr="004B2046" w:rsidRDefault="00B63E0D" w:rsidP="00B63E0D">
      <w:pPr>
        <w:pStyle w:val="BodyParagraph"/>
        <w:spacing w:after="0" w:line="276" w:lineRule="auto"/>
        <w:ind w:firstLine="360"/>
        <w:rPr>
          <w:rFonts w:ascii="Times New Roman" w:hAnsi="Times New Roman"/>
          <w:color w:val="000000" w:themeColor="text1"/>
          <w:sz w:val="24"/>
          <w:szCs w:val="24"/>
        </w:rPr>
      </w:pPr>
      <w:r w:rsidRPr="00B63E0D">
        <w:rPr>
          <w:rFonts w:ascii="Times New Roman" w:hAnsi="Times New Roman"/>
          <w:color w:val="000000" w:themeColor="text1"/>
          <w:sz w:val="24"/>
          <w:szCs w:val="24"/>
        </w:rPr>
        <w:t>This section presents the ex ante load impact projections separately for medium and large customers projected to receive service under SDG&amp;E’s default CPP tariff.  Load reduction capability is summarized for each segment under annual system peak day conditions for a 1-in-2 and a 1-in-10 weather year for selected years (e.g., 2015, 2016, and 2025).</w:t>
      </w:r>
      <w:r w:rsidRPr="00B73C21">
        <w:t xml:space="preserve"> </w:t>
      </w:r>
      <w:r>
        <w:t xml:space="preserve"> </w:t>
      </w:r>
    </w:p>
    <w:p w:rsidR="00B84C76" w:rsidRPr="004B2046" w:rsidRDefault="00B84C76" w:rsidP="00EB389F">
      <w:pPr>
        <w:pStyle w:val="Heading3"/>
        <w:spacing w:after="0" w:line="276" w:lineRule="auto"/>
        <w:rPr>
          <w:rFonts w:ascii="Times New Roman" w:hAnsi="Times New Roman" w:cs="Times New Roman"/>
          <w:color w:val="000000" w:themeColor="text1"/>
          <w:lang w:val="fr-FR"/>
        </w:rPr>
      </w:pPr>
      <w:bookmarkStart w:id="88" w:name="_Toc350876899"/>
      <w:bookmarkStart w:id="89" w:name="_Toc351370133"/>
      <w:bookmarkStart w:id="90" w:name="_Toc351480983"/>
      <w:bookmarkStart w:id="91" w:name="_Toc351990572"/>
      <w:bookmarkStart w:id="92" w:name="_Toc352084149"/>
      <w:bookmarkStart w:id="93" w:name="_Toc415748973"/>
      <w:r w:rsidRPr="004B2046">
        <w:rPr>
          <w:rFonts w:ascii="Times New Roman" w:hAnsi="Times New Roman" w:cs="Times New Roman"/>
          <w:color w:val="000000" w:themeColor="text1"/>
          <w:lang w:val="fr-FR"/>
        </w:rPr>
        <w:t xml:space="preserve">Large C&amp;I </w:t>
      </w:r>
      <w:r w:rsidR="0015465A" w:rsidRPr="004B2046">
        <w:rPr>
          <w:rFonts w:ascii="Times New Roman" w:hAnsi="Times New Roman" w:cs="Times New Roman"/>
          <w:color w:val="000000" w:themeColor="text1"/>
          <w:lang w:val="fr-FR"/>
        </w:rPr>
        <w:t>Ex-</w:t>
      </w:r>
      <w:r w:rsidR="0092514F" w:rsidRPr="004B2046">
        <w:rPr>
          <w:rFonts w:ascii="Times New Roman" w:hAnsi="Times New Roman" w:cs="Times New Roman"/>
          <w:color w:val="000000" w:themeColor="text1"/>
          <w:lang w:val="fr-FR"/>
        </w:rPr>
        <w:t>A</w:t>
      </w:r>
      <w:r w:rsidR="0015465A" w:rsidRPr="004B2046">
        <w:rPr>
          <w:rFonts w:ascii="Times New Roman" w:hAnsi="Times New Roman" w:cs="Times New Roman"/>
          <w:color w:val="000000" w:themeColor="text1"/>
          <w:lang w:val="fr-FR"/>
        </w:rPr>
        <w:t>nte</w:t>
      </w:r>
      <w:r w:rsidRPr="004B2046">
        <w:rPr>
          <w:rFonts w:ascii="Times New Roman" w:hAnsi="Times New Roman" w:cs="Times New Roman"/>
          <w:color w:val="000000" w:themeColor="text1"/>
          <w:lang w:val="fr-FR"/>
        </w:rPr>
        <w:t xml:space="preserve"> Impacts</w:t>
      </w:r>
      <w:bookmarkEnd w:id="88"/>
      <w:bookmarkEnd w:id="89"/>
      <w:bookmarkEnd w:id="90"/>
      <w:bookmarkEnd w:id="91"/>
      <w:bookmarkEnd w:id="92"/>
      <w:bookmarkEnd w:id="93"/>
    </w:p>
    <w:p w:rsidR="004855B6" w:rsidRPr="004B2046" w:rsidRDefault="004855B6" w:rsidP="00EB389F">
      <w:pPr>
        <w:pStyle w:val="BodyParagraph"/>
        <w:spacing w:after="0" w:line="276" w:lineRule="auto"/>
        <w:ind w:firstLine="720"/>
        <w:rPr>
          <w:rFonts w:ascii="Times New Roman" w:hAnsi="Times New Roman"/>
          <w:color w:val="000000" w:themeColor="text1"/>
          <w:sz w:val="24"/>
          <w:szCs w:val="24"/>
          <w:lang w:val="fr-FR"/>
        </w:rPr>
      </w:pPr>
    </w:p>
    <w:p w:rsidR="00B56A7D" w:rsidRPr="00B56A7D" w:rsidRDefault="00B56A7D" w:rsidP="00B56A7D">
      <w:pPr>
        <w:pStyle w:val="BodyParagraph"/>
        <w:spacing w:after="0" w:line="276" w:lineRule="auto"/>
        <w:ind w:firstLine="360"/>
        <w:rPr>
          <w:rFonts w:ascii="Times New Roman" w:hAnsi="Times New Roman"/>
          <w:color w:val="000000" w:themeColor="text1"/>
          <w:sz w:val="24"/>
          <w:szCs w:val="24"/>
        </w:rPr>
      </w:pPr>
      <w:bookmarkStart w:id="94" w:name="_Toc350876903"/>
      <w:bookmarkStart w:id="95" w:name="_Toc351370134"/>
      <w:bookmarkStart w:id="96" w:name="_Toc351480984"/>
      <w:r>
        <w:rPr>
          <w:rFonts w:ascii="Times New Roman" w:hAnsi="Times New Roman"/>
          <w:color w:val="000000" w:themeColor="text1"/>
          <w:sz w:val="24"/>
          <w:szCs w:val="24"/>
        </w:rPr>
        <w:t>T</w:t>
      </w:r>
      <w:r w:rsidRPr="00B56A7D">
        <w:rPr>
          <w:rFonts w:ascii="Times New Roman" w:hAnsi="Times New Roman"/>
          <w:color w:val="000000" w:themeColor="text1"/>
          <w:sz w:val="24"/>
          <w:szCs w:val="24"/>
        </w:rPr>
        <w:t xml:space="preserve">he ex ante load impact estimates are based on a regression model that relates impacts to weather conditions using the ex post impacts and weather to estimate model coefficients.  The model is based on ex post data from both 2013 and 2014.  </w:t>
      </w:r>
    </w:p>
    <w:p w:rsidR="00B56A7D" w:rsidRDefault="00B56A7D" w:rsidP="00B56A7D">
      <w:pPr>
        <w:pStyle w:val="BodyParagraph"/>
        <w:spacing w:after="0" w:line="276" w:lineRule="auto"/>
        <w:ind w:firstLine="360"/>
        <w:rPr>
          <w:rFonts w:ascii="Times New Roman" w:hAnsi="Times New Roman"/>
          <w:color w:val="000000" w:themeColor="text1"/>
          <w:sz w:val="24"/>
          <w:szCs w:val="24"/>
        </w:rPr>
      </w:pPr>
    </w:p>
    <w:p w:rsidR="00851F2D" w:rsidRDefault="00B56A7D" w:rsidP="00B56A7D">
      <w:pPr>
        <w:pStyle w:val="BodyParagraph"/>
        <w:spacing w:after="0" w:line="276" w:lineRule="auto"/>
        <w:ind w:firstLine="360"/>
        <w:rPr>
          <w:rFonts w:ascii="Times New Roman" w:hAnsi="Times New Roman"/>
          <w:color w:val="000000" w:themeColor="text1"/>
          <w:sz w:val="24"/>
          <w:szCs w:val="24"/>
        </w:rPr>
      </w:pPr>
      <w:r w:rsidRPr="00B56A7D">
        <w:rPr>
          <w:rFonts w:ascii="Times New Roman" w:hAnsi="Times New Roman"/>
          <w:color w:val="000000" w:themeColor="text1"/>
          <w:sz w:val="24"/>
          <w:szCs w:val="24"/>
        </w:rPr>
        <w:t>The ex ante percent load reductions for large C&amp;I customers are based on the 2013 and 2014 ex post results for large, persistent customers, which are those that have participated in all events over the past two years.  By removing variation in the customer mix from the analysis, we are better able to identify the underlying relationship between temperature and percent impacts.  Table 9-1 shows the ex post load impact estimates for each event day and for the average event day in 2013 and 2014 for large, persistent customers.  The participant-weighted average temperature during the event period ranged from a low of 61.3°F to a high of 93.4°F.  Percent impacts ranged from 6.0% to 10.6%; average impacts ranged from 11.8 kW to 27.3 kW; and aggregate impacts ranged from 12.0 MW to 27.8 MW</w:t>
      </w:r>
      <w:r>
        <w:rPr>
          <w:rFonts w:ascii="Times New Roman" w:hAnsi="Times New Roman"/>
          <w:color w:val="000000" w:themeColor="text1"/>
          <w:sz w:val="24"/>
          <w:szCs w:val="24"/>
        </w:rPr>
        <w:t>.</w:t>
      </w:r>
    </w:p>
    <w:p w:rsidR="00B56A7D" w:rsidRPr="00B56A7D" w:rsidRDefault="00B56A7D" w:rsidP="00B56A7D">
      <w:pPr>
        <w:pStyle w:val="BodyParagraph"/>
        <w:spacing w:after="0" w:line="276" w:lineRule="auto"/>
        <w:ind w:firstLine="360"/>
        <w:rPr>
          <w:rFonts w:ascii="Times New Roman" w:hAnsi="Times New Roman"/>
          <w:color w:val="000000" w:themeColor="text1"/>
          <w:sz w:val="24"/>
          <w:szCs w:val="24"/>
        </w:rPr>
      </w:pPr>
    </w:p>
    <w:p w:rsidR="00851F2D" w:rsidRPr="00851F2D" w:rsidRDefault="00AF225F" w:rsidP="00851F2D">
      <w:pPr>
        <w:pStyle w:val="TableFigureCaption"/>
        <w:spacing w:after="0"/>
        <w:rPr>
          <w:rFonts w:ascii="Times New Roman" w:hAnsi="Times New Roman"/>
          <w:sz w:val="20"/>
          <w:szCs w:val="20"/>
        </w:rPr>
      </w:pPr>
      <w:r w:rsidRPr="00AF225F">
        <w:rPr>
          <w:rFonts w:ascii="Times New Roman" w:hAnsi="Times New Roman"/>
          <w:sz w:val="20"/>
          <w:szCs w:val="20"/>
        </w:rPr>
        <w:t xml:space="preserve">Table 3-2: </w:t>
      </w:r>
      <w:r w:rsidR="00851F2D" w:rsidRPr="00851F2D">
        <w:rPr>
          <w:rFonts w:ascii="Times New Roman" w:hAnsi="Times New Roman"/>
          <w:sz w:val="20"/>
          <w:szCs w:val="20"/>
        </w:rPr>
        <w:t xml:space="preserve">Default CPP Ex Post Load Impact Estimates for </w:t>
      </w:r>
    </w:p>
    <w:p w:rsidR="00851F2D" w:rsidRDefault="00851F2D" w:rsidP="00851F2D">
      <w:pPr>
        <w:pStyle w:val="TableFigureCaption"/>
        <w:spacing w:after="0"/>
        <w:rPr>
          <w:rFonts w:ascii="Times New Roman" w:hAnsi="Times New Roman"/>
          <w:sz w:val="20"/>
          <w:szCs w:val="20"/>
        </w:rPr>
      </w:pPr>
      <w:r w:rsidRPr="00851F2D">
        <w:rPr>
          <w:rFonts w:ascii="Times New Roman" w:hAnsi="Times New Roman"/>
          <w:sz w:val="20"/>
          <w:szCs w:val="20"/>
        </w:rPr>
        <w:t>Persistent Customers by Event Day</w:t>
      </w:r>
    </w:p>
    <w:p w:rsidR="00AF225F" w:rsidRDefault="00851F2D" w:rsidP="00851F2D">
      <w:pPr>
        <w:pStyle w:val="TableFigureCaption"/>
        <w:spacing w:after="0"/>
        <w:rPr>
          <w:rFonts w:ascii="Times New Roman" w:hAnsi="Times New Roman"/>
          <w:sz w:val="20"/>
          <w:szCs w:val="20"/>
        </w:rPr>
      </w:pPr>
      <w:r w:rsidRPr="00851F2D">
        <w:rPr>
          <w:rFonts w:ascii="Times New Roman" w:hAnsi="Times New Roman"/>
          <w:sz w:val="20"/>
          <w:szCs w:val="20"/>
        </w:rPr>
        <w:t>SDG&amp;E 2013, 2014 CPP Events (11 AM-6 PM)</w:t>
      </w:r>
    </w:p>
    <w:tbl>
      <w:tblPr>
        <w:tblW w:w="10241" w:type="dxa"/>
        <w:jc w:val="center"/>
        <w:tblInd w:w="93" w:type="dxa"/>
        <w:tblLook w:val="04A0" w:firstRow="1" w:lastRow="0" w:firstColumn="1" w:lastColumn="0" w:noHBand="0" w:noVBand="1"/>
      </w:tblPr>
      <w:tblGrid>
        <w:gridCol w:w="1017"/>
        <w:gridCol w:w="960"/>
        <w:gridCol w:w="1037"/>
        <w:gridCol w:w="1087"/>
        <w:gridCol w:w="1057"/>
        <w:gridCol w:w="960"/>
        <w:gridCol w:w="1107"/>
        <w:gridCol w:w="1096"/>
        <w:gridCol w:w="960"/>
        <w:gridCol w:w="960"/>
      </w:tblGrid>
      <w:tr w:rsidR="00851F2D" w:rsidRPr="000322D1" w:rsidTr="00380329">
        <w:trPr>
          <w:trHeight w:val="960"/>
          <w:jc w:val="center"/>
        </w:trPr>
        <w:tc>
          <w:tcPr>
            <w:tcW w:w="1017" w:type="dxa"/>
            <w:vMerge w:val="restart"/>
            <w:tcBorders>
              <w:top w:val="single" w:sz="4" w:space="0" w:color="auto"/>
              <w:left w:val="single" w:sz="4" w:space="0" w:color="auto"/>
              <w:bottom w:val="single" w:sz="4" w:space="0" w:color="000000"/>
              <w:right w:val="single" w:sz="4" w:space="0" w:color="FFFFFF"/>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Event Date</w:t>
            </w:r>
          </w:p>
        </w:tc>
        <w:tc>
          <w:tcPr>
            <w:tcW w:w="960"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Day of Week</w:t>
            </w:r>
          </w:p>
        </w:tc>
        <w:tc>
          <w:tcPr>
            <w:tcW w:w="1037"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Accounts</w:t>
            </w:r>
          </w:p>
        </w:tc>
        <w:tc>
          <w:tcPr>
            <w:tcW w:w="1087" w:type="dxa"/>
            <w:tcBorders>
              <w:top w:val="single" w:sz="4" w:space="0" w:color="auto"/>
              <w:left w:val="nil"/>
              <w:bottom w:val="single" w:sz="4" w:space="0" w:color="FFFFFF"/>
              <w:right w:val="single" w:sz="4" w:space="0" w:color="FFFFFF"/>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Avg. Customer Reference Load</w:t>
            </w:r>
          </w:p>
        </w:tc>
        <w:tc>
          <w:tcPr>
            <w:tcW w:w="1057" w:type="dxa"/>
            <w:tcBorders>
              <w:top w:val="single" w:sz="4" w:space="0" w:color="auto"/>
              <w:left w:val="nil"/>
              <w:bottom w:val="single" w:sz="4" w:space="0" w:color="FFFFFF"/>
              <w:right w:val="single" w:sz="4" w:space="0" w:color="FFFFFF"/>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Avg. Customer Load w/ DR</w:t>
            </w:r>
          </w:p>
        </w:tc>
        <w:tc>
          <w:tcPr>
            <w:tcW w:w="960" w:type="dxa"/>
            <w:tcBorders>
              <w:top w:val="single" w:sz="4" w:space="0" w:color="auto"/>
              <w:left w:val="nil"/>
              <w:bottom w:val="single" w:sz="4" w:space="0" w:color="FFFFFF"/>
              <w:right w:val="single" w:sz="4" w:space="0" w:color="FFFFFF"/>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Impact</w:t>
            </w:r>
          </w:p>
        </w:tc>
        <w:tc>
          <w:tcPr>
            <w:tcW w:w="1107" w:type="dxa"/>
            <w:tcBorders>
              <w:top w:val="single" w:sz="4" w:space="0" w:color="auto"/>
              <w:left w:val="nil"/>
              <w:bottom w:val="single" w:sz="4" w:space="0" w:color="FFFFFF"/>
              <w:right w:val="single" w:sz="4" w:space="0" w:color="FFFFFF"/>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Aggregate Impact</w:t>
            </w:r>
          </w:p>
        </w:tc>
        <w:tc>
          <w:tcPr>
            <w:tcW w:w="1096" w:type="dxa"/>
            <w:tcBorders>
              <w:top w:val="single" w:sz="4" w:space="0" w:color="auto"/>
              <w:left w:val="nil"/>
              <w:bottom w:val="single" w:sz="4" w:space="0" w:color="FFFFFF"/>
              <w:right w:val="single" w:sz="4" w:space="0" w:color="FFFFFF"/>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 Reduction</w:t>
            </w:r>
          </w:p>
        </w:tc>
        <w:tc>
          <w:tcPr>
            <w:tcW w:w="960" w:type="dxa"/>
            <w:tcBorders>
              <w:top w:val="single" w:sz="4" w:space="0" w:color="auto"/>
              <w:left w:val="nil"/>
              <w:bottom w:val="single" w:sz="4" w:space="0" w:color="FFFFFF"/>
              <w:right w:val="single" w:sz="4" w:space="0" w:color="FFFFFF"/>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Avg. Event Temp.</w:t>
            </w:r>
          </w:p>
        </w:tc>
        <w:tc>
          <w:tcPr>
            <w:tcW w:w="960" w:type="dxa"/>
            <w:tcBorders>
              <w:top w:val="single" w:sz="4" w:space="0" w:color="auto"/>
              <w:left w:val="nil"/>
              <w:bottom w:val="single" w:sz="4" w:space="0" w:color="FFFFFF"/>
              <w:right w:val="single" w:sz="4" w:space="0" w:color="auto"/>
            </w:tcBorders>
            <w:shd w:val="clear" w:color="000000" w:fill="0070CD"/>
            <w:vAlign w:val="center"/>
            <w:hideMark/>
          </w:tcPr>
          <w:p w:rsidR="00851F2D" w:rsidRPr="000322D1" w:rsidRDefault="00851F2D" w:rsidP="00324486">
            <w:pPr>
              <w:jc w:val="center"/>
              <w:rPr>
                <w:rFonts w:ascii="Arial" w:hAnsi="Arial" w:cs="Arial"/>
                <w:b/>
                <w:bCs/>
                <w:color w:val="FFFFFF"/>
                <w:sz w:val="18"/>
                <w:szCs w:val="18"/>
              </w:rPr>
            </w:pPr>
            <w:r w:rsidRPr="000322D1">
              <w:rPr>
                <w:rFonts w:ascii="Arial" w:hAnsi="Arial" w:cs="Arial"/>
                <w:b/>
                <w:bCs/>
                <w:color w:val="FFFFFF"/>
                <w:sz w:val="18"/>
                <w:szCs w:val="18"/>
              </w:rPr>
              <w:t>Daily Max. Temp.</w:t>
            </w:r>
          </w:p>
        </w:tc>
      </w:tr>
      <w:tr w:rsidR="00851F2D" w:rsidRPr="000322D1" w:rsidTr="00380329">
        <w:trPr>
          <w:trHeight w:val="240"/>
          <w:jc w:val="center"/>
        </w:trPr>
        <w:tc>
          <w:tcPr>
            <w:tcW w:w="1017" w:type="dxa"/>
            <w:vMerge/>
            <w:tcBorders>
              <w:top w:val="single" w:sz="4" w:space="0" w:color="auto"/>
              <w:left w:val="single" w:sz="4" w:space="0" w:color="auto"/>
              <w:bottom w:val="single" w:sz="4" w:space="0" w:color="000000"/>
              <w:right w:val="single" w:sz="4" w:space="0" w:color="FFFFFF"/>
            </w:tcBorders>
            <w:vAlign w:val="center"/>
            <w:hideMark/>
          </w:tcPr>
          <w:p w:rsidR="00851F2D" w:rsidRPr="000322D1" w:rsidRDefault="00851F2D" w:rsidP="00324486">
            <w:pPr>
              <w:rPr>
                <w:rFonts w:ascii="Arial" w:hAnsi="Arial" w:cs="Arial"/>
                <w:b/>
                <w:bCs/>
                <w:color w:val="FFFFFF"/>
                <w:sz w:val="18"/>
                <w:szCs w:val="18"/>
              </w:rPr>
            </w:pPr>
          </w:p>
        </w:tc>
        <w:tc>
          <w:tcPr>
            <w:tcW w:w="960" w:type="dxa"/>
            <w:vMerge/>
            <w:tcBorders>
              <w:top w:val="single" w:sz="4" w:space="0" w:color="auto"/>
              <w:left w:val="single" w:sz="4" w:space="0" w:color="FFFFFF"/>
              <w:bottom w:val="single" w:sz="4" w:space="0" w:color="000000"/>
              <w:right w:val="single" w:sz="4" w:space="0" w:color="FFFFFF"/>
            </w:tcBorders>
            <w:vAlign w:val="center"/>
            <w:hideMark/>
          </w:tcPr>
          <w:p w:rsidR="00851F2D" w:rsidRPr="000322D1" w:rsidRDefault="00851F2D" w:rsidP="00324486">
            <w:pPr>
              <w:rPr>
                <w:rFonts w:ascii="Arial" w:hAnsi="Arial" w:cs="Arial"/>
                <w:b/>
                <w:bCs/>
                <w:color w:val="FFFFFF"/>
                <w:sz w:val="18"/>
                <w:szCs w:val="18"/>
              </w:rPr>
            </w:pPr>
          </w:p>
        </w:tc>
        <w:tc>
          <w:tcPr>
            <w:tcW w:w="1037" w:type="dxa"/>
            <w:vMerge/>
            <w:tcBorders>
              <w:top w:val="single" w:sz="4" w:space="0" w:color="auto"/>
              <w:left w:val="single" w:sz="4" w:space="0" w:color="FFFFFF"/>
              <w:bottom w:val="single" w:sz="4" w:space="0" w:color="000000"/>
              <w:right w:val="single" w:sz="4" w:space="0" w:color="FFFFFF"/>
            </w:tcBorders>
            <w:vAlign w:val="center"/>
            <w:hideMark/>
          </w:tcPr>
          <w:p w:rsidR="00851F2D" w:rsidRPr="000322D1" w:rsidRDefault="00851F2D" w:rsidP="00324486">
            <w:pPr>
              <w:rPr>
                <w:rFonts w:ascii="Arial" w:hAnsi="Arial" w:cs="Arial"/>
                <w:b/>
                <w:bCs/>
                <w:color w:val="FFFFFF"/>
                <w:sz w:val="18"/>
                <w:szCs w:val="18"/>
              </w:rPr>
            </w:pPr>
          </w:p>
        </w:tc>
        <w:tc>
          <w:tcPr>
            <w:tcW w:w="1087" w:type="dxa"/>
            <w:tcBorders>
              <w:top w:val="nil"/>
              <w:left w:val="nil"/>
              <w:bottom w:val="single" w:sz="4" w:space="0" w:color="auto"/>
              <w:right w:val="single" w:sz="4" w:space="0" w:color="FFFFFF"/>
            </w:tcBorders>
            <w:shd w:val="clear" w:color="000000" w:fill="0070CD"/>
            <w:noWrap/>
            <w:vAlign w:val="center"/>
            <w:hideMark/>
          </w:tcPr>
          <w:p w:rsidR="00851F2D" w:rsidRPr="000322D1" w:rsidRDefault="00851F2D" w:rsidP="00324486">
            <w:pPr>
              <w:jc w:val="center"/>
              <w:rPr>
                <w:rFonts w:ascii="Arial" w:hAnsi="Arial" w:cs="Arial"/>
                <w:color w:val="FFFFFF"/>
                <w:sz w:val="18"/>
                <w:szCs w:val="18"/>
              </w:rPr>
            </w:pPr>
            <w:r w:rsidRPr="000322D1">
              <w:rPr>
                <w:rFonts w:ascii="Arial" w:hAnsi="Arial" w:cs="Arial"/>
                <w:color w:val="FFFFFF"/>
                <w:sz w:val="18"/>
                <w:szCs w:val="18"/>
              </w:rPr>
              <w:t>(kW)</w:t>
            </w:r>
          </w:p>
        </w:tc>
        <w:tc>
          <w:tcPr>
            <w:tcW w:w="1057" w:type="dxa"/>
            <w:tcBorders>
              <w:top w:val="nil"/>
              <w:left w:val="nil"/>
              <w:bottom w:val="single" w:sz="4" w:space="0" w:color="auto"/>
              <w:right w:val="single" w:sz="4" w:space="0" w:color="FFFFFF"/>
            </w:tcBorders>
            <w:shd w:val="clear" w:color="000000" w:fill="0070CD"/>
            <w:noWrap/>
            <w:vAlign w:val="center"/>
            <w:hideMark/>
          </w:tcPr>
          <w:p w:rsidR="00851F2D" w:rsidRPr="000322D1" w:rsidRDefault="00851F2D" w:rsidP="00324486">
            <w:pPr>
              <w:jc w:val="center"/>
              <w:rPr>
                <w:rFonts w:ascii="Arial" w:hAnsi="Arial" w:cs="Arial"/>
                <w:color w:val="FFFFFF"/>
                <w:sz w:val="18"/>
                <w:szCs w:val="18"/>
              </w:rPr>
            </w:pPr>
            <w:r w:rsidRPr="000322D1">
              <w:rPr>
                <w:rFonts w:ascii="Arial" w:hAnsi="Arial" w:cs="Arial"/>
                <w:color w:val="FFFFFF"/>
                <w:sz w:val="18"/>
                <w:szCs w:val="18"/>
              </w:rPr>
              <w:t>(kW)</w:t>
            </w:r>
          </w:p>
        </w:tc>
        <w:tc>
          <w:tcPr>
            <w:tcW w:w="960" w:type="dxa"/>
            <w:tcBorders>
              <w:top w:val="nil"/>
              <w:left w:val="nil"/>
              <w:bottom w:val="single" w:sz="4" w:space="0" w:color="auto"/>
              <w:right w:val="single" w:sz="4" w:space="0" w:color="FFFFFF"/>
            </w:tcBorders>
            <w:shd w:val="clear" w:color="000000" w:fill="0070CD"/>
            <w:noWrap/>
            <w:vAlign w:val="center"/>
            <w:hideMark/>
          </w:tcPr>
          <w:p w:rsidR="00851F2D" w:rsidRPr="000322D1" w:rsidRDefault="00851F2D" w:rsidP="00324486">
            <w:pPr>
              <w:jc w:val="center"/>
              <w:rPr>
                <w:rFonts w:ascii="Arial" w:hAnsi="Arial" w:cs="Arial"/>
                <w:color w:val="FFFFFF"/>
                <w:sz w:val="18"/>
                <w:szCs w:val="18"/>
              </w:rPr>
            </w:pPr>
            <w:r w:rsidRPr="000322D1">
              <w:rPr>
                <w:rFonts w:ascii="Arial" w:hAnsi="Arial" w:cs="Arial"/>
                <w:color w:val="FFFFFF"/>
                <w:sz w:val="18"/>
                <w:szCs w:val="18"/>
              </w:rPr>
              <w:t>(kW)</w:t>
            </w:r>
          </w:p>
        </w:tc>
        <w:tc>
          <w:tcPr>
            <w:tcW w:w="1107" w:type="dxa"/>
            <w:tcBorders>
              <w:top w:val="nil"/>
              <w:left w:val="nil"/>
              <w:bottom w:val="single" w:sz="4" w:space="0" w:color="auto"/>
              <w:right w:val="single" w:sz="4" w:space="0" w:color="FFFFFF"/>
            </w:tcBorders>
            <w:shd w:val="clear" w:color="000000" w:fill="0070CD"/>
            <w:noWrap/>
            <w:vAlign w:val="center"/>
            <w:hideMark/>
          </w:tcPr>
          <w:p w:rsidR="00851F2D" w:rsidRPr="000322D1" w:rsidRDefault="00851F2D" w:rsidP="00324486">
            <w:pPr>
              <w:jc w:val="center"/>
              <w:rPr>
                <w:rFonts w:ascii="Arial" w:hAnsi="Arial" w:cs="Arial"/>
                <w:color w:val="FFFFFF"/>
                <w:sz w:val="18"/>
                <w:szCs w:val="18"/>
              </w:rPr>
            </w:pPr>
            <w:r w:rsidRPr="000322D1">
              <w:rPr>
                <w:rFonts w:ascii="Arial" w:hAnsi="Arial" w:cs="Arial"/>
                <w:color w:val="FFFFFF"/>
                <w:sz w:val="18"/>
                <w:szCs w:val="18"/>
              </w:rPr>
              <w:t>(MW)</w:t>
            </w:r>
          </w:p>
        </w:tc>
        <w:tc>
          <w:tcPr>
            <w:tcW w:w="1096" w:type="dxa"/>
            <w:tcBorders>
              <w:top w:val="nil"/>
              <w:left w:val="nil"/>
              <w:bottom w:val="single" w:sz="4" w:space="0" w:color="auto"/>
              <w:right w:val="single" w:sz="4" w:space="0" w:color="FFFFFF"/>
            </w:tcBorders>
            <w:shd w:val="clear" w:color="000000" w:fill="0070CD"/>
            <w:noWrap/>
            <w:vAlign w:val="center"/>
            <w:hideMark/>
          </w:tcPr>
          <w:p w:rsidR="00851F2D" w:rsidRPr="000322D1" w:rsidRDefault="00851F2D" w:rsidP="00324486">
            <w:pPr>
              <w:jc w:val="center"/>
              <w:rPr>
                <w:rFonts w:ascii="Arial" w:hAnsi="Arial" w:cs="Arial"/>
                <w:color w:val="FFFFFF"/>
                <w:sz w:val="18"/>
                <w:szCs w:val="18"/>
              </w:rPr>
            </w:pPr>
            <w:r w:rsidRPr="000322D1">
              <w:rPr>
                <w:rFonts w:ascii="Arial" w:hAnsi="Arial" w:cs="Arial"/>
                <w:color w:val="FFFFFF"/>
                <w:sz w:val="18"/>
                <w:szCs w:val="18"/>
              </w:rPr>
              <w:t>(%)</w:t>
            </w:r>
          </w:p>
        </w:tc>
        <w:tc>
          <w:tcPr>
            <w:tcW w:w="960" w:type="dxa"/>
            <w:tcBorders>
              <w:top w:val="nil"/>
              <w:left w:val="nil"/>
              <w:bottom w:val="single" w:sz="4" w:space="0" w:color="auto"/>
              <w:right w:val="single" w:sz="4" w:space="0" w:color="FFFFFF"/>
            </w:tcBorders>
            <w:shd w:val="clear" w:color="000000" w:fill="0070CD"/>
            <w:noWrap/>
            <w:vAlign w:val="center"/>
            <w:hideMark/>
          </w:tcPr>
          <w:p w:rsidR="00851F2D" w:rsidRPr="000322D1" w:rsidRDefault="00851F2D" w:rsidP="00324486">
            <w:pPr>
              <w:jc w:val="center"/>
              <w:rPr>
                <w:rFonts w:ascii="Arial" w:hAnsi="Arial" w:cs="Arial"/>
                <w:color w:val="FFFFFF"/>
                <w:sz w:val="18"/>
                <w:szCs w:val="18"/>
              </w:rPr>
            </w:pPr>
            <w:r w:rsidRPr="000322D1">
              <w:rPr>
                <w:rFonts w:ascii="Arial" w:hAnsi="Arial" w:cs="Arial"/>
                <w:color w:val="FFFFFF"/>
                <w:sz w:val="18"/>
                <w:szCs w:val="18"/>
              </w:rPr>
              <w:t>(°F)</w:t>
            </w:r>
          </w:p>
        </w:tc>
        <w:tc>
          <w:tcPr>
            <w:tcW w:w="960" w:type="dxa"/>
            <w:tcBorders>
              <w:top w:val="nil"/>
              <w:left w:val="nil"/>
              <w:bottom w:val="single" w:sz="4" w:space="0" w:color="auto"/>
              <w:right w:val="single" w:sz="4" w:space="0" w:color="auto"/>
            </w:tcBorders>
            <w:shd w:val="clear" w:color="000000" w:fill="0070CD"/>
            <w:noWrap/>
            <w:vAlign w:val="center"/>
            <w:hideMark/>
          </w:tcPr>
          <w:p w:rsidR="00851F2D" w:rsidRPr="000322D1" w:rsidRDefault="00851F2D" w:rsidP="00324486">
            <w:pPr>
              <w:jc w:val="center"/>
              <w:rPr>
                <w:rFonts w:ascii="Arial" w:hAnsi="Arial" w:cs="Arial"/>
                <w:color w:val="FFFFFF"/>
                <w:sz w:val="18"/>
                <w:szCs w:val="18"/>
              </w:rPr>
            </w:pPr>
            <w:r w:rsidRPr="000322D1">
              <w:rPr>
                <w:rFonts w:ascii="Arial" w:hAnsi="Arial" w:cs="Arial"/>
                <w:color w:val="FFFFFF"/>
                <w:sz w:val="18"/>
                <w:szCs w:val="18"/>
              </w:rPr>
              <w:t>(°F)</w:t>
            </w:r>
          </w:p>
        </w:tc>
      </w:tr>
      <w:tr w:rsidR="00851F2D" w:rsidRPr="000322D1" w:rsidTr="00380329">
        <w:trPr>
          <w:trHeight w:val="240"/>
          <w:jc w:val="center"/>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8/29/2013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Thu</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260.6</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244.9</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15.7</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16.0</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6.0%</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88.1</w:t>
            </w:r>
          </w:p>
        </w:tc>
      </w:tr>
      <w:tr w:rsidR="00851F2D" w:rsidRPr="000322D1" w:rsidTr="00380329">
        <w:trPr>
          <w:trHeight w:val="24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9/4/2013</w:t>
            </w:r>
          </w:p>
        </w:tc>
        <w:tc>
          <w:tcPr>
            <w:tcW w:w="960" w:type="dxa"/>
            <w:tcBorders>
              <w:top w:val="nil"/>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Wed</w:t>
            </w:r>
          </w:p>
        </w:tc>
        <w:tc>
          <w:tcPr>
            <w:tcW w:w="103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278.9</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253.5</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25.4</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26.0</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9.1%</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83.5</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87.7</w:t>
            </w:r>
          </w:p>
        </w:tc>
      </w:tr>
      <w:tr w:rsidR="00851F2D" w:rsidRPr="000322D1" w:rsidTr="00380329">
        <w:trPr>
          <w:trHeight w:val="24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9/5/2013</w:t>
            </w:r>
          </w:p>
        </w:tc>
        <w:tc>
          <w:tcPr>
            <w:tcW w:w="960" w:type="dxa"/>
            <w:tcBorders>
              <w:top w:val="nil"/>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Thu</w:t>
            </w:r>
          </w:p>
        </w:tc>
        <w:tc>
          <w:tcPr>
            <w:tcW w:w="103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277.5</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251.9</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25.6</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26.1</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9.2%</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83.6</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86.6</w:t>
            </w:r>
          </w:p>
        </w:tc>
      </w:tr>
      <w:tr w:rsidR="00851F2D" w:rsidRPr="000322D1" w:rsidTr="00380329">
        <w:trPr>
          <w:trHeight w:val="24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9/6/2013</w:t>
            </w:r>
          </w:p>
        </w:tc>
        <w:tc>
          <w:tcPr>
            <w:tcW w:w="960" w:type="dxa"/>
            <w:tcBorders>
              <w:top w:val="nil"/>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Fri</w:t>
            </w:r>
          </w:p>
        </w:tc>
        <w:tc>
          <w:tcPr>
            <w:tcW w:w="103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275.4</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249.2</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26.3</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26.8</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9.5%</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84.8</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91.1</w:t>
            </w:r>
          </w:p>
        </w:tc>
      </w:tr>
      <w:tr w:rsidR="00851F2D" w:rsidRPr="000322D1" w:rsidTr="00380329">
        <w:trPr>
          <w:trHeight w:val="24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2/7/2014</w:t>
            </w:r>
          </w:p>
        </w:tc>
        <w:tc>
          <w:tcPr>
            <w:tcW w:w="960" w:type="dxa"/>
            <w:tcBorders>
              <w:top w:val="nil"/>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Fri</w:t>
            </w:r>
          </w:p>
        </w:tc>
        <w:tc>
          <w:tcPr>
            <w:tcW w:w="103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185.1</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173.3</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11.8</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12.0</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6.4%</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61.3</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62.9</w:t>
            </w:r>
          </w:p>
        </w:tc>
      </w:tr>
      <w:tr w:rsidR="00851F2D" w:rsidRPr="000322D1" w:rsidTr="00380329">
        <w:trPr>
          <w:trHeight w:val="24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5/15/2014</w:t>
            </w:r>
          </w:p>
        </w:tc>
        <w:tc>
          <w:tcPr>
            <w:tcW w:w="960" w:type="dxa"/>
            <w:tcBorders>
              <w:top w:val="nil"/>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Thu</w:t>
            </w:r>
          </w:p>
        </w:tc>
        <w:tc>
          <w:tcPr>
            <w:tcW w:w="103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251.8</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228.0</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23.8</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24.3</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9.5%</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93.4</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98.0</w:t>
            </w:r>
          </w:p>
        </w:tc>
      </w:tr>
      <w:tr w:rsidR="00851F2D" w:rsidRPr="000322D1" w:rsidTr="00380329">
        <w:trPr>
          <w:trHeight w:val="24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7/31/2014</w:t>
            </w:r>
          </w:p>
        </w:tc>
        <w:tc>
          <w:tcPr>
            <w:tcW w:w="960" w:type="dxa"/>
            <w:tcBorders>
              <w:top w:val="nil"/>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Thu</w:t>
            </w:r>
          </w:p>
        </w:tc>
        <w:tc>
          <w:tcPr>
            <w:tcW w:w="103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256.5</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229.3</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27.3</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27.8</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10.6%</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79.2</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82.9</w:t>
            </w:r>
          </w:p>
        </w:tc>
      </w:tr>
      <w:tr w:rsidR="00851F2D" w:rsidRPr="000322D1" w:rsidTr="00380329">
        <w:trPr>
          <w:trHeight w:val="24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9/15/2014</w:t>
            </w:r>
          </w:p>
        </w:tc>
        <w:tc>
          <w:tcPr>
            <w:tcW w:w="960" w:type="dxa"/>
            <w:tcBorders>
              <w:top w:val="nil"/>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Mon</w:t>
            </w:r>
          </w:p>
        </w:tc>
        <w:tc>
          <w:tcPr>
            <w:tcW w:w="103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291.3</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266.6</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24.6</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25.1</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8.5%</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86.2</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91.3</w:t>
            </w:r>
          </w:p>
        </w:tc>
      </w:tr>
      <w:tr w:rsidR="00851F2D" w:rsidRPr="000322D1" w:rsidTr="00380329">
        <w:trPr>
          <w:trHeight w:val="24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9/16/2014</w:t>
            </w:r>
          </w:p>
        </w:tc>
        <w:tc>
          <w:tcPr>
            <w:tcW w:w="960" w:type="dxa"/>
            <w:tcBorders>
              <w:top w:val="nil"/>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Tue</w:t>
            </w:r>
          </w:p>
        </w:tc>
        <w:tc>
          <w:tcPr>
            <w:tcW w:w="103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294.8</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271.0</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23.9</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24.3</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8.1%</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91.0</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95.6</w:t>
            </w:r>
          </w:p>
        </w:tc>
      </w:tr>
      <w:tr w:rsidR="00851F2D" w:rsidRPr="000322D1" w:rsidTr="00380329">
        <w:trPr>
          <w:trHeight w:val="24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9/17/2014</w:t>
            </w:r>
          </w:p>
        </w:tc>
        <w:tc>
          <w:tcPr>
            <w:tcW w:w="960" w:type="dxa"/>
            <w:tcBorders>
              <w:top w:val="nil"/>
              <w:left w:val="nil"/>
              <w:bottom w:val="single" w:sz="4" w:space="0" w:color="auto"/>
              <w:right w:val="single" w:sz="4" w:space="0" w:color="auto"/>
            </w:tcBorders>
            <w:shd w:val="clear" w:color="auto" w:fill="auto"/>
            <w:noWrap/>
            <w:vAlign w:val="center"/>
            <w:hideMark/>
          </w:tcPr>
          <w:p w:rsidR="00851F2D" w:rsidRPr="000322D1" w:rsidRDefault="00851F2D" w:rsidP="00324486">
            <w:pPr>
              <w:jc w:val="center"/>
              <w:rPr>
                <w:rFonts w:ascii="Arial" w:hAnsi="Arial" w:cs="Arial"/>
                <w:sz w:val="18"/>
                <w:szCs w:val="18"/>
              </w:rPr>
            </w:pPr>
            <w:r w:rsidRPr="000322D1">
              <w:rPr>
                <w:rFonts w:ascii="Arial" w:hAnsi="Arial" w:cs="Arial"/>
                <w:sz w:val="18"/>
                <w:szCs w:val="18"/>
              </w:rPr>
              <w:t>Wed</w:t>
            </w:r>
          </w:p>
        </w:tc>
        <w:tc>
          <w:tcPr>
            <w:tcW w:w="103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1,020</w:t>
            </w:r>
          </w:p>
        </w:tc>
        <w:tc>
          <w:tcPr>
            <w:tcW w:w="108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287.0</w:t>
            </w:r>
          </w:p>
        </w:tc>
        <w:tc>
          <w:tcPr>
            <w:tcW w:w="105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263.7</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23.3</w:t>
            </w:r>
          </w:p>
        </w:tc>
        <w:tc>
          <w:tcPr>
            <w:tcW w:w="1107"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23.8</w:t>
            </w:r>
          </w:p>
        </w:tc>
        <w:tc>
          <w:tcPr>
            <w:tcW w:w="1096"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8.1%</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82.7</w:t>
            </w:r>
          </w:p>
        </w:tc>
        <w:tc>
          <w:tcPr>
            <w:tcW w:w="960" w:type="dxa"/>
            <w:tcBorders>
              <w:top w:val="nil"/>
              <w:left w:val="nil"/>
              <w:bottom w:val="single" w:sz="4" w:space="0" w:color="auto"/>
              <w:right w:val="single" w:sz="4" w:space="0" w:color="auto"/>
            </w:tcBorders>
            <w:shd w:val="clear" w:color="auto" w:fill="auto"/>
            <w:noWrap/>
            <w:vAlign w:val="bottom"/>
            <w:hideMark/>
          </w:tcPr>
          <w:p w:rsidR="00851F2D" w:rsidRPr="000322D1" w:rsidRDefault="00851F2D" w:rsidP="00324486">
            <w:pPr>
              <w:jc w:val="center"/>
              <w:rPr>
                <w:rFonts w:ascii="Arial" w:hAnsi="Arial" w:cs="Arial"/>
                <w:color w:val="000000"/>
                <w:sz w:val="18"/>
                <w:szCs w:val="18"/>
              </w:rPr>
            </w:pPr>
            <w:r w:rsidRPr="000322D1">
              <w:rPr>
                <w:rFonts w:ascii="Arial" w:hAnsi="Arial" w:cs="Arial"/>
                <w:color w:val="000000"/>
                <w:sz w:val="18"/>
                <w:szCs w:val="18"/>
              </w:rPr>
              <w:t>92.1</w:t>
            </w:r>
          </w:p>
        </w:tc>
      </w:tr>
    </w:tbl>
    <w:p w:rsidR="00380329" w:rsidRDefault="00380329" w:rsidP="00380329">
      <w:pPr>
        <w:pStyle w:val="TableFigureCaption"/>
      </w:pPr>
    </w:p>
    <w:p w:rsidR="00380329" w:rsidRPr="00380329" w:rsidRDefault="00380329" w:rsidP="00BD6D97">
      <w:pPr>
        <w:pStyle w:val="TableFigureCaption"/>
        <w:spacing w:line="276" w:lineRule="auto"/>
        <w:ind w:firstLine="720"/>
        <w:jc w:val="left"/>
        <w:rPr>
          <w:rFonts w:ascii="Times New Roman" w:hAnsi="Times New Roman"/>
          <w:b w:val="0"/>
          <w:color w:val="000000" w:themeColor="text1"/>
          <w:sz w:val="24"/>
          <w:szCs w:val="24"/>
        </w:rPr>
      </w:pPr>
      <w:r w:rsidRPr="00380329">
        <w:rPr>
          <w:rFonts w:ascii="Times New Roman" w:hAnsi="Times New Roman"/>
          <w:b w:val="0"/>
          <w:color w:val="000000" w:themeColor="text1"/>
          <w:sz w:val="24"/>
          <w:szCs w:val="24"/>
        </w:rPr>
        <w:t>Table 3-3 shows SDG&amp;E’s enrollment projections for large C&amp;I CPP customers through 2025.  Overall, 1,142 large customers were enrolled in default CPP in 2014. The forecasted year-</w:t>
      </w:r>
      <w:r w:rsidRPr="00380329">
        <w:rPr>
          <w:rFonts w:ascii="Times New Roman" w:hAnsi="Times New Roman"/>
          <w:b w:val="0"/>
          <w:color w:val="000000" w:themeColor="text1"/>
          <w:sz w:val="24"/>
          <w:szCs w:val="24"/>
        </w:rPr>
        <w:lastRenderedPageBreak/>
        <w:t>to-year change in enrollment is minimal and simply reflects the expected growth of SDG&amp;E’s large customer population.  Years 2017 through 2024 are omitted as enrollment in these years follows a similar trend to that which occurs throughout 2015 and 2016.</w:t>
      </w:r>
    </w:p>
    <w:p w:rsidR="00380329" w:rsidRPr="00380329" w:rsidRDefault="00380329" w:rsidP="00380329">
      <w:pPr>
        <w:pStyle w:val="BodyParaAfterTableFigure"/>
      </w:pPr>
    </w:p>
    <w:p w:rsidR="00380329" w:rsidRPr="00F45B53" w:rsidRDefault="00380329" w:rsidP="00380329">
      <w:pPr>
        <w:pStyle w:val="TableFigureCaption"/>
        <w:rPr>
          <w:rFonts w:ascii="Times New Roman" w:hAnsi="Times New Roman"/>
          <w:sz w:val="20"/>
          <w:szCs w:val="20"/>
        </w:rPr>
      </w:pPr>
      <w:r w:rsidRPr="00F45B53">
        <w:rPr>
          <w:rFonts w:ascii="Times New Roman" w:hAnsi="Times New Roman"/>
          <w:sz w:val="20"/>
          <w:szCs w:val="20"/>
        </w:rPr>
        <w:t>Table 3-3: SDG&amp;E Enrollment Projections for Large C&amp;I CPP Customers</w:t>
      </w:r>
      <w:r w:rsidRPr="00F45B53">
        <w:rPr>
          <w:rFonts w:ascii="Times New Roman" w:hAnsi="Times New Roman"/>
          <w:sz w:val="20"/>
          <w:szCs w:val="20"/>
        </w:rPr>
        <w:br/>
      </w:r>
      <w:r w:rsidR="00010DD2" w:rsidRPr="00F45B53">
        <w:rPr>
          <w:rFonts w:ascii="Times New Roman" w:hAnsi="Times New Roman"/>
          <w:sz w:val="20"/>
          <w:szCs w:val="20"/>
        </w:rPr>
        <w:t>b</w:t>
      </w:r>
      <w:r w:rsidRPr="00F45B53">
        <w:rPr>
          <w:rFonts w:ascii="Times New Roman" w:hAnsi="Times New Roman"/>
          <w:sz w:val="20"/>
          <w:szCs w:val="20"/>
        </w:rPr>
        <w:t>y Forecast Year and Month</w:t>
      </w:r>
    </w:p>
    <w:tbl>
      <w:tblPr>
        <w:tblW w:w="8540" w:type="dxa"/>
        <w:jc w:val="center"/>
        <w:tblLook w:val="04A0" w:firstRow="1" w:lastRow="0" w:firstColumn="1" w:lastColumn="0" w:noHBand="0" w:noVBand="1"/>
      </w:tblPr>
      <w:tblGrid>
        <w:gridCol w:w="620"/>
        <w:gridCol w:w="667"/>
        <w:gridCol w:w="667"/>
        <w:gridCol w:w="667"/>
        <w:gridCol w:w="667"/>
        <w:gridCol w:w="667"/>
        <w:gridCol w:w="667"/>
        <w:gridCol w:w="667"/>
        <w:gridCol w:w="667"/>
        <w:gridCol w:w="667"/>
        <w:gridCol w:w="667"/>
        <w:gridCol w:w="667"/>
        <w:gridCol w:w="667"/>
      </w:tblGrid>
      <w:tr w:rsidR="00380329" w:rsidRPr="00345A3E" w:rsidTr="00324486">
        <w:trPr>
          <w:trHeight w:val="302"/>
          <w:jc w:val="center"/>
        </w:trPr>
        <w:tc>
          <w:tcPr>
            <w:tcW w:w="620" w:type="dxa"/>
            <w:tcBorders>
              <w:top w:val="single" w:sz="4" w:space="0" w:color="000000"/>
              <w:left w:val="single" w:sz="4" w:space="0" w:color="000000"/>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Year</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Jan.</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Feb.</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Mar.</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Apr.</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May</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Jun.</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Jul.</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Aug.</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Sep.</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Oct.</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Nov.</w:t>
            </w:r>
          </w:p>
        </w:tc>
        <w:tc>
          <w:tcPr>
            <w:tcW w:w="660" w:type="dxa"/>
            <w:tcBorders>
              <w:top w:val="single" w:sz="4" w:space="0" w:color="000000"/>
              <w:left w:val="nil"/>
              <w:bottom w:val="single" w:sz="4" w:space="0" w:color="000000"/>
              <w:right w:val="single" w:sz="4" w:space="0" w:color="000000"/>
            </w:tcBorders>
            <w:shd w:val="clear" w:color="000000" w:fill="0070CD"/>
            <w:noWrap/>
            <w:vAlign w:val="center"/>
            <w:hideMark/>
          </w:tcPr>
          <w:p w:rsidR="00380329" w:rsidRPr="00F45B53" w:rsidRDefault="00380329" w:rsidP="00324486">
            <w:pPr>
              <w:jc w:val="center"/>
              <w:rPr>
                <w:rFonts w:ascii="Arial" w:hAnsi="Arial" w:cs="Arial"/>
                <w:b/>
                <w:bCs/>
                <w:color w:val="FFFFFF"/>
                <w:sz w:val="18"/>
                <w:szCs w:val="18"/>
              </w:rPr>
            </w:pPr>
            <w:r w:rsidRPr="00F45B53">
              <w:rPr>
                <w:rFonts w:ascii="Arial" w:hAnsi="Arial" w:cs="Arial"/>
                <w:b/>
                <w:bCs/>
                <w:color w:val="FFFFFF"/>
                <w:sz w:val="18"/>
                <w:szCs w:val="18"/>
              </w:rPr>
              <w:t>Dec.</w:t>
            </w:r>
          </w:p>
        </w:tc>
      </w:tr>
      <w:tr w:rsidR="00380329" w:rsidRPr="00345A3E" w:rsidTr="00324486">
        <w:trPr>
          <w:trHeight w:val="302"/>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2015</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1,251</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1,251</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1,252</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1,252</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1,252</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1,253</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1,253</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1,253</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1,254</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1,254</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1,254</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1,255</w:t>
            </w:r>
          </w:p>
        </w:tc>
      </w:tr>
      <w:tr w:rsidR="00380329" w:rsidRPr="00345A3E" w:rsidTr="00324486">
        <w:trPr>
          <w:trHeight w:val="302"/>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2016</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1,256</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1,258</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1,259</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1,261</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1,262</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1,264</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1,265</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1,267</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1,268</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1,270</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1,272</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1,273</w:t>
            </w:r>
          </w:p>
        </w:tc>
      </w:tr>
      <w:tr w:rsidR="00380329" w:rsidRPr="00345A3E" w:rsidTr="00324486">
        <w:trPr>
          <w:trHeight w:val="302"/>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2025</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1,396</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1,397</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1,398</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1,400</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1,401</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1,402</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1,404</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1,405</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1,406</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1,408</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1,409</w:t>
            </w:r>
          </w:p>
        </w:tc>
        <w:tc>
          <w:tcPr>
            <w:tcW w:w="660" w:type="dxa"/>
            <w:tcBorders>
              <w:top w:val="nil"/>
              <w:left w:val="nil"/>
              <w:bottom w:val="single" w:sz="4" w:space="0" w:color="000000"/>
              <w:right w:val="single" w:sz="4" w:space="0" w:color="000000"/>
            </w:tcBorders>
            <w:shd w:val="clear" w:color="auto" w:fill="auto"/>
            <w:noWrap/>
            <w:vAlign w:val="center"/>
            <w:hideMark/>
          </w:tcPr>
          <w:p w:rsidR="00380329" w:rsidRPr="00F45B53" w:rsidRDefault="00380329" w:rsidP="00324486">
            <w:pPr>
              <w:jc w:val="center"/>
              <w:rPr>
                <w:rFonts w:ascii="Arial" w:hAnsi="Arial" w:cs="Arial"/>
                <w:color w:val="000000"/>
                <w:sz w:val="18"/>
                <w:szCs w:val="18"/>
              </w:rPr>
            </w:pPr>
            <w:r w:rsidRPr="00F45B53">
              <w:rPr>
                <w:rFonts w:ascii="Arial" w:hAnsi="Arial" w:cs="Arial"/>
                <w:color w:val="000000"/>
                <w:sz w:val="18"/>
                <w:szCs w:val="18"/>
              </w:rPr>
              <w:t>1,410</w:t>
            </w:r>
          </w:p>
        </w:tc>
      </w:tr>
    </w:tbl>
    <w:p w:rsidR="005E7CE7" w:rsidRDefault="005E7CE7" w:rsidP="005E7CE7">
      <w:pPr>
        <w:pStyle w:val="Heading4"/>
        <w:rPr>
          <w:rFonts w:ascii="Times New Roman" w:hAnsi="Times New Roman"/>
          <w:sz w:val="24"/>
          <w:szCs w:val="24"/>
        </w:rPr>
      </w:pPr>
      <w:r w:rsidRPr="005E7CE7">
        <w:rPr>
          <w:rFonts w:ascii="Times New Roman" w:hAnsi="Times New Roman"/>
          <w:sz w:val="24"/>
          <w:szCs w:val="24"/>
        </w:rPr>
        <w:t>Annual System Peak Day Impacts</w:t>
      </w:r>
    </w:p>
    <w:p w:rsidR="005E7CE7" w:rsidRDefault="005E7CE7" w:rsidP="005E7CE7"/>
    <w:p w:rsidR="00BD6D97" w:rsidRPr="00BD6D97" w:rsidRDefault="00BD6D97" w:rsidP="00BD6D97">
      <w:pPr>
        <w:pStyle w:val="BodyParagraph"/>
        <w:ind w:firstLine="720"/>
        <w:rPr>
          <w:rFonts w:ascii="Times New Roman" w:hAnsi="Times New Roman"/>
          <w:color w:val="000000" w:themeColor="text1"/>
          <w:sz w:val="24"/>
          <w:szCs w:val="24"/>
        </w:rPr>
      </w:pPr>
      <w:r w:rsidRPr="00BD6D97">
        <w:rPr>
          <w:rFonts w:ascii="Times New Roman" w:hAnsi="Times New Roman"/>
          <w:color w:val="000000" w:themeColor="text1"/>
          <w:sz w:val="24"/>
          <w:szCs w:val="24"/>
        </w:rPr>
        <w:t xml:space="preserve">Table </w:t>
      </w:r>
      <w:r>
        <w:rPr>
          <w:rFonts w:ascii="Times New Roman" w:hAnsi="Times New Roman"/>
          <w:color w:val="000000" w:themeColor="text1"/>
          <w:sz w:val="24"/>
          <w:szCs w:val="24"/>
        </w:rPr>
        <w:t>3-4</w:t>
      </w:r>
      <w:r w:rsidRPr="00BD6D97">
        <w:rPr>
          <w:rFonts w:ascii="Times New Roman" w:hAnsi="Times New Roman"/>
          <w:color w:val="000000" w:themeColor="text1"/>
          <w:sz w:val="24"/>
          <w:szCs w:val="24"/>
        </w:rPr>
        <w:t xml:space="preserve"> summarizes the aggregate load impact estimates for large customers on SDG&amp;E’s CPP tariff for each forecast year under both 1-in-2 and 1-in-10 year weather scenarios based on both SDG&amp;E and CAISO weather scenarios.  The table shows the average load reduction across the 11 AM to 6 PM event period for an August monthly system peak day.  </w:t>
      </w:r>
    </w:p>
    <w:p w:rsidR="00BD6D97" w:rsidRPr="00BD6D97" w:rsidRDefault="00BD6D97" w:rsidP="00BD6D97">
      <w:pPr>
        <w:pStyle w:val="BodyParagraph"/>
        <w:ind w:firstLine="720"/>
        <w:rPr>
          <w:rFonts w:ascii="Times New Roman" w:hAnsi="Times New Roman"/>
          <w:color w:val="000000" w:themeColor="text1"/>
          <w:sz w:val="24"/>
          <w:szCs w:val="24"/>
        </w:rPr>
      </w:pPr>
      <w:r w:rsidRPr="00BD6D97">
        <w:rPr>
          <w:rFonts w:ascii="Times New Roman" w:hAnsi="Times New Roman"/>
          <w:color w:val="000000" w:themeColor="text1"/>
          <w:sz w:val="24"/>
          <w:szCs w:val="24"/>
        </w:rPr>
        <w:t>Looking first at the aggregate load impacts based on normal, SDG&amp;E-specific 1-in-2 year weather conditions, load reductions grow from roughly 25 MW to 28 MW between 2015 and 2025.  Impacts based on 1-in-10 year SDG&amp;E weather conditions equal roughly 27 MW in 2015 and grow to 30 MW by 2025.  These estimates equal roughly 8% of the aggregate reference load for large C&amp;I customers.  Impacts estimates based on CAISO weather 1-in-2 year weather conditions are roughly 2% larger than the estimates based on SDG&amp;E weather.  The CAISO 1-in-10 year weather values produce a load reduction that is about 5% less than the 1-in-10 year SDG&amp;E estimates.</w:t>
      </w:r>
      <w:r w:rsidRPr="00BD6D97">
        <w:rPr>
          <w:rFonts w:ascii="Times New Roman" w:hAnsi="Times New Roman"/>
          <w:color w:val="000000" w:themeColor="text1"/>
          <w:sz w:val="24"/>
          <w:szCs w:val="24"/>
        </w:rPr>
        <w:br w:type="page"/>
      </w:r>
    </w:p>
    <w:p w:rsidR="00BD6D97" w:rsidRPr="00781210" w:rsidRDefault="00BD6D97" w:rsidP="00BD6D97">
      <w:pPr>
        <w:pStyle w:val="TableFigureCaption"/>
        <w:rPr>
          <w:rFonts w:ascii="Times New Roman" w:hAnsi="Times New Roman"/>
          <w:sz w:val="20"/>
          <w:szCs w:val="20"/>
        </w:rPr>
      </w:pPr>
      <w:r w:rsidRPr="00781210">
        <w:rPr>
          <w:rFonts w:ascii="Times New Roman" w:hAnsi="Times New Roman"/>
          <w:sz w:val="20"/>
          <w:szCs w:val="20"/>
        </w:rPr>
        <w:lastRenderedPageBreak/>
        <w:t xml:space="preserve">Table 3-4: Default CPP Ex Ante Load Impact Estimates by Weather </w:t>
      </w:r>
      <w:r w:rsidRPr="00781210">
        <w:rPr>
          <w:rFonts w:ascii="Times New Roman" w:hAnsi="Times New Roman"/>
          <w:sz w:val="20"/>
          <w:szCs w:val="20"/>
        </w:rPr>
        <w:br/>
        <w:t>Scenario for Large C&amp;I</w:t>
      </w:r>
      <w:r w:rsidRPr="00781210">
        <w:rPr>
          <w:rFonts w:ascii="Times New Roman" w:hAnsi="Times New Roman"/>
          <w:sz w:val="20"/>
          <w:szCs w:val="20"/>
        </w:rPr>
        <w:br/>
        <w:t>SDG&amp;E August System Peak Day (11 AM to 6 PM)</w:t>
      </w:r>
    </w:p>
    <w:tbl>
      <w:tblPr>
        <w:tblW w:w="10080" w:type="dxa"/>
        <w:jc w:val="center"/>
        <w:tblInd w:w="93" w:type="dxa"/>
        <w:tblLook w:val="04A0" w:firstRow="1" w:lastRow="0" w:firstColumn="1" w:lastColumn="0" w:noHBand="0" w:noVBand="1"/>
      </w:tblPr>
      <w:tblGrid>
        <w:gridCol w:w="1120"/>
        <w:gridCol w:w="1006"/>
        <w:gridCol w:w="1120"/>
        <w:gridCol w:w="1128"/>
        <w:gridCol w:w="1206"/>
        <w:gridCol w:w="1206"/>
        <w:gridCol w:w="1206"/>
        <w:gridCol w:w="1194"/>
        <w:gridCol w:w="1120"/>
      </w:tblGrid>
      <w:tr w:rsidR="00BD6D97" w:rsidRPr="00586162" w:rsidTr="00324486">
        <w:trPr>
          <w:trHeight w:val="1020"/>
          <w:jc w:val="center"/>
        </w:trPr>
        <w:tc>
          <w:tcPr>
            <w:tcW w:w="1120" w:type="dxa"/>
            <w:vMerge w:val="restart"/>
            <w:tcBorders>
              <w:top w:val="single" w:sz="4" w:space="0" w:color="auto"/>
              <w:left w:val="single" w:sz="4" w:space="0" w:color="auto"/>
              <w:bottom w:val="single" w:sz="4" w:space="0" w:color="000000"/>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Weather Type</w:t>
            </w:r>
          </w:p>
        </w:tc>
        <w:tc>
          <w:tcPr>
            <w:tcW w:w="1120"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Weather Year</w:t>
            </w:r>
          </w:p>
        </w:tc>
        <w:tc>
          <w:tcPr>
            <w:tcW w:w="1120"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Year</w:t>
            </w:r>
          </w:p>
        </w:tc>
        <w:tc>
          <w:tcPr>
            <w:tcW w:w="1120"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Enrolled Accounts</w:t>
            </w:r>
          </w:p>
        </w:tc>
        <w:tc>
          <w:tcPr>
            <w:tcW w:w="1120" w:type="dxa"/>
            <w:tcBorders>
              <w:top w:val="single" w:sz="4" w:space="0" w:color="auto"/>
              <w:left w:val="nil"/>
              <w:bottom w:val="single" w:sz="4" w:space="0" w:color="FFFFFF"/>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Aggregate Reference Load</w:t>
            </w:r>
          </w:p>
        </w:tc>
        <w:tc>
          <w:tcPr>
            <w:tcW w:w="1120" w:type="dxa"/>
            <w:tcBorders>
              <w:top w:val="single" w:sz="4" w:space="0" w:color="auto"/>
              <w:left w:val="nil"/>
              <w:bottom w:val="single" w:sz="4" w:space="0" w:color="FFFFFF"/>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Aggregate Estimated Load w/ DR</w:t>
            </w:r>
          </w:p>
        </w:tc>
        <w:tc>
          <w:tcPr>
            <w:tcW w:w="1120" w:type="dxa"/>
            <w:tcBorders>
              <w:top w:val="single" w:sz="4" w:space="0" w:color="auto"/>
              <w:left w:val="nil"/>
              <w:bottom w:val="single" w:sz="4" w:space="0" w:color="FFFFFF"/>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Aggregate Load Impact</w:t>
            </w:r>
          </w:p>
        </w:tc>
        <w:tc>
          <w:tcPr>
            <w:tcW w:w="1120" w:type="dxa"/>
            <w:tcBorders>
              <w:top w:val="single" w:sz="4" w:space="0" w:color="auto"/>
              <w:left w:val="nil"/>
              <w:bottom w:val="single" w:sz="4" w:space="0" w:color="FFFFFF"/>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 Load Reduction</w:t>
            </w:r>
          </w:p>
        </w:tc>
        <w:tc>
          <w:tcPr>
            <w:tcW w:w="1120" w:type="dxa"/>
            <w:tcBorders>
              <w:top w:val="single" w:sz="4" w:space="0" w:color="auto"/>
              <w:left w:val="nil"/>
              <w:bottom w:val="single" w:sz="4" w:space="0" w:color="FFFFFF"/>
              <w:right w:val="single" w:sz="4" w:space="0" w:color="auto"/>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Weighted Temp.</w:t>
            </w:r>
          </w:p>
        </w:tc>
      </w:tr>
      <w:tr w:rsidR="00BD6D97" w:rsidRPr="00586162" w:rsidTr="00324486">
        <w:trPr>
          <w:trHeight w:val="510"/>
          <w:jc w:val="center"/>
        </w:trPr>
        <w:tc>
          <w:tcPr>
            <w:tcW w:w="1120" w:type="dxa"/>
            <w:vMerge/>
            <w:tcBorders>
              <w:top w:val="single" w:sz="4" w:space="0" w:color="auto"/>
              <w:left w:val="single" w:sz="4" w:space="0" w:color="auto"/>
              <w:bottom w:val="single" w:sz="4" w:space="0" w:color="000000"/>
              <w:right w:val="single" w:sz="4" w:space="0" w:color="FFFFFF"/>
            </w:tcBorders>
            <w:vAlign w:val="center"/>
            <w:hideMark/>
          </w:tcPr>
          <w:p w:rsidR="00BD6D97" w:rsidRPr="00586162" w:rsidRDefault="00BD6D97" w:rsidP="00324486">
            <w:pPr>
              <w:rPr>
                <w:rFonts w:ascii="Arial" w:hAnsi="Arial" w:cs="Arial"/>
                <w:b/>
                <w:bCs/>
                <w:color w:val="FFFFFF"/>
                <w:sz w:val="20"/>
                <w:szCs w:val="20"/>
              </w:rPr>
            </w:pPr>
          </w:p>
        </w:tc>
        <w:tc>
          <w:tcPr>
            <w:tcW w:w="1120" w:type="dxa"/>
            <w:vMerge/>
            <w:tcBorders>
              <w:top w:val="single" w:sz="4" w:space="0" w:color="auto"/>
              <w:left w:val="single" w:sz="4" w:space="0" w:color="FFFFFF"/>
              <w:bottom w:val="single" w:sz="4" w:space="0" w:color="000000"/>
              <w:right w:val="single" w:sz="4" w:space="0" w:color="FFFFFF"/>
            </w:tcBorders>
            <w:vAlign w:val="center"/>
            <w:hideMark/>
          </w:tcPr>
          <w:p w:rsidR="00BD6D97" w:rsidRPr="00586162" w:rsidRDefault="00BD6D97" w:rsidP="00324486">
            <w:pPr>
              <w:rPr>
                <w:rFonts w:ascii="Arial" w:hAnsi="Arial" w:cs="Arial"/>
                <w:b/>
                <w:bCs/>
                <w:color w:val="FFFFFF"/>
                <w:sz w:val="20"/>
                <w:szCs w:val="20"/>
              </w:rPr>
            </w:pPr>
          </w:p>
        </w:tc>
        <w:tc>
          <w:tcPr>
            <w:tcW w:w="1120" w:type="dxa"/>
            <w:vMerge/>
            <w:tcBorders>
              <w:top w:val="single" w:sz="4" w:space="0" w:color="auto"/>
              <w:left w:val="single" w:sz="4" w:space="0" w:color="FFFFFF"/>
              <w:bottom w:val="single" w:sz="4" w:space="0" w:color="000000"/>
              <w:right w:val="single" w:sz="4" w:space="0" w:color="FFFFFF"/>
            </w:tcBorders>
            <w:vAlign w:val="center"/>
            <w:hideMark/>
          </w:tcPr>
          <w:p w:rsidR="00BD6D97" w:rsidRPr="00586162" w:rsidRDefault="00BD6D97" w:rsidP="00324486">
            <w:pPr>
              <w:rPr>
                <w:rFonts w:ascii="Arial" w:hAnsi="Arial" w:cs="Arial"/>
                <w:b/>
                <w:bCs/>
                <w:color w:val="FFFFFF"/>
                <w:sz w:val="20"/>
                <w:szCs w:val="20"/>
              </w:rPr>
            </w:pPr>
          </w:p>
        </w:tc>
        <w:tc>
          <w:tcPr>
            <w:tcW w:w="1120" w:type="dxa"/>
            <w:vMerge/>
            <w:tcBorders>
              <w:top w:val="single" w:sz="4" w:space="0" w:color="auto"/>
              <w:left w:val="single" w:sz="4" w:space="0" w:color="FFFFFF"/>
              <w:bottom w:val="single" w:sz="4" w:space="0" w:color="000000"/>
              <w:right w:val="single" w:sz="4" w:space="0" w:color="FFFFFF"/>
            </w:tcBorders>
            <w:vAlign w:val="center"/>
            <w:hideMark/>
          </w:tcPr>
          <w:p w:rsidR="00BD6D97" w:rsidRPr="00586162" w:rsidRDefault="00BD6D97" w:rsidP="00324486">
            <w:pPr>
              <w:rPr>
                <w:rFonts w:ascii="Arial" w:hAnsi="Arial" w:cs="Arial"/>
                <w:b/>
                <w:bCs/>
                <w:color w:val="FFFFFF"/>
                <w:sz w:val="20"/>
                <w:szCs w:val="20"/>
              </w:rPr>
            </w:pPr>
          </w:p>
        </w:tc>
        <w:tc>
          <w:tcPr>
            <w:tcW w:w="1120" w:type="dxa"/>
            <w:tcBorders>
              <w:top w:val="nil"/>
              <w:left w:val="nil"/>
              <w:bottom w:val="single" w:sz="4" w:space="0" w:color="auto"/>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(MW  1-6 PM)</w:t>
            </w:r>
          </w:p>
        </w:tc>
        <w:tc>
          <w:tcPr>
            <w:tcW w:w="1120" w:type="dxa"/>
            <w:tcBorders>
              <w:top w:val="nil"/>
              <w:left w:val="nil"/>
              <w:bottom w:val="single" w:sz="4" w:space="0" w:color="auto"/>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(MW  1-6 PM)</w:t>
            </w:r>
          </w:p>
        </w:tc>
        <w:tc>
          <w:tcPr>
            <w:tcW w:w="1120" w:type="dxa"/>
            <w:tcBorders>
              <w:top w:val="nil"/>
              <w:left w:val="nil"/>
              <w:bottom w:val="single" w:sz="4" w:space="0" w:color="auto"/>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(MW  1-6 PM)</w:t>
            </w:r>
          </w:p>
        </w:tc>
        <w:tc>
          <w:tcPr>
            <w:tcW w:w="1120" w:type="dxa"/>
            <w:tcBorders>
              <w:top w:val="nil"/>
              <w:left w:val="nil"/>
              <w:bottom w:val="single" w:sz="4" w:space="0" w:color="auto"/>
              <w:right w:val="single" w:sz="4" w:space="0" w:color="FFFFFF"/>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w:t>
            </w:r>
          </w:p>
        </w:tc>
        <w:tc>
          <w:tcPr>
            <w:tcW w:w="1120" w:type="dxa"/>
            <w:tcBorders>
              <w:top w:val="nil"/>
              <w:left w:val="nil"/>
              <w:bottom w:val="single" w:sz="4" w:space="0" w:color="auto"/>
              <w:right w:val="single" w:sz="4" w:space="0" w:color="auto"/>
            </w:tcBorders>
            <w:shd w:val="clear" w:color="000000" w:fill="0070CD"/>
            <w:vAlign w:val="center"/>
            <w:hideMark/>
          </w:tcPr>
          <w:p w:rsidR="00BD6D97" w:rsidRPr="00586162" w:rsidRDefault="00BD6D97" w:rsidP="00324486">
            <w:pPr>
              <w:jc w:val="center"/>
              <w:rPr>
                <w:rFonts w:ascii="Arial" w:hAnsi="Arial" w:cs="Arial"/>
                <w:b/>
                <w:bCs/>
                <w:color w:val="FFFFFF"/>
                <w:sz w:val="20"/>
                <w:szCs w:val="20"/>
              </w:rPr>
            </w:pPr>
            <w:r w:rsidRPr="00586162">
              <w:rPr>
                <w:rFonts w:ascii="Arial" w:hAnsi="Arial" w:cs="Arial"/>
                <w:b/>
                <w:bCs/>
                <w:color w:val="FFFFFF"/>
                <w:sz w:val="20"/>
                <w:szCs w:val="20"/>
              </w:rPr>
              <w:t>(°F)</w:t>
            </w:r>
          </w:p>
        </w:tc>
      </w:tr>
      <w:tr w:rsidR="00BD6D97" w:rsidRPr="00586162" w:rsidTr="00324486">
        <w:trPr>
          <w:trHeight w:val="255"/>
          <w:jc w:val="center"/>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SDG&amp;E</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1-in-10</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2015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1,253</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322.6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295.2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27.4</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86.6</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2016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1,267</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326.0</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298.4</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27.6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86.6</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2025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1,405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361.2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330.9</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30.4</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8.4%</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86.6</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1-in-2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2015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1,253</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308.6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283.4</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25.2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81.0</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2016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1,267</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311.9</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286.5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25.4</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81.0</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2025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1,405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345.5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317.6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27.9</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8.1%</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81.0</w:t>
            </w:r>
          </w:p>
        </w:tc>
      </w:tr>
      <w:tr w:rsidR="00BD6D97" w:rsidRPr="00586162" w:rsidTr="00324486">
        <w:trPr>
          <w:trHeight w:val="255"/>
          <w:jc w:val="center"/>
        </w:trPr>
        <w:tc>
          <w:tcPr>
            <w:tcW w:w="11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CAISO</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1-in-10</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2015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1,253</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314.5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288.4</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26.1</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8.3%</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83.6</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2016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1,267</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317.9</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291.5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26.4</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8.3%</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83.6</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2025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1,405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352.2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323.2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29.0</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83.6</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1-in-2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2015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1,253</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312.4</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286.6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25.8</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8.3%</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83.6</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2016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1,267</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315.8</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289.7</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26.0</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83.6</w:t>
            </w:r>
          </w:p>
        </w:tc>
      </w:tr>
      <w:tr w:rsidR="00BD6D97" w:rsidRPr="00586162" w:rsidTr="00324486">
        <w:trPr>
          <w:trHeight w:val="255"/>
          <w:jc w:val="center"/>
        </w:trPr>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BD6D97" w:rsidRPr="00586162" w:rsidRDefault="00BD6D97" w:rsidP="00324486">
            <w:pPr>
              <w:rPr>
                <w:rFonts w:ascii="Arial" w:hAnsi="Arial" w:cs="Arial"/>
                <w:color w:val="000000"/>
                <w:sz w:val="20"/>
                <w:szCs w:val="20"/>
              </w:rPr>
            </w:pP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2025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1,405</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349.8</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321.2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28.6</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BD6D97" w:rsidRPr="00586162" w:rsidRDefault="00BD6D97" w:rsidP="00324486">
            <w:pPr>
              <w:jc w:val="center"/>
              <w:rPr>
                <w:rFonts w:ascii="Arial" w:hAnsi="Arial" w:cs="Arial"/>
                <w:color w:val="000000"/>
                <w:sz w:val="20"/>
                <w:szCs w:val="20"/>
              </w:rPr>
            </w:pPr>
            <w:r w:rsidRPr="00586162">
              <w:rPr>
                <w:rFonts w:ascii="Arial" w:hAnsi="Arial" w:cs="Arial"/>
                <w:color w:val="000000"/>
                <w:sz w:val="20"/>
                <w:szCs w:val="20"/>
              </w:rPr>
              <w:t>83.6</w:t>
            </w:r>
          </w:p>
        </w:tc>
      </w:tr>
    </w:tbl>
    <w:p w:rsidR="00BD6D97" w:rsidRDefault="00BD6D97" w:rsidP="00BD6D97">
      <w:pPr>
        <w:pStyle w:val="BodyParagraph"/>
      </w:pPr>
    </w:p>
    <w:p w:rsidR="005D030B" w:rsidRPr="005D030B" w:rsidRDefault="005D030B" w:rsidP="00AF484A">
      <w:pPr>
        <w:pStyle w:val="Heading4"/>
        <w:spacing w:before="0" w:after="0"/>
        <w:rPr>
          <w:rFonts w:ascii="Times New Roman" w:hAnsi="Times New Roman"/>
          <w:sz w:val="24"/>
          <w:szCs w:val="24"/>
        </w:rPr>
      </w:pPr>
      <w:r w:rsidRPr="005D030B">
        <w:rPr>
          <w:rFonts w:ascii="Times New Roman" w:hAnsi="Times New Roman"/>
          <w:sz w:val="24"/>
          <w:szCs w:val="24"/>
        </w:rPr>
        <w:t>Ex Ante Load Impact Uncertainty</w:t>
      </w:r>
    </w:p>
    <w:p w:rsidR="00AF484A" w:rsidRDefault="00AF484A" w:rsidP="00AF484A">
      <w:pPr>
        <w:pStyle w:val="BodyParagraph"/>
        <w:spacing w:after="0" w:line="240" w:lineRule="auto"/>
        <w:ind w:firstLine="720"/>
        <w:rPr>
          <w:rFonts w:ascii="Times New Roman" w:hAnsi="Times New Roman"/>
          <w:color w:val="000000" w:themeColor="text1"/>
          <w:sz w:val="24"/>
          <w:szCs w:val="24"/>
        </w:rPr>
      </w:pPr>
    </w:p>
    <w:p w:rsidR="00D374FC" w:rsidRDefault="005D030B" w:rsidP="005D030B">
      <w:pPr>
        <w:pStyle w:val="BodyParagraph"/>
        <w:ind w:firstLine="720"/>
        <w:rPr>
          <w:rFonts w:ascii="Times New Roman" w:hAnsi="Times New Roman"/>
          <w:color w:val="000000" w:themeColor="text1"/>
          <w:sz w:val="24"/>
          <w:szCs w:val="24"/>
        </w:rPr>
      </w:pPr>
      <w:r w:rsidRPr="005D030B">
        <w:rPr>
          <w:rFonts w:ascii="Times New Roman" w:hAnsi="Times New Roman"/>
          <w:color w:val="000000" w:themeColor="text1"/>
          <w:sz w:val="24"/>
          <w:szCs w:val="24"/>
        </w:rPr>
        <w:t xml:space="preserve">Table </w:t>
      </w:r>
      <w:r>
        <w:rPr>
          <w:rFonts w:ascii="Times New Roman" w:hAnsi="Times New Roman"/>
          <w:color w:val="000000" w:themeColor="text1"/>
          <w:sz w:val="24"/>
          <w:szCs w:val="24"/>
        </w:rPr>
        <w:t>3</w:t>
      </w:r>
      <w:r w:rsidRPr="005D030B">
        <w:rPr>
          <w:rFonts w:ascii="Times New Roman" w:hAnsi="Times New Roman"/>
          <w:color w:val="000000" w:themeColor="text1"/>
          <w:sz w:val="24"/>
          <w:szCs w:val="24"/>
        </w:rPr>
        <w:t>-</w:t>
      </w:r>
      <w:r>
        <w:rPr>
          <w:rFonts w:ascii="Times New Roman" w:hAnsi="Times New Roman"/>
          <w:color w:val="000000" w:themeColor="text1"/>
          <w:sz w:val="24"/>
          <w:szCs w:val="24"/>
        </w:rPr>
        <w:t>5</w:t>
      </w:r>
      <w:r w:rsidRPr="005D030B">
        <w:rPr>
          <w:rFonts w:ascii="Times New Roman" w:hAnsi="Times New Roman"/>
          <w:color w:val="000000" w:themeColor="text1"/>
          <w:sz w:val="24"/>
          <w:szCs w:val="24"/>
        </w:rPr>
        <w:t xml:space="preserve"> summarizes the statistical uncertainty in the ex ante annual system peak load impact estimates for large C&amp;I customers.  The ex ante impacts and the uncertainty reported in Table </w:t>
      </w:r>
      <w:r w:rsidR="00D374FC">
        <w:rPr>
          <w:rFonts w:ascii="Times New Roman" w:hAnsi="Times New Roman"/>
          <w:color w:val="000000" w:themeColor="text1"/>
          <w:sz w:val="24"/>
          <w:szCs w:val="24"/>
        </w:rPr>
        <w:t>3-5</w:t>
      </w:r>
      <w:r w:rsidRPr="005D030B">
        <w:rPr>
          <w:rFonts w:ascii="Times New Roman" w:hAnsi="Times New Roman"/>
          <w:color w:val="000000" w:themeColor="text1"/>
          <w:sz w:val="24"/>
          <w:szCs w:val="24"/>
        </w:rPr>
        <w:t xml:space="preserve"> do not reflect uncertainty in the CPP enrollment forecast.  They do, however, reflect the challenge of accurately estimating small percentage demand reductions for individual event days. The uncertainty is relatively broad.  For example, in 2015, the projected load impacts for August 1-in-2 year, SDG&amp;E weather, are 25.2±7.0z MW, with 80% confidence.  But in percentage terms, the uncertainty seems smaller, 8.2%±2.3%, with 80% confidence.  For this program in particular, small differences in the estimated percent demand reductions can appear to be large changes in the estimated MW reductions, if the uncertainty is not considered.</w:t>
      </w:r>
    </w:p>
    <w:p w:rsidR="00D374FC" w:rsidRDefault="00D374FC" w:rsidP="005D030B">
      <w:pPr>
        <w:pStyle w:val="BodyParagraph"/>
        <w:ind w:firstLine="720"/>
        <w:rPr>
          <w:rFonts w:ascii="Times New Roman" w:hAnsi="Times New Roman"/>
          <w:color w:val="000000" w:themeColor="text1"/>
          <w:sz w:val="24"/>
          <w:szCs w:val="24"/>
        </w:rPr>
      </w:pPr>
    </w:p>
    <w:p w:rsidR="005D030B" w:rsidRDefault="005D030B" w:rsidP="005D030B">
      <w:pPr>
        <w:pStyle w:val="BodyParagraph"/>
        <w:ind w:firstLine="720"/>
      </w:pPr>
      <w:r>
        <w:br w:type="page"/>
      </w:r>
    </w:p>
    <w:p w:rsidR="005D030B" w:rsidRPr="00B2669C" w:rsidRDefault="005D030B" w:rsidP="005D030B">
      <w:pPr>
        <w:pStyle w:val="TableFigureCaption"/>
        <w:spacing w:after="0"/>
        <w:rPr>
          <w:rFonts w:ascii="Times New Roman" w:hAnsi="Times New Roman"/>
          <w:sz w:val="20"/>
          <w:szCs w:val="20"/>
        </w:rPr>
      </w:pPr>
      <w:r w:rsidRPr="00B2669C">
        <w:rPr>
          <w:rFonts w:ascii="Times New Roman" w:hAnsi="Times New Roman"/>
          <w:sz w:val="20"/>
          <w:szCs w:val="20"/>
        </w:rPr>
        <w:lastRenderedPageBreak/>
        <w:t>Table 3-5: Default CPP Ex Ante Load Impact Estimates by Weather Scenario for Large C&amp;I with Uncertainty</w:t>
      </w:r>
    </w:p>
    <w:p w:rsidR="005D030B" w:rsidRPr="00B2669C" w:rsidRDefault="005D030B" w:rsidP="005D030B">
      <w:pPr>
        <w:pStyle w:val="TableFigureCaption"/>
        <w:rPr>
          <w:rFonts w:ascii="Times New Roman" w:hAnsi="Times New Roman"/>
          <w:sz w:val="20"/>
          <w:szCs w:val="20"/>
        </w:rPr>
      </w:pPr>
      <w:r w:rsidRPr="00B2669C">
        <w:rPr>
          <w:rFonts w:ascii="Times New Roman" w:hAnsi="Times New Roman"/>
          <w:sz w:val="20"/>
          <w:szCs w:val="20"/>
        </w:rPr>
        <w:t>SDG&amp;E August System Peak Day (11 AM - 6 PM)</w:t>
      </w:r>
    </w:p>
    <w:tbl>
      <w:tblPr>
        <w:tblW w:w="9700" w:type="dxa"/>
        <w:jc w:val="center"/>
        <w:tblInd w:w="93" w:type="dxa"/>
        <w:tblLook w:val="04A0" w:firstRow="1" w:lastRow="0" w:firstColumn="1" w:lastColumn="0" w:noHBand="0" w:noVBand="1"/>
      </w:tblPr>
      <w:tblGrid>
        <w:gridCol w:w="1020"/>
        <w:gridCol w:w="1014"/>
        <w:gridCol w:w="1100"/>
        <w:gridCol w:w="1206"/>
        <w:gridCol w:w="1100"/>
        <w:gridCol w:w="1100"/>
        <w:gridCol w:w="1100"/>
        <w:gridCol w:w="1100"/>
        <w:gridCol w:w="960"/>
      </w:tblGrid>
      <w:tr w:rsidR="005D030B" w:rsidRPr="00830072" w:rsidTr="00324486">
        <w:trPr>
          <w:trHeight w:val="1020"/>
          <w:jc w:val="center"/>
        </w:trPr>
        <w:tc>
          <w:tcPr>
            <w:tcW w:w="1020" w:type="dxa"/>
            <w:vMerge w:val="restart"/>
            <w:tcBorders>
              <w:top w:val="single" w:sz="4" w:space="0" w:color="auto"/>
              <w:left w:val="single" w:sz="4" w:space="0" w:color="auto"/>
              <w:bottom w:val="single" w:sz="4" w:space="0" w:color="000000"/>
              <w:right w:val="single" w:sz="4" w:space="0" w:color="FFFFFF"/>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Weather Type</w:t>
            </w:r>
          </w:p>
        </w:tc>
        <w:tc>
          <w:tcPr>
            <w:tcW w:w="1020"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Weather Year</w:t>
            </w:r>
          </w:p>
        </w:tc>
        <w:tc>
          <w:tcPr>
            <w:tcW w:w="1100"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Year</w:t>
            </w:r>
          </w:p>
        </w:tc>
        <w:tc>
          <w:tcPr>
            <w:tcW w:w="1200" w:type="dxa"/>
            <w:tcBorders>
              <w:top w:val="single" w:sz="4" w:space="0" w:color="auto"/>
              <w:left w:val="nil"/>
              <w:bottom w:val="single" w:sz="4" w:space="0" w:color="FFFFFF"/>
              <w:right w:val="single" w:sz="4" w:space="0" w:color="FFFFFF"/>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Expected Aggregate Load Impact</w:t>
            </w:r>
          </w:p>
        </w:tc>
        <w:tc>
          <w:tcPr>
            <w:tcW w:w="5360" w:type="dxa"/>
            <w:gridSpan w:val="5"/>
            <w:tcBorders>
              <w:top w:val="single" w:sz="4" w:space="0" w:color="auto"/>
              <w:left w:val="nil"/>
              <w:bottom w:val="single" w:sz="4" w:space="0" w:color="FFFFFF"/>
              <w:right w:val="single" w:sz="4" w:space="0" w:color="000000"/>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Impact Uncertainty</w:t>
            </w:r>
          </w:p>
        </w:tc>
      </w:tr>
      <w:tr w:rsidR="005D030B" w:rsidRPr="00830072" w:rsidTr="00324486">
        <w:trPr>
          <w:trHeight w:val="510"/>
          <w:jc w:val="center"/>
        </w:trPr>
        <w:tc>
          <w:tcPr>
            <w:tcW w:w="1020" w:type="dxa"/>
            <w:vMerge/>
            <w:tcBorders>
              <w:top w:val="single" w:sz="4" w:space="0" w:color="auto"/>
              <w:left w:val="single" w:sz="4" w:space="0" w:color="auto"/>
              <w:bottom w:val="single" w:sz="4" w:space="0" w:color="000000"/>
              <w:right w:val="single" w:sz="4" w:space="0" w:color="FFFFFF"/>
            </w:tcBorders>
            <w:vAlign w:val="center"/>
            <w:hideMark/>
          </w:tcPr>
          <w:p w:rsidR="005D030B" w:rsidRPr="00830072" w:rsidRDefault="005D030B" w:rsidP="00324486">
            <w:pPr>
              <w:rPr>
                <w:rFonts w:ascii="Arial" w:hAnsi="Arial" w:cs="Arial"/>
                <w:b/>
                <w:bCs/>
                <w:color w:val="FFFFFF"/>
                <w:sz w:val="20"/>
                <w:szCs w:val="20"/>
              </w:rPr>
            </w:pPr>
          </w:p>
        </w:tc>
        <w:tc>
          <w:tcPr>
            <w:tcW w:w="1020" w:type="dxa"/>
            <w:vMerge/>
            <w:tcBorders>
              <w:top w:val="single" w:sz="4" w:space="0" w:color="auto"/>
              <w:left w:val="single" w:sz="4" w:space="0" w:color="FFFFFF"/>
              <w:bottom w:val="single" w:sz="4" w:space="0" w:color="000000"/>
              <w:right w:val="single" w:sz="4" w:space="0" w:color="FFFFFF"/>
            </w:tcBorders>
            <w:vAlign w:val="center"/>
            <w:hideMark/>
          </w:tcPr>
          <w:p w:rsidR="005D030B" w:rsidRPr="00830072" w:rsidRDefault="005D030B" w:rsidP="00324486">
            <w:pPr>
              <w:rPr>
                <w:rFonts w:ascii="Arial" w:hAnsi="Arial" w:cs="Arial"/>
                <w:b/>
                <w:bCs/>
                <w:color w:val="FFFFFF"/>
                <w:sz w:val="20"/>
                <w:szCs w:val="20"/>
              </w:rPr>
            </w:pPr>
          </w:p>
        </w:tc>
        <w:tc>
          <w:tcPr>
            <w:tcW w:w="1100" w:type="dxa"/>
            <w:vMerge/>
            <w:tcBorders>
              <w:top w:val="single" w:sz="4" w:space="0" w:color="auto"/>
              <w:left w:val="single" w:sz="4" w:space="0" w:color="FFFFFF"/>
              <w:bottom w:val="single" w:sz="4" w:space="0" w:color="000000"/>
              <w:right w:val="single" w:sz="4" w:space="0" w:color="FFFFFF"/>
            </w:tcBorders>
            <w:vAlign w:val="center"/>
            <w:hideMark/>
          </w:tcPr>
          <w:p w:rsidR="005D030B" w:rsidRPr="00830072" w:rsidRDefault="005D030B" w:rsidP="00324486">
            <w:pPr>
              <w:rPr>
                <w:rFonts w:ascii="Arial" w:hAnsi="Arial" w:cs="Arial"/>
                <w:b/>
                <w:bCs/>
                <w:color w:val="FFFFFF"/>
                <w:sz w:val="20"/>
                <w:szCs w:val="20"/>
              </w:rPr>
            </w:pPr>
          </w:p>
        </w:tc>
        <w:tc>
          <w:tcPr>
            <w:tcW w:w="1200" w:type="dxa"/>
            <w:tcBorders>
              <w:top w:val="nil"/>
              <w:left w:val="nil"/>
              <w:bottom w:val="single" w:sz="4" w:space="0" w:color="auto"/>
              <w:right w:val="single" w:sz="4" w:space="0" w:color="FFFFFF"/>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(MW  1-6 PM)</w:t>
            </w:r>
          </w:p>
        </w:tc>
        <w:tc>
          <w:tcPr>
            <w:tcW w:w="1100" w:type="dxa"/>
            <w:tcBorders>
              <w:top w:val="nil"/>
              <w:left w:val="nil"/>
              <w:bottom w:val="single" w:sz="4" w:space="0" w:color="auto"/>
              <w:right w:val="single" w:sz="4" w:space="0" w:color="FFFFFF"/>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10th</w:t>
            </w:r>
          </w:p>
        </w:tc>
        <w:tc>
          <w:tcPr>
            <w:tcW w:w="1100" w:type="dxa"/>
            <w:tcBorders>
              <w:top w:val="nil"/>
              <w:left w:val="nil"/>
              <w:bottom w:val="single" w:sz="4" w:space="0" w:color="auto"/>
              <w:right w:val="single" w:sz="4" w:space="0" w:color="FFFFFF"/>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30th</w:t>
            </w:r>
          </w:p>
        </w:tc>
        <w:tc>
          <w:tcPr>
            <w:tcW w:w="1100" w:type="dxa"/>
            <w:tcBorders>
              <w:top w:val="nil"/>
              <w:left w:val="nil"/>
              <w:bottom w:val="single" w:sz="4" w:space="0" w:color="auto"/>
              <w:right w:val="single" w:sz="4" w:space="0" w:color="FFFFFF"/>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50th</w:t>
            </w:r>
          </w:p>
        </w:tc>
        <w:tc>
          <w:tcPr>
            <w:tcW w:w="1100" w:type="dxa"/>
            <w:tcBorders>
              <w:top w:val="nil"/>
              <w:left w:val="nil"/>
              <w:bottom w:val="single" w:sz="4" w:space="0" w:color="auto"/>
              <w:right w:val="single" w:sz="4" w:space="0" w:color="FFFFFF"/>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70th</w:t>
            </w:r>
          </w:p>
        </w:tc>
        <w:tc>
          <w:tcPr>
            <w:tcW w:w="960" w:type="dxa"/>
            <w:tcBorders>
              <w:top w:val="nil"/>
              <w:left w:val="nil"/>
              <w:bottom w:val="single" w:sz="4" w:space="0" w:color="auto"/>
              <w:right w:val="single" w:sz="4" w:space="0" w:color="auto"/>
            </w:tcBorders>
            <w:shd w:val="clear" w:color="000000" w:fill="0070CD"/>
            <w:vAlign w:val="center"/>
            <w:hideMark/>
          </w:tcPr>
          <w:p w:rsidR="005D030B" w:rsidRPr="00830072" w:rsidRDefault="005D030B" w:rsidP="00324486">
            <w:pPr>
              <w:jc w:val="center"/>
              <w:rPr>
                <w:rFonts w:ascii="Arial" w:hAnsi="Arial" w:cs="Arial"/>
                <w:b/>
                <w:bCs/>
                <w:color w:val="FFFFFF"/>
                <w:sz w:val="20"/>
                <w:szCs w:val="20"/>
              </w:rPr>
            </w:pPr>
            <w:r w:rsidRPr="00830072">
              <w:rPr>
                <w:rFonts w:ascii="Arial" w:hAnsi="Arial" w:cs="Arial"/>
                <w:b/>
                <w:bCs/>
                <w:color w:val="FFFFFF"/>
                <w:sz w:val="20"/>
                <w:szCs w:val="20"/>
              </w:rPr>
              <w:t>90th</w:t>
            </w:r>
          </w:p>
        </w:tc>
      </w:tr>
      <w:tr w:rsidR="005D030B" w:rsidRPr="00830072" w:rsidTr="00324486">
        <w:trPr>
          <w:trHeight w:val="300"/>
          <w:jc w:val="center"/>
        </w:trPr>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SDG&amp;E</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1-in-10</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27.4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20.2</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24.4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27.4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34.6</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27.6</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24.7</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27.6</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30.6</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34.9</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2025</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30.4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22.4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27.1</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30.4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33.6</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38.3</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1-in-2</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25.2</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18.2</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22.3</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25.2</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28.0</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32.2</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25.4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18.4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22.5</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25.4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28.3</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32.5</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2025</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27.9</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20.2</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24.8</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27.9</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31.1</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35.6</w:t>
            </w:r>
          </w:p>
        </w:tc>
      </w:tr>
      <w:tr w:rsidR="005D030B" w:rsidRPr="00830072" w:rsidTr="00324486">
        <w:trPr>
          <w:trHeight w:val="300"/>
          <w:jc w:val="center"/>
        </w:trPr>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CAISO</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1-in-10</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26.1</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19.1</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23.2</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26.1</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29.0</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33.2</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26.4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19.3</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23.5</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26.4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29.3</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33.5</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2025</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29.0</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21.2</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25.8</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29.0</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32.1</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36.8</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1-in-2</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25.8</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18.8</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22.9</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25.8</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28.7</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32.8</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26.0</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19.0</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23.1</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26.0</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28.9</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33.1</w:t>
            </w:r>
          </w:p>
        </w:tc>
      </w:tr>
      <w:tr w:rsidR="005D030B" w:rsidRPr="00830072" w:rsidTr="00324486">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020" w:type="dxa"/>
            <w:vMerge/>
            <w:tcBorders>
              <w:top w:val="nil"/>
              <w:left w:val="single" w:sz="4" w:space="0" w:color="auto"/>
              <w:bottom w:val="single" w:sz="4" w:space="0" w:color="auto"/>
              <w:right w:val="single" w:sz="4" w:space="0" w:color="auto"/>
            </w:tcBorders>
            <w:vAlign w:val="center"/>
            <w:hideMark/>
          </w:tcPr>
          <w:p w:rsidR="005D030B" w:rsidRPr="00830072" w:rsidRDefault="005D030B" w:rsidP="00324486">
            <w:pPr>
              <w:rPr>
                <w:rFonts w:ascii="Arial" w:hAnsi="Arial" w:cs="Arial"/>
                <w:color w:val="000000"/>
                <w:sz w:val="20"/>
                <w:szCs w:val="20"/>
              </w:rPr>
            </w:pP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2025</w:t>
            </w:r>
          </w:p>
        </w:tc>
        <w:tc>
          <w:tcPr>
            <w:tcW w:w="12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28.6</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20.8</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25.4</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28.6</w:t>
            </w:r>
          </w:p>
        </w:tc>
        <w:tc>
          <w:tcPr>
            <w:tcW w:w="110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31.8</w:t>
            </w:r>
          </w:p>
        </w:tc>
        <w:tc>
          <w:tcPr>
            <w:tcW w:w="960" w:type="dxa"/>
            <w:tcBorders>
              <w:top w:val="nil"/>
              <w:left w:val="nil"/>
              <w:bottom w:val="single" w:sz="4" w:space="0" w:color="auto"/>
              <w:right w:val="single" w:sz="4" w:space="0" w:color="auto"/>
            </w:tcBorders>
            <w:shd w:val="clear" w:color="auto" w:fill="auto"/>
            <w:noWrap/>
            <w:vAlign w:val="center"/>
            <w:hideMark/>
          </w:tcPr>
          <w:p w:rsidR="005D030B" w:rsidRPr="00830072" w:rsidRDefault="005D030B" w:rsidP="00324486">
            <w:pPr>
              <w:jc w:val="center"/>
              <w:rPr>
                <w:rFonts w:ascii="Arial" w:hAnsi="Arial" w:cs="Arial"/>
                <w:color w:val="000000"/>
                <w:sz w:val="20"/>
                <w:szCs w:val="20"/>
              </w:rPr>
            </w:pPr>
            <w:r w:rsidRPr="00830072">
              <w:rPr>
                <w:rFonts w:ascii="Arial" w:hAnsi="Arial" w:cs="Arial"/>
                <w:color w:val="000000"/>
                <w:sz w:val="20"/>
                <w:szCs w:val="20"/>
              </w:rPr>
              <w:t>36.4</w:t>
            </w:r>
          </w:p>
        </w:tc>
      </w:tr>
    </w:tbl>
    <w:p w:rsidR="005D030B" w:rsidRDefault="005D030B" w:rsidP="005D030B">
      <w:pPr>
        <w:pStyle w:val="BodyParagraph"/>
      </w:pPr>
    </w:p>
    <w:p w:rsidR="009C4CBE" w:rsidRPr="00B56A7D" w:rsidRDefault="00B56A7D" w:rsidP="00AF484A">
      <w:pPr>
        <w:pStyle w:val="Heading4"/>
        <w:spacing w:before="0" w:after="0"/>
        <w:rPr>
          <w:rFonts w:ascii="Times New Roman" w:hAnsi="Times New Roman"/>
          <w:sz w:val="24"/>
          <w:szCs w:val="24"/>
        </w:rPr>
      </w:pPr>
      <w:r w:rsidRPr="00B56A7D">
        <w:rPr>
          <w:rFonts w:ascii="Times New Roman" w:hAnsi="Times New Roman"/>
          <w:sz w:val="24"/>
          <w:szCs w:val="24"/>
          <w:lang w:val="fr-FR"/>
        </w:rPr>
        <w:t>Comparison of 2013 and 2014 Ex Ante Estimates</w:t>
      </w:r>
    </w:p>
    <w:p w:rsidR="00AF484A" w:rsidRDefault="00AF484A" w:rsidP="00AF484A">
      <w:pPr>
        <w:pStyle w:val="BodyParagraph"/>
        <w:spacing w:after="0" w:line="240" w:lineRule="auto"/>
        <w:ind w:firstLine="720"/>
      </w:pPr>
    </w:p>
    <w:p w:rsidR="00AF484A" w:rsidRPr="00AF484A" w:rsidRDefault="00AF484A" w:rsidP="00AF484A">
      <w:pPr>
        <w:pStyle w:val="BodyParagraph"/>
        <w:ind w:firstLine="720"/>
        <w:rPr>
          <w:rFonts w:ascii="Times New Roman" w:hAnsi="Times New Roman"/>
          <w:color w:val="000000" w:themeColor="text1"/>
          <w:sz w:val="24"/>
          <w:szCs w:val="24"/>
        </w:rPr>
      </w:pPr>
      <w:r w:rsidRPr="00AF484A">
        <w:rPr>
          <w:rFonts w:ascii="Times New Roman" w:hAnsi="Times New Roman"/>
          <w:color w:val="000000" w:themeColor="text1"/>
          <w:sz w:val="24"/>
          <w:szCs w:val="24"/>
        </w:rPr>
        <w:t xml:space="preserve">Table </w:t>
      </w:r>
      <w:r>
        <w:rPr>
          <w:rFonts w:ascii="Times New Roman" w:hAnsi="Times New Roman"/>
          <w:color w:val="000000" w:themeColor="text1"/>
          <w:sz w:val="24"/>
          <w:szCs w:val="24"/>
        </w:rPr>
        <w:t>3</w:t>
      </w:r>
      <w:r w:rsidRPr="00AF484A">
        <w:rPr>
          <w:rFonts w:ascii="Times New Roman" w:hAnsi="Times New Roman"/>
          <w:color w:val="000000" w:themeColor="text1"/>
          <w:sz w:val="24"/>
          <w:szCs w:val="24"/>
        </w:rPr>
        <w:t>-</w:t>
      </w:r>
      <w:r>
        <w:rPr>
          <w:rFonts w:ascii="Times New Roman" w:hAnsi="Times New Roman"/>
          <w:color w:val="000000" w:themeColor="text1"/>
          <w:sz w:val="24"/>
          <w:szCs w:val="24"/>
        </w:rPr>
        <w:t>6</w:t>
      </w:r>
      <w:r w:rsidRPr="00AF484A">
        <w:rPr>
          <w:rFonts w:ascii="Times New Roman" w:hAnsi="Times New Roman"/>
          <w:color w:val="000000" w:themeColor="text1"/>
          <w:sz w:val="24"/>
          <w:szCs w:val="24"/>
        </w:rPr>
        <w:t xml:space="preserve"> compares the ex ante estimates produced for the 2013 evaluation to those presented earlier in this report.  Because ex ante impacts take into account changes in utility enrollment forecasts, program design and customer mix as well as additional experience, the forecasts are adjusted each year. In general, forecasts a year out are more reliable while forecasts further into the future are less certain.  The largest changes observed in Table 9-5 are in the percentage load impact estimates and in the forecasted enrollments.  The net effect is that this year’s forecast for 2015 is 25.2 MW, which is 35% higher than last year’s forecast of 18.8 due primarily to an increased enrollment forecast and higher percentage load impact estimates from this evaluation.</w:t>
      </w:r>
    </w:p>
    <w:p w:rsidR="00AF484A" w:rsidRPr="00B2669C" w:rsidRDefault="00AF484A" w:rsidP="00AF484A">
      <w:pPr>
        <w:pStyle w:val="TableFigureCaption"/>
        <w:rPr>
          <w:rFonts w:ascii="Times New Roman" w:hAnsi="Times New Roman"/>
          <w:sz w:val="20"/>
          <w:szCs w:val="20"/>
        </w:rPr>
      </w:pPr>
      <w:r w:rsidRPr="00B2669C">
        <w:rPr>
          <w:rFonts w:ascii="Times New Roman" w:hAnsi="Times New Roman"/>
          <w:sz w:val="20"/>
          <w:szCs w:val="20"/>
        </w:rPr>
        <w:lastRenderedPageBreak/>
        <w:t>Table 3-6: Comparison of Ex Ante Estimates to Prior Year Estimates</w:t>
      </w:r>
    </w:p>
    <w:tbl>
      <w:tblPr>
        <w:tblW w:w="10400" w:type="dxa"/>
        <w:jc w:val="center"/>
        <w:tblInd w:w="93" w:type="dxa"/>
        <w:tblLook w:val="04A0" w:firstRow="1" w:lastRow="0" w:firstColumn="1" w:lastColumn="0" w:noHBand="0" w:noVBand="1"/>
      </w:tblPr>
      <w:tblGrid>
        <w:gridCol w:w="1040"/>
        <w:gridCol w:w="1040"/>
        <w:gridCol w:w="1067"/>
        <w:gridCol w:w="1067"/>
        <w:gridCol w:w="1067"/>
        <w:gridCol w:w="1067"/>
        <w:gridCol w:w="1067"/>
        <w:gridCol w:w="1067"/>
        <w:gridCol w:w="1067"/>
        <w:gridCol w:w="1067"/>
      </w:tblGrid>
      <w:tr w:rsidR="00AF484A" w:rsidRPr="001A124A" w:rsidTr="00324486">
        <w:trPr>
          <w:trHeight w:val="510"/>
          <w:jc w:val="center"/>
        </w:trPr>
        <w:tc>
          <w:tcPr>
            <w:tcW w:w="1040" w:type="dxa"/>
            <w:vMerge w:val="restart"/>
            <w:tcBorders>
              <w:top w:val="single" w:sz="4" w:space="0" w:color="000000"/>
              <w:left w:val="single" w:sz="4" w:space="0" w:color="000000"/>
              <w:bottom w:val="single" w:sz="4" w:space="0" w:color="000000"/>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Weather Year</w:t>
            </w:r>
          </w:p>
        </w:tc>
        <w:tc>
          <w:tcPr>
            <w:tcW w:w="1040" w:type="dxa"/>
            <w:vMerge w:val="restart"/>
            <w:tcBorders>
              <w:top w:val="single" w:sz="4" w:space="0" w:color="000000"/>
              <w:left w:val="single" w:sz="4" w:space="0" w:color="FFFFFF"/>
              <w:bottom w:val="single" w:sz="4" w:space="0" w:color="000000"/>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Year</w:t>
            </w:r>
          </w:p>
        </w:tc>
        <w:tc>
          <w:tcPr>
            <w:tcW w:w="2080" w:type="dxa"/>
            <w:gridSpan w:val="2"/>
            <w:tcBorders>
              <w:top w:val="single" w:sz="4" w:space="0" w:color="000000"/>
              <w:left w:val="nil"/>
              <w:bottom w:val="single" w:sz="4" w:space="0" w:color="FFFFFF"/>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Accounts</w:t>
            </w:r>
          </w:p>
        </w:tc>
        <w:tc>
          <w:tcPr>
            <w:tcW w:w="2080" w:type="dxa"/>
            <w:gridSpan w:val="2"/>
            <w:tcBorders>
              <w:top w:val="single" w:sz="4" w:space="0" w:color="000000"/>
              <w:left w:val="nil"/>
              <w:bottom w:val="single" w:sz="4" w:space="0" w:color="FFFFFF"/>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Reference Loads (MW)</w:t>
            </w:r>
          </w:p>
        </w:tc>
        <w:tc>
          <w:tcPr>
            <w:tcW w:w="2080" w:type="dxa"/>
            <w:gridSpan w:val="2"/>
            <w:tcBorders>
              <w:top w:val="single" w:sz="4" w:space="0" w:color="000000"/>
              <w:left w:val="nil"/>
              <w:bottom w:val="single" w:sz="4" w:space="0" w:color="FFFFFF"/>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Percent Reductions</w:t>
            </w:r>
          </w:p>
        </w:tc>
        <w:tc>
          <w:tcPr>
            <w:tcW w:w="2080" w:type="dxa"/>
            <w:gridSpan w:val="2"/>
            <w:tcBorders>
              <w:top w:val="single" w:sz="4" w:space="0" w:color="000000"/>
              <w:left w:val="nil"/>
              <w:bottom w:val="single" w:sz="4" w:space="0" w:color="FFFFFF"/>
              <w:right w:val="single" w:sz="4" w:space="0" w:color="000000"/>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Aggregate Impacts (MW)</w:t>
            </w:r>
          </w:p>
        </w:tc>
      </w:tr>
      <w:tr w:rsidR="00AF484A" w:rsidRPr="001A124A" w:rsidTr="00324486">
        <w:trPr>
          <w:trHeight w:val="510"/>
          <w:jc w:val="center"/>
        </w:trPr>
        <w:tc>
          <w:tcPr>
            <w:tcW w:w="1040" w:type="dxa"/>
            <w:vMerge/>
            <w:tcBorders>
              <w:top w:val="single" w:sz="4" w:space="0" w:color="000000"/>
              <w:left w:val="single" w:sz="4" w:space="0" w:color="000000"/>
              <w:bottom w:val="single" w:sz="4" w:space="0" w:color="000000"/>
              <w:right w:val="single" w:sz="4" w:space="0" w:color="FFFFFF"/>
            </w:tcBorders>
            <w:vAlign w:val="center"/>
            <w:hideMark/>
          </w:tcPr>
          <w:p w:rsidR="00AF484A" w:rsidRPr="00AF484A" w:rsidRDefault="00AF484A" w:rsidP="00324486">
            <w:pPr>
              <w:keepNext/>
              <w:rPr>
                <w:rFonts w:ascii="Arial" w:hAnsi="Arial" w:cs="Arial"/>
                <w:b/>
                <w:bCs/>
                <w:color w:val="FFFFFF"/>
                <w:sz w:val="18"/>
                <w:szCs w:val="18"/>
              </w:rPr>
            </w:pPr>
          </w:p>
        </w:tc>
        <w:tc>
          <w:tcPr>
            <w:tcW w:w="1040" w:type="dxa"/>
            <w:vMerge/>
            <w:tcBorders>
              <w:top w:val="single" w:sz="4" w:space="0" w:color="000000"/>
              <w:left w:val="single" w:sz="4" w:space="0" w:color="FFFFFF"/>
              <w:bottom w:val="single" w:sz="4" w:space="0" w:color="000000"/>
              <w:right w:val="single" w:sz="4" w:space="0" w:color="FFFFFF"/>
            </w:tcBorders>
            <w:vAlign w:val="center"/>
            <w:hideMark/>
          </w:tcPr>
          <w:p w:rsidR="00AF484A" w:rsidRPr="00AF484A" w:rsidRDefault="00AF484A" w:rsidP="00324486">
            <w:pPr>
              <w:keepNext/>
              <w:rPr>
                <w:rFonts w:ascii="Arial" w:hAnsi="Arial" w:cs="Arial"/>
                <w:b/>
                <w:bCs/>
                <w:color w:val="FFFFFF"/>
                <w:sz w:val="18"/>
                <w:szCs w:val="18"/>
              </w:rPr>
            </w:pPr>
          </w:p>
        </w:tc>
        <w:tc>
          <w:tcPr>
            <w:tcW w:w="1040" w:type="dxa"/>
            <w:tcBorders>
              <w:top w:val="nil"/>
              <w:left w:val="nil"/>
              <w:bottom w:val="single" w:sz="4" w:space="0" w:color="000000"/>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2013 Estimates</w:t>
            </w:r>
          </w:p>
        </w:tc>
        <w:tc>
          <w:tcPr>
            <w:tcW w:w="1040" w:type="dxa"/>
            <w:tcBorders>
              <w:top w:val="nil"/>
              <w:left w:val="nil"/>
              <w:bottom w:val="single" w:sz="4" w:space="0" w:color="000000"/>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2014 Estimates</w:t>
            </w:r>
          </w:p>
        </w:tc>
        <w:tc>
          <w:tcPr>
            <w:tcW w:w="1040" w:type="dxa"/>
            <w:tcBorders>
              <w:top w:val="nil"/>
              <w:left w:val="nil"/>
              <w:bottom w:val="single" w:sz="4" w:space="0" w:color="000000"/>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2014 Estimates</w:t>
            </w:r>
          </w:p>
        </w:tc>
        <w:tc>
          <w:tcPr>
            <w:tcW w:w="1040" w:type="dxa"/>
            <w:tcBorders>
              <w:top w:val="nil"/>
              <w:left w:val="nil"/>
              <w:bottom w:val="single" w:sz="4" w:space="0" w:color="000000"/>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2014 Estimates</w:t>
            </w:r>
          </w:p>
        </w:tc>
        <w:tc>
          <w:tcPr>
            <w:tcW w:w="1040" w:type="dxa"/>
            <w:tcBorders>
              <w:top w:val="nil"/>
              <w:left w:val="nil"/>
              <w:bottom w:val="single" w:sz="4" w:space="0" w:color="000000"/>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2013 Estimates</w:t>
            </w:r>
          </w:p>
        </w:tc>
        <w:tc>
          <w:tcPr>
            <w:tcW w:w="1040" w:type="dxa"/>
            <w:tcBorders>
              <w:top w:val="nil"/>
              <w:left w:val="nil"/>
              <w:bottom w:val="single" w:sz="4" w:space="0" w:color="000000"/>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2014 Estimates</w:t>
            </w:r>
          </w:p>
        </w:tc>
        <w:tc>
          <w:tcPr>
            <w:tcW w:w="1040" w:type="dxa"/>
            <w:tcBorders>
              <w:top w:val="nil"/>
              <w:left w:val="nil"/>
              <w:bottom w:val="single" w:sz="4" w:space="0" w:color="000000"/>
              <w:right w:val="single" w:sz="4" w:space="0" w:color="FFFFFF"/>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2013 Estimates</w:t>
            </w:r>
          </w:p>
        </w:tc>
        <w:tc>
          <w:tcPr>
            <w:tcW w:w="1040" w:type="dxa"/>
            <w:tcBorders>
              <w:top w:val="nil"/>
              <w:left w:val="nil"/>
              <w:bottom w:val="single" w:sz="4" w:space="0" w:color="000000"/>
              <w:right w:val="single" w:sz="4" w:space="0" w:color="000000"/>
            </w:tcBorders>
            <w:shd w:val="clear" w:color="000000" w:fill="0070CD"/>
            <w:vAlign w:val="center"/>
            <w:hideMark/>
          </w:tcPr>
          <w:p w:rsidR="00AF484A" w:rsidRPr="00AF484A" w:rsidRDefault="00AF484A" w:rsidP="00324486">
            <w:pPr>
              <w:keepNext/>
              <w:jc w:val="center"/>
              <w:rPr>
                <w:rFonts w:ascii="Arial" w:hAnsi="Arial" w:cs="Arial"/>
                <w:b/>
                <w:bCs/>
                <w:color w:val="FFFFFF"/>
                <w:sz w:val="18"/>
                <w:szCs w:val="18"/>
              </w:rPr>
            </w:pPr>
            <w:r w:rsidRPr="00AF484A">
              <w:rPr>
                <w:rFonts w:ascii="Arial" w:hAnsi="Arial" w:cs="Arial"/>
                <w:b/>
                <w:bCs/>
                <w:color w:val="FFFFFF"/>
                <w:sz w:val="18"/>
                <w:szCs w:val="18"/>
              </w:rPr>
              <w:t>2014 Estimates</w:t>
            </w:r>
          </w:p>
        </w:tc>
      </w:tr>
      <w:tr w:rsidR="00AF484A" w:rsidRPr="001A124A" w:rsidTr="00324486">
        <w:trPr>
          <w:trHeight w:val="360"/>
          <w:jc w:val="center"/>
        </w:trPr>
        <w:tc>
          <w:tcPr>
            <w:tcW w:w="10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1-in-10</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2015</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1,164</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1,253</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274.3</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257.4</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6.7%</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8.5%</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21.4</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27.4</w:t>
            </w:r>
          </w:p>
        </w:tc>
      </w:tr>
      <w:tr w:rsidR="00AF484A" w:rsidRPr="001A124A" w:rsidTr="00324486">
        <w:trPr>
          <w:trHeight w:val="360"/>
          <w:jc w:val="center"/>
        </w:trPr>
        <w:tc>
          <w:tcPr>
            <w:tcW w:w="1040" w:type="dxa"/>
            <w:vMerge/>
            <w:tcBorders>
              <w:top w:val="nil"/>
              <w:left w:val="single" w:sz="4" w:space="0" w:color="000000"/>
              <w:bottom w:val="single" w:sz="4" w:space="0" w:color="000000"/>
              <w:right w:val="single" w:sz="4" w:space="0" w:color="000000"/>
            </w:tcBorders>
            <w:vAlign w:val="center"/>
            <w:hideMark/>
          </w:tcPr>
          <w:p w:rsidR="00AF484A" w:rsidRPr="00AF484A" w:rsidRDefault="00AF484A" w:rsidP="00324486">
            <w:pPr>
              <w:keepNext/>
              <w:rPr>
                <w:rFonts w:ascii="Arial" w:hAnsi="Arial" w:cs="Arial"/>
                <w:color w:val="000000"/>
                <w:sz w:val="18"/>
                <w:szCs w:val="18"/>
              </w:rPr>
            </w:pP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2016</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1,193</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1,267</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274.3</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257.4</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6.7%</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8.5%</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22.0</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27.6</w:t>
            </w:r>
          </w:p>
        </w:tc>
      </w:tr>
      <w:tr w:rsidR="00AF484A" w:rsidRPr="001A124A" w:rsidTr="00324486">
        <w:trPr>
          <w:trHeight w:val="255"/>
          <w:jc w:val="center"/>
        </w:trPr>
        <w:tc>
          <w:tcPr>
            <w:tcW w:w="1040" w:type="dxa"/>
            <w:vMerge/>
            <w:tcBorders>
              <w:top w:val="nil"/>
              <w:left w:val="single" w:sz="4" w:space="0" w:color="000000"/>
              <w:bottom w:val="single" w:sz="4" w:space="0" w:color="000000"/>
              <w:right w:val="single" w:sz="4" w:space="0" w:color="000000"/>
            </w:tcBorders>
            <w:vAlign w:val="center"/>
            <w:hideMark/>
          </w:tcPr>
          <w:p w:rsidR="00AF484A" w:rsidRPr="00AF484A" w:rsidRDefault="00AF484A" w:rsidP="00324486">
            <w:pPr>
              <w:keepNext/>
              <w:rPr>
                <w:rFonts w:ascii="Arial" w:hAnsi="Arial" w:cs="Arial"/>
                <w:color w:val="000000"/>
                <w:sz w:val="18"/>
                <w:szCs w:val="18"/>
              </w:rPr>
            </w:pP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2024</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1,318</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1,389</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274.3</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257.1</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6.7%</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8.4%</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24.3</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30.0</w:t>
            </w:r>
          </w:p>
        </w:tc>
      </w:tr>
      <w:tr w:rsidR="00AF484A" w:rsidRPr="001A124A" w:rsidTr="00324486">
        <w:trPr>
          <w:trHeight w:val="255"/>
          <w:jc w:val="center"/>
        </w:trPr>
        <w:tc>
          <w:tcPr>
            <w:tcW w:w="10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1-in-2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2015</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1,164</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1,253</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261.1</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246.2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6.2%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8.2%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18.8</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25.2</w:t>
            </w:r>
          </w:p>
        </w:tc>
      </w:tr>
      <w:tr w:rsidR="00AF484A" w:rsidRPr="001A124A" w:rsidTr="00324486">
        <w:trPr>
          <w:trHeight w:val="255"/>
          <w:jc w:val="center"/>
        </w:trPr>
        <w:tc>
          <w:tcPr>
            <w:tcW w:w="1040" w:type="dxa"/>
            <w:vMerge/>
            <w:tcBorders>
              <w:top w:val="nil"/>
              <w:left w:val="single" w:sz="4" w:space="0" w:color="000000"/>
              <w:bottom w:val="single" w:sz="4" w:space="0" w:color="000000"/>
              <w:right w:val="single" w:sz="4" w:space="0" w:color="000000"/>
            </w:tcBorders>
            <w:vAlign w:val="center"/>
            <w:hideMark/>
          </w:tcPr>
          <w:p w:rsidR="00AF484A" w:rsidRPr="00AF484A" w:rsidRDefault="00AF484A" w:rsidP="00324486">
            <w:pPr>
              <w:keepNext/>
              <w:rPr>
                <w:rFonts w:ascii="Arial" w:hAnsi="Arial" w:cs="Arial"/>
                <w:color w:val="000000"/>
                <w:sz w:val="18"/>
                <w:szCs w:val="18"/>
              </w:rPr>
            </w:pP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2016</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1,193</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1,267</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261.1</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246.2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6.2%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8.2%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19.2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keepNext/>
              <w:jc w:val="center"/>
              <w:rPr>
                <w:rFonts w:ascii="Arial" w:hAnsi="Arial" w:cs="Arial"/>
                <w:color w:val="000000"/>
                <w:sz w:val="18"/>
                <w:szCs w:val="18"/>
              </w:rPr>
            </w:pPr>
            <w:r w:rsidRPr="00AF484A">
              <w:rPr>
                <w:rFonts w:ascii="Arial" w:hAnsi="Arial" w:cs="Arial"/>
                <w:color w:val="000000"/>
                <w:sz w:val="18"/>
                <w:szCs w:val="18"/>
              </w:rPr>
              <w:t>25.4</w:t>
            </w:r>
          </w:p>
        </w:tc>
      </w:tr>
      <w:tr w:rsidR="00AF484A" w:rsidRPr="001A124A" w:rsidTr="00324486">
        <w:trPr>
          <w:trHeight w:val="255"/>
          <w:jc w:val="center"/>
        </w:trPr>
        <w:tc>
          <w:tcPr>
            <w:tcW w:w="1040" w:type="dxa"/>
            <w:vMerge/>
            <w:tcBorders>
              <w:top w:val="nil"/>
              <w:left w:val="single" w:sz="4" w:space="0" w:color="000000"/>
              <w:bottom w:val="single" w:sz="4" w:space="0" w:color="000000"/>
              <w:right w:val="single" w:sz="4" w:space="0" w:color="000000"/>
            </w:tcBorders>
            <w:vAlign w:val="center"/>
            <w:hideMark/>
          </w:tcPr>
          <w:p w:rsidR="00AF484A" w:rsidRPr="00AF484A" w:rsidRDefault="00AF484A" w:rsidP="00324486">
            <w:pPr>
              <w:rPr>
                <w:rFonts w:ascii="Arial" w:hAnsi="Arial" w:cs="Arial"/>
                <w:color w:val="000000"/>
                <w:sz w:val="18"/>
                <w:szCs w:val="18"/>
              </w:rPr>
            </w:pP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jc w:val="center"/>
              <w:rPr>
                <w:rFonts w:ascii="Arial" w:hAnsi="Arial" w:cs="Arial"/>
                <w:color w:val="000000"/>
                <w:sz w:val="18"/>
                <w:szCs w:val="18"/>
              </w:rPr>
            </w:pPr>
            <w:r w:rsidRPr="00AF484A">
              <w:rPr>
                <w:rFonts w:ascii="Arial" w:hAnsi="Arial" w:cs="Arial"/>
                <w:color w:val="000000"/>
                <w:sz w:val="18"/>
                <w:szCs w:val="18"/>
              </w:rPr>
              <w:t>2024</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jc w:val="center"/>
              <w:rPr>
                <w:rFonts w:ascii="Arial" w:hAnsi="Arial" w:cs="Arial"/>
                <w:color w:val="000000"/>
                <w:sz w:val="18"/>
                <w:szCs w:val="18"/>
              </w:rPr>
            </w:pPr>
            <w:r w:rsidRPr="00AF484A">
              <w:rPr>
                <w:rFonts w:ascii="Arial" w:hAnsi="Arial" w:cs="Arial"/>
                <w:color w:val="000000"/>
                <w:sz w:val="18"/>
                <w:szCs w:val="18"/>
              </w:rPr>
              <w:t>1,318</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jc w:val="center"/>
              <w:rPr>
                <w:rFonts w:ascii="Arial" w:hAnsi="Arial" w:cs="Arial"/>
                <w:color w:val="000000"/>
                <w:sz w:val="18"/>
                <w:szCs w:val="18"/>
              </w:rPr>
            </w:pPr>
            <w:r w:rsidRPr="00AF484A">
              <w:rPr>
                <w:rFonts w:ascii="Arial" w:hAnsi="Arial" w:cs="Arial"/>
                <w:color w:val="000000"/>
                <w:sz w:val="18"/>
                <w:szCs w:val="18"/>
              </w:rPr>
              <w:t>1,389</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jc w:val="center"/>
              <w:rPr>
                <w:rFonts w:ascii="Arial" w:hAnsi="Arial" w:cs="Arial"/>
                <w:color w:val="000000"/>
                <w:sz w:val="18"/>
                <w:szCs w:val="18"/>
              </w:rPr>
            </w:pPr>
            <w:r w:rsidRPr="00AF484A">
              <w:rPr>
                <w:rFonts w:ascii="Arial" w:hAnsi="Arial" w:cs="Arial"/>
                <w:color w:val="000000"/>
                <w:sz w:val="18"/>
                <w:szCs w:val="18"/>
              </w:rPr>
              <w:t>261.1</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jc w:val="center"/>
              <w:rPr>
                <w:rFonts w:ascii="Arial" w:hAnsi="Arial" w:cs="Arial"/>
                <w:color w:val="000000"/>
                <w:sz w:val="18"/>
                <w:szCs w:val="18"/>
              </w:rPr>
            </w:pPr>
            <w:r w:rsidRPr="00AF484A">
              <w:rPr>
                <w:rFonts w:ascii="Arial" w:hAnsi="Arial" w:cs="Arial"/>
                <w:color w:val="000000"/>
                <w:sz w:val="18"/>
                <w:szCs w:val="18"/>
              </w:rPr>
              <w:t>245.9</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jc w:val="center"/>
              <w:rPr>
                <w:rFonts w:ascii="Arial" w:hAnsi="Arial" w:cs="Arial"/>
                <w:color w:val="000000"/>
                <w:sz w:val="18"/>
                <w:szCs w:val="18"/>
              </w:rPr>
            </w:pPr>
            <w:r w:rsidRPr="00AF484A">
              <w:rPr>
                <w:rFonts w:ascii="Arial" w:hAnsi="Arial" w:cs="Arial"/>
                <w:color w:val="000000"/>
                <w:sz w:val="18"/>
                <w:szCs w:val="18"/>
              </w:rPr>
              <w:t>6.2%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jc w:val="center"/>
              <w:rPr>
                <w:rFonts w:ascii="Arial" w:hAnsi="Arial" w:cs="Arial"/>
                <w:color w:val="000000"/>
                <w:sz w:val="18"/>
                <w:szCs w:val="18"/>
              </w:rPr>
            </w:pPr>
            <w:r w:rsidRPr="00AF484A">
              <w:rPr>
                <w:rFonts w:ascii="Arial" w:hAnsi="Arial" w:cs="Arial"/>
                <w:color w:val="000000"/>
                <w:sz w:val="18"/>
                <w:szCs w:val="18"/>
              </w:rPr>
              <w:t>8.1%</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jc w:val="center"/>
              <w:rPr>
                <w:rFonts w:ascii="Arial" w:hAnsi="Arial" w:cs="Arial"/>
                <w:color w:val="000000"/>
                <w:sz w:val="18"/>
                <w:szCs w:val="18"/>
              </w:rPr>
            </w:pPr>
            <w:r w:rsidRPr="00AF484A">
              <w:rPr>
                <w:rFonts w:ascii="Arial" w:hAnsi="Arial" w:cs="Arial"/>
                <w:color w:val="000000"/>
                <w:sz w:val="18"/>
                <w:szCs w:val="18"/>
              </w:rPr>
              <w:t>21.2</w:t>
            </w:r>
          </w:p>
        </w:tc>
        <w:tc>
          <w:tcPr>
            <w:tcW w:w="1040" w:type="dxa"/>
            <w:tcBorders>
              <w:top w:val="nil"/>
              <w:left w:val="nil"/>
              <w:bottom w:val="single" w:sz="4" w:space="0" w:color="000000"/>
              <w:right w:val="single" w:sz="4" w:space="0" w:color="000000"/>
            </w:tcBorders>
            <w:shd w:val="clear" w:color="auto" w:fill="auto"/>
            <w:noWrap/>
            <w:vAlign w:val="center"/>
            <w:hideMark/>
          </w:tcPr>
          <w:p w:rsidR="00AF484A" w:rsidRPr="00AF484A" w:rsidRDefault="00AF484A" w:rsidP="00324486">
            <w:pPr>
              <w:jc w:val="center"/>
              <w:rPr>
                <w:rFonts w:ascii="Arial" w:hAnsi="Arial" w:cs="Arial"/>
                <w:color w:val="000000"/>
                <w:sz w:val="18"/>
                <w:szCs w:val="18"/>
              </w:rPr>
            </w:pPr>
            <w:r w:rsidRPr="00AF484A">
              <w:rPr>
                <w:rFonts w:ascii="Arial" w:hAnsi="Arial" w:cs="Arial"/>
                <w:color w:val="000000"/>
                <w:sz w:val="18"/>
                <w:szCs w:val="18"/>
              </w:rPr>
              <w:t>27.6</w:t>
            </w:r>
          </w:p>
        </w:tc>
      </w:tr>
    </w:tbl>
    <w:p w:rsidR="009C4CBE" w:rsidRPr="004B2046" w:rsidRDefault="009C4CBE" w:rsidP="000072DB">
      <w:pPr>
        <w:spacing w:line="276" w:lineRule="auto"/>
        <w:rPr>
          <w:color w:val="000000" w:themeColor="text1"/>
        </w:rPr>
      </w:pPr>
    </w:p>
    <w:p w:rsidR="00B32A53" w:rsidRPr="00205691" w:rsidRDefault="00B32A53" w:rsidP="00B32A53">
      <w:pPr>
        <w:pStyle w:val="Heading3"/>
        <w:rPr>
          <w:rFonts w:ascii="Times New Roman" w:hAnsi="Times New Roman" w:cs="Times New Roman"/>
          <w:color w:val="000000" w:themeColor="text1"/>
        </w:rPr>
      </w:pPr>
      <w:bookmarkStart w:id="97" w:name="_Toc351990573"/>
      <w:bookmarkStart w:id="98" w:name="_Toc352084150"/>
      <w:bookmarkStart w:id="99" w:name="_Toc415748974"/>
      <w:r w:rsidRPr="00205691">
        <w:rPr>
          <w:rFonts w:ascii="Times New Roman" w:hAnsi="Times New Roman" w:cs="Times New Roman"/>
          <w:color w:val="000000" w:themeColor="text1"/>
        </w:rPr>
        <w:t>Relationship between Ex Post and Ex Ante Estimates</w:t>
      </w:r>
      <w:bookmarkEnd w:id="99"/>
    </w:p>
    <w:p w:rsidR="00B32A53" w:rsidRDefault="00B32A53" w:rsidP="00B32A53">
      <w:pPr>
        <w:pStyle w:val="Heading3"/>
        <w:numPr>
          <w:ilvl w:val="0"/>
          <w:numId w:val="0"/>
        </w:numPr>
        <w:spacing w:after="0" w:line="276" w:lineRule="auto"/>
        <w:ind w:left="720"/>
        <w:rPr>
          <w:rFonts w:ascii="Times New Roman" w:hAnsi="Times New Roman" w:cs="Times New Roman"/>
          <w:color w:val="FF0000"/>
        </w:rPr>
      </w:pPr>
    </w:p>
    <w:p w:rsidR="00B32A53" w:rsidRPr="00B32A53" w:rsidRDefault="00B32A53" w:rsidP="00B32A53">
      <w:pPr>
        <w:spacing w:line="276" w:lineRule="auto"/>
        <w:ind w:firstLine="720"/>
        <w:rPr>
          <w:color w:val="000000" w:themeColor="text1"/>
        </w:rPr>
      </w:pPr>
      <w:r w:rsidRPr="00B32A53">
        <w:rPr>
          <w:color w:val="000000" w:themeColor="text1"/>
        </w:rPr>
        <w:t xml:space="preserve">Table </w:t>
      </w:r>
      <w:r w:rsidR="00B56A7D">
        <w:rPr>
          <w:color w:val="000000" w:themeColor="text1"/>
        </w:rPr>
        <w:t>3-7</w:t>
      </w:r>
      <w:r w:rsidRPr="00B32A53">
        <w:rPr>
          <w:color w:val="000000" w:themeColor="text1"/>
        </w:rPr>
        <w:t xml:space="preserve"> summarizes the key factors that lead to differences between ex post and ex ante estimates for CPP and the expected influence that these factors have on the relationship between ex post and ex ante impacts.  Given that the CPP load impacts are sensitive to variation in weather, even small changes in mean17 between ex post and ex ante weather conditions can produce relatively large differences in load impacts.  For the typical event day, ex ante impacts are significantly lower when based on SDG&amp;E ex ante weather and also lower  than the ex post values when based on CAISO weather conditions.  This change decreases the ex ante impacts by roughly 10% for the typical event day under 1-in-2 SDG&amp;E weather conditions, as compared to the average 2014 event day.  Changes in enrollment between the values used for ex post estimation and the 2015 enrollment values increase impact estimates by about 10%.  Finally, the fact that the ex ante model is based on ex post impacts from both 2013 and 2014 for persistent customers, which exhibit a stronger relationship with temperature, will result in slightly higher ex ante load impacts at higher temperature values than ex post impacts at similar values.</w:t>
      </w:r>
    </w:p>
    <w:p w:rsidR="00B32A53" w:rsidRPr="00B2669C" w:rsidRDefault="00B32A53" w:rsidP="00B32A53">
      <w:pPr>
        <w:rPr>
          <w:sz w:val="20"/>
          <w:szCs w:val="20"/>
        </w:rPr>
      </w:pPr>
    </w:p>
    <w:p w:rsidR="00B32A53" w:rsidRPr="00B2669C" w:rsidRDefault="00B32A53" w:rsidP="00B32A53">
      <w:pPr>
        <w:pStyle w:val="TableFigureCaption"/>
        <w:rPr>
          <w:rFonts w:ascii="Times New Roman" w:hAnsi="Times New Roman"/>
          <w:sz w:val="20"/>
          <w:szCs w:val="20"/>
        </w:rPr>
      </w:pPr>
      <w:r w:rsidRPr="00B2669C">
        <w:rPr>
          <w:rFonts w:ascii="Times New Roman" w:hAnsi="Times New Roman"/>
          <w:sz w:val="20"/>
          <w:szCs w:val="20"/>
        </w:rPr>
        <w:t>Table 3-7: Summary of Factors Underlying Differences between Ex Post and Ex Ante Impacts for the Default CPP Customers for the Ex Ante Typical Event Day</w:t>
      </w:r>
    </w:p>
    <w:tbl>
      <w:tblPr>
        <w:tblW w:w="11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D"/>
        <w:tblLayout w:type="fixed"/>
        <w:tblLook w:val="04A0" w:firstRow="1" w:lastRow="0" w:firstColumn="1" w:lastColumn="0" w:noHBand="0" w:noVBand="1"/>
      </w:tblPr>
      <w:tblGrid>
        <w:gridCol w:w="1292"/>
        <w:gridCol w:w="2619"/>
        <w:gridCol w:w="3546"/>
        <w:gridCol w:w="3960"/>
      </w:tblGrid>
      <w:tr w:rsidR="00B32A53" w:rsidRPr="008F7A89" w:rsidTr="00B32A53">
        <w:trPr>
          <w:trHeight w:val="525"/>
          <w:jc w:val="center"/>
        </w:trPr>
        <w:tc>
          <w:tcPr>
            <w:tcW w:w="1292" w:type="dxa"/>
            <w:tcBorders>
              <w:bottom w:val="single" w:sz="4" w:space="0" w:color="auto"/>
              <w:right w:val="single" w:sz="4" w:space="0" w:color="FFFFFF" w:themeColor="background1"/>
            </w:tcBorders>
            <w:shd w:val="clear" w:color="auto" w:fill="0070CD"/>
            <w:vAlign w:val="center"/>
            <w:hideMark/>
          </w:tcPr>
          <w:p w:rsidR="00B32A53" w:rsidRPr="008F7A89" w:rsidRDefault="00B32A53" w:rsidP="00324486">
            <w:pPr>
              <w:pStyle w:val="TableHeader"/>
              <w:rPr>
                <w:rFonts w:cs="Arial"/>
              </w:rPr>
            </w:pPr>
            <w:r w:rsidRPr="008F7A89">
              <w:rPr>
                <w:rFonts w:cs="Arial"/>
              </w:rPr>
              <w:t>Factor</w:t>
            </w:r>
          </w:p>
        </w:tc>
        <w:tc>
          <w:tcPr>
            <w:tcW w:w="2619" w:type="dxa"/>
            <w:tcBorders>
              <w:left w:val="single" w:sz="4" w:space="0" w:color="FFFFFF" w:themeColor="background1"/>
              <w:bottom w:val="single" w:sz="4" w:space="0" w:color="auto"/>
              <w:right w:val="single" w:sz="4" w:space="0" w:color="FFFFFF" w:themeColor="background1"/>
            </w:tcBorders>
            <w:shd w:val="clear" w:color="auto" w:fill="0070CD"/>
            <w:vAlign w:val="center"/>
            <w:hideMark/>
          </w:tcPr>
          <w:p w:rsidR="00B32A53" w:rsidRPr="008F7A89" w:rsidRDefault="00B32A53" w:rsidP="00324486">
            <w:pPr>
              <w:pStyle w:val="TableHeader"/>
              <w:rPr>
                <w:rFonts w:cs="Arial"/>
              </w:rPr>
            </w:pPr>
            <w:r w:rsidRPr="008F7A89">
              <w:rPr>
                <w:rFonts w:cs="Arial"/>
              </w:rPr>
              <w:t>Ex Post</w:t>
            </w:r>
          </w:p>
        </w:tc>
        <w:tc>
          <w:tcPr>
            <w:tcW w:w="3546" w:type="dxa"/>
            <w:tcBorders>
              <w:left w:val="single" w:sz="4" w:space="0" w:color="FFFFFF" w:themeColor="background1"/>
              <w:bottom w:val="single" w:sz="4" w:space="0" w:color="auto"/>
              <w:right w:val="single" w:sz="4" w:space="0" w:color="FFFFFF" w:themeColor="background1"/>
            </w:tcBorders>
            <w:shd w:val="clear" w:color="auto" w:fill="0070CD"/>
            <w:vAlign w:val="center"/>
            <w:hideMark/>
          </w:tcPr>
          <w:p w:rsidR="00B32A53" w:rsidRPr="008F7A89" w:rsidRDefault="00B32A53" w:rsidP="00324486">
            <w:pPr>
              <w:pStyle w:val="TableHeader"/>
              <w:rPr>
                <w:rFonts w:cs="Arial"/>
              </w:rPr>
            </w:pPr>
            <w:r w:rsidRPr="008F7A89">
              <w:rPr>
                <w:rFonts w:cs="Arial"/>
              </w:rPr>
              <w:t>Ex Ante</w:t>
            </w:r>
          </w:p>
        </w:tc>
        <w:tc>
          <w:tcPr>
            <w:tcW w:w="3960" w:type="dxa"/>
            <w:tcBorders>
              <w:left w:val="single" w:sz="4" w:space="0" w:color="FFFFFF" w:themeColor="background1"/>
              <w:bottom w:val="single" w:sz="4" w:space="0" w:color="auto"/>
            </w:tcBorders>
            <w:shd w:val="clear" w:color="auto" w:fill="0070CD"/>
            <w:vAlign w:val="center"/>
            <w:hideMark/>
          </w:tcPr>
          <w:p w:rsidR="00B32A53" w:rsidRPr="008F7A89" w:rsidRDefault="00B32A53" w:rsidP="00324486">
            <w:pPr>
              <w:pStyle w:val="TableHeader"/>
              <w:rPr>
                <w:rFonts w:cs="Arial"/>
              </w:rPr>
            </w:pPr>
            <w:r w:rsidRPr="008F7A89">
              <w:rPr>
                <w:rFonts w:cs="Arial"/>
              </w:rPr>
              <w:t>Expected Impact</w:t>
            </w:r>
          </w:p>
        </w:tc>
      </w:tr>
      <w:tr w:rsidR="00B32A53" w:rsidRPr="008F7A89" w:rsidTr="00B32A53">
        <w:trPr>
          <w:trHeight w:val="1824"/>
          <w:jc w:val="center"/>
        </w:trPr>
        <w:tc>
          <w:tcPr>
            <w:tcW w:w="1292" w:type="dxa"/>
            <w:shd w:val="clear" w:color="auto" w:fill="FFFFFF" w:themeFill="background1"/>
            <w:noWrap/>
            <w:vAlign w:val="center"/>
            <w:hideMark/>
          </w:tcPr>
          <w:p w:rsidR="00B32A53" w:rsidRPr="008F7A89" w:rsidRDefault="00B32A53" w:rsidP="00324486">
            <w:pPr>
              <w:pStyle w:val="TableText"/>
              <w:spacing w:before="100" w:after="100"/>
              <w:contextualSpacing/>
              <w:rPr>
                <w:rFonts w:cs="Arial"/>
                <w:highlight w:val="lightGray"/>
              </w:rPr>
            </w:pPr>
            <w:r w:rsidRPr="008F7A89">
              <w:rPr>
                <w:rFonts w:cs="Arial"/>
              </w:rPr>
              <w:t>Weather</w:t>
            </w:r>
          </w:p>
        </w:tc>
        <w:tc>
          <w:tcPr>
            <w:tcW w:w="2619" w:type="dxa"/>
            <w:shd w:val="clear" w:color="auto" w:fill="FFFFFF" w:themeFill="background1"/>
            <w:noWrap/>
            <w:vAlign w:val="center"/>
            <w:hideMark/>
          </w:tcPr>
          <w:p w:rsidR="00B32A53" w:rsidRPr="008F7A89" w:rsidRDefault="00B32A53" w:rsidP="00324486">
            <w:pPr>
              <w:pStyle w:val="TableText"/>
              <w:spacing w:before="100" w:after="100"/>
              <w:contextualSpacing/>
              <w:rPr>
                <w:rFonts w:cs="Arial"/>
              </w:rPr>
            </w:pPr>
            <w:r w:rsidRPr="008F7A89">
              <w:rPr>
                <w:rFonts w:cs="Arial"/>
              </w:rPr>
              <w:t>Default CPP customers:</w:t>
            </w:r>
          </w:p>
          <w:p w:rsidR="00B32A53" w:rsidRPr="008F7A89" w:rsidRDefault="00B32A53" w:rsidP="00324486">
            <w:pPr>
              <w:pStyle w:val="TableText"/>
              <w:spacing w:before="100" w:after="100"/>
              <w:contextualSpacing/>
              <w:rPr>
                <w:rFonts w:cs="Arial"/>
              </w:rPr>
            </w:pPr>
            <w:r>
              <w:rPr>
                <w:rFonts w:cs="Arial"/>
              </w:rPr>
              <w:t>58 &lt; event day mean17 &lt; 84</w:t>
            </w:r>
          </w:p>
          <w:p w:rsidR="00B32A53" w:rsidRPr="008F7A89" w:rsidRDefault="00B32A53" w:rsidP="00324486">
            <w:pPr>
              <w:pStyle w:val="TableText"/>
              <w:spacing w:before="100" w:after="100"/>
              <w:contextualSpacing/>
              <w:rPr>
                <w:rFonts w:cs="Arial"/>
              </w:rPr>
            </w:pPr>
            <w:r>
              <w:rPr>
                <w:rFonts w:cs="Arial"/>
              </w:rPr>
              <w:t>Average event day mean17 = 78</w:t>
            </w:r>
          </w:p>
          <w:p w:rsidR="00B32A53" w:rsidRPr="008F7A89" w:rsidRDefault="00B32A53" w:rsidP="00324486">
            <w:pPr>
              <w:pStyle w:val="TableText"/>
              <w:spacing w:before="100" w:after="100"/>
              <w:contextualSpacing/>
              <w:rPr>
                <w:rFonts w:cs="Arial"/>
                <w:highlight w:val="lightGray"/>
              </w:rPr>
            </w:pPr>
          </w:p>
        </w:tc>
        <w:tc>
          <w:tcPr>
            <w:tcW w:w="3546" w:type="dxa"/>
            <w:shd w:val="clear" w:color="auto" w:fill="FFFFFF" w:themeFill="background1"/>
            <w:vAlign w:val="center"/>
            <w:hideMark/>
          </w:tcPr>
          <w:p w:rsidR="00B32A53" w:rsidRDefault="00B32A53" w:rsidP="00676275">
            <w:pPr>
              <w:pStyle w:val="TableText"/>
              <w:spacing w:before="100" w:after="100"/>
              <w:contextualSpacing/>
              <w:rPr>
                <w:rFonts w:cs="Arial"/>
              </w:rPr>
            </w:pPr>
            <w:r w:rsidRPr="008F7A89">
              <w:rPr>
                <w:rFonts w:cs="Arial"/>
              </w:rPr>
              <w:t>Program specific mean17 for</w:t>
            </w:r>
            <w:r>
              <w:rPr>
                <w:rFonts w:cs="Arial"/>
              </w:rPr>
              <w:t xml:space="preserve"> 1-in-2 typical event day = 72.5 and 73.2 for SD</w:t>
            </w:r>
            <w:r w:rsidRPr="008F7A89">
              <w:rPr>
                <w:rFonts w:cs="Arial"/>
              </w:rPr>
              <w:t>G&amp;E and CAISO weather, respectively</w:t>
            </w:r>
            <w:r w:rsidR="00676275">
              <w:rPr>
                <w:rFonts w:cs="Arial"/>
              </w:rPr>
              <w:t>.</w:t>
            </w:r>
          </w:p>
          <w:p w:rsidR="007D672C" w:rsidRPr="008F7A89" w:rsidRDefault="007D672C" w:rsidP="00676275">
            <w:pPr>
              <w:pStyle w:val="TableText"/>
              <w:spacing w:before="100" w:after="100"/>
              <w:contextualSpacing/>
              <w:rPr>
                <w:rFonts w:cs="Arial"/>
              </w:rPr>
            </w:pPr>
            <w:r w:rsidRPr="008F7A89">
              <w:rPr>
                <w:rFonts w:cs="Arial"/>
              </w:rPr>
              <w:t xml:space="preserve">Program specific mean17 for </w:t>
            </w:r>
            <w:r>
              <w:rPr>
                <w:rFonts w:cs="Arial"/>
              </w:rPr>
              <w:t>1-in-10 typical event day = 77.5 and 76.0 for SD</w:t>
            </w:r>
            <w:r w:rsidRPr="008F7A89">
              <w:rPr>
                <w:rFonts w:cs="Arial"/>
              </w:rPr>
              <w:t xml:space="preserve">G&amp;E </w:t>
            </w:r>
            <w:r>
              <w:rPr>
                <w:rFonts w:cs="Arial"/>
              </w:rPr>
              <w:t>and CAISO weather, respectively</w:t>
            </w:r>
          </w:p>
        </w:tc>
        <w:tc>
          <w:tcPr>
            <w:tcW w:w="3960" w:type="dxa"/>
            <w:shd w:val="clear" w:color="auto" w:fill="FFFFFF" w:themeFill="background1"/>
            <w:vAlign w:val="center"/>
            <w:hideMark/>
          </w:tcPr>
          <w:p w:rsidR="00B32A53" w:rsidRPr="008F7A89" w:rsidRDefault="007D672C" w:rsidP="00324486">
            <w:pPr>
              <w:pStyle w:val="TableText"/>
              <w:spacing w:before="100" w:after="100"/>
              <w:contextualSpacing/>
              <w:rPr>
                <w:rFonts w:cs="Arial"/>
              </w:rPr>
            </w:pPr>
            <w:r w:rsidRPr="007D672C">
              <w:rPr>
                <w:rFonts w:cs="Arial"/>
              </w:rPr>
              <w:t>Ex ante estimates are sensitive to variation in mean17 – impacts will be lower based on both SDG&amp;E weather and CAISO weather</w:t>
            </w:r>
            <w:r>
              <w:rPr>
                <w:rFonts w:cs="Arial"/>
              </w:rPr>
              <w:t>.</w:t>
            </w:r>
          </w:p>
        </w:tc>
      </w:tr>
      <w:tr w:rsidR="00B32A53" w:rsidRPr="008F7A89" w:rsidTr="00B32A53">
        <w:trPr>
          <w:trHeight w:val="772"/>
          <w:jc w:val="center"/>
        </w:trPr>
        <w:tc>
          <w:tcPr>
            <w:tcW w:w="1292" w:type="dxa"/>
            <w:shd w:val="clear" w:color="auto" w:fill="FFFFFF" w:themeFill="background1"/>
            <w:noWrap/>
            <w:vAlign w:val="center"/>
            <w:hideMark/>
          </w:tcPr>
          <w:p w:rsidR="00B32A53" w:rsidRPr="008F7A89" w:rsidRDefault="00B32A53" w:rsidP="00324486">
            <w:pPr>
              <w:pStyle w:val="TableText"/>
              <w:spacing w:before="100" w:after="100"/>
              <w:contextualSpacing/>
              <w:rPr>
                <w:rFonts w:cs="Arial"/>
              </w:rPr>
            </w:pPr>
            <w:r w:rsidRPr="008F7A89">
              <w:rPr>
                <w:rFonts w:cs="Arial"/>
              </w:rPr>
              <w:t>Enrollment</w:t>
            </w:r>
          </w:p>
        </w:tc>
        <w:tc>
          <w:tcPr>
            <w:tcW w:w="2619" w:type="dxa"/>
            <w:shd w:val="clear" w:color="auto" w:fill="FFFFFF" w:themeFill="background1"/>
            <w:noWrap/>
            <w:vAlign w:val="center"/>
            <w:hideMark/>
          </w:tcPr>
          <w:p w:rsidR="00B32A53" w:rsidRPr="008F7A89" w:rsidRDefault="00B32A53" w:rsidP="00324486">
            <w:pPr>
              <w:pStyle w:val="TableText"/>
              <w:spacing w:before="100" w:after="100"/>
              <w:contextualSpacing/>
              <w:rPr>
                <w:rFonts w:cs="Arial"/>
              </w:rPr>
            </w:pPr>
            <w:r w:rsidRPr="008F7A89">
              <w:rPr>
                <w:rFonts w:cs="Arial"/>
              </w:rPr>
              <w:t>Enrollment remained fairly constant over the 2014 summer</w:t>
            </w:r>
          </w:p>
        </w:tc>
        <w:tc>
          <w:tcPr>
            <w:tcW w:w="3546" w:type="dxa"/>
            <w:shd w:val="clear" w:color="auto" w:fill="FFFFFF" w:themeFill="background1"/>
            <w:vAlign w:val="center"/>
            <w:hideMark/>
          </w:tcPr>
          <w:p w:rsidR="00B32A53" w:rsidRPr="008F7A89" w:rsidRDefault="00B32A53" w:rsidP="00324486">
            <w:pPr>
              <w:pStyle w:val="TableText"/>
              <w:spacing w:before="100" w:after="100"/>
              <w:contextualSpacing/>
              <w:rPr>
                <w:rFonts w:cs="Arial"/>
              </w:rPr>
            </w:pPr>
            <w:r w:rsidRPr="008F7A89">
              <w:rPr>
                <w:rFonts w:cs="Arial"/>
              </w:rPr>
              <w:t>2015 enrol</w:t>
            </w:r>
            <w:r>
              <w:rPr>
                <w:rFonts w:cs="Arial"/>
              </w:rPr>
              <w:t>lment is forecast to be about 10</w:t>
            </w:r>
            <w:r w:rsidRPr="008F7A89">
              <w:rPr>
                <w:rFonts w:cs="Arial"/>
              </w:rPr>
              <w:t>% higher</w:t>
            </w:r>
          </w:p>
        </w:tc>
        <w:tc>
          <w:tcPr>
            <w:tcW w:w="3960" w:type="dxa"/>
            <w:shd w:val="clear" w:color="auto" w:fill="FFFFFF" w:themeFill="background1"/>
            <w:vAlign w:val="center"/>
            <w:hideMark/>
          </w:tcPr>
          <w:p w:rsidR="00B32A53" w:rsidRPr="008F7A89" w:rsidRDefault="00B32A53" w:rsidP="00324486">
            <w:pPr>
              <w:pStyle w:val="TableText"/>
              <w:spacing w:before="100" w:after="100"/>
              <w:contextualSpacing/>
              <w:rPr>
                <w:rFonts w:cs="Arial"/>
              </w:rPr>
            </w:pPr>
            <w:r w:rsidRPr="008F7A89">
              <w:rPr>
                <w:rFonts w:cs="Arial"/>
              </w:rPr>
              <w:t>Ex</w:t>
            </w:r>
            <w:r>
              <w:rPr>
                <w:rFonts w:cs="Arial"/>
              </w:rPr>
              <w:t xml:space="preserve"> ante estimates will be about 10</w:t>
            </w:r>
            <w:r w:rsidRPr="008F7A89">
              <w:rPr>
                <w:rFonts w:cs="Arial"/>
              </w:rPr>
              <w:t>% higher than ex post</w:t>
            </w:r>
          </w:p>
        </w:tc>
      </w:tr>
      <w:tr w:rsidR="00B32A53" w:rsidRPr="008F7A89" w:rsidTr="00B32A53">
        <w:trPr>
          <w:trHeight w:val="2708"/>
          <w:jc w:val="center"/>
        </w:trPr>
        <w:tc>
          <w:tcPr>
            <w:tcW w:w="1292" w:type="dxa"/>
            <w:shd w:val="clear" w:color="auto" w:fill="FFFFFF" w:themeFill="background1"/>
            <w:noWrap/>
            <w:vAlign w:val="center"/>
            <w:hideMark/>
          </w:tcPr>
          <w:p w:rsidR="00B32A53" w:rsidRPr="008F7A89" w:rsidRDefault="00B32A53" w:rsidP="00324486">
            <w:pPr>
              <w:pStyle w:val="TableText"/>
              <w:spacing w:before="100" w:after="100"/>
              <w:contextualSpacing/>
              <w:rPr>
                <w:rFonts w:cs="Arial"/>
              </w:rPr>
            </w:pPr>
            <w:r w:rsidRPr="008F7A89">
              <w:rPr>
                <w:rFonts w:cs="Arial"/>
              </w:rPr>
              <w:lastRenderedPageBreak/>
              <w:t>Methodology</w:t>
            </w:r>
          </w:p>
        </w:tc>
        <w:tc>
          <w:tcPr>
            <w:tcW w:w="2619" w:type="dxa"/>
            <w:shd w:val="clear" w:color="auto" w:fill="FFFFFF" w:themeFill="background1"/>
            <w:vAlign w:val="center"/>
            <w:hideMark/>
          </w:tcPr>
          <w:p w:rsidR="00B32A53" w:rsidRPr="008F7A89" w:rsidRDefault="00B32A53" w:rsidP="00324486">
            <w:pPr>
              <w:pStyle w:val="TableText"/>
              <w:spacing w:before="100" w:after="100"/>
              <w:contextualSpacing/>
              <w:rPr>
                <w:rFonts w:cs="Arial"/>
              </w:rPr>
            </w:pPr>
            <w:r w:rsidRPr="008F7A89">
              <w:rPr>
                <w:rFonts w:cs="Arial"/>
              </w:rPr>
              <w:t>2014 impacts based on combination of matched control groups and individual customer regressions</w:t>
            </w:r>
          </w:p>
        </w:tc>
        <w:tc>
          <w:tcPr>
            <w:tcW w:w="3546" w:type="dxa"/>
            <w:shd w:val="clear" w:color="auto" w:fill="FFFFFF" w:themeFill="background1"/>
            <w:vAlign w:val="center"/>
            <w:hideMark/>
          </w:tcPr>
          <w:p w:rsidR="00B32A53" w:rsidRPr="008F7A89" w:rsidRDefault="00B32A53" w:rsidP="00324486">
            <w:pPr>
              <w:pStyle w:val="TableText"/>
              <w:spacing w:before="100" w:after="100"/>
              <w:contextualSpacing/>
              <w:rPr>
                <w:rFonts w:cs="Arial"/>
              </w:rPr>
            </w:pPr>
            <w:r w:rsidRPr="008F7A89">
              <w:rPr>
                <w:rFonts w:cs="Arial"/>
              </w:rPr>
              <w:t>Impacts: regression of ex post percent impacts against mean17 for each hour using two years’ worth of ex post impacts for persistent customers</w:t>
            </w:r>
          </w:p>
          <w:p w:rsidR="00B32A53" w:rsidRPr="008F7A89" w:rsidRDefault="00B32A53" w:rsidP="00324486">
            <w:pPr>
              <w:pStyle w:val="TableText"/>
              <w:spacing w:before="100" w:after="100"/>
              <w:contextualSpacing/>
              <w:rPr>
                <w:rFonts w:cs="Arial"/>
              </w:rPr>
            </w:pPr>
            <w:r w:rsidRPr="008F7A89">
              <w:rPr>
                <w:rFonts w:cs="Arial"/>
              </w:rPr>
              <w:t>Reference Load: regression of kW against mean17 and date variables for each hour</w:t>
            </w:r>
            <w:r>
              <w:rPr>
                <w:rFonts w:cs="Arial"/>
              </w:rPr>
              <w:t xml:space="preserve"> using default cpp population</w:t>
            </w:r>
          </w:p>
        </w:tc>
        <w:tc>
          <w:tcPr>
            <w:tcW w:w="3960" w:type="dxa"/>
            <w:shd w:val="clear" w:color="auto" w:fill="FFFFFF" w:themeFill="background1"/>
            <w:vAlign w:val="center"/>
            <w:hideMark/>
          </w:tcPr>
          <w:p w:rsidR="00B32A53" w:rsidRPr="008F7A89" w:rsidRDefault="00B32A53" w:rsidP="00324486">
            <w:pPr>
              <w:pStyle w:val="TableText"/>
              <w:spacing w:before="100" w:after="100"/>
              <w:contextualSpacing/>
              <w:rPr>
                <w:rFonts w:cs="Arial"/>
              </w:rPr>
            </w:pPr>
            <w:r w:rsidRPr="008F7A89">
              <w:rPr>
                <w:rFonts w:cs="Arial"/>
              </w:rPr>
              <w:t>Pooled impacts from 2013 and 2014 for persistent customers exhibit a stronger temperature relationship than those for all customers.  Impacts will be higher at higher temperatures and lower or similar at lower temperatures.</w:t>
            </w:r>
          </w:p>
          <w:p w:rsidR="00B32A53" w:rsidRPr="008F7A89" w:rsidRDefault="00B32A53" w:rsidP="00324486">
            <w:pPr>
              <w:pStyle w:val="TableText"/>
              <w:spacing w:before="100" w:after="100"/>
              <w:contextualSpacing/>
              <w:rPr>
                <w:rFonts w:cs="Arial"/>
              </w:rPr>
            </w:pPr>
            <w:r>
              <w:rPr>
                <w:rFonts w:cs="Arial"/>
              </w:rPr>
              <w:t xml:space="preserve">Reference load of the ex ante population is similar to that of </w:t>
            </w:r>
            <w:r w:rsidRPr="008F7A89">
              <w:rPr>
                <w:rFonts w:cs="Arial"/>
              </w:rPr>
              <w:t>the ex post population</w:t>
            </w:r>
            <w:r>
              <w:rPr>
                <w:rFonts w:cs="Arial"/>
              </w:rPr>
              <w:t>.</w:t>
            </w:r>
          </w:p>
        </w:tc>
      </w:tr>
    </w:tbl>
    <w:p w:rsidR="00B32A53" w:rsidRDefault="00B32A53" w:rsidP="00B32A53"/>
    <w:p w:rsidR="00B32A53" w:rsidRDefault="00B32A53" w:rsidP="00B32A53"/>
    <w:p w:rsidR="00B32A53" w:rsidRDefault="00676275" w:rsidP="00676275">
      <w:pPr>
        <w:pStyle w:val="BodyParagraph"/>
        <w:spacing w:after="0" w:line="276" w:lineRule="auto"/>
        <w:ind w:firstLine="360"/>
        <w:rPr>
          <w:rFonts w:ascii="Times New Roman" w:hAnsi="Times New Roman"/>
          <w:color w:val="000000" w:themeColor="text1"/>
          <w:sz w:val="24"/>
          <w:szCs w:val="24"/>
          <w:shd w:val="clear" w:color="auto" w:fill="FFFFFF" w:themeFill="background1"/>
        </w:rPr>
      </w:pPr>
      <w:r w:rsidRPr="00676275">
        <w:rPr>
          <w:rFonts w:ascii="Times New Roman" w:hAnsi="Times New Roman"/>
          <w:color w:val="000000" w:themeColor="text1"/>
          <w:sz w:val="24"/>
          <w:szCs w:val="24"/>
          <w:shd w:val="clear" w:color="auto" w:fill="FFFFFF" w:themeFill="background1"/>
        </w:rPr>
        <w:t xml:space="preserve">Table 3-8 shows how aggregate load impacts change for large default CPP customers as a result of differences in the factors underlying ex post and ex ante estimates.  The third column uses the 2014 ex post impacts shown in Table 8-1 and the projected enrollment for August of 2015 to produce a scaled-up ex post impact estimate.  This leads to an average increase in load reductions of about 10%.  The next column shows what the ex ante model would produce using the same August 2015 enrollment figures and the ex post weather conditions for each event day.  The ex ante model predicts load reductions fairly accurately on average, but estimates tend to be higher on individual days, with the exception of the July 31 event.  As discussed above, this is the result of estimating ex ante impacts using percent impacts from the persistent population’s 2013 and 2014 ex post values.  The final four columns show how aggregate load reductions vary with the different ex ante weather scenarios.  The impacts are similar across SDG&amp;E and CAISO weather scenarios. </w:t>
      </w:r>
    </w:p>
    <w:p w:rsidR="00676275" w:rsidRDefault="00676275" w:rsidP="00676275">
      <w:pPr>
        <w:pStyle w:val="BodyParagraph"/>
        <w:spacing w:after="0" w:line="276" w:lineRule="auto"/>
        <w:ind w:firstLine="360"/>
        <w:rPr>
          <w:rFonts w:ascii="Times New Roman" w:hAnsi="Times New Roman"/>
          <w:color w:val="000000" w:themeColor="text1"/>
          <w:sz w:val="24"/>
          <w:szCs w:val="24"/>
          <w:shd w:val="clear" w:color="auto" w:fill="FFFFFF" w:themeFill="background1"/>
        </w:rPr>
      </w:pPr>
    </w:p>
    <w:p w:rsidR="00676275" w:rsidRPr="00B2669C" w:rsidRDefault="00676275" w:rsidP="00676275">
      <w:pPr>
        <w:pStyle w:val="TableFigureCaption"/>
        <w:rPr>
          <w:rFonts w:ascii="Times New Roman" w:hAnsi="Times New Roman"/>
          <w:noProof/>
          <w:sz w:val="20"/>
          <w:szCs w:val="20"/>
        </w:rPr>
      </w:pPr>
      <w:r w:rsidRPr="00B2669C">
        <w:rPr>
          <w:rFonts w:ascii="Times New Roman" w:hAnsi="Times New Roman"/>
          <w:sz w:val="20"/>
          <w:szCs w:val="20"/>
        </w:rPr>
        <w:t>Table 3-8: Differences in Large C&amp;I Ex Post and Ex Ante Impacts Due to Key Factors</w:t>
      </w:r>
    </w:p>
    <w:tbl>
      <w:tblPr>
        <w:tblW w:w="8360" w:type="dxa"/>
        <w:jc w:val="center"/>
        <w:tblInd w:w="93" w:type="dxa"/>
        <w:tblLook w:val="04A0" w:firstRow="1" w:lastRow="0" w:firstColumn="1" w:lastColumn="0" w:noHBand="0" w:noVBand="1"/>
      </w:tblPr>
      <w:tblGrid>
        <w:gridCol w:w="1106"/>
        <w:gridCol w:w="971"/>
        <w:gridCol w:w="1328"/>
        <w:gridCol w:w="1261"/>
        <w:gridCol w:w="1114"/>
        <w:gridCol w:w="850"/>
        <w:gridCol w:w="928"/>
        <w:gridCol w:w="850"/>
        <w:gridCol w:w="928"/>
      </w:tblGrid>
      <w:tr w:rsidR="00676275" w:rsidRPr="00B11041" w:rsidTr="00324486">
        <w:trPr>
          <w:trHeight w:val="1530"/>
          <w:jc w:val="center"/>
        </w:trPr>
        <w:tc>
          <w:tcPr>
            <w:tcW w:w="978" w:type="dxa"/>
            <w:vMerge w:val="restart"/>
            <w:tcBorders>
              <w:top w:val="single" w:sz="4" w:space="0" w:color="auto"/>
              <w:left w:val="single" w:sz="4" w:space="0" w:color="auto"/>
              <w:bottom w:val="single" w:sz="4" w:space="0" w:color="000000"/>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Date</w:t>
            </w:r>
          </w:p>
        </w:tc>
        <w:tc>
          <w:tcPr>
            <w:tcW w:w="971" w:type="dxa"/>
            <w:tcBorders>
              <w:top w:val="single" w:sz="4" w:space="0" w:color="auto"/>
              <w:left w:val="nil"/>
              <w:bottom w:val="single" w:sz="4" w:space="0" w:color="FFFFFF"/>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Mean 17</w:t>
            </w:r>
          </w:p>
        </w:tc>
        <w:tc>
          <w:tcPr>
            <w:tcW w:w="1142" w:type="dxa"/>
            <w:tcBorders>
              <w:top w:val="single" w:sz="4" w:space="0" w:color="auto"/>
              <w:left w:val="nil"/>
              <w:bottom w:val="single" w:sz="4" w:space="0" w:color="FFFFFF"/>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Enrollment-adjusted Ex Post Impact</w:t>
            </w:r>
          </w:p>
        </w:tc>
        <w:tc>
          <w:tcPr>
            <w:tcW w:w="1119" w:type="dxa"/>
            <w:tcBorders>
              <w:top w:val="single" w:sz="4" w:space="0" w:color="auto"/>
              <w:left w:val="nil"/>
              <w:bottom w:val="single" w:sz="4" w:space="0" w:color="FFFFFF"/>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Ex Post Impact with Ex Ante Enrollment</w:t>
            </w:r>
          </w:p>
        </w:tc>
        <w:tc>
          <w:tcPr>
            <w:tcW w:w="1114" w:type="dxa"/>
            <w:tcBorders>
              <w:top w:val="single" w:sz="4" w:space="0" w:color="auto"/>
              <w:left w:val="nil"/>
              <w:bottom w:val="single" w:sz="4" w:space="0" w:color="FFFFFF"/>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Ex Ante Model Ex Post Weather</w:t>
            </w:r>
          </w:p>
        </w:tc>
        <w:tc>
          <w:tcPr>
            <w:tcW w:w="758" w:type="dxa"/>
            <w:tcBorders>
              <w:top w:val="single" w:sz="4" w:space="0" w:color="auto"/>
              <w:left w:val="nil"/>
              <w:bottom w:val="single" w:sz="4" w:space="0" w:color="FFFFFF"/>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CAISO 1-in-2</w:t>
            </w:r>
          </w:p>
        </w:tc>
        <w:tc>
          <w:tcPr>
            <w:tcW w:w="760" w:type="dxa"/>
            <w:tcBorders>
              <w:top w:val="single" w:sz="4" w:space="0" w:color="auto"/>
              <w:left w:val="nil"/>
              <w:bottom w:val="single" w:sz="4" w:space="0" w:color="FFFFFF"/>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SDG&amp;E 1-in-2</w:t>
            </w:r>
          </w:p>
        </w:tc>
        <w:tc>
          <w:tcPr>
            <w:tcW w:w="758" w:type="dxa"/>
            <w:tcBorders>
              <w:top w:val="single" w:sz="4" w:space="0" w:color="auto"/>
              <w:left w:val="nil"/>
              <w:bottom w:val="single" w:sz="4" w:space="0" w:color="FFFFFF"/>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CAISO 1-in-10</w:t>
            </w:r>
          </w:p>
        </w:tc>
        <w:tc>
          <w:tcPr>
            <w:tcW w:w="760" w:type="dxa"/>
            <w:tcBorders>
              <w:top w:val="single" w:sz="4" w:space="0" w:color="auto"/>
              <w:left w:val="nil"/>
              <w:bottom w:val="single" w:sz="4" w:space="0" w:color="FFFFFF"/>
              <w:right w:val="single" w:sz="4" w:space="0" w:color="auto"/>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SDG&amp;E 1-in-10</w:t>
            </w:r>
          </w:p>
        </w:tc>
      </w:tr>
      <w:tr w:rsidR="00676275" w:rsidRPr="00B11041" w:rsidTr="00324486">
        <w:trPr>
          <w:trHeight w:val="255"/>
          <w:jc w:val="center"/>
        </w:trPr>
        <w:tc>
          <w:tcPr>
            <w:tcW w:w="978" w:type="dxa"/>
            <w:vMerge/>
            <w:tcBorders>
              <w:top w:val="single" w:sz="4" w:space="0" w:color="auto"/>
              <w:left w:val="single" w:sz="4" w:space="0" w:color="auto"/>
              <w:bottom w:val="single" w:sz="4" w:space="0" w:color="000000"/>
              <w:right w:val="single" w:sz="4" w:space="0" w:color="FFFFFF"/>
            </w:tcBorders>
            <w:vAlign w:val="center"/>
            <w:hideMark/>
          </w:tcPr>
          <w:p w:rsidR="00676275" w:rsidRPr="00B11041" w:rsidRDefault="00676275" w:rsidP="00324486">
            <w:pPr>
              <w:rPr>
                <w:rFonts w:ascii="Arial" w:hAnsi="Arial" w:cs="Arial"/>
                <w:b/>
                <w:bCs/>
                <w:color w:val="FFFFFF"/>
                <w:sz w:val="20"/>
                <w:szCs w:val="20"/>
              </w:rPr>
            </w:pPr>
          </w:p>
        </w:tc>
        <w:tc>
          <w:tcPr>
            <w:tcW w:w="971" w:type="dxa"/>
            <w:tcBorders>
              <w:top w:val="nil"/>
              <w:left w:val="nil"/>
              <w:bottom w:val="single" w:sz="4" w:space="0" w:color="auto"/>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(F)</w:t>
            </w:r>
          </w:p>
        </w:tc>
        <w:tc>
          <w:tcPr>
            <w:tcW w:w="1142" w:type="dxa"/>
            <w:tcBorders>
              <w:top w:val="nil"/>
              <w:left w:val="nil"/>
              <w:bottom w:val="single" w:sz="4" w:space="0" w:color="auto"/>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(MW)</w:t>
            </w:r>
          </w:p>
        </w:tc>
        <w:tc>
          <w:tcPr>
            <w:tcW w:w="1119" w:type="dxa"/>
            <w:tcBorders>
              <w:top w:val="nil"/>
              <w:left w:val="nil"/>
              <w:bottom w:val="single" w:sz="4" w:space="0" w:color="auto"/>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(MW)</w:t>
            </w:r>
          </w:p>
        </w:tc>
        <w:tc>
          <w:tcPr>
            <w:tcW w:w="1114" w:type="dxa"/>
            <w:tcBorders>
              <w:top w:val="nil"/>
              <w:left w:val="nil"/>
              <w:bottom w:val="single" w:sz="4" w:space="0" w:color="auto"/>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(MW)</w:t>
            </w:r>
          </w:p>
        </w:tc>
        <w:tc>
          <w:tcPr>
            <w:tcW w:w="758" w:type="dxa"/>
            <w:tcBorders>
              <w:top w:val="nil"/>
              <w:left w:val="nil"/>
              <w:bottom w:val="single" w:sz="4" w:space="0" w:color="auto"/>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(MW)</w:t>
            </w:r>
          </w:p>
        </w:tc>
        <w:tc>
          <w:tcPr>
            <w:tcW w:w="760" w:type="dxa"/>
            <w:tcBorders>
              <w:top w:val="nil"/>
              <w:left w:val="nil"/>
              <w:bottom w:val="single" w:sz="4" w:space="0" w:color="auto"/>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(MW)</w:t>
            </w:r>
          </w:p>
        </w:tc>
        <w:tc>
          <w:tcPr>
            <w:tcW w:w="758" w:type="dxa"/>
            <w:tcBorders>
              <w:top w:val="nil"/>
              <w:left w:val="nil"/>
              <w:bottom w:val="single" w:sz="4" w:space="0" w:color="auto"/>
              <w:right w:val="single" w:sz="4" w:space="0" w:color="FFFFFF"/>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(MW)</w:t>
            </w:r>
          </w:p>
        </w:tc>
        <w:tc>
          <w:tcPr>
            <w:tcW w:w="760" w:type="dxa"/>
            <w:tcBorders>
              <w:top w:val="nil"/>
              <w:left w:val="nil"/>
              <w:bottom w:val="single" w:sz="4" w:space="0" w:color="auto"/>
              <w:right w:val="single" w:sz="4" w:space="0" w:color="auto"/>
            </w:tcBorders>
            <w:shd w:val="clear" w:color="000000" w:fill="0070CD"/>
            <w:vAlign w:val="center"/>
            <w:hideMark/>
          </w:tcPr>
          <w:p w:rsidR="00676275" w:rsidRPr="00B11041" w:rsidRDefault="00676275" w:rsidP="00324486">
            <w:pPr>
              <w:jc w:val="center"/>
              <w:rPr>
                <w:rFonts w:ascii="Arial" w:hAnsi="Arial" w:cs="Arial"/>
                <w:b/>
                <w:bCs/>
                <w:color w:val="FFFFFF"/>
                <w:sz w:val="20"/>
                <w:szCs w:val="20"/>
              </w:rPr>
            </w:pPr>
            <w:r w:rsidRPr="00B11041">
              <w:rPr>
                <w:rFonts w:ascii="Arial" w:hAnsi="Arial" w:cs="Arial"/>
                <w:b/>
                <w:bCs/>
                <w:color w:val="FFFFFF"/>
                <w:sz w:val="20"/>
                <w:szCs w:val="20"/>
              </w:rPr>
              <w:t>(MW)</w:t>
            </w:r>
          </w:p>
        </w:tc>
      </w:tr>
      <w:tr w:rsidR="00676275" w:rsidRPr="00B11041" w:rsidTr="00324486">
        <w:trPr>
          <w:trHeight w:val="255"/>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2/7/2014</w:t>
            </w:r>
          </w:p>
        </w:tc>
        <w:tc>
          <w:tcPr>
            <w:tcW w:w="971"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57.5</w:t>
            </w:r>
          </w:p>
        </w:tc>
        <w:tc>
          <w:tcPr>
            <w:tcW w:w="1142"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14.6</w:t>
            </w:r>
          </w:p>
        </w:tc>
        <w:tc>
          <w:tcPr>
            <w:tcW w:w="1119"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16.1</w:t>
            </w:r>
          </w:p>
        </w:tc>
        <w:tc>
          <w:tcPr>
            <w:tcW w:w="1114"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17.6</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24.8</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24.8</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25.0</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25.0</w:t>
            </w:r>
          </w:p>
        </w:tc>
      </w:tr>
      <w:tr w:rsidR="00676275" w:rsidRPr="00B11041" w:rsidTr="00324486">
        <w:trPr>
          <w:trHeight w:val="255"/>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5/15/2014</w:t>
            </w:r>
          </w:p>
        </w:tc>
        <w:tc>
          <w:tcPr>
            <w:tcW w:w="971"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83.9</w:t>
            </w:r>
          </w:p>
        </w:tc>
        <w:tc>
          <w:tcPr>
            <w:tcW w:w="1142"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24.3</w:t>
            </w:r>
          </w:p>
        </w:tc>
        <w:tc>
          <w:tcPr>
            <w:tcW w:w="1119"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26.7</w:t>
            </w:r>
          </w:p>
        </w:tc>
        <w:tc>
          <w:tcPr>
            <w:tcW w:w="1114"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31.6</w:t>
            </w: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r>
      <w:tr w:rsidR="00676275" w:rsidRPr="00B11041" w:rsidTr="00324486">
        <w:trPr>
          <w:trHeight w:val="255"/>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7/31/2014</w:t>
            </w:r>
          </w:p>
        </w:tc>
        <w:tc>
          <w:tcPr>
            <w:tcW w:w="971"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75.4</w:t>
            </w:r>
          </w:p>
        </w:tc>
        <w:tc>
          <w:tcPr>
            <w:tcW w:w="1142"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33.7</w:t>
            </w:r>
          </w:p>
        </w:tc>
        <w:tc>
          <w:tcPr>
            <w:tcW w:w="1119"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37.0</w:t>
            </w:r>
          </w:p>
        </w:tc>
        <w:tc>
          <w:tcPr>
            <w:tcW w:w="1114"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26.1</w:t>
            </w: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r>
      <w:tr w:rsidR="00676275" w:rsidRPr="00B11041" w:rsidTr="00324486">
        <w:trPr>
          <w:trHeight w:val="255"/>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9/15/2014</w:t>
            </w:r>
          </w:p>
        </w:tc>
        <w:tc>
          <w:tcPr>
            <w:tcW w:w="971"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81.4</w:t>
            </w:r>
          </w:p>
        </w:tc>
        <w:tc>
          <w:tcPr>
            <w:tcW w:w="1142"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26.3</w:t>
            </w:r>
          </w:p>
        </w:tc>
        <w:tc>
          <w:tcPr>
            <w:tcW w:w="1119"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28.9</w:t>
            </w:r>
          </w:p>
        </w:tc>
        <w:tc>
          <w:tcPr>
            <w:tcW w:w="1114"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29.8</w:t>
            </w: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r>
      <w:tr w:rsidR="00676275" w:rsidRPr="00B11041" w:rsidTr="00324486">
        <w:trPr>
          <w:trHeight w:val="255"/>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9/16/2014</w:t>
            </w:r>
          </w:p>
        </w:tc>
        <w:tc>
          <w:tcPr>
            <w:tcW w:w="971"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84.1</w:t>
            </w:r>
          </w:p>
        </w:tc>
        <w:tc>
          <w:tcPr>
            <w:tcW w:w="1142"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25.5</w:t>
            </w:r>
          </w:p>
        </w:tc>
        <w:tc>
          <w:tcPr>
            <w:tcW w:w="1119"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28.0</w:t>
            </w:r>
          </w:p>
        </w:tc>
        <w:tc>
          <w:tcPr>
            <w:tcW w:w="1114"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31.7</w:t>
            </w: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r>
      <w:tr w:rsidR="00676275" w:rsidRPr="00B11041" w:rsidTr="00324486">
        <w:trPr>
          <w:trHeight w:val="255"/>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9/17/2014</w:t>
            </w:r>
          </w:p>
        </w:tc>
        <w:tc>
          <w:tcPr>
            <w:tcW w:w="971"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83.1</w:t>
            </w:r>
          </w:p>
        </w:tc>
        <w:tc>
          <w:tcPr>
            <w:tcW w:w="1142"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28.1</w:t>
            </w:r>
          </w:p>
        </w:tc>
        <w:tc>
          <w:tcPr>
            <w:tcW w:w="1119"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30.8</w:t>
            </w:r>
          </w:p>
        </w:tc>
        <w:tc>
          <w:tcPr>
            <w:tcW w:w="1114"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31.0</w:t>
            </w: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r>
      <w:tr w:rsidR="00676275" w:rsidRPr="00B11041" w:rsidTr="00324486">
        <w:trPr>
          <w:trHeight w:val="255"/>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Avg.</w:t>
            </w:r>
          </w:p>
        </w:tc>
        <w:tc>
          <w:tcPr>
            <w:tcW w:w="971"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77.6</w:t>
            </w:r>
          </w:p>
        </w:tc>
        <w:tc>
          <w:tcPr>
            <w:tcW w:w="1142"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25.4</w:t>
            </w:r>
          </w:p>
        </w:tc>
        <w:tc>
          <w:tcPr>
            <w:tcW w:w="1119"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27.9</w:t>
            </w:r>
          </w:p>
        </w:tc>
        <w:tc>
          <w:tcPr>
            <w:tcW w:w="1114" w:type="dxa"/>
            <w:tcBorders>
              <w:top w:val="nil"/>
              <w:left w:val="nil"/>
              <w:bottom w:val="single" w:sz="4" w:space="0" w:color="auto"/>
              <w:right w:val="single" w:sz="4" w:space="0" w:color="auto"/>
            </w:tcBorders>
            <w:shd w:val="clear" w:color="auto" w:fill="auto"/>
            <w:noWrap/>
            <w:vAlign w:val="center"/>
            <w:hideMark/>
          </w:tcPr>
          <w:p w:rsidR="00676275" w:rsidRPr="00B11041" w:rsidRDefault="00676275" w:rsidP="00324486">
            <w:pPr>
              <w:jc w:val="center"/>
              <w:rPr>
                <w:rFonts w:ascii="Arial" w:hAnsi="Arial" w:cs="Arial"/>
                <w:color w:val="000000"/>
                <w:sz w:val="20"/>
                <w:szCs w:val="20"/>
              </w:rPr>
            </w:pPr>
            <w:r w:rsidRPr="00B11041">
              <w:rPr>
                <w:rFonts w:ascii="Arial" w:hAnsi="Arial" w:cs="Arial"/>
                <w:color w:val="000000"/>
                <w:sz w:val="20"/>
                <w:szCs w:val="20"/>
              </w:rPr>
              <w:t>28.0</w:t>
            </w: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76275" w:rsidRPr="00B11041" w:rsidRDefault="00676275" w:rsidP="00324486">
            <w:pPr>
              <w:rPr>
                <w:rFonts w:ascii="Arial" w:hAnsi="Arial" w:cs="Arial"/>
                <w:color w:val="000000"/>
                <w:sz w:val="20"/>
                <w:szCs w:val="20"/>
              </w:rPr>
            </w:pPr>
          </w:p>
        </w:tc>
      </w:tr>
    </w:tbl>
    <w:p w:rsidR="00676275" w:rsidRPr="00676275" w:rsidRDefault="00676275" w:rsidP="00676275">
      <w:pPr>
        <w:pStyle w:val="BodyParagraph"/>
        <w:spacing w:after="0" w:line="276" w:lineRule="auto"/>
        <w:ind w:firstLine="360"/>
        <w:rPr>
          <w:rFonts w:ascii="Times New Roman" w:hAnsi="Times New Roman"/>
          <w:color w:val="000000" w:themeColor="text1"/>
          <w:sz w:val="24"/>
          <w:szCs w:val="24"/>
          <w:shd w:val="clear" w:color="auto" w:fill="FFFFFF" w:themeFill="background1"/>
        </w:rPr>
      </w:pPr>
    </w:p>
    <w:p w:rsidR="00676275" w:rsidRDefault="00676275" w:rsidP="00B32A53"/>
    <w:p w:rsidR="00676275" w:rsidRPr="00B32A53" w:rsidRDefault="00676275" w:rsidP="00B32A53"/>
    <w:p w:rsidR="00B84C76" w:rsidRPr="008912F3" w:rsidRDefault="00B84C76" w:rsidP="00D8247E">
      <w:pPr>
        <w:pStyle w:val="Heading3"/>
        <w:spacing w:after="0" w:line="276" w:lineRule="auto"/>
        <w:rPr>
          <w:rFonts w:ascii="Times New Roman" w:hAnsi="Times New Roman" w:cs="Times New Roman"/>
          <w:color w:val="000000" w:themeColor="text1"/>
        </w:rPr>
      </w:pPr>
      <w:bookmarkStart w:id="100" w:name="_Toc415748975"/>
      <w:r w:rsidRPr="008912F3">
        <w:rPr>
          <w:rFonts w:ascii="Times New Roman" w:hAnsi="Times New Roman" w:cs="Times New Roman"/>
          <w:color w:val="000000" w:themeColor="text1"/>
        </w:rPr>
        <w:lastRenderedPageBreak/>
        <w:t xml:space="preserve">Medium C&amp;I </w:t>
      </w:r>
      <w:r w:rsidR="0015465A" w:rsidRPr="008912F3">
        <w:rPr>
          <w:rFonts w:ascii="Times New Roman" w:hAnsi="Times New Roman" w:cs="Times New Roman"/>
          <w:color w:val="000000" w:themeColor="text1"/>
        </w:rPr>
        <w:t>Ex-</w:t>
      </w:r>
      <w:r w:rsidR="00FA4CE8" w:rsidRPr="008912F3">
        <w:rPr>
          <w:rFonts w:ascii="Times New Roman" w:hAnsi="Times New Roman" w:cs="Times New Roman"/>
          <w:color w:val="000000" w:themeColor="text1"/>
        </w:rPr>
        <w:t>A</w:t>
      </w:r>
      <w:r w:rsidR="0015465A" w:rsidRPr="008912F3">
        <w:rPr>
          <w:rFonts w:ascii="Times New Roman" w:hAnsi="Times New Roman" w:cs="Times New Roman"/>
          <w:color w:val="000000" w:themeColor="text1"/>
        </w:rPr>
        <w:t>nte</w:t>
      </w:r>
      <w:r w:rsidRPr="008912F3">
        <w:rPr>
          <w:rFonts w:ascii="Times New Roman" w:hAnsi="Times New Roman" w:cs="Times New Roman"/>
          <w:color w:val="000000" w:themeColor="text1"/>
        </w:rPr>
        <w:t xml:space="preserve"> Impacts</w:t>
      </w:r>
      <w:bookmarkEnd w:id="94"/>
      <w:bookmarkEnd w:id="95"/>
      <w:bookmarkEnd w:id="96"/>
      <w:bookmarkEnd w:id="97"/>
      <w:bookmarkEnd w:id="98"/>
      <w:bookmarkEnd w:id="100"/>
    </w:p>
    <w:p w:rsidR="000C3771" w:rsidRDefault="000C3771" w:rsidP="00D8247E">
      <w:pPr>
        <w:pStyle w:val="BodyParagraph"/>
        <w:spacing w:after="0" w:line="276" w:lineRule="auto"/>
        <w:rPr>
          <w:rFonts w:ascii="Times New Roman" w:hAnsi="Times New Roman"/>
          <w:color w:val="000000" w:themeColor="text1"/>
        </w:rPr>
      </w:pPr>
    </w:p>
    <w:p w:rsidR="008912F3" w:rsidRPr="008912F3" w:rsidRDefault="008912F3" w:rsidP="008912F3">
      <w:pPr>
        <w:pStyle w:val="BodyParagraph"/>
        <w:tabs>
          <w:tab w:val="left" w:pos="4590"/>
        </w:tabs>
        <w:spacing w:after="0" w:line="276" w:lineRule="auto"/>
        <w:rPr>
          <w:rFonts w:ascii="Times New Roman" w:hAnsi="Times New Roman"/>
          <w:sz w:val="24"/>
          <w:szCs w:val="24"/>
        </w:rPr>
      </w:pPr>
      <w:r w:rsidRPr="008912F3">
        <w:rPr>
          <w:rFonts w:ascii="Times New Roman" w:hAnsi="Times New Roman"/>
          <w:sz w:val="24"/>
          <w:szCs w:val="24"/>
        </w:rPr>
        <w:t xml:space="preserve">Overall, there is greater uncertainty regarding medium C&amp;I customer impacts under default CPP.  To date, default CPP has been implemented on a very limited basis for medium customers and those medium C&amp;I customers who are on the rate are generally not representative of the medium C&amp;I sector as a whole.  While some medium customers volunteered onto CPP rates, their mix and demand reductions are not representative of the current and future medium default customer population.  The few pilots that tested time varying pricing for small and medium businesses did not do so for default rates, but rather included only customers who volunteered into the pilots.  Among such pilots is PG&amp;E’s EEP for small and medium CPP customers.  In brief, the empirical data on medium customer response is limited.  </w:t>
      </w:r>
    </w:p>
    <w:p w:rsidR="008912F3" w:rsidRDefault="008912F3" w:rsidP="008912F3">
      <w:pPr>
        <w:pStyle w:val="BodyParagraph"/>
        <w:tabs>
          <w:tab w:val="left" w:pos="4590"/>
        </w:tabs>
        <w:spacing w:after="0" w:line="276" w:lineRule="auto"/>
        <w:rPr>
          <w:rFonts w:ascii="Times New Roman" w:hAnsi="Times New Roman"/>
          <w:sz w:val="24"/>
          <w:szCs w:val="24"/>
        </w:rPr>
      </w:pPr>
    </w:p>
    <w:p w:rsidR="008912F3" w:rsidRPr="008912F3" w:rsidRDefault="008912F3" w:rsidP="008912F3">
      <w:pPr>
        <w:pStyle w:val="BodyParagraph"/>
        <w:tabs>
          <w:tab w:val="left" w:pos="4590"/>
        </w:tabs>
        <w:spacing w:after="0" w:line="276" w:lineRule="auto"/>
        <w:rPr>
          <w:rFonts w:ascii="Times New Roman" w:hAnsi="Times New Roman"/>
          <w:sz w:val="24"/>
          <w:szCs w:val="24"/>
        </w:rPr>
      </w:pPr>
      <w:r w:rsidRPr="008912F3">
        <w:rPr>
          <w:rFonts w:ascii="Times New Roman" w:hAnsi="Times New Roman"/>
          <w:sz w:val="24"/>
          <w:szCs w:val="24"/>
        </w:rPr>
        <w:t>Previous studies of residential customers have shown that customers who enroll on an opt-in basis tend to be more engaged and deliver significantly larger percent reductions than those who enroll on a default basis.</w:t>
      </w:r>
      <w:r w:rsidRPr="008912F3">
        <w:rPr>
          <w:rStyle w:val="FootnoteReference"/>
          <w:rFonts w:ascii="Times New Roman" w:hAnsi="Times New Roman"/>
          <w:sz w:val="24"/>
          <w:szCs w:val="24"/>
        </w:rPr>
        <w:footnoteReference w:id="3"/>
      </w:r>
      <w:r w:rsidRPr="008912F3">
        <w:rPr>
          <w:rFonts w:ascii="Times New Roman" w:hAnsi="Times New Roman"/>
          <w:sz w:val="24"/>
          <w:szCs w:val="24"/>
        </w:rPr>
        <w:t xml:space="preserve">  Nexant therefore used the PG&amp;E EPP CPP percent reductions as an upper bound for the expected response of defaulted small and medium customers, and adjusted the overall percent reduction downward.  This yielded percent reductions of 2.5%.  The reference loads were developed by using a sample of interval data for customers that are eligible to be defaulted in March 2016.  We simply applied the percent reductions to the reference loads, with an awareness factor that increased from 0.7 in 2016 to 0.9 in 2018 onwards.</w:t>
      </w:r>
    </w:p>
    <w:p w:rsidR="008912F3" w:rsidRDefault="008912F3" w:rsidP="008912F3">
      <w:pPr>
        <w:pStyle w:val="BodyParagraph"/>
        <w:tabs>
          <w:tab w:val="left" w:pos="4590"/>
        </w:tabs>
        <w:spacing w:after="0" w:line="276" w:lineRule="auto"/>
        <w:rPr>
          <w:rFonts w:ascii="Times New Roman" w:hAnsi="Times New Roman"/>
          <w:sz w:val="24"/>
          <w:szCs w:val="24"/>
        </w:rPr>
      </w:pPr>
    </w:p>
    <w:p w:rsidR="008912F3" w:rsidRDefault="008912F3" w:rsidP="008912F3">
      <w:pPr>
        <w:pStyle w:val="BodyParagraph"/>
        <w:tabs>
          <w:tab w:val="left" w:pos="4590"/>
        </w:tabs>
        <w:spacing w:after="0" w:line="276" w:lineRule="auto"/>
        <w:rPr>
          <w:rFonts w:ascii="Times New Roman" w:hAnsi="Times New Roman"/>
          <w:sz w:val="24"/>
          <w:szCs w:val="24"/>
        </w:rPr>
      </w:pPr>
      <w:r w:rsidRPr="008912F3">
        <w:rPr>
          <w:rFonts w:ascii="Times New Roman" w:hAnsi="Times New Roman"/>
          <w:sz w:val="24"/>
          <w:szCs w:val="24"/>
        </w:rPr>
        <w:t xml:space="preserve">Table </w:t>
      </w:r>
      <w:r>
        <w:rPr>
          <w:rFonts w:ascii="Times New Roman" w:hAnsi="Times New Roman"/>
          <w:sz w:val="24"/>
          <w:szCs w:val="24"/>
        </w:rPr>
        <w:t>3-9</w:t>
      </w:r>
      <w:r w:rsidRPr="008912F3">
        <w:rPr>
          <w:rFonts w:ascii="Times New Roman" w:hAnsi="Times New Roman"/>
          <w:sz w:val="24"/>
          <w:szCs w:val="24"/>
        </w:rPr>
        <w:t xml:space="preserve"> presents SDG&amp;E's enrollment projections for medium C&amp;I customers through 2025.  In March 2016, medium C&amp;I customers with at least 24 months of experience on a TOU rate will be defaulted onto CPP, leading to the increase in enrollment.  Of the customers who were already defaulted in March 2016, 7,670 medium C&amp;I customers are projected to remain on CPP in March 2018.  The enrollment is expected to increase slowly thereafter as a result of growth in accounts.</w:t>
      </w:r>
    </w:p>
    <w:p w:rsidR="008912F3" w:rsidRDefault="008912F3" w:rsidP="008912F3">
      <w:pPr>
        <w:pStyle w:val="BodyParagraph"/>
        <w:tabs>
          <w:tab w:val="left" w:pos="4590"/>
        </w:tabs>
        <w:spacing w:after="0" w:line="276" w:lineRule="auto"/>
        <w:rPr>
          <w:rFonts w:ascii="Times New Roman" w:hAnsi="Times New Roman"/>
          <w:sz w:val="24"/>
          <w:szCs w:val="24"/>
        </w:rPr>
      </w:pPr>
    </w:p>
    <w:p w:rsidR="008912F3" w:rsidRPr="008912F3" w:rsidRDefault="008912F3" w:rsidP="008912F3">
      <w:pPr>
        <w:pStyle w:val="BodyParagraph"/>
        <w:tabs>
          <w:tab w:val="left" w:pos="4590"/>
        </w:tabs>
        <w:spacing w:after="0" w:line="276" w:lineRule="auto"/>
        <w:rPr>
          <w:rFonts w:ascii="Times New Roman" w:hAnsi="Times New Roman"/>
          <w:sz w:val="24"/>
          <w:szCs w:val="24"/>
        </w:rPr>
      </w:pPr>
    </w:p>
    <w:p w:rsidR="008912F3" w:rsidRPr="002617A0" w:rsidRDefault="008912F3" w:rsidP="008912F3">
      <w:pPr>
        <w:pStyle w:val="TableFigureCaption"/>
        <w:spacing w:after="0"/>
      </w:pPr>
      <w:r>
        <w:t>Table 3-9: SDG&amp;E</w:t>
      </w:r>
      <w:r w:rsidRPr="002617A0">
        <w:t xml:space="preserve"> Enrollment Projections for Medium C&amp;I CPP Customers</w:t>
      </w:r>
    </w:p>
    <w:p w:rsidR="008912F3" w:rsidRDefault="008912F3" w:rsidP="008912F3">
      <w:pPr>
        <w:pStyle w:val="TableFigureCaption"/>
      </w:pPr>
      <w:r w:rsidRPr="002617A0">
        <w:t>by Forecast Year and Month</w:t>
      </w:r>
    </w:p>
    <w:tbl>
      <w:tblPr>
        <w:tblW w:w="8540" w:type="dxa"/>
        <w:tblInd w:w="93" w:type="dxa"/>
        <w:tblLook w:val="04A0" w:firstRow="1" w:lastRow="0" w:firstColumn="1" w:lastColumn="0" w:noHBand="0" w:noVBand="1"/>
      </w:tblPr>
      <w:tblGrid>
        <w:gridCol w:w="650"/>
        <w:gridCol w:w="667"/>
        <w:gridCol w:w="667"/>
        <w:gridCol w:w="667"/>
        <w:gridCol w:w="667"/>
        <w:gridCol w:w="667"/>
        <w:gridCol w:w="667"/>
        <w:gridCol w:w="667"/>
        <w:gridCol w:w="667"/>
        <w:gridCol w:w="667"/>
        <w:gridCol w:w="667"/>
        <w:gridCol w:w="667"/>
        <w:gridCol w:w="667"/>
      </w:tblGrid>
      <w:tr w:rsidR="008912F3" w:rsidRPr="00FF1055" w:rsidTr="0079525F">
        <w:trPr>
          <w:trHeight w:val="255"/>
        </w:trPr>
        <w:tc>
          <w:tcPr>
            <w:tcW w:w="620" w:type="dxa"/>
            <w:tcBorders>
              <w:top w:val="single" w:sz="4" w:space="0" w:color="000000"/>
              <w:left w:val="single" w:sz="4" w:space="0" w:color="000000"/>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Year</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Jan.</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Feb.</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Mar.</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Apr.</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May</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Jun.</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Jul.</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Aug.</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Sep.</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Oct.</w:t>
            </w:r>
          </w:p>
        </w:tc>
        <w:tc>
          <w:tcPr>
            <w:tcW w:w="660" w:type="dxa"/>
            <w:tcBorders>
              <w:top w:val="single" w:sz="4" w:space="0" w:color="000000"/>
              <w:left w:val="nil"/>
              <w:bottom w:val="single" w:sz="4" w:space="0" w:color="000000"/>
              <w:right w:val="single" w:sz="4" w:space="0" w:color="FFFFFF"/>
            </w:tcBorders>
            <w:shd w:val="clear" w:color="000000" w:fill="0070CD"/>
            <w:noWrap/>
            <w:vAlign w:val="center"/>
            <w:hideMark/>
          </w:tcPr>
          <w:p w:rsidR="008912F3" w:rsidRPr="00FF1055" w:rsidRDefault="008912F3" w:rsidP="0079525F">
            <w:pPr>
              <w:pStyle w:val="TableHeader"/>
            </w:pPr>
            <w:r w:rsidRPr="00FF1055">
              <w:t>Nov.</w:t>
            </w:r>
          </w:p>
        </w:tc>
        <w:tc>
          <w:tcPr>
            <w:tcW w:w="660" w:type="dxa"/>
            <w:tcBorders>
              <w:top w:val="single" w:sz="4" w:space="0" w:color="000000"/>
              <w:left w:val="nil"/>
              <w:bottom w:val="single" w:sz="4" w:space="0" w:color="000000"/>
              <w:right w:val="single" w:sz="4" w:space="0" w:color="000000"/>
            </w:tcBorders>
            <w:shd w:val="clear" w:color="000000" w:fill="0070CD"/>
            <w:noWrap/>
            <w:vAlign w:val="center"/>
            <w:hideMark/>
          </w:tcPr>
          <w:p w:rsidR="008912F3" w:rsidRPr="00FF1055" w:rsidRDefault="008912F3" w:rsidP="0079525F">
            <w:pPr>
              <w:pStyle w:val="TableHeader"/>
            </w:pPr>
            <w:r w:rsidRPr="00FF1055">
              <w:t>Dec.</w:t>
            </w:r>
          </w:p>
        </w:tc>
      </w:tr>
      <w:tr w:rsidR="008912F3" w:rsidRPr="00FF1055" w:rsidTr="0079525F">
        <w:trPr>
          <w:trHeight w:val="255"/>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2016</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0</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0</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9,572</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9,589</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9,606</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9,623</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9,639</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8,914</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8,929</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8,944</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8,961</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8,976</w:t>
            </w:r>
          </w:p>
        </w:tc>
      </w:tr>
      <w:tr w:rsidR="008912F3" w:rsidRPr="00FF1055" w:rsidTr="0079525F">
        <w:trPr>
          <w:trHeight w:val="255"/>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2017</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9,160</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9,173</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8,412</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8,424</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8,437</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8,449</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8,461</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8,050</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8,062</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8,073</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8,085</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8,097</w:t>
            </w:r>
          </w:p>
        </w:tc>
      </w:tr>
      <w:tr w:rsidR="008912F3" w:rsidRPr="00FF1055" w:rsidTr="0079525F">
        <w:trPr>
          <w:trHeight w:val="255"/>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2018</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8,106</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8,115</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7,662</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7,670</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7,679</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7,687</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7,695</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7,704</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7,712</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7,721</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7,729</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7,738</w:t>
            </w:r>
          </w:p>
        </w:tc>
      </w:tr>
      <w:tr w:rsidR="008912F3" w:rsidRPr="00FF1055" w:rsidTr="0079525F">
        <w:trPr>
          <w:trHeight w:val="255"/>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2025</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8,499</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8,510</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8,521</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8,532</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8,543</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8,555</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8,566</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8,577</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8,588</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8,599</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8,610</w:t>
            </w:r>
          </w:p>
        </w:tc>
        <w:tc>
          <w:tcPr>
            <w:tcW w:w="660" w:type="dxa"/>
            <w:tcBorders>
              <w:top w:val="nil"/>
              <w:left w:val="nil"/>
              <w:bottom w:val="single" w:sz="4" w:space="0" w:color="000000"/>
              <w:right w:val="single" w:sz="4" w:space="0" w:color="000000"/>
            </w:tcBorders>
            <w:shd w:val="clear" w:color="auto" w:fill="auto"/>
            <w:noWrap/>
            <w:vAlign w:val="center"/>
            <w:hideMark/>
          </w:tcPr>
          <w:p w:rsidR="008912F3" w:rsidRPr="00FF1055" w:rsidRDefault="008912F3" w:rsidP="0079525F">
            <w:pPr>
              <w:pStyle w:val="TableText"/>
            </w:pPr>
            <w:r w:rsidRPr="00FF1055">
              <w:t>8,621</w:t>
            </w:r>
          </w:p>
        </w:tc>
      </w:tr>
    </w:tbl>
    <w:p w:rsidR="008912F3" w:rsidRDefault="008912F3" w:rsidP="00D8247E">
      <w:pPr>
        <w:pStyle w:val="BodyParagraph"/>
        <w:spacing w:after="0" w:line="276" w:lineRule="auto"/>
        <w:rPr>
          <w:rFonts w:ascii="Times New Roman" w:hAnsi="Times New Roman"/>
          <w:color w:val="000000" w:themeColor="text1"/>
        </w:rPr>
      </w:pPr>
    </w:p>
    <w:p w:rsidR="00EB3E36" w:rsidRPr="00EB3E36" w:rsidRDefault="00EB3E36" w:rsidP="00EB3E36">
      <w:pPr>
        <w:pStyle w:val="Heading3"/>
        <w:keepLines/>
        <w:spacing w:before="0" w:after="0" w:line="276" w:lineRule="auto"/>
        <w:rPr>
          <w:rFonts w:ascii="Times New Roman" w:hAnsi="Times New Roman" w:cs="Times New Roman"/>
          <w:szCs w:val="24"/>
        </w:rPr>
      </w:pPr>
      <w:bookmarkStart w:id="101" w:name="_Toc412650631"/>
      <w:bookmarkStart w:id="102" w:name="_Toc415494810"/>
      <w:bookmarkStart w:id="103" w:name="_Toc415748976"/>
      <w:r w:rsidRPr="00EB3E36">
        <w:rPr>
          <w:rFonts w:ascii="Times New Roman" w:hAnsi="Times New Roman" w:cs="Times New Roman"/>
          <w:szCs w:val="24"/>
        </w:rPr>
        <w:lastRenderedPageBreak/>
        <w:t>Monthly System Peak Day Impacts</w:t>
      </w:r>
      <w:bookmarkEnd w:id="101"/>
      <w:bookmarkEnd w:id="102"/>
      <w:bookmarkEnd w:id="103"/>
    </w:p>
    <w:p w:rsidR="00EB3E36" w:rsidRDefault="00EB3E36" w:rsidP="00EB3E36">
      <w:pPr>
        <w:pStyle w:val="BodyParagraph"/>
        <w:spacing w:after="0" w:line="276" w:lineRule="auto"/>
        <w:rPr>
          <w:rFonts w:ascii="Times New Roman" w:hAnsi="Times New Roman"/>
          <w:sz w:val="24"/>
          <w:szCs w:val="24"/>
        </w:rPr>
      </w:pPr>
    </w:p>
    <w:p w:rsidR="00EB3E36" w:rsidRPr="00EB3E36" w:rsidRDefault="00EB3E36" w:rsidP="00EB3E36">
      <w:pPr>
        <w:pStyle w:val="BodyParagraph"/>
        <w:spacing w:after="0" w:line="276" w:lineRule="auto"/>
        <w:rPr>
          <w:rFonts w:ascii="Times New Roman" w:hAnsi="Times New Roman"/>
          <w:sz w:val="24"/>
          <w:szCs w:val="24"/>
        </w:rPr>
      </w:pPr>
      <w:r w:rsidRPr="00EB3E36">
        <w:rPr>
          <w:rFonts w:ascii="Times New Roman" w:hAnsi="Times New Roman"/>
          <w:sz w:val="24"/>
          <w:szCs w:val="24"/>
        </w:rPr>
        <w:t xml:space="preserve">Table </w:t>
      </w:r>
      <w:r>
        <w:rPr>
          <w:rFonts w:ascii="Times New Roman" w:hAnsi="Times New Roman"/>
          <w:sz w:val="24"/>
          <w:szCs w:val="24"/>
        </w:rPr>
        <w:t>3-10</w:t>
      </w:r>
      <w:r w:rsidRPr="00EB3E36">
        <w:rPr>
          <w:rFonts w:ascii="Times New Roman" w:hAnsi="Times New Roman"/>
          <w:sz w:val="24"/>
          <w:szCs w:val="24"/>
        </w:rPr>
        <w:t xml:space="preserve"> summarizes the aggregate load impact estimates for large customers on SDG&amp;E’s CPP tariff for each forecast year under both 1-in-2 and 1-in-10 year weather scenarios based on both SDG&amp;E and CAISO weather scenarios.  The table shows the average load reduction across the 11 AM to 6 PM event period for an August monthly system peak day.  </w:t>
      </w:r>
    </w:p>
    <w:p w:rsidR="00EB3E36" w:rsidRDefault="00EB3E36" w:rsidP="00EB3E36">
      <w:pPr>
        <w:pStyle w:val="BodyParagraph"/>
        <w:spacing w:after="0" w:line="276" w:lineRule="auto"/>
        <w:rPr>
          <w:rFonts w:ascii="Times New Roman" w:hAnsi="Times New Roman"/>
          <w:sz w:val="24"/>
          <w:szCs w:val="24"/>
        </w:rPr>
      </w:pPr>
    </w:p>
    <w:p w:rsidR="00EB3E36" w:rsidRDefault="00EB3E36" w:rsidP="00EB3E36">
      <w:pPr>
        <w:pStyle w:val="BodyParagraph"/>
        <w:spacing w:after="0" w:line="276" w:lineRule="auto"/>
        <w:rPr>
          <w:rFonts w:ascii="Times New Roman" w:hAnsi="Times New Roman"/>
          <w:sz w:val="24"/>
          <w:szCs w:val="24"/>
        </w:rPr>
      </w:pPr>
      <w:r w:rsidRPr="00EB3E36">
        <w:rPr>
          <w:rFonts w:ascii="Times New Roman" w:hAnsi="Times New Roman"/>
          <w:sz w:val="24"/>
          <w:szCs w:val="24"/>
        </w:rPr>
        <w:t>Looking first at the aggregate load impacts based on normal, SDG&amp;E-specific 1-in-2 year weather conditions, load reductions will grow from roughly 25 MW to 28 MW between 2015 and 2025.  Impacts based on 1-in-10 year SDG&amp;E weather conditions equal roughly 27 MW in 2015 and will grow to 30 MW by 2025.  These estimates equal roughly 8% of the aggregate reference load for large C&amp;I customers.  Impacts estimates based on CAISO weather 1-in-2 year weather conditions are roughly 2% larger than the estimates based on SDG&amp;E weather.  The CAISO 1-in-10 year weather values produce a load reduction that is about 5% less than the 1-in-10 year SDG&amp;E estimates.</w:t>
      </w:r>
    </w:p>
    <w:p w:rsidR="00EB3E36" w:rsidRDefault="00EB3E36" w:rsidP="00EB3E36">
      <w:pPr>
        <w:pStyle w:val="BodyParagraph"/>
        <w:spacing w:after="0" w:line="276" w:lineRule="auto"/>
      </w:pPr>
    </w:p>
    <w:p w:rsidR="00EB3E36" w:rsidRPr="00EB3E36" w:rsidRDefault="00EB3E36" w:rsidP="00EB3E36">
      <w:pPr>
        <w:pStyle w:val="TableFigureCaption"/>
        <w:rPr>
          <w:rFonts w:ascii="Times New Roman" w:hAnsi="Times New Roman"/>
          <w:sz w:val="20"/>
          <w:szCs w:val="20"/>
        </w:rPr>
      </w:pPr>
      <w:r w:rsidRPr="00EB3E36">
        <w:rPr>
          <w:rFonts w:ascii="Times New Roman" w:hAnsi="Times New Roman"/>
          <w:sz w:val="20"/>
          <w:szCs w:val="20"/>
        </w:rPr>
        <w:t>Table 3</w:t>
      </w:r>
      <w:r>
        <w:rPr>
          <w:rFonts w:ascii="Times New Roman" w:hAnsi="Times New Roman"/>
          <w:sz w:val="20"/>
          <w:szCs w:val="20"/>
        </w:rPr>
        <w:t>-10</w:t>
      </w:r>
      <w:r w:rsidRPr="00EB3E36">
        <w:rPr>
          <w:rFonts w:ascii="Times New Roman" w:hAnsi="Times New Roman"/>
          <w:sz w:val="20"/>
          <w:szCs w:val="20"/>
        </w:rPr>
        <w:t xml:space="preserve">: Default CPP Ex Ante Load Impact Estimates by Weather </w:t>
      </w:r>
      <w:r w:rsidRPr="00EB3E36">
        <w:rPr>
          <w:rFonts w:ascii="Times New Roman" w:hAnsi="Times New Roman"/>
          <w:sz w:val="20"/>
          <w:szCs w:val="20"/>
        </w:rPr>
        <w:br/>
        <w:t>Scenario for Large C&amp;I</w:t>
      </w:r>
      <w:r w:rsidRPr="00EB3E36">
        <w:rPr>
          <w:rFonts w:ascii="Times New Roman" w:hAnsi="Times New Roman"/>
          <w:sz w:val="20"/>
          <w:szCs w:val="20"/>
        </w:rPr>
        <w:br/>
        <w:t>SDG&amp;E August System Peak Day (11 AM to 6 PM)</w:t>
      </w:r>
    </w:p>
    <w:tbl>
      <w:tblPr>
        <w:tblW w:w="11587" w:type="dxa"/>
        <w:jc w:val="center"/>
        <w:tblInd w:w="1073" w:type="dxa"/>
        <w:tblLook w:val="04A0" w:firstRow="1" w:lastRow="0" w:firstColumn="1" w:lastColumn="0" w:noHBand="0" w:noVBand="1"/>
      </w:tblPr>
      <w:tblGrid>
        <w:gridCol w:w="1006"/>
        <w:gridCol w:w="1006"/>
        <w:gridCol w:w="757"/>
        <w:gridCol w:w="1135"/>
        <w:gridCol w:w="1725"/>
        <w:gridCol w:w="2235"/>
        <w:gridCol w:w="1530"/>
        <w:gridCol w:w="1194"/>
        <w:gridCol w:w="1120"/>
      </w:tblGrid>
      <w:tr w:rsidR="00EB3E36" w:rsidRPr="00586162" w:rsidTr="0079525F">
        <w:trPr>
          <w:trHeight w:val="647"/>
          <w:jc w:val="center"/>
        </w:trPr>
        <w:tc>
          <w:tcPr>
            <w:tcW w:w="1006" w:type="dxa"/>
            <w:vMerge w:val="restart"/>
            <w:tcBorders>
              <w:top w:val="single" w:sz="4" w:space="0" w:color="auto"/>
              <w:left w:val="single" w:sz="4" w:space="0" w:color="auto"/>
              <w:bottom w:val="single" w:sz="4" w:space="0" w:color="000000"/>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Weather Type</w:t>
            </w:r>
          </w:p>
        </w:tc>
        <w:tc>
          <w:tcPr>
            <w:tcW w:w="1006"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Weather Year</w:t>
            </w:r>
          </w:p>
        </w:tc>
        <w:tc>
          <w:tcPr>
            <w:tcW w:w="757"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Year</w:t>
            </w:r>
          </w:p>
        </w:tc>
        <w:tc>
          <w:tcPr>
            <w:tcW w:w="1135" w:type="dxa"/>
            <w:vMerge w:val="restart"/>
            <w:tcBorders>
              <w:top w:val="single" w:sz="4" w:space="0" w:color="auto"/>
              <w:left w:val="single" w:sz="4" w:space="0" w:color="FFFFFF"/>
              <w:bottom w:val="single" w:sz="4" w:space="0" w:color="000000"/>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Enrolled Accounts</w:t>
            </w:r>
          </w:p>
        </w:tc>
        <w:tc>
          <w:tcPr>
            <w:tcW w:w="1725" w:type="dxa"/>
            <w:tcBorders>
              <w:top w:val="single" w:sz="4" w:space="0" w:color="auto"/>
              <w:left w:val="nil"/>
              <w:bottom w:val="single" w:sz="4" w:space="0" w:color="FFFFFF"/>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Aggregate Reference Load</w:t>
            </w:r>
          </w:p>
        </w:tc>
        <w:tc>
          <w:tcPr>
            <w:tcW w:w="2235" w:type="dxa"/>
            <w:tcBorders>
              <w:top w:val="single" w:sz="4" w:space="0" w:color="auto"/>
              <w:left w:val="nil"/>
              <w:bottom w:val="single" w:sz="4" w:space="0" w:color="FFFFFF"/>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Aggregate Estimated Load w/ DR</w:t>
            </w:r>
          </w:p>
        </w:tc>
        <w:tc>
          <w:tcPr>
            <w:tcW w:w="1530" w:type="dxa"/>
            <w:tcBorders>
              <w:top w:val="single" w:sz="4" w:space="0" w:color="auto"/>
              <w:left w:val="nil"/>
              <w:bottom w:val="single" w:sz="4" w:space="0" w:color="FFFFFF"/>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Aggregate Load Impact</w:t>
            </w:r>
          </w:p>
        </w:tc>
        <w:tc>
          <w:tcPr>
            <w:tcW w:w="1073" w:type="dxa"/>
            <w:tcBorders>
              <w:top w:val="single" w:sz="4" w:space="0" w:color="auto"/>
              <w:left w:val="nil"/>
              <w:bottom w:val="single" w:sz="4" w:space="0" w:color="FFFFFF"/>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 Load Reduction</w:t>
            </w:r>
          </w:p>
        </w:tc>
        <w:tc>
          <w:tcPr>
            <w:tcW w:w="1120" w:type="dxa"/>
            <w:tcBorders>
              <w:top w:val="single" w:sz="4" w:space="0" w:color="auto"/>
              <w:left w:val="nil"/>
              <w:bottom w:val="single" w:sz="4" w:space="0" w:color="FFFFFF"/>
              <w:right w:val="single" w:sz="4" w:space="0" w:color="auto"/>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Weighted Temp.</w:t>
            </w:r>
          </w:p>
        </w:tc>
      </w:tr>
      <w:tr w:rsidR="00EB3E36" w:rsidRPr="00586162" w:rsidTr="0079525F">
        <w:trPr>
          <w:trHeight w:val="440"/>
          <w:jc w:val="center"/>
        </w:trPr>
        <w:tc>
          <w:tcPr>
            <w:tcW w:w="1006" w:type="dxa"/>
            <w:vMerge/>
            <w:tcBorders>
              <w:top w:val="single" w:sz="4" w:space="0" w:color="auto"/>
              <w:left w:val="single" w:sz="4" w:space="0" w:color="auto"/>
              <w:bottom w:val="single" w:sz="4" w:space="0" w:color="000000"/>
              <w:right w:val="single" w:sz="4" w:space="0" w:color="FFFFFF"/>
            </w:tcBorders>
            <w:vAlign w:val="center"/>
            <w:hideMark/>
          </w:tcPr>
          <w:p w:rsidR="00EB3E36" w:rsidRPr="00586162" w:rsidRDefault="00EB3E36" w:rsidP="0079525F">
            <w:pPr>
              <w:rPr>
                <w:rFonts w:ascii="Arial" w:hAnsi="Arial" w:cs="Arial"/>
                <w:b/>
                <w:bCs/>
                <w:color w:val="FFFFFF"/>
                <w:sz w:val="20"/>
                <w:szCs w:val="20"/>
              </w:rPr>
            </w:pPr>
          </w:p>
        </w:tc>
        <w:tc>
          <w:tcPr>
            <w:tcW w:w="1006" w:type="dxa"/>
            <w:vMerge/>
            <w:tcBorders>
              <w:top w:val="single" w:sz="4" w:space="0" w:color="auto"/>
              <w:left w:val="single" w:sz="4" w:space="0" w:color="FFFFFF"/>
              <w:bottom w:val="single" w:sz="4" w:space="0" w:color="000000"/>
              <w:right w:val="single" w:sz="4" w:space="0" w:color="FFFFFF"/>
            </w:tcBorders>
            <w:vAlign w:val="center"/>
            <w:hideMark/>
          </w:tcPr>
          <w:p w:rsidR="00EB3E36" w:rsidRPr="00586162" w:rsidRDefault="00EB3E36" w:rsidP="0079525F">
            <w:pPr>
              <w:rPr>
                <w:rFonts w:ascii="Arial" w:hAnsi="Arial" w:cs="Arial"/>
                <w:b/>
                <w:bCs/>
                <w:color w:val="FFFFFF"/>
                <w:sz w:val="20"/>
                <w:szCs w:val="20"/>
              </w:rPr>
            </w:pPr>
          </w:p>
        </w:tc>
        <w:tc>
          <w:tcPr>
            <w:tcW w:w="757" w:type="dxa"/>
            <w:vMerge/>
            <w:tcBorders>
              <w:top w:val="single" w:sz="4" w:space="0" w:color="auto"/>
              <w:left w:val="single" w:sz="4" w:space="0" w:color="FFFFFF"/>
              <w:bottom w:val="single" w:sz="4" w:space="0" w:color="000000"/>
              <w:right w:val="single" w:sz="4" w:space="0" w:color="FFFFFF"/>
            </w:tcBorders>
            <w:vAlign w:val="center"/>
            <w:hideMark/>
          </w:tcPr>
          <w:p w:rsidR="00EB3E36" w:rsidRPr="00586162" w:rsidRDefault="00EB3E36" w:rsidP="0079525F">
            <w:pPr>
              <w:rPr>
                <w:rFonts w:ascii="Arial" w:hAnsi="Arial" w:cs="Arial"/>
                <w:b/>
                <w:bCs/>
                <w:color w:val="FFFFFF"/>
                <w:sz w:val="20"/>
                <w:szCs w:val="20"/>
              </w:rPr>
            </w:pPr>
          </w:p>
        </w:tc>
        <w:tc>
          <w:tcPr>
            <w:tcW w:w="1135" w:type="dxa"/>
            <w:vMerge/>
            <w:tcBorders>
              <w:top w:val="single" w:sz="4" w:space="0" w:color="auto"/>
              <w:left w:val="single" w:sz="4" w:space="0" w:color="FFFFFF"/>
              <w:bottom w:val="single" w:sz="4" w:space="0" w:color="000000"/>
              <w:right w:val="single" w:sz="4" w:space="0" w:color="FFFFFF"/>
            </w:tcBorders>
            <w:vAlign w:val="center"/>
            <w:hideMark/>
          </w:tcPr>
          <w:p w:rsidR="00EB3E36" w:rsidRPr="00586162" w:rsidRDefault="00EB3E36" w:rsidP="0079525F">
            <w:pPr>
              <w:rPr>
                <w:rFonts w:ascii="Arial" w:hAnsi="Arial" w:cs="Arial"/>
                <w:b/>
                <w:bCs/>
                <w:color w:val="FFFFFF"/>
                <w:sz w:val="20"/>
                <w:szCs w:val="20"/>
              </w:rPr>
            </w:pPr>
          </w:p>
        </w:tc>
        <w:tc>
          <w:tcPr>
            <w:tcW w:w="1725" w:type="dxa"/>
            <w:tcBorders>
              <w:top w:val="nil"/>
              <w:left w:val="nil"/>
              <w:bottom w:val="single" w:sz="4" w:space="0" w:color="auto"/>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Pr>
                <w:rFonts w:ascii="Arial" w:hAnsi="Arial" w:cs="Arial"/>
                <w:b/>
                <w:bCs/>
                <w:color w:val="FFFFFF"/>
                <w:sz w:val="20"/>
                <w:szCs w:val="20"/>
              </w:rPr>
              <w:t>(MW  1–</w:t>
            </w:r>
            <w:r w:rsidRPr="00586162">
              <w:rPr>
                <w:rFonts w:ascii="Arial" w:hAnsi="Arial" w:cs="Arial"/>
                <w:b/>
                <w:bCs/>
                <w:color w:val="FFFFFF"/>
                <w:sz w:val="20"/>
                <w:szCs w:val="20"/>
              </w:rPr>
              <w:t>6 PM)</w:t>
            </w:r>
          </w:p>
        </w:tc>
        <w:tc>
          <w:tcPr>
            <w:tcW w:w="2235" w:type="dxa"/>
            <w:tcBorders>
              <w:top w:val="nil"/>
              <w:left w:val="nil"/>
              <w:bottom w:val="single" w:sz="4" w:space="0" w:color="auto"/>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Pr>
                <w:rFonts w:ascii="Arial" w:hAnsi="Arial" w:cs="Arial"/>
                <w:b/>
                <w:bCs/>
                <w:color w:val="FFFFFF"/>
                <w:sz w:val="20"/>
                <w:szCs w:val="20"/>
              </w:rPr>
              <w:t>(MW  1–</w:t>
            </w:r>
            <w:r w:rsidRPr="00586162">
              <w:rPr>
                <w:rFonts w:ascii="Arial" w:hAnsi="Arial" w:cs="Arial"/>
                <w:b/>
                <w:bCs/>
                <w:color w:val="FFFFFF"/>
                <w:sz w:val="20"/>
                <w:szCs w:val="20"/>
              </w:rPr>
              <w:t>6 PM)</w:t>
            </w:r>
          </w:p>
        </w:tc>
        <w:tc>
          <w:tcPr>
            <w:tcW w:w="1530" w:type="dxa"/>
            <w:tcBorders>
              <w:top w:val="nil"/>
              <w:left w:val="nil"/>
              <w:bottom w:val="single" w:sz="4" w:space="0" w:color="auto"/>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Pr>
                <w:rFonts w:ascii="Arial" w:hAnsi="Arial" w:cs="Arial"/>
                <w:b/>
                <w:bCs/>
                <w:color w:val="FFFFFF"/>
                <w:sz w:val="20"/>
                <w:szCs w:val="20"/>
              </w:rPr>
              <w:t>(MW  1–</w:t>
            </w:r>
            <w:r w:rsidRPr="00586162">
              <w:rPr>
                <w:rFonts w:ascii="Arial" w:hAnsi="Arial" w:cs="Arial"/>
                <w:b/>
                <w:bCs/>
                <w:color w:val="FFFFFF"/>
                <w:sz w:val="20"/>
                <w:szCs w:val="20"/>
              </w:rPr>
              <w:t>6 PM)</w:t>
            </w:r>
          </w:p>
        </w:tc>
        <w:tc>
          <w:tcPr>
            <w:tcW w:w="1073" w:type="dxa"/>
            <w:tcBorders>
              <w:top w:val="nil"/>
              <w:left w:val="nil"/>
              <w:bottom w:val="single" w:sz="4" w:space="0" w:color="auto"/>
              <w:right w:val="single" w:sz="4" w:space="0" w:color="FFFFFF"/>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w:t>
            </w:r>
          </w:p>
        </w:tc>
        <w:tc>
          <w:tcPr>
            <w:tcW w:w="1120" w:type="dxa"/>
            <w:tcBorders>
              <w:top w:val="nil"/>
              <w:left w:val="nil"/>
              <w:bottom w:val="single" w:sz="4" w:space="0" w:color="auto"/>
              <w:right w:val="single" w:sz="4" w:space="0" w:color="auto"/>
            </w:tcBorders>
            <w:shd w:val="clear" w:color="000000" w:fill="0070CD"/>
            <w:vAlign w:val="center"/>
            <w:hideMark/>
          </w:tcPr>
          <w:p w:rsidR="00EB3E36" w:rsidRPr="00586162" w:rsidRDefault="00EB3E36" w:rsidP="0079525F">
            <w:pPr>
              <w:jc w:val="center"/>
              <w:rPr>
                <w:rFonts w:ascii="Arial" w:hAnsi="Arial" w:cs="Arial"/>
                <w:b/>
                <w:bCs/>
                <w:color w:val="FFFFFF"/>
                <w:sz w:val="20"/>
                <w:szCs w:val="20"/>
              </w:rPr>
            </w:pPr>
            <w:r w:rsidRPr="00586162">
              <w:rPr>
                <w:rFonts w:ascii="Arial" w:hAnsi="Arial" w:cs="Arial"/>
                <w:b/>
                <w:bCs/>
                <w:color w:val="FFFFFF"/>
                <w:sz w:val="20"/>
                <w:szCs w:val="20"/>
              </w:rPr>
              <w:t>(°F)</w:t>
            </w:r>
          </w:p>
        </w:tc>
      </w:tr>
      <w:tr w:rsidR="00EB3E36" w:rsidRPr="00586162" w:rsidTr="0079525F">
        <w:trPr>
          <w:trHeight w:val="255"/>
          <w:jc w:val="center"/>
        </w:trPr>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SDG&amp;E</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1-in-10</w:t>
            </w: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2015</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1,253</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322.6</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295.2</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27.4</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86.6</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2016</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1,267</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326.0</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298.4</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27.6</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8.5%</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86.6</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2025</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1,405</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361.2</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330.9</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30.4</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8.4%</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86.6</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1-in-2</w:t>
            </w: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2015</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1,253</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308.6</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283.4</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25.2</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81.0</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2016</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1,267</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311.9</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286.5</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25.4</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81.0</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2025</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1,405</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345.5</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317.6</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27.9</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8.1%</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81.0</w:t>
            </w:r>
          </w:p>
        </w:tc>
      </w:tr>
      <w:tr w:rsidR="00EB3E36" w:rsidRPr="00586162" w:rsidTr="0079525F">
        <w:trPr>
          <w:trHeight w:val="255"/>
          <w:jc w:val="center"/>
        </w:trPr>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CAISO</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1-in-10</w:t>
            </w: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2015</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1,253</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314.5</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288.4</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26.1</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8.3%</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83.6</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2016</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1,267</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317.9</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291.5</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26.4</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8.3%</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83.6</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2025</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1,405</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352.2</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323.2</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29.0</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83.6</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1-in-2</w:t>
            </w: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2015</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1,253</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312.4</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286.6</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25.8</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8.3%</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83.6</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2016</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1,267</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315.8</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289.7</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26.0</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83.6</w:t>
            </w:r>
          </w:p>
        </w:tc>
      </w:tr>
      <w:tr w:rsidR="00EB3E36" w:rsidRPr="00586162" w:rsidTr="0079525F">
        <w:trPr>
          <w:trHeight w:val="255"/>
          <w:jc w:val="center"/>
        </w:trPr>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1006" w:type="dxa"/>
            <w:vMerge/>
            <w:tcBorders>
              <w:top w:val="nil"/>
              <w:left w:val="single" w:sz="4" w:space="0" w:color="auto"/>
              <w:bottom w:val="single" w:sz="4" w:space="0" w:color="auto"/>
              <w:right w:val="single" w:sz="4" w:space="0" w:color="auto"/>
            </w:tcBorders>
            <w:vAlign w:val="center"/>
            <w:hideMark/>
          </w:tcPr>
          <w:p w:rsidR="00EB3E36" w:rsidRPr="00586162" w:rsidRDefault="00EB3E36" w:rsidP="0079525F">
            <w:pPr>
              <w:rPr>
                <w:rFonts w:ascii="Arial" w:hAnsi="Arial" w:cs="Arial"/>
                <w:color w:val="000000"/>
                <w:sz w:val="20"/>
                <w:szCs w:val="20"/>
              </w:rPr>
            </w:pPr>
          </w:p>
        </w:tc>
        <w:tc>
          <w:tcPr>
            <w:tcW w:w="757"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2025</w:t>
            </w:r>
          </w:p>
        </w:tc>
        <w:tc>
          <w:tcPr>
            <w:tcW w:w="11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1,405</w:t>
            </w:r>
          </w:p>
        </w:tc>
        <w:tc>
          <w:tcPr>
            <w:tcW w:w="172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349.8</w:t>
            </w:r>
          </w:p>
        </w:tc>
        <w:tc>
          <w:tcPr>
            <w:tcW w:w="2235"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321.2</w:t>
            </w:r>
          </w:p>
        </w:tc>
        <w:tc>
          <w:tcPr>
            <w:tcW w:w="153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28.6</w:t>
            </w:r>
          </w:p>
        </w:tc>
        <w:tc>
          <w:tcPr>
            <w:tcW w:w="1073"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8.2%</w:t>
            </w:r>
          </w:p>
        </w:tc>
        <w:tc>
          <w:tcPr>
            <w:tcW w:w="1120" w:type="dxa"/>
            <w:tcBorders>
              <w:top w:val="nil"/>
              <w:left w:val="nil"/>
              <w:bottom w:val="single" w:sz="4" w:space="0" w:color="auto"/>
              <w:right w:val="single" w:sz="4" w:space="0" w:color="auto"/>
            </w:tcBorders>
            <w:shd w:val="clear" w:color="auto" w:fill="auto"/>
            <w:noWrap/>
            <w:vAlign w:val="center"/>
            <w:hideMark/>
          </w:tcPr>
          <w:p w:rsidR="00EB3E36" w:rsidRPr="00586162" w:rsidRDefault="00EB3E36" w:rsidP="0079525F">
            <w:pPr>
              <w:jc w:val="center"/>
              <w:rPr>
                <w:rFonts w:ascii="Arial" w:hAnsi="Arial" w:cs="Arial"/>
                <w:color w:val="000000"/>
                <w:sz w:val="20"/>
                <w:szCs w:val="20"/>
              </w:rPr>
            </w:pPr>
            <w:r w:rsidRPr="00586162">
              <w:rPr>
                <w:rFonts w:ascii="Arial" w:hAnsi="Arial" w:cs="Arial"/>
                <w:color w:val="000000"/>
                <w:sz w:val="20"/>
                <w:szCs w:val="20"/>
              </w:rPr>
              <w:t>83.6</w:t>
            </w:r>
          </w:p>
        </w:tc>
      </w:tr>
    </w:tbl>
    <w:p w:rsidR="00EB3E36" w:rsidRDefault="00EB3E36" w:rsidP="00EB3E36">
      <w:pPr>
        <w:pStyle w:val="BodyParagraph"/>
      </w:pPr>
    </w:p>
    <w:p w:rsidR="005418E4" w:rsidRPr="00711930" w:rsidRDefault="005418E4" w:rsidP="00DF4737">
      <w:pPr>
        <w:pStyle w:val="Heading1"/>
        <w:spacing w:after="0" w:line="276" w:lineRule="auto"/>
        <w:rPr>
          <w:rFonts w:ascii="Times New Roman" w:hAnsi="Times New Roman" w:cs="Times New Roman"/>
          <w:color w:val="000000" w:themeColor="text1"/>
        </w:rPr>
      </w:pPr>
      <w:bookmarkStart w:id="104" w:name="_Toc259624207"/>
      <w:bookmarkStart w:id="105" w:name="_Toc259628883"/>
      <w:bookmarkStart w:id="106" w:name="_Toc289248356"/>
      <w:bookmarkStart w:id="107" w:name="_Toc351990574"/>
      <w:bookmarkStart w:id="108" w:name="_Toc352084151"/>
      <w:bookmarkStart w:id="109" w:name="_Toc415748977"/>
      <w:r w:rsidRPr="00711930">
        <w:rPr>
          <w:rFonts w:ascii="Times New Roman" w:hAnsi="Times New Roman" w:cs="Times New Roman"/>
          <w:color w:val="000000" w:themeColor="text1"/>
        </w:rPr>
        <w:t>Summary of SDG&amp;E’s Base Interruptible Program Report</w:t>
      </w:r>
      <w:bookmarkEnd w:id="104"/>
      <w:bookmarkEnd w:id="105"/>
      <w:bookmarkEnd w:id="106"/>
      <w:bookmarkEnd w:id="107"/>
      <w:bookmarkEnd w:id="108"/>
      <w:bookmarkEnd w:id="109"/>
    </w:p>
    <w:p w:rsidR="005418E4" w:rsidRPr="00711930" w:rsidRDefault="00D174B4" w:rsidP="00DF4737">
      <w:pPr>
        <w:pStyle w:val="Heading2"/>
        <w:spacing w:after="0" w:line="276" w:lineRule="auto"/>
        <w:rPr>
          <w:rFonts w:ascii="Times New Roman" w:hAnsi="Times New Roman" w:cs="Times New Roman"/>
          <w:color w:val="000000" w:themeColor="text1"/>
        </w:rPr>
      </w:pPr>
      <w:bookmarkStart w:id="110" w:name="_Toc259624208"/>
      <w:bookmarkStart w:id="111" w:name="_Toc259628884"/>
      <w:bookmarkStart w:id="112" w:name="_Toc289248357"/>
      <w:bookmarkStart w:id="113" w:name="_Toc351990575"/>
      <w:bookmarkStart w:id="114" w:name="_Toc352084152"/>
      <w:bookmarkStart w:id="115" w:name="_Toc415748978"/>
      <w:r w:rsidRPr="00711930">
        <w:rPr>
          <w:rFonts w:ascii="Times New Roman" w:hAnsi="Times New Roman" w:cs="Times New Roman"/>
          <w:color w:val="000000" w:themeColor="text1"/>
        </w:rPr>
        <w:t xml:space="preserve">BIP </w:t>
      </w:r>
      <w:r w:rsidR="005418E4" w:rsidRPr="00711930">
        <w:rPr>
          <w:rFonts w:ascii="Times New Roman" w:hAnsi="Times New Roman" w:cs="Times New Roman"/>
          <w:color w:val="000000" w:themeColor="text1"/>
        </w:rPr>
        <w:t>Program Description</w:t>
      </w:r>
      <w:bookmarkEnd w:id="110"/>
      <w:bookmarkEnd w:id="111"/>
      <w:bookmarkEnd w:id="112"/>
      <w:bookmarkEnd w:id="113"/>
      <w:bookmarkEnd w:id="114"/>
      <w:bookmarkEnd w:id="115"/>
      <w:r w:rsidR="005418E4" w:rsidRPr="00711930">
        <w:rPr>
          <w:rFonts w:ascii="Times New Roman" w:hAnsi="Times New Roman" w:cs="Times New Roman"/>
          <w:color w:val="000000" w:themeColor="text1"/>
        </w:rPr>
        <w:tab/>
      </w:r>
    </w:p>
    <w:p w:rsidR="00DD2342" w:rsidRPr="00711930" w:rsidRDefault="00DD2342" w:rsidP="00DF4737">
      <w:pPr>
        <w:pStyle w:val="BodyParagraph"/>
        <w:spacing w:after="0" w:line="276" w:lineRule="auto"/>
        <w:ind w:left="360"/>
        <w:rPr>
          <w:rFonts w:ascii="Times New Roman" w:hAnsi="Times New Roman"/>
          <w:color w:val="000000" w:themeColor="text1"/>
          <w:sz w:val="24"/>
          <w:szCs w:val="24"/>
        </w:rPr>
      </w:pPr>
    </w:p>
    <w:p w:rsidR="00DD2342" w:rsidRPr="00711930" w:rsidRDefault="00DD2342" w:rsidP="00DF4737">
      <w:pPr>
        <w:pStyle w:val="BodyParagraph"/>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 xml:space="preserve">SDG&amp;E BIP is a voluntary program that offers participants a monthly capacity bill credit in exchange for committing to reduce their demand to a contracted </w:t>
      </w:r>
      <w:r w:rsidR="00CD215A" w:rsidRPr="00711930">
        <w:rPr>
          <w:rFonts w:ascii="Times New Roman" w:hAnsi="Times New Roman"/>
          <w:color w:val="000000" w:themeColor="text1"/>
          <w:sz w:val="24"/>
          <w:szCs w:val="24"/>
        </w:rPr>
        <w:t>firm service level (FSL)</w:t>
      </w:r>
      <w:r w:rsidRPr="00711930">
        <w:rPr>
          <w:rFonts w:ascii="Times New Roman" w:hAnsi="Times New Roman"/>
          <w:color w:val="000000" w:themeColor="text1"/>
          <w:sz w:val="24"/>
          <w:szCs w:val="24"/>
        </w:rPr>
        <w:t xml:space="preserve"> on short notice during emergency situations.  Non-residential customers who can commit to curtail </w:t>
      </w:r>
      <w:r w:rsidRPr="00711930">
        <w:rPr>
          <w:rFonts w:ascii="Times New Roman" w:hAnsi="Times New Roman"/>
          <w:color w:val="000000" w:themeColor="text1"/>
          <w:sz w:val="24"/>
          <w:szCs w:val="24"/>
        </w:rPr>
        <w:lastRenderedPageBreak/>
        <w:t xml:space="preserve">15% of monthly peak demand with a minimum load reduction of 100 kW are eligible for the program.  Customers in BIP are notified no later than 30 minutes before the event.  Incentive payments are $12 per kW during May through October and $2 per KW during all other months.  Curtailment events for an individual BIP customer are limited to a single 4-hour event per day, no more than 10 events per month and no more than 120 event hours per calendar year.  A curtailment event may be called under </w:t>
      </w:r>
      <w:r w:rsidR="0076031E" w:rsidRPr="00711930">
        <w:rPr>
          <w:rFonts w:ascii="Times New Roman" w:hAnsi="Times New Roman"/>
          <w:color w:val="000000" w:themeColor="text1"/>
          <w:sz w:val="24"/>
          <w:szCs w:val="24"/>
        </w:rPr>
        <w:t>BIP at any time during the yea</w:t>
      </w:r>
      <w:r w:rsidR="00742404" w:rsidRPr="00711930">
        <w:rPr>
          <w:rFonts w:ascii="Times New Roman" w:hAnsi="Times New Roman"/>
          <w:color w:val="000000" w:themeColor="text1"/>
          <w:sz w:val="24"/>
          <w:szCs w:val="24"/>
        </w:rPr>
        <w:t xml:space="preserve">r. </w:t>
      </w:r>
    </w:p>
    <w:p w:rsidR="00202D0C" w:rsidRDefault="00202D0C" w:rsidP="00650CA1">
      <w:pPr>
        <w:pStyle w:val="BodyParagraph"/>
        <w:spacing w:after="0" w:line="276" w:lineRule="auto"/>
        <w:rPr>
          <w:rFonts w:ascii="Times New Roman" w:hAnsi="Times New Roman"/>
          <w:color w:val="000000" w:themeColor="text1"/>
          <w:sz w:val="24"/>
          <w:szCs w:val="24"/>
        </w:rPr>
      </w:pPr>
    </w:p>
    <w:p w:rsidR="00DD2342" w:rsidRPr="00711930" w:rsidRDefault="00C164DB" w:rsidP="00202D0C">
      <w:pPr>
        <w:pStyle w:val="BodyParagraph"/>
        <w:spacing w:after="0" w:line="276" w:lineRule="auto"/>
        <w:ind w:firstLine="360"/>
        <w:rPr>
          <w:rFonts w:ascii="Times New Roman" w:hAnsi="Times New Roman"/>
          <w:color w:val="000000" w:themeColor="text1"/>
          <w:sz w:val="24"/>
          <w:szCs w:val="24"/>
        </w:rPr>
      </w:pPr>
      <w:r w:rsidRPr="00711930">
        <w:rPr>
          <w:rFonts w:ascii="Times New Roman" w:hAnsi="Times New Roman"/>
          <w:color w:val="000000" w:themeColor="text1"/>
          <w:sz w:val="24"/>
          <w:szCs w:val="24"/>
        </w:rPr>
        <w:t>In 2012 SDG&amp;E implemented a program change to how the FSL is calculated for the BIP program. Beginning in 2012</w:t>
      </w:r>
      <w:r w:rsidR="00630830" w:rsidRPr="00711930">
        <w:rPr>
          <w:rFonts w:ascii="Times New Roman" w:hAnsi="Times New Roman"/>
          <w:color w:val="000000" w:themeColor="text1"/>
          <w:sz w:val="24"/>
          <w:szCs w:val="24"/>
        </w:rPr>
        <w:t>,</w:t>
      </w:r>
      <w:r w:rsidRPr="00711930">
        <w:rPr>
          <w:rFonts w:ascii="Times New Roman" w:hAnsi="Times New Roman"/>
          <w:color w:val="000000" w:themeColor="text1"/>
          <w:sz w:val="24"/>
          <w:szCs w:val="24"/>
        </w:rPr>
        <w:t xml:space="preserve"> if a customer does not reduce its load below the FSL during an event the FSL is raised to the amount of energy the customer used during the event. Since the monthly capacity payment is equal to the average monthly on-peak energy use load minus the firm service level</w:t>
      </w:r>
      <w:r w:rsidR="00630830" w:rsidRPr="00711930">
        <w:rPr>
          <w:rFonts w:ascii="Times New Roman" w:hAnsi="Times New Roman"/>
          <w:color w:val="000000" w:themeColor="text1"/>
          <w:sz w:val="24"/>
          <w:szCs w:val="24"/>
        </w:rPr>
        <w:t>,</w:t>
      </w:r>
      <w:r w:rsidRPr="00711930">
        <w:rPr>
          <w:rFonts w:ascii="Times New Roman" w:hAnsi="Times New Roman"/>
          <w:color w:val="000000" w:themeColor="text1"/>
          <w:sz w:val="24"/>
          <w:szCs w:val="24"/>
        </w:rPr>
        <w:t xml:space="preserve"> raising the FSL lowers the future capacity payments for customers who did not perform during the event. This program change successfully encouraged free-riders to opt out of the program in both 2012 and 2013 because it greatly reduces the potential for a free-rider to earn capacity payments during months with no events.</w:t>
      </w:r>
    </w:p>
    <w:p w:rsidR="00EB0D96" w:rsidRPr="00711930" w:rsidRDefault="00EB0D96" w:rsidP="00650CA1">
      <w:pPr>
        <w:pStyle w:val="Heading2"/>
        <w:spacing w:after="0" w:line="276" w:lineRule="auto"/>
        <w:rPr>
          <w:rFonts w:ascii="Times New Roman" w:hAnsi="Times New Roman" w:cs="Times New Roman"/>
          <w:color w:val="000000" w:themeColor="text1"/>
        </w:rPr>
      </w:pPr>
      <w:bookmarkStart w:id="116" w:name="_Toc351990576"/>
      <w:bookmarkStart w:id="117" w:name="_Toc352084153"/>
      <w:bookmarkStart w:id="118" w:name="_Toc415748979"/>
      <w:r w:rsidRPr="00711930">
        <w:rPr>
          <w:rFonts w:ascii="Times New Roman" w:hAnsi="Times New Roman" w:cs="Times New Roman"/>
          <w:color w:val="000000" w:themeColor="text1"/>
        </w:rPr>
        <w:t xml:space="preserve">BIP </w:t>
      </w:r>
      <w:bookmarkEnd w:id="116"/>
      <w:bookmarkEnd w:id="117"/>
      <w:r w:rsidR="00AC58B3" w:rsidRPr="00711930">
        <w:rPr>
          <w:rFonts w:ascii="Times New Roman" w:hAnsi="Times New Roman" w:cs="Times New Roman"/>
          <w:color w:val="000000" w:themeColor="text1"/>
        </w:rPr>
        <w:t>E</w:t>
      </w:r>
      <w:r w:rsidR="000327F0" w:rsidRPr="00711930">
        <w:rPr>
          <w:rFonts w:ascii="Times New Roman" w:hAnsi="Times New Roman" w:cs="Times New Roman"/>
          <w:color w:val="000000" w:themeColor="text1"/>
        </w:rPr>
        <w:t>x</w:t>
      </w:r>
      <w:r w:rsidR="00AC58B3" w:rsidRPr="00711930">
        <w:rPr>
          <w:rFonts w:ascii="Times New Roman" w:hAnsi="Times New Roman" w:cs="Times New Roman"/>
          <w:color w:val="000000" w:themeColor="text1"/>
        </w:rPr>
        <w:t>-Post Evaluation Methodology</w:t>
      </w:r>
      <w:bookmarkEnd w:id="118"/>
    </w:p>
    <w:p w:rsidR="00EB0D96" w:rsidRPr="00205691" w:rsidRDefault="00EB0D96" w:rsidP="00650CA1">
      <w:pPr>
        <w:pStyle w:val="BodyParagraph"/>
        <w:spacing w:after="0" w:line="276" w:lineRule="auto"/>
        <w:rPr>
          <w:rFonts w:ascii="Times New Roman" w:hAnsi="Times New Roman"/>
          <w:color w:val="000000" w:themeColor="text1"/>
          <w:sz w:val="24"/>
          <w:szCs w:val="24"/>
        </w:rPr>
      </w:pPr>
    </w:p>
    <w:p w:rsidR="00205691" w:rsidRDefault="00205691" w:rsidP="00205691">
      <w:pPr>
        <w:pStyle w:val="BodyParagraph"/>
        <w:spacing w:after="0" w:line="276" w:lineRule="auto"/>
        <w:ind w:firstLine="576"/>
        <w:rPr>
          <w:rFonts w:ascii="Times New Roman" w:hAnsi="Times New Roman"/>
          <w:color w:val="000000" w:themeColor="text1"/>
          <w:sz w:val="24"/>
          <w:szCs w:val="24"/>
        </w:rPr>
      </w:pPr>
      <w:r w:rsidRPr="00205691">
        <w:rPr>
          <w:rFonts w:ascii="Times New Roman" w:hAnsi="Times New Roman"/>
          <w:color w:val="000000" w:themeColor="text1"/>
          <w:sz w:val="24"/>
          <w:szCs w:val="24"/>
        </w:rPr>
        <w:t>We estimated ex post hourly load impacts using regression equations applied to customer-level hourly load data. The regression equation models hourly load as a function of a set of variables designed to control for factors affecting consumers’ hourly demand levels, such as:</w:t>
      </w:r>
    </w:p>
    <w:p w:rsidR="00205691" w:rsidRPr="00205691" w:rsidRDefault="00205691" w:rsidP="00205691">
      <w:pPr>
        <w:pStyle w:val="BodyParagraph"/>
        <w:spacing w:after="0" w:line="276" w:lineRule="auto"/>
        <w:ind w:firstLine="576"/>
        <w:rPr>
          <w:rFonts w:ascii="Times New Roman" w:hAnsi="Times New Roman"/>
          <w:color w:val="000000" w:themeColor="text1"/>
          <w:sz w:val="24"/>
          <w:szCs w:val="24"/>
        </w:rPr>
      </w:pPr>
    </w:p>
    <w:p w:rsidR="00205691" w:rsidRPr="00205691" w:rsidRDefault="00205691" w:rsidP="00205691">
      <w:pPr>
        <w:pStyle w:val="BodyParagraph"/>
        <w:spacing w:after="0" w:line="276" w:lineRule="auto"/>
        <w:ind w:left="720"/>
        <w:rPr>
          <w:rFonts w:ascii="Times New Roman" w:hAnsi="Times New Roman"/>
          <w:color w:val="000000" w:themeColor="text1"/>
          <w:sz w:val="24"/>
          <w:szCs w:val="24"/>
        </w:rPr>
      </w:pPr>
      <w:r w:rsidRPr="00205691">
        <w:rPr>
          <w:rFonts w:ascii="Times New Roman" w:hAnsi="Times New Roman"/>
          <w:color w:val="000000" w:themeColor="text1"/>
        </w:rPr>
        <w:t>•</w:t>
      </w:r>
      <w:r w:rsidRPr="00205691">
        <w:rPr>
          <w:rFonts w:ascii="Times New Roman" w:hAnsi="Times New Roman"/>
          <w:color w:val="000000" w:themeColor="text1"/>
        </w:rPr>
        <w:tab/>
      </w:r>
      <w:r w:rsidRPr="00205691">
        <w:rPr>
          <w:rFonts w:ascii="Times New Roman" w:hAnsi="Times New Roman"/>
          <w:color w:val="000000" w:themeColor="text1"/>
          <w:sz w:val="24"/>
          <w:szCs w:val="24"/>
        </w:rPr>
        <w:t>Seasonal and hourly time patterns (e.g., year, month, day-of-week, and hour, plus various hour/day-type interactions);</w:t>
      </w:r>
    </w:p>
    <w:p w:rsidR="00205691" w:rsidRPr="00205691" w:rsidRDefault="00205691" w:rsidP="00205691">
      <w:pPr>
        <w:pStyle w:val="BodyParagraph"/>
        <w:spacing w:after="0" w:line="276" w:lineRule="auto"/>
        <w:ind w:left="720"/>
        <w:rPr>
          <w:rFonts w:ascii="Times New Roman" w:hAnsi="Times New Roman"/>
          <w:color w:val="000000" w:themeColor="text1"/>
          <w:sz w:val="24"/>
          <w:szCs w:val="24"/>
        </w:rPr>
      </w:pPr>
      <w:r w:rsidRPr="00205691">
        <w:rPr>
          <w:rFonts w:ascii="Times New Roman" w:hAnsi="Times New Roman"/>
          <w:color w:val="000000" w:themeColor="text1"/>
          <w:sz w:val="24"/>
          <w:szCs w:val="24"/>
        </w:rPr>
        <w:t>•</w:t>
      </w:r>
      <w:r w:rsidRPr="00205691">
        <w:rPr>
          <w:rFonts w:ascii="Times New Roman" w:hAnsi="Times New Roman"/>
          <w:color w:val="000000" w:themeColor="text1"/>
          <w:sz w:val="24"/>
          <w:szCs w:val="24"/>
        </w:rPr>
        <w:tab/>
        <w:t>Weather, including hour-specific weather coefficients;</w:t>
      </w:r>
    </w:p>
    <w:p w:rsidR="00205691" w:rsidRDefault="00205691" w:rsidP="00205691">
      <w:pPr>
        <w:pStyle w:val="BodyParagraph"/>
        <w:spacing w:after="0" w:line="276" w:lineRule="auto"/>
        <w:ind w:left="720"/>
        <w:rPr>
          <w:rFonts w:ascii="Times New Roman" w:hAnsi="Times New Roman"/>
          <w:color w:val="000000" w:themeColor="text1"/>
          <w:sz w:val="24"/>
          <w:szCs w:val="24"/>
        </w:rPr>
      </w:pPr>
      <w:r w:rsidRPr="00205691">
        <w:rPr>
          <w:rFonts w:ascii="Times New Roman" w:hAnsi="Times New Roman"/>
          <w:color w:val="000000" w:themeColor="text1"/>
          <w:sz w:val="24"/>
          <w:szCs w:val="24"/>
        </w:rPr>
        <w:t>•</w:t>
      </w:r>
      <w:r w:rsidRPr="00205691">
        <w:rPr>
          <w:rFonts w:ascii="Times New Roman" w:hAnsi="Times New Roman"/>
          <w:color w:val="000000" w:themeColor="text1"/>
          <w:sz w:val="24"/>
          <w:szCs w:val="24"/>
        </w:rPr>
        <w:tab/>
        <w:t xml:space="preserve">Event variables. A series of dummy variables was included to account for each hour of each event day, allowing us to estimate the load impacts for all hours across the event days.  </w:t>
      </w:r>
    </w:p>
    <w:p w:rsidR="00205691" w:rsidRPr="00205691" w:rsidRDefault="00205691" w:rsidP="00205691">
      <w:pPr>
        <w:pStyle w:val="BodyParagraph"/>
        <w:spacing w:after="0" w:line="276" w:lineRule="auto"/>
        <w:ind w:left="720"/>
        <w:rPr>
          <w:rFonts w:ascii="Times New Roman" w:hAnsi="Times New Roman"/>
          <w:color w:val="000000" w:themeColor="text1"/>
          <w:sz w:val="24"/>
          <w:szCs w:val="24"/>
        </w:rPr>
      </w:pPr>
    </w:p>
    <w:p w:rsidR="00CC091E" w:rsidRPr="00205691" w:rsidRDefault="00205691" w:rsidP="00205691">
      <w:pPr>
        <w:pStyle w:val="BodyParagraph"/>
        <w:spacing w:line="240" w:lineRule="auto"/>
        <w:ind w:firstLine="540"/>
        <w:rPr>
          <w:rFonts w:ascii="Times New Roman" w:hAnsi="Times New Roman"/>
          <w:color w:val="000000" w:themeColor="text1"/>
          <w:sz w:val="24"/>
          <w:szCs w:val="24"/>
        </w:rPr>
      </w:pPr>
      <w:r w:rsidRPr="00205691">
        <w:rPr>
          <w:rFonts w:ascii="Times New Roman" w:hAnsi="Times New Roman"/>
          <w:color w:val="000000" w:themeColor="text1"/>
          <w:sz w:val="24"/>
          <w:szCs w:val="24"/>
        </w:rPr>
        <w:t>The models use the level of hourly demand (kW) as the dependent variable and a separate equation is estimated for each enrolled customer. As a result, the coefficients on the event day/hour variables are direct estimates of the ex post load impacts. For example, a BIP hour 15 event coefficient of -100 would mean that the customer reduced load by 100 kWh during hour 15 of that event day relative to its normal usage in that hour. Weekends and holidays were excluded from the estimation database</w:t>
      </w:r>
    </w:p>
    <w:p w:rsidR="00EF0F06" w:rsidRPr="00E92D52" w:rsidRDefault="00EF0F06" w:rsidP="00EF0F06">
      <w:pPr>
        <w:rPr>
          <w:b/>
        </w:rPr>
      </w:pPr>
      <w:r>
        <w:t>The model shown below was separately estimated for each enrolled customer. Table 4.1 describes the terms included in the equation.</w:t>
      </w:r>
    </w:p>
    <w:p w:rsidR="00EF0F06" w:rsidRDefault="00EF0F06" w:rsidP="00EF0F06"/>
    <w:p w:rsidR="00EF0F06" w:rsidRDefault="00EF0F06" w:rsidP="00EF0F06">
      <w:r w:rsidRPr="00877B31">
        <w:rPr>
          <w:position w:val="-134"/>
        </w:rPr>
        <w:object w:dxaOrig="8800" w:dyaOrig="2799">
          <v:shape id="_x0000_i1026" type="#_x0000_t75" style="width:438.75pt;height:136.5pt" o:ole="">
            <v:imagedata r:id="rId18" o:title=""/>
          </v:shape>
          <o:OLEObject Type="Embed" ProgID="Equation.3" ShapeID="_x0000_i1026" DrawAspect="Content" ObjectID="_1489490866" r:id="rId19"/>
        </w:object>
      </w:r>
    </w:p>
    <w:p w:rsidR="00EF0F06" w:rsidRDefault="00EF0F06" w:rsidP="00EF0F06"/>
    <w:p w:rsidR="00EF0F06" w:rsidRPr="00B2669C" w:rsidRDefault="00EF0F06" w:rsidP="00EF0F06">
      <w:pPr>
        <w:pStyle w:val="TableCaption"/>
        <w:keepLines/>
        <w:rPr>
          <w:sz w:val="20"/>
        </w:rPr>
      </w:pPr>
      <w:bookmarkStart w:id="119" w:name="_Toc413664193"/>
      <w:r w:rsidRPr="00B2669C">
        <w:rPr>
          <w:sz w:val="20"/>
        </w:rPr>
        <w:t>Table 4.1: Descriptions of Terms included in the Ex Post Regression Equation</w:t>
      </w:r>
      <w:bookmarkEnd w:id="1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7529"/>
      </w:tblGrid>
      <w:tr w:rsidR="00EF0F06" w:rsidTr="00324486">
        <w:trPr>
          <w:jc w:val="center"/>
        </w:trPr>
        <w:tc>
          <w:tcPr>
            <w:tcW w:w="0" w:type="auto"/>
            <w:shd w:val="clear" w:color="auto" w:fill="D9E2F3"/>
            <w:vAlign w:val="center"/>
          </w:tcPr>
          <w:p w:rsidR="00EF0F06" w:rsidRPr="00AA745A" w:rsidRDefault="00EF0F06" w:rsidP="00324486">
            <w:pPr>
              <w:keepNext/>
              <w:keepLines/>
              <w:jc w:val="center"/>
              <w:rPr>
                <w:rFonts w:ascii="Arial" w:hAnsi="Arial" w:cs="Arial"/>
                <w:b/>
                <w:sz w:val="20"/>
                <w:szCs w:val="20"/>
              </w:rPr>
            </w:pPr>
            <w:r w:rsidRPr="00AA745A">
              <w:rPr>
                <w:rFonts w:ascii="Arial" w:hAnsi="Arial" w:cs="Arial"/>
                <w:b/>
                <w:sz w:val="20"/>
                <w:szCs w:val="20"/>
              </w:rPr>
              <w:t>Variable Name / Term</w:t>
            </w:r>
          </w:p>
        </w:tc>
        <w:tc>
          <w:tcPr>
            <w:tcW w:w="0" w:type="auto"/>
            <w:shd w:val="clear" w:color="auto" w:fill="D9E2F3"/>
            <w:vAlign w:val="center"/>
          </w:tcPr>
          <w:p w:rsidR="00EF0F06" w:rsidRPr="00AA745A" w:rsidRDefault="00EF0F06" w:rsidP="00324486">
            <w:pPr>
              <w:keepNext/>
              <w:keepLines/>
              <w:jc w:val="center"/>
              <w:rPr>
                <w:rFonts w:ascii="Arial" w:hAnsi="Arial" w:cs="Arial"/>
                <w:b/>
                <w:sz w:val="20"/>
                <w:szCs w:val="20"/>
              </w:rPr>
            </w:pPr>
            <w:r w:rsidRPr="00AA745A">
              <w:rPr>
                <w:rFonts w:ascii="Arial" w:hAnsi="Arial" w:cs="Arial"/>
                <w:b/>
                <w:sz w:val="20"/>
                <w:szCs w:val="20"/>
              </w:rPr>
              <w:t>Variable / Term Description</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Q</w:t>
            </w:r>
            <w:r w:rsidRPr="00AA745A">
              <w:rPr>
                <w:rFonts w:ascii="Arial" w:hAnsi="Arial" w:cs="Arial"/>
                <w:i/>
                <w:sz w:val="20"/>
                <w:szCs w:val="20"/>
                <w:vertAlign w:val="subscript"/>
              </w:rPr>
              <w:t>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 xml:space="preserve">the demand in hour </w:t>
            </w:r>
            <w:r w:rsidRPr="00AA745A">
              <w:rPr>
                <w:rFonts w:ascii="Arial" w:hAnsi="Arial" w:cs="Arial"/>
                <w:i/>
                <w:sz w:val="20"/>
                <w:szCs w:val="20"/>
              </w:rPr>
              <w:t>t</w:t>
            </w:r>
            <w:r w:rsidRPr="00AA745A">
              <w:rPr>
                <w:rFonts w:ascii="Arial" w:hAnsi="Arial" w:cs="Arial"/>
                <w:sz w:val="20"/>
                <w:szCs w:val="20"/>
              </w:rPr>
              <w:t xml:space="preserve"> for a customer enrolled in B</w:t>
            </w:r>
            <w:r>
              <w:rPr>
                <w:rFonts w:ascii="Arial" w:hAnsi="Arial" w:cs="Arial"/>
                <w:sz w:val="20"/>
                <w:szCs w:val="20"/>
              </w:rPr>
              <w:t>I</w:t>
            </w:r>
            <w:r w:rsidRPr="00AA745A">
              <w:rPr>
                <w:rFonts w:ascii="Arial" w:hAnsi="Arial" w:cs="Arial"/>
                <w:sz w:val="20"/>
                <w:szCs w:val="20"/>
              </w:rPr>
              <w:t>P prior to the last event date</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sz w:val="20"/>
                <w:szCs w:val="20"/>
              </w:rPr>
              <w:t xml:space="preserve">The various </w:t>
            </w:r>
            <w:r w:rsidRPr="00AA745A">
              <w:rPr>
                <w:rFonts w:ascii="Arial" w:hAnsi="Arial" w:cs="Arial"/>
                <w:i/>
                <w:sz w:val="20"/>
                <w:szCs w:val="20"/>
              </w:rPr>
              <w:t>b</w:t>
            </w:r>
            <w:r w:rsidRPr="00AA745A">
              <w:rPr>
                <w:rFonts w:ascii="Arial" w:hAnsi="Arial" w:cs="Arial"/>
                <w:sz w:val="20"/>
                <w:szCs w:val="20"/>
              </w:rPr>
              <w:t xml:space="preserve">’s </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the estimated parameters</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h</w:t>
            </w:r>
            <w:r w:rsidRPr="00AA745A">
              <w:rPr>
                <w:rFonts w:ascii="Arial" w:hAnsi="Arial" w:cs="Arial"/>
                <w:i/>
                <w:sz w:val="20"/>
                <w:szCs w:val="20"/>
                <w:vertAlign w:val="subscript"/>
              </w:rPr>
              <w:t>i,t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 xml:space="preserve">a dummy variable for hour </w:t>
            </w:r>
            <w:r w:rsidRPr="00AA745A">
              <w:rPr>
                <w:rFonts w:ascii="Arial" w:hAnsi="Arial" w:cs="Arial"/>
                <w:i/>
                <w:sz w:val="20"/>
                <w:szCs w:val="20"/>
              </w:rPr>
              <w:t>i</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B</w:t>
            </w:r>
            <w:r>
              <w:rPr>
                <w:rFonts w:ascii="Arial" w:hAnsi="Arial" w:cs="Arial"/>
                <w:i/>
                <w:sz w:val="20"/>
                <w:szCs w:val="20"/>
              </w:rPr>
              <w:t>I</w:t>
            </w:r>
            <w:r w:rsidRPr="00AA745A">
              <w:rPr>
                <w:rFonts w:ascii="Arial" w:hAnsi="Arial" w:cs="Arial"/>
                <w:i/>
                <w:sz w:val="20"/>
                <w:szCs w:val="20"/>
              </w:rPr>
              <w:t>P</w:t>
            </w:r>
            <w:r w:rsidRPr="00AA745A">
              <w:rPr>
                <w:rFonts w:ascii="Arial" w:hAnsi="Arial" w:cs="Arial"/>
                <w:i/>
                <w:sz w:val="20"/>
                <w:szCs w:val="20"/>
                <w:vertAlign w:val="subscript"/>
              </w:rPr>
              <w:t>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an indicator variable for program event days</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Weather</w:t>
            </w:r>
            <w:r w:rsidRPr="00AA745A">
              <w:rPr>
                <w:rFonts w:ascii="Arial" w:hAnsi="Arial" w:cs="Arial"/>
                <w:i/>
                <w:sz w:val="20"/>
                <w:szCs w:val="20"/>
                <w:vertAlign w:val="subscript"/>
              </w:rPr>
              <w:t>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 xml:space="preserve">the weather variables selected using our model screening process </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E</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 xml:space="preserve">the number of event days that occurred during the program year </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MornLoad</w:t>
            </w:r>
            <w:r w:rsidRPr="00AA745A">
              <w:rPr>
                <w:rFonts w:ascii="Arial" w:hAnsi="Arial" w:cs="Arial"/>
                <w:i/>
                <w:sz w:val="20"/>
                <w:szCs w:val="20"/>
                <w:vertAlign w:val="subscript"/>
              </w:rPr>
              <w:t>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a variable equal to the average of the day’s load in hours 1 through 10</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OtherEvt</w:t>
            </w:r>
            <w:r w:rsidRPr="00EB0348">
              <w:rPr>
                <w:rFonts w:ascii="Arial" w:hAnsi="Arial" w:cs="Arial"/>
                <w:i/>
                <w:sz w:val="20"/>
                <w:szCs w:val="20"/>
                <w:vertAlign w:val="superscript"/>
              </w:rPr>
              <w:t>DR</w:t>
            </w:r>
            <w:r w:rsidRPr="00AA745A">
              <w:rPr>
                <w:rFonts w:ascii="Arial" w:hAnsi="Arial" w:cs="Arial"/>
                <w:i/>
                <w:sz w:val="20"/>
                <w:szCs w:val="20"/>
                <w:vertAlign w:val="subscript"/>
              </w:rPr>
              <w:t>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 xml:space="preserve">equals one on the event days of other demand response programs in which the customer is enrolled </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smartTag w:uri="urn:schemas-microsoft-com:office:smarttags" w:element="place">
              <w:smartTag w:uri="urn:schemas-microsoft-com:office:smarttags" w:element="State">
                <w:r w:rsidRPr="00AA745A">
                  <w:rPr>
                    <w:rFonts w:ascii="Arial" w:hAnsi="Arial" w:cs="Arial"/>
                    <w:i/>
                    <w:sz w:val="20"/>
                    <w:szCs w:val="20"/>
                  </w:rPr>
                  <w:t>MON</w:t>
                </w:r>
                <w:r w:rsidRPr="00AA745A">
                  <w:rPr>
                    <w:rFonts w:ascii="Arial" w:hAnsi="Arial" w:cs="Arial"/>
                    <w:i/>
                    <w:sz w:val="20"/>
                    <w:szCs w:val="20"/>
                    <w:vertAlign w:val="subscript"/>
                  </w:rPr>
                  <w:t>t</w:t>
                </w:r>
              </w:smartTag>
            </w:smartTag>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 xml:space="preserve">a dummy variable for Monday </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FRI</w:t>
            </w:r>
            <w:r w:rsidRPr="00AA745A">
              <w:rPr>
                <w:rFonts w:ascii="Arial" w:hAnsi="Arial" w:cs="Arial"/>
                <w:i/>
                <w:sz w:val="20"/>
                <w:szCs w:val="20"/>
                <w:vertAlign w:val="subscript"/>
              </w:rPr>
              <w:t>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 xml:space="preserve">a dummy variable for Friday </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i/>
                <w:sz w:val="20"/>
                <w:szCs w:val="20"/>
              </w:rPr>
            </w:pPr>
            <w:r w:rsidRPr="00AA745A">
              <w:rPr>
                <w:rFonts w:ascii="Arial" w:hAnsi="Arial" w:cs="Arial"/>
                <w:i/>
                <w:sz w:val="20"/>
                <w:szCs w:val="20"/>
              </w:rPr>
              <w:t>SUMMER</w:t>
            </w:r>
            <w:r w:rsidRPr="00AA745A">
              <w:rPr>
                <w:rFonts w:ascii="Arial" w:hAnsi="Arial" w:cs="Arial"/>
                <w:i/>
                <w:sz w:val="20"/>
                <w:szCs w:val="20"/>
                <w:vertAlign w:val="subscript"/>
              </w:rPr>
              <w:t>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a dummy variable for the summer pricing season</w:t>
            </w:r>
            <w:r w:rsidRPr="00AA745A">
              <w:rPr>
                <w:rStyle w:val="FootnoteReference"/>
                <w:rFonts w:ascii="Arial" w:hAnsi="Arial"/>
                <w:sz w:val="20"/>
                <w:szCs w:val="20"/>
              </w:rPr>
              <w:footnoteReference w:id="4"/>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DTYPE</w:t>
            </w:r>
            <w:r w:rsidRPr="00AA745A">
              <w:rPr>
                <w:rFonts w:ascii="Arial" w:hAnsi="Arial" w:cs="Arial"/>
                <w:i/>
                <w:sz w:val="20"/>
                <w:szCs w:val="20"/>
                <w:vertAlign w:val="subscript"/>
              </w:rPr>
              <w:t>i,t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a series of dummy variables for each day of the week</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MONTH</w:t>
            </w:r>
            <w:r w:rsidRPr="00AA745A">
              <w:rPr>
                <w:rFonts w:ascii="Arial" w:hAnsi="Arial" w:cs="Arial"/>
                <w:i/>
                <w:sz w:val="20"/>
                <w:szCs w:val="20"/>
                <w:vertAlign w:val="subscript"/>
              </w:rPr>
              <w:t>i,t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 xml:space="preserve">a series of dummy variables for each month </w:t>
            </w:r>
          </w:p>
        </w:tc>
      </w:tr>
      <w:tr w:rsidR="00EF0F06" w:rsidTr="00324486">
        <w:trPr>
          <w:jc w:val="center"/>
        </w:trPr>
        <w:tc>
          <w:tcPr>
            <w:tcW w:w="0" w:type="auto"/>
            <w:shd w:val="clear" w:color="auto" w:fill="auto"/>
            <w:vAlign w:val="center"/>
          </w:tcPr>
          <w:p w:rsidR="00EF0F06" w:rsidRPr="00AA745A" w:rsidRDefault="00EF0F06" w:rsidP="00324486">
            <w:pPr>
              <w:keepNext/>
              <w:keepLines/>
              <w:jc w:val="center"/>
              <w:rPr>
                <w:rFonts w:ascii="Arial" w:hAnsi="Arial" w:cs="Arial"/>
                <w:sz w:val="20"/>
                <w:szCs w:val="20"/>
              </w:rPr>
            </w:pPr>
            <w:r w:rsidRPr="00AA745A">
              <w:rPr>
                <w:rFonts w:ascii="Arial" w:hAnsi="Arial" w:cs="Arial"/>
                <w:i/>
                <w:sz w:val="20"/>
                <w:szCs w:val="20"/>
              </w:rPr>
              <w:t>e</w:t>
            </w:r>
            <w:r w:rsidRPr="00AA745A">
              <w:rPr>
                <w:rFonts w:ascii="Arial" w:hAnsi="Arial" w:cs="Arial"/>
                <w:i/>
                <w:sz w:val="20"/>
                <w:szCs w:val="20"/>
                <w:vertAlign w:val="subscript"/>
              </w:rPr>
              <w:t>t</w:t>
            </w:r>
          </w:p>
        </w:tc>
        <w:tc>
          <w:tcPr>
            <w:tcW w:w="0" w:type="auto"/>
            <w:shd w:val="clear" w:color="auto" w:fill="auto"/>
            <w:vAlign w:val="center"/>
          </w:tcPr>
          <w:p w:rsidR="00EF0F06" w:rsidRPr="00AA745A" w:rsidRDefault="00EF0F06" w:rsidP="00324486">
            <w:pPr>
              <w:keepNext/>
              <w:keepLines/>
              <w:rPr>
                <w:rFonts w:ascii="Arial" w:hAnsi="Arial" w:cs="Arial"/>
                <w:sz w:val="20"/>
                <w:szCs w:val="20"/>
              </w:rPr>
            </w:pPr>
            <w:r w:rsidRPr="00AA745A">
              <w:rPr>
                <w:rFonts w:ascii="Arial" w:hAnsi="Arial" w:cs="Arial"/>
                <w:sz w:val="20"/>
                <w:szCs w:val="20"/>
              </w:rPr>
              <w:t>the error term.</w:t>
            </w:r>
          </w:p>
        </w:tc>
      </w:tr>
    </w:tbl>
    <w:p w:rsidR="00EF0F06" w:rsidRDefault="00EF0F06" w:rsidP="00EF0F06"/>
    <w:p w:rsidR="00EF0F06" w:rsidRDefault="00EF0F06" w:rsidP="00EF0F06">
      <w:pPr>
        <w:spacing w:line="276" w:lineRule="auto"/>
        <w:ind w:firstLine="720"/>
      </w:pPr>
      <w:r>
        <w:t xml:space="preserve">The </w:t>
      </w:r>
      <w:r w:rsidRPr="002459F5">
        <w:rPr>
          <w:i/>
        </w:rPr>
        <w:t>OtherEvt</w:t>
      </w:r>
      <w:r>
        <w:t xml:space="preserve"> variables help the model explain load changes that occur on event days for programs in which the BIP customers are dually enrolled. (In the absence of these variables, any load reductions that occur on such days may be falsely attributed to other included variables, such as weather condition or day type variables.) The “morning load” variables are included in the same spirit as the day-of adjustment to the 10-in-10 baseline settlement method used in some DR programs (e.g., Demand Bidding Program, or DBP). That is, those variables help adjust the reference loads (or the loads that would have been observed in the absence of an event) for factors that affect pre-event usage, but are not accounted for by the other included variables. </w:t>
      </w:r>
    </w:p>
    <w:p w:rsidR="00EF0F06" w:rsidRDefault="00EF0F06" w:rsidP="00EF0F06">
      <w:pPr>
        <w:spacing w:line="276" w:lineRule="auto"/>
      </w:pPr>
    </w:p>
    <w:p w:rsidR="00EF0F06" w:rsidRDefault="00EF0F06" w:rsidP="00EF0F06">
      <w:pPr>
        <w:spacing w:line="276" w:lineRule="auto"/>
        <w:ind w:firstLine="720"/>
      </w:pPr>
      <w:r>
        <w:t>The model allows for the hourly load profile to differ by: day of week, with separate profiles for Monday, Tuesday through Thursday, and Friday; and by pricing season (i.e., summer versus non-summer), in order to account for potential customer load changes in response to seasonal changes in rates.</w:t>
      </w:r>
    </w:p>
    <w:p w:rsidR="00EF0F06" w:rsidRDefault="00EF0F06" w:rsidP="00EF0F06">
      <w:pPr>
        <w:spacing w:line="276" w:lineRule="auto"/>
      </w:pPr>
    </w:p>
    <w:p w:rsidR="00EF0F06" w:rsidRDefault="00EF0F06" w:rsidP="00EF0F06">
      <w:pPr>
        <w:spacing w:line="276" w:lineRule="auto"/>
        <w:ind w:firstLine="720"/>
      </w:pPr>
      <w:r>
        <w:lastRenderedPageBreak/>
        <w:t xml:space="preserve">Separate models were estimated for each customer. The load impacts were aggregated across customer accounts as appropriate to arrive at program-level load impacts, as well as load impacts by industry group and local capacity area (LCA). </w:t>
      </w:r>
    </w:p>
    <w:p w:rsidR="00EF0F06" w:rsidRDefault="00EF0F06" w:rsidP="00EF0F06">
      <w:pPr>
        <w:spacing w:line="276" w:lineRule="auto"/>
      </w:pPr>
    </w:p>
    <w:p w:rsidR="00EF0F06" w:rsidRDefault="00EF0F06" w:rsidP="00EF0F06">
      <w:pPr>
        <w:spacing w:line="276" w:lineRule="auto"/>
        <w:ind w:firstLine="576"/>
      </w:pPr>
      <w:r>
        <w:t>A parallel set of non-summer models was estimated for each customer. The structure matches the model described above, with appropriate modifications made to the month indicators, summer variables, and weather variables.</w:t>
      </w:r>
    </w:p>
    <w:p w:rsidR="00BD3A0E" w:rsidRPr="00711930" w:rsidRDefault="00BD3A0E" w:rsidP="00BD3A0E">
      <w:pPr>
        <w:pStyle w:val="Heading2"/>
        <w:spacing w:after="0" w:line="276" w:lineRule="auto"/>
        <w:rPr>
          <w:rFonts w:ascii="Times New Roman" w:hAnsi="Times New Roman" w:cs="Times New Roman"/>
          <w:color w:val="000000" w:themeColor="text1"/>
        </w:rPr>
      </w:pPr>
      <w:bookmarkStart w:id="120" w:name="_Toc415748980"/>
      <w:r w:rsidRPr="00711930">
        <w:rPr>
          <w:rFonts w:ascii="Times New Roman" w:hAnsi="Times New Roman" w:cs="Times New Roman"/>
          <w:color w:val="000000" w:themeColor="text1"/>
        </w:rPr>
        <w:t>BIP Ex-</w:t>
      </w:r>
      <w:r>
        <w:rPr>
          <w:rFonts w:ascii="Times New Roman" w:hAnsi="Times New Roman" w:cs="Times New Roman"/>
          <w:color w:val="000000" w:themeColor="text1"/>
        </w:rPr>
        <w:t xml:space="preserve">Ante </w:t>
      </w:r>
      <w:r w:rsidRPr="00711930">
        <w:rPr>
          <w:rFonts w:ascii="Times New Roman" w:hAnsi="Times New Roman" w:cs="Times New Roman"/>
          <w:color w:val="000000" w:themeColor="text1"/>
        </w:rPr>
        <w:t>Evaluation Methodology</w:t>
      </w:r>
      <w:bookmarkEnd w:id="120"/>
    </w:p>
    <w:p w:rsidR="001E3ED0" w:rsidRDefault="001E3ED0" w:rsidP="001E3ED0">
      <w:pPr>
        <w:spacing w:after="240"/>
      </w:pPr>
    </w:p>
    <w:p w:rsidR="001E3ED0" w:rsidRDefault="001E3ED0" w:rsidP="001E3ED0">
      <w:pPr>
        <w:spacing w:after="240"/>
        <w:ind w:firstLine="360"/>
      </w:pPr>
      <w:r>
        <w:t>The DR Load Impact Evaluation Protocols require that hourly load impact forecasts for event-based DR resources must be reported at the program level and by LCA for the following scenarios:</w:t>
      </w:r>
    </w:p>
    <w:p w:rsidR="001E3ED0" w:rsidRDefault="001E3ED0" w:rsidP="001E3ED0">
      <w:pPr>
        <w:numPr>
          <w:ilvl w:val="0"/>
          <w:numId w:val="22"/>
        </w:numPr>
        <w:tabs>
          <w:tab w:val="clear" w:pos="720"/>
          <w:tab w:val="num" w:pos="-360"/>
        </w:tabs>
      </w:pPr>
      <w:r>
        <w:t>For a typical event day in each year; and</w:t>
      </w:r>
    </w:p>
    <w:p w:rsidR="001E3ED0" w:rsidRDefault="001E3ED0" w:rsidP="001E3ED0">
      <w:pPr>
        <w:numPr>
          <w:ilvl w:val="0"/>
          <w:numId w:val="22"/>
        </w:numPr>
        <w:tabs>
          <w:tab w:val="clear" w:pos="720"/>
          <w:tab w:val="num" w:pos="-360"/>
        </w:tabs>
      </w:pPr>
      <w:r>
        <w:t>For the monthly system peak load day in each month for which the resource is available;</w:t>
      </w:r>
    </w:p>
    <w:p w:rsidR="001E3ED0" w:rsidRDefault="001E3ED0" w:rsidP="001E3ED0">
      <w:pPr>
        <w:spacing w:before="240" w:after="240"/>
      </w:pPr>
      <w:r>
        <w:t>under both:</w:t>
      </w:r>
    </w:p>
    <w:p w:rsidR="006A103B" w:rsidRDefault="006A103B" w:rsidP="006A103B">
      <w:pPr>
        <w:pStyle w:val="ListParagraph"/>
        <w:numPr>
          <w:ilvl w:val="0"/>
          <w:numId w:val="38"/>
        </w:numPr>
        <w:spacing w:before="240" w:after="240"/>
      </w:pPr>
      <w:r>
        <w:t>1-in-2 weather conditions for both utility-specific and CAISO-coincident load conditions, and</w:t>
      </w:r>
    </w:p>
    <w:p w:rsidR="006A103B" w:rsidRDefault="006A103B" w:rsidP="006A103B">
      <w:pPr>
        <w:pStyle w:val="ListParagraph"/>
        <w:numPr>
          <w:ilvl w:val="0"/>
          <w:numId w:val="38"/>
        </w:numPr>
        <w:spacing w:before="240" w:after="240"/>
      </w:pPr>
      <w:r>
        <w:t>1-in-10 weather conditions for both utility-specific and CAISO-coincident load conditions;</w:t>
      </w:r>
    </w:p>
    <w:p w:rsidR="001E3ED0" w:rsidRDefault="001E3ED0" w:rsidP="001E3ED0">
      <w:pPr>
        <w:spacing w:before="240" w:after="240"/>
      </w:pPr>
      <w:r>
        <w:t>at both:</w:t>
      </w:r>
    </w:p>
    <w:p w:rsidR="001E3ED0" w:rsidRDefault="001E3ED0" w:rsidP="001E3ED0">
      <w:pPr>
        <w:numPr>
          <w:ilvl w:val="0"/>
          <w:numId w:val="23"/>
        </w:numPr>
        <w:tabs>
          <w:tab w:val="clear" w:pos="720"/>
          <w:tab w:val="num" w:pos="-360"/>
        </w:tabs>
      </w:pPr>
      <w:r>
        <w:t>the program level (</w:t>
      </w:r>
      <w:r w:rsidRPr="0057112A">
        <w:rPr>
          <w:i/>
        </w:rPr>
        <w:t>i.e.</w:t>
      </w:r>
      <w:r>
        <w:t>, in which only the program in question is called), and</w:t>
      </w:r>
    </w:p>
    <w:p w:rsidR="001E3ED0" w:rsidRDefault="001E3ED0" w:rsidP="001E3ED0">
      <w:pPr>
        <w:numPr>
          <w:ilvl w:val="0"/>
          <w:numId w:val="23"/>
        </w:numPr>
        <w:tabs>
          <w:tab w:val="clear" w:pos="720"/>
          <w:tab w:val="num" w:pos="-360"/>
        </w:tabs>
      </w:pPr>
      <w:r>
        <w:t>the portfolio level (</w:t>
      </w:r>
      <w:r w:rsidRPr="0057112A">
        <w:rPr>
          <w:i/>
        </w:rPr>
        <w:t>i.e.</w:t>
      </w:r>
      <w:r>
        <w:t>, in which all demand response programs are called).</w:t>
      </w:r>
    </w:p>
    <w:p w:rsidR="006A103B" w:rsidRDefault="006A103B" w:rsidP="001C7314"/>
    <w:p w:rsidR="001C7314" w:rsidRDefault="001C7314" w:rsidP="001C7314">
      <w:r>
        <w:t>Reference loads and load impacts for all of the above factors were developed in the following series of steps:</w:t>
      </w:r>
    </w:p>
    <w:p w:rsidR="001C7314" w:rsidRDefault="001C7314" w:rsidP="001C7314"/>
    <w:p w:rsidR="001C7314" w:rsidRDefault="001C7314" w:rsidP="001C7314">
      <w:pPr>
        <w:numPr>
          <w:ilvl w:val="0"/>
          <w:numId w:val="8"/>
        </w:numPr>
      </w:pPr>
      <w:r>
        <w:t>Define data sources;</w:t>
      </w:r>
    </w:p>
    <w:p w:rsidR="001C7314" w:rsidRDefault="001C7314" w:rsidP="001C7314">
      <w:pPr>
        <w:numPr>
          <w:ilvl w:val="0"/>
          <w:numId w:val="8"/>
        </w:numPr>
      </w:pPr>
      <w:r>
        <w:t>Estimate ex ante regressions and simulate reference loads by service account and scenario;</w:t>
      </w:r>
    </w:p>
    <w:p w:rsidR="001C7314" w:rsidRDefault="001C7314" w:rsidP="001C7314">
      <w:pPr>
        <w:numPr>
          <w:ilvl w:val="0"/>
          <w:numId w:val="8"/>
        </w:numPr>
      </w:pPr>
      <w:r>
        <w:t>Calculate historical FSL achievement rates from ex post results;</w:t>
      </w:r>
    </w:p>
    <w:p w:rsidR="001C7314" w:rsidRDefault="001C7314" w:rsidP="001C7314">
      <w:pPr>
        <w:numPr>
          <w:ilvl w:val="0"/>
          <w:numId w:val="8"/>
        </w:numPr>
      </w:pPr>
      <w:r>
        <w:t>Apply achievement rates to the reference loads; and</w:t>
      </w:r>
    </w:p>
    <w:p w:rsidR="001C7314" w:rsidRDefault="001C7314" w:rsidP="001C7314">
      <w:pPr>
        <w:numPr>
          <w:ilvl w:val="0"/>
          <w:numId w:val="8"/>
        </w:numPr>
      </w:pPr>
      <w:r>
        <w:t>Scale the reference loads using enrollment forecasts.</w:t>
      </w:r>
    </w:p>
    <w:p w:rsidR="001C7314" w:rsidRDefault="001C7314" w:rsidP="001C7314"/>
    <w:p w:rsidR="001C7314" w:rsidRDefault="001C7314" w:rsidP="001C7314">
      <w:r>
        <w:t>Each of these steps is described below.</w:t>
      </w:r>
    </w:p>
    <w:p w:rsidR="001C7314" w:rsidRDefault="001C7314" w:rsidP="001C7314"/>
    <w:p w:rsidR="001C7314" w:rsidRDefault="001C7314" w:rsidP="001C7314">
      <w:pPr>
        <w:numPr>
          <w:ilvl w:val="0"/>
          <w:numId w:val="24"/>
        </w:numPr>
      </w:pPr>
      <w:r w:rsidRPr="00A9474C">
        <w:rPr>
          <w:i/>
        </w:rPr>
        <w:t xml:space="preserve">Define </w:t>
      </w:r>
      <w:r>
        <w:rPr>
          <w:i/>
        </w:rPr>
        <w:t>data sources</w:t>
      </w:r>
      <w:r>
        <w:t xml:space="preserve">  </w:t>
      </w:r>
    </w:p>
    <w:p w:rsidR="001C7314" w:rsidRPr="00834007" w:rsidRDefault="001C7314" w:rsidP="001C7314">
      <w:pPr>
        <w:tabs>
          <w:tab w:val="left" w:pos="4140"/>
        </w:tabs>
        <w:rPr>
          <w:b/>
        </w:rPr>
      </w:pPr>
      <w:r>
        <w:t xml:space="preserve">The reference loads are developed using data for customers enrolled in BIP during the 2014 program year. The load impacts are developed using the historical FSL achievement rates based on the estimated ex post load impacts for the same customers. </w:t>
      </w:r>
    </w:p>
    <w:p w:rsidR="00BD3A0E" w:rsidRDefault="00BD3A0E" w:rsidP="001C7314"/>
    <w:p w:rsidR="001C7314" w:rsidRDefault="001C7314" w:rsidP="001C7314">
      <w:pPr>
        <w:tabs>
          <w:tab w:val="left" w:pos="4140"/>
        </w:tabs>
      </w:pPr>
      <w:r>
        <w:t xml:space="preserve">For each service account, we determine the appropriate size group and LCA. Although BIP customers may be dually enrolled in some other DR programs, the BIP obligation takes precedence on event days, so </w:t>
      </w:r>
      <w:r w:rsidRPr="00277675">
        <w:rPr>
          <w:i/>
        </w:rPr>
        <w:t>program-specific</w:t>
      </w:r>
      <w:r>
        <w:t xml:space="preserve"> scenarios (in which each DR program is assumed to be called in isolation) are identical to </w:t>
      </w:r>
      <w:r w:rsidRPr="00277675">
        <w:rPr>
          <w:i/>
        </w:rPr>
        <w:t>portfolio-level</w:t>
      </w:r>
      <w:r>
        <w:t xml:space="preserve"> scenarios (in which all DR programs are assumed to have been called) for this program. </w:t>
      </w:r>
    </w:p>
    <w:p w:rsidR="001C7314" w:rsidRDefault="001C7314" w:rsidP="001C7314">
      <w:pPr>
        <w:tabs>
          <w:tab w:val="left" w:pos="4140"/>
        </w:tabs>
      </w:pPr>
    </w:p>
    <w:p w:rsidR="001C7314" w:rsidRDefault="001C7314" w:rsidP="001C7314">
      <w:pPr>
        <w:numPr>
          <w:ilvl w:val="0"/>
          <w:numId w:val="24"/>
        </w:numPr>
      </w:pPr>
      <w:r>
        <w:rPr>
          <w:i/>
        </w:rPr>
        <w:t xml:space="preserve">Simulate reference </w:t>
      </w:r>
      <w:r w:rsidRPr="00AA5190">
        <w:rPr>
          <w:i/>
        </w:rPr>
        <w:t>load</w:t>
      </w:r>
      <w:r>
        <w:rPr>
          <w:i/>
        </w:rPr>
        <w:t>s</w:t>
      </w:r>
      <w:r>
        <w:t xml:space="preserve">  </w:t>
      </w:r>
    </w:p>
    <w:p w:rsidR="001C7314" w:rsidRDefault="001C7314" w:rsidP="001C7314">
      <w:r>
        <w:t xml:space="preserve">In order to develop reference loads, we first re-estimated regression equations for each </w:t>
      </w:r>
      <w:r w:rsidRPr="00B116E3">
        <w:t>enrolled</w:t>
      </w:r>
      <w:r>
        <w:t xml:space="preserve"> customer account using data for the current program year. The resulting estimates were used to simulate reference loads for each service account under the various scenarios required by the Protocols (</w:t>
      </w:r>
      <w:r w:rsidRPr="004D7BCF">
        <w:rPr>
          <w:i/>
        </w:rPr>
        <w:t>e.g.</w:t>
      </w:r>
      <w:r>
        <w:t xml:space="preserve">, the typical event day in a utility-specific 1-in-2 weather year).   </w:t>
      </w:r>
    </w:p>
    <w:p w:rsidR="001C7314" w:rsidRDefault="001C7314" w:rsidP="001C7314"/>
    <w:p w:rsidR="001C7314" w:rsidRPr="003C262F" w:rsidRDefault="001C7314" w:rsidP="001C7314">
      <w:r w:rsidRPr="002177EE">
        <w:t xml:space="preserve">For the summer months, the re-estimated regression equations were similar in design to the ex post load impact equations described in Section 3.2, </w:t>
      </w:r>
      <w:r w:rsidRPr="00CC5A6A">
        <w:t>differing in two ways.</w:t>
      </w:r>
      <w:r w:rsidRPr="002177EE">
        <w:t xml:space="preserve"> First, the ex ante models excluded the morning-usage variable</w:t>
      </w:r>
      <w:r>
        <w:t>s. While these</w:t>
      </w:r>
      <w:r w:rsidRPr="002177EE">
        <w:t xml:space="preserve"> variable</w:t>
      </w:r>
      <w:r>
        <w:t>s are</w:t>
      </w:r>
      <w:r w:rsidRPr="002177EE">
        <w:t xml:space="preserve"> useful for improving accuracy in estimating ex post load impacts for particular events, </w:t>
      </w:r>
      <w:r>
        <w:t xml:space="preserve">they </w:t>
      </w:r>
      <w:r w:rsidRPr="002177EE">
        <w:t xml:space="preserve">complicate the use of the equations in ex ante simulation. That is, </w:t>
      </w:r>
      <w:r>
        <w:t xml:space="preserve">they </w:t>
      </w:r>
      <w:r w:rsidRPr="002177EE">
        <w:t xml:space="preserve">would require a separate simulation of the level of the morning </w:t>
      </w:r>
      <w:r w:rsidRPr="00277675">
        <w:t xml:space="preserve">load. The second difference </w:t>
      </w:r>
      <w:r w:rsidRPr="003C262F">
        <w:t xml:space="preserve">between the ex post and ex ante models is that the ex ante models </w:t>
      </w:r>
      <w:r>
        <w:t xml:space="preserve">do not </w:t>
      </w:r>
      <w:r w:rsidRPr="003C262F">
        <w:t>use</w:t>
      </w:r>
      <w:r>
        <w:t xml:space="preserve"> weather variables using information from prior days.</w:t>
      </w:r>
      <w:r>
        <w:rPr>
          <w:rStyle w:val="FootnoteReference"/>
        </w:rPr>
        <w:footnoteReference w:id="5"/>
      </w:r>
      <w:r>
        <w:t xml:space="preserve"> The primary reason for this is that the ex ante weather days were not selected based on weather from the prior day, restricting the use of lagged weather variables to construct the ex ante scenarios.</w:t>
      </w:r>
    </w:p>
    <w:p w:rsidR="001C7314" w:rsidRDefault="001C7314" w:rsidP="001C7314"/>
    <w:p w:rsidR="001C7314" w:rsidRDefault="001C7314" w:rsidP="001C7314">
      <w:r w:rsidRPr="00770A8C">
        <w:t>Because B</w:t>
      </w:r>
      <w:r>
        <w:t>I</w:t>
      </w:r>
      <w:r w:rsidRPr="00770A8C">
        <w:t>P events may be called in any month of the year, we estimated separate regression models to allow us to simulate non-summer reference loads. The non-summer model is shown below. This model is estimated separately from the summer ex ante model. It only differs from the summer model in t</w:t>
      </w:r>
      <w:r>
        <w:t>wo</w:t>
      </w:r>
      <w:r w:rsidRPr="00770A8C">
        <w:t xml:space="preserve"> ways: it includes </w:t>
      </w:r>
      <w:r w:rsidRPr="00BC753F">
        <w:t>different weather variables</w:t>
      </w:r>
      <w:r w:rsidRPr="00770A8C">
        <w:t xml:space="preserve">; </w:t>
      </w:r>
      <w:r>
        <w:t xml:space="preserve">and </w:t>
      </w:r>
      <w:r w:rsidRPr="00770A8C">
        <w:t xml:space="preserve">the month dummies relate to a </w:t>
      </w:r>
      <w:r>
        <w:t>different set of months. Table 4</w:t>
      </w:r>
      <w:r w:rsidRPr="00770A8C">
        <w:t>.</w:t>
      </w:r>
      <w:r>
        <w:t>5</w:t>
      </w:r>
      <w:r w:rsidRPr="00770A8C">
        <w:t xml:space="preserve"> describes the terms included in the equation.</w:t>
      </w:r>
    </w:p>
    <w:p w:rsidR="001C7314" w:rsidRDefault="001C7314" w:rsidP="001C7314"/>
    <w:p w:rsidR="001C7314" w:rsidRDefault="001C7314" w:rsidP="001C7314">
      <w:r w:rsidRPr="004061BB">
        <w:rPr>
          <w:position w:val="-136"/>
        </w:rPr>
        <w:object w:dxaOrig="6820" w:dyaOrig="2840">
          <v:shape id="_x0000_i1027" type="#_x0000_t75" style="width:341.25pt;height:2in" o:ole="">
            <v:imagedata r:id="rId20" o:title=""/>
          </v:shape>
          <o:OLEObject Type="Embed" ProgID="Equation.3" ShapeID="_x0000_i1027" DrawAspect="Content" ObjectID="_1489490867" r:id="rId21"/>
        </w:object>
      </w:r>
    </w:p>
    <w:p w:rsidR="001C7314" w:rsidRDefault="001C7314" w:rsidP="001C7314"/>
    <w:p w:rsidR="001C7314" w:rsidRDefault="001C7314" w:rsidP="001C7314"/>
    <w:p w:rsidR="001C7314" w:rsidRPr="00B2669C" w:rsidRDefault="001C7314" w:rsidP="001C7314">
      <w:pPr>
        <w:pStyle w:val="TableCaption"/>
        <w:keepLines/>
        <w:rPr>
          <w:sz w:val="20"/>
        </w:rPr>
      </w:pPr>
      <w:bookmarkStart w:id="121" w:name="_Toc411324262"/>
      <w:bookmarkStart w:id="122" w:name="_Toc413664207"/>
      <w:r w:rsidRPr="00B2669C">
        <w:rPr>
          <w:sz w:val="20"/>
        </w:rPr>
        <w:lastRenderedPageBreak/>
        <w:t>Table 4.5: Descriptions of Terms included in the Ex Ante Regression Equation</w:t>
      </w:r>
      <w:bookmarkEnd w:id="121"/>
      <w:bookmarkEnd w:id="1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8030"/>
      </w:tblGrid>
      <w:tr w:rsidR="001C7314" w:rsidTr="00324486">
        <w:trPr>
          <w:jc w:val="center"/>
        </w:trPr>
        <w:tc>
          <w:tcPr>
            <w:tcW w:w="0" w:type="auto"/>
            <w:shd w:val="clear" w:color="auto" w:fill="D9E2F3"/>
            <w:vAlign w:val="center"/>
          </w:tcPr>
          <w:p w:rsidR="001C7314" w:rsidRPr="00AA745A" w:rsidRDefault="001C7314" w:rsidP="00324486">
            <w:pPr>
              <w:keepNext/>
              <w:keepLines/>
              <w:jc w:val="center"/>
              <w:rPr>
                <w:rFonts w:ascii="Arial" w:hAnsi="Arial" w:cs="Arial"/>
                <w:b/>
                <w:sz w:val="20"/>
                <w:szCs w:val="20"/>
              </w:rPr>
            </w:pPr>
            <w:r w:rsidRPr="00AA745A">
              <w:rPr>
                <w:rFonts w:ascii="Arial" w:hAnsi="Arial" w:cs="Arial"/>
                <w:b/>
                <w:sz w:val="20"/>
                <w:szCs w:val="20"/>
              </w:rPr>
              <w:t>Variable Name</w:t>
            </w:r>
          </w:p>
        </w:tc>
        <w:tc>
          <w:tcPr>
            <w:tcW w:w="0" w:type="auto"/>
            <w:shd w:val="clear" w:color="auto" w:fill="D9E2F3"/>
            <w:vAlign w:val="center"/>
          </w:tcPr>
          <w:p w:rsidR="001C7314" w:rsidRPr="00AA745A" w:rsidRDefault="001C7314" w:rsidP="00324486">
            <w:pPr>
              <w:keepNext/>
              <w:keepLines/>
              <w:jc w:val="center"/>
              <w:rPr>
                <w:rFonts w:ascii="Arial" w:hAnsi="Arial" w:cs="Arial"/>
                <w:b/>
                <w:sz w:val="20"/>
                <w:szCs w:val="20"/>
              </w:rPr>
            </w:pPr>
            <w:r w:rsidRPr="00AA745A">
              <w:rPr>
                <w:rFonts w:ascii="Arial" w:hAnsi="Arial" w:cs="Arial"/>
                <w:b/>
                <w:sz w:val="20"/>
                <w:szCs w:val="20"/>
              </w:rPr>
              <w:t>Variable Description</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sz w:val="20"/>
                <w:szCs w:val="20"/>
              </w:rPr>
            </w:pPr>
            <w:r w:rsidRPr="00AA745A">
              <w:rPr>
                <w:rFonts w:ascii="Arial" w:hAnsi="Arial" w:cs="Arial"/>
                <w:i/>
                <w:sz w:val="20"/>
                <w:szCs w:val="20"/>
              </w:rPr>
              <w:t>Q</w:t>
            </w:r>
            <w:r w:rsidRPr="00AA745A">
              <w:rPr>
                <w:rFonts w:ascii="Arial" w:hAnsi="Arial" w:cs="Arial"/>
                <w:i/>
                <w:sz w:val="20"/>
                <w:szCs w:val="20"/>
                <w:vertAlign w:val="subscript"/>
              </w:rPr>
              <w:t>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 xml:space="preserve">the demand in hour </w:t>
            </w:r>
            <w:r w:rsidRPr="00AA745A">
              <w:rPr>
                <w:rFonts w:ascii="Arial" w:hAnsi="Arial" w:cs="Arial"/>
                <w:i/>
                <w:sz w:val="20"/>
                <w:szCs w:val="20"/>
              </w:rPr>
              <w:t>t</w:t>
            </w:r>
            <w:r w:rsidRPr="00AA745A">
              <w:rPr>
                <w:rFonts w:ascii="Arial" w:hAnsi="Arial" w:cs="Arial"/>
                <w:sz w:val="20"/>
                <w:szCs w:val="20"/>
              </w:rPr>
              <w:t xml:space="preserve"> for a customer enrolled in B</w:t>
            </w:r>
            <w:r>
              <w:rPr>
                <w:rFonts w:ascii="Arial" w:hAnsi="Arial" w:cs="Arial"/>
                <w:sz w:val="20"/>
                <w:szCs w:val="20"/>
              </w:rPr>
              <w:t>I</w:t>
            </w:r>
            <w:r w:rsidRPr="00AA745A">
              <w:rPr>
                <w:rFonts w:ascii="Arial" w:hAnsi="Arial" w:cs="Arial"/>
                <w:sz w:val="20"/>
                <w:szCs w:val="20"/>
              </w:rPr>
              <w:t>P prior to the last event date</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sz w:val="20"/>
                <w:szCs w:val="20"/>
              </w:rPr>
            </w:pPr>
            <w:r w:rsidRPr="00AA745A">
              <w:rPr>
                <w:rFonts w:ascii="Arial" w:hAnsi="Arial" w:cs="Arial"/>
                <w:sz w:val="20"/>
                <w:szCs w:val="20"/>
              </w:rPr>
              <w:t xml:space="preserve">The various </w:t>
            </w:r>
            <w:r w:rsidRPr="00AA745A">
              <w:rPr>
                <w:rFonts w:ascii="Arial" w:hAnsi="Arial" w:cs="Arial"/>
                <w:i/>
                <w:sz w:val="20"/>
                <w:szCs w:val="20"/>
              </w:rPr>
              <w:t>b</w:t>
            </w:r>
            <w:r w:rsidRPr="00AA745A">
              <w:rPr>
                <w:rFonts w:ascii="Arial" w:hAnsi="Arial" w:cs="Arial"/>
                <w:sz w:val="20"/>
                <w:szCs w:val="20"/>
              </w:rPr>
              <w:t xml:space="preserve">’s </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the estimated parameters</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sz w:val="20"/>
                <w:szCs w:val="20"/>
              </w:rPr>
            </w:pPr>
            <w:r w:rsidRPr="00AA745A">
              <w:rPr>
                <w:rFonts w:ascii="Arial" w:hAnsi="Arial" w:cs="Arial"/>
                <w:i/>
                <w:sz w:val="20"/>
                <w:szCs w:val="20"/>
              </w:rPr>
              <w:t>h</w:t>
            </w:r>
            <w:r w:rsidRPr="00AA745A">
              <w:rPr>
                <w:rFonts w:ascii="Arial" w:hAnsi="Arial" w:cs="Arial"/>
                <w:i/>
                <w:sz w:val="20"/>
                <w:szCs w:val="20"/>
                <w:vertAlign w:val="subscript"/>
              </w:rPr>
              <w:t>i,t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 xml:space="preserve">a dummy variable for hour </w:t>
            </w:r>
            <w:r w:rsidRPr="00AA745A">
              <w:rPr>
                <w:rFonts w:ascii="Arial" w:hAnsi="Arial" w:cs="Arial"/>
                <w:i/>
                <w:sz w:val="20"/>
                <w:szCs w:val="20"/>
              </w:rPr>
              <w:t>i</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i/>
                <w:sz w:val="20"/>
                <w:szCs w:val="20"/>
              </w:rPr>
            </w:pPr>
            <w:r w:rsidRPr="00AA745A">
              <w:rPr>
                <w:rFonts w:ascii="Arial" w:hAnsi="Arial" w:cs="Arial"/>
                <w:i/>
                <w:sz w:val="20"/>
                <w:szCs w:val="20"/>
              </w:rPr>
              <w:t>B</w:t>
            </w:r>
            <w:r>
              <w:rPr>
                <w:rFonts w:ascii="Arial" w:hAnsi="Arial" w:cs="Arial"/>
                <w:i/>
                <w:sz w:val="20"/>
                <w:szCs w:val="20"/>
              </w:rPr>
              <w:t>I</w:t>
            </w:r>
            <w:r w:rsidRPr="00AA745A">
              <w:rPr>
                <w:rFonts w:ascii="Arial" w:hAnsi="Arial" w:cs="Arial"/>
                <w:i/>
                <w:sz w:val="20"/>
                <w:szCs w:val="20"/>
              </w:rPr>
              <w:t>P</w:t>
            </w:r>
            <w:r w:rsidRPr="00AA745A">
              <w:rPr>
                <w:rFonts w:ascii="Arial" w:hAnsi="Arial" w:cs="Arial"/>
                <w:i/>
                <w:sz w:val="20"/>
                <w:szCs w:val="20"/>
                <w:vertAlign w:val="subscript"/>
              </w:rPr>
              <w:t>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an indicator variable for program event days</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i/>
                <w:sz w:val="20"/>
                <w:szCs w:val="20"/>
              </w:rPr>
            </w:pPr>
            <w:r w:rsidRPr="00AA745A">
              <w:rPr>
                <w:rFonts w:ascii="Arial" w:hAnsi="Arial" w:cs="Arial"/>
                <w:i/>
                <w:sz w:val="20"/>
                <w:szCs w:val="20"/>
              </w:rPr>
              <w:t>OtherEvt</w:t>
            </w:r>
            <w:r w:rsidRPr="00EB0348">
              <w:rPr>
                <w:rFonts w:ascii="Arial" w:hAnsi="Arial" w:cs="Arial"/>
                <w:i/>
                <w:sz w:val="20"/>
                <w:szCs w:val="20"/>
                <w:vertAlign w:val="superscript"/>
              </w:rPr>
              <w:t>DR</w:t>
            </w:r>
            <w:r w:rsidRPr="00AA745A">
              <w:rPr>
                <w:rFonts w:ascii="Arial" w:hAnsi="Arial" w:cs="Arial"/>
                <w:i/>
                <w:sz w:val="20"/>
                <w:szCs w:val="20"/>
                <w:vertAlign w:val="subscript"/>
              </w:rPr>
              <w:t>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 xml:space="preserve">equals one on the event days of other demand response programs in which the customer is enrolled </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sz w:val="20"/>
                <w:szCs w:val="20"/>
              </w:rPr>
            </w:pPr>
            <w:r>
              <w:rPr>
                <w:rFonts w:ascii="Arial" w:hAnsi="Arial" w:cs="Arial"/>
                <w:i/>
                <w:sz w:val="20"/>
                <w:szCs w:val="20"/>
              </w:rPr>
              <w:t>Weather</w:t>
            </w:r>
            <w:r w:rsidRPr="00AA745A">
              <w:rPr>
                <w:rFonts w:ascii="Arial" w:hAnsi="Arial" w:cs="Arial"/>
                <w:i/>
                <w:sz w:val="20"/>
                <w:szCs w:val="20"/>
                <w:vertAlign w:val="subscript"/>
              </w:rPr>
              <w:t>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the weather variables selected using our model screening process</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i/>
                <w:sz w:val="20"/>
                <w:szCs w:val="20"/>
              </w:rPr>
            </w:pPr>
            <w:r w:rsidRPr="00AA745A">
              <w:rPr>
                <w:rFonts w:ascii="Arial" w:hAnsi="Arial" w:cs="Arial"/>
                <w:i/>
                <w:sz w:val="20"/>
                <w:szCs w:val="20"/>
              </w:rPr>
              <w:t>MON</w:t>
            </w:r>
            <w:r w:rsidRPr="00AA745A">
              <w:rPr>
                <w:rFonts w:ascii="Arial" w:hAnsi="Arial" w:cs="Arial"/>
                <w:i/>
                <w:sz w:val="20"/>
                <w:szCs w:val="20"/>
                <w:vertAlign w:val="subscript"/>
              </w:rPr>
              <w:t>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 xml:space="preserve">a dummy variable for Monday </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sz w:val="20"/>
                <w:szCs w:val="20"/>
              </w:rPr>
            </w:pPr>
            <w:r w:rsidRPr="00AA745A">
              <w:rPr>
                <w:rFonts w:ascii="Arial" w:hAnsi="Arial" w:cs="Arial"/>
                <w:i/>
                <w:sz w:val="20"/>
                <w:szCs w:val="20"/>
              </w:rPr>
              <w:t>FRI</w:t>
            </w:r>
            <w:r w:rsidRPr="00AA745A">
              <w:rPr>
                <w:rFonts w:ascii="Arial" w:hAnsi="Arial" w:cs="Arial"/>
                <w:i/>
                <w:sz w:val="20"/>
                <w:szCs w:val="20"/>
                <w:vertAlign w:val="subscript"/>
              </w:rPr>
              <w:t>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 xml:space="preserve">a dummy variable for Friday </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sz w:val="20"/>
                <w:szCs w:val="20"/>
              </w:rPr>
            </w:pPr>
            <w:r w:rsidRPr="00AA745A">
              <w:rPr>
                <w:rFonts w:ascii="Arial" w:hAnsi="Arial" w:cs="Arial"/>
                <w:i/>
                <w:sz w:val="20"/>
                <w:szCs w:val="20"/>
              </w:rPr>
              <w:t>DTYPE</w:t>
            </w:r>
            <w:r w:rsidRPr="00AA745A">
              <w:rPr>
                <w:rFonts w:ascii="Arial" w:hAnsi="Arial" w:cs="Arial"/>
                <w:i/>
                <w:sz w:val="20"/>
                <w:szCs w:val="20"/>
                <w:vertAlign w:val="subscript"/>
              </w:rPr>
              <w:t>i,t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a series of dummy variables for each day of the week</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sz w:val="20"/>
                <w:szCs w:val="20"/>
              </w:rPr>
            </w:pPr>
            <w:r w:rsidRPr="00AA745A">
              <w:rPr>
                <w:rFonts w:ascii="Arial" w:hAnsi="Arial" w:cs="Arial"/>
                <w:i/>
                <w:sz w:val="20"/>
                <w:szCs w:val="20"/>
              </w:rPr>
              <w:t>MONTH</w:t>
            </w:r>
            <w:r w:rsidRPr="00AA745A">
              <w:rPr>
                <w:rFonts w:ascii="Arial" w:hAnsi="Arial" w:cs="Arial"/>
                <w:i/>
                <w:sz w:val="20"/>
                <w:szCs w:val="20"/>
                <w:vertAlign w:val="subscript"/>
              </w:rPr>
              <w:t>i,t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 xml:space="preserve">a series of dummy variables for each month </w:t>
            </w:r>
          </w:p>
        </w:tc>
      </w:tr>
      <w:tr w:rsidR="001C7314" w:rsidTr="00324486">
        <w:trPr>
          <w:jc w:val="center"/>
        </w:trPr>
        <w:tc>
          <w:tcPr>
            <w:tcW w:w="0" w:type="auto"/>
            <w:shd w:val="clear" w:color="auto" w:fill="auto"/>
            <w:vAlign w:val="center"/>
          </w:tcPr>
          <w:p w:rsidR="001C7314" w:rsidRPr="00AA745A" w:rsidRDefault="001C7314" w:rsidP="00324486">
            <w:pPr>
              <w:keepNext/>
              <w:keepLines/>
              <w:jc w:val="center"/>
              <w:rPr>
                <w:rFonts w:ascii="Arial" w:hAnsi="Arial" w:cs="Arial"/>
                <w:sz w:val="20"/>
                <w:szCs w:val="20"/>
              </w:rPr>
            </w:pPr>
            <w:r w:rsidRPr="00AA745A">
              <w:rPr>
                <w:rFonts w:ascii="Arial" w:hAnsi="Arial" w:cs="Arial"/>
                <w:i/>
                <w:sz w:val="20"/>
                <w:szCs w:val="20"/>
              </w:rPr>
              <w:t>e</w:t>
            </w:r>
            <w:r w:rsidRPr="00AA745A">
              <w:rPr>
                <w:rFonts w:ascii="Arial" w:hAnsi="Arial" w:cs="Arial"/>
                <w:i/>
                <w:sz w:val="20"/>
                <w:szCs w:val="20"/>
                <w:vertAlign w:val="subscript"/>
              </w:rPr>
              <w:t>t</w:t>
            </w:r>
          </w:p>
        </w:tc>
        <w:tc>
          <w:tcPr>
            <w:tcW w:w="0" w:type="auto"/>
            <w:shd w:val="clear" w:color="auto" w:fill="auto"/>
            <w:vAlign w:val="center"/>
          </w:tcPr>
          <w:p w:rsidR="001C7314" w:rsidRPr="00AA745A" w:rsidRDefault="001C7314" w:rsidP="00324486">
            <w:pPr>
              <w:keepNext/>
              <w:keepLines/>
              <w:rPr>
                <w:rFonts w:ascii="Arial" w:hAnsi="Arial" w:cs="Arial"/>
                <w:sz w:val="20"/>
                <w:szCs w:val="20"/>
              </w:rPr>
            </w:pPr>
            <w:r w:rsidRPr="00AA745A">
              <w:rPr>
                <w:rFonts w:ascii="Arial" w:hAnsi="Arial" w:cs="Arial"/>
                <w:sz w:val="20"/>
                <w:szCs w:val="20"/>
              </w:rPr>
              <w:t>the error term.</w:t>
            </w:r>
          </w:p>
        </w:tc>
      </w:tr>
    </w:tbl>
    <w:p w:rsidR="001C7314" w:rsidRDefault="001C7314" w:rsidP="001C7314"/>
    <w:p w:rsidR="00EA04FF" w:rsidRDefault="00EA04FF" w:rsidP="001C7314"/>
    <w:p w:rsidR="009A6B78" w:rsidRDefault="009A6B78" w:rsidP="009A6B78">
      <w:pPr>
        <w:numPr>
          <w:ilvl w:val="0"/>
          <w:numId w:val="24"/>
        </w:numPr>
      </w:pPr>
      <w:r w:rsidRPr="00AA5190">
        <w:rPr>
          <w:i/>
        </w:rPr>
        <w:t>Calculate</w:t>
      </w:r>
      <w:r>
        <w:rPr>
          <w:i/>
        </w:rPr>
        <w:t xml:space="preserve"> forecast</w:t>
      </w:r>
      <w:r w:rsidRPr="00AA5190">
        <w:rPr>
          <w:i/>
        </w:rPr>
        <w:t xml:space="preserve"> load impacts</w:t>
      </w:r>
    </w:p>
    <w:p w:rsidR="009A6B78" w:rsidRDefault="009A6B78" w:rsidP="009A6B78">
      <w:pPr>
        <w:tabs>
          <w:tab w:val="left" w:pos="4140"/>
        </w:tabs>
      </w:pPr>
      <w:r>
        <w:t>Each service account’s achievement rate is defined as the estimated load impact divided by the difference between the reference load and the FSL. A result of 100 percent implies that the customer dropped its load exactly to its FSL. Values greater than 100 percent imply event-day loads lower than the FSL, and values less than 100 percent imply event-day loads higher than the FSL. The achievement rates are based on the estimates for the most recent observed event day.</w:t>
      </w:r>
    </w:p>
    <w:p w:rsidR="009A6B78" w:rsidRDefault="009A6B78" w:rsidP="009A6B78">
      <w:pPr>
        <w:tabs>
          <w:tab w:val="left" w:pos="4140"/>
        </w:tabs>
      </w:pPr>
    </w:p>
    <w:p w:rsidR="009A6B78" w:rsidRDefault="009A6B78" w:rsidP="009A6B78">
      <w:r>
        <w:t xml:space="preserve">From these customer-level forecasts of reference loads and load impacts, we form results for any given sub-group of customers (e.g., customers over 200 kW in size in the Greater Bay Area), by summing the reference loads and load impacts across the relevant customers. </w:t>
      </w:r>
    </w:p>
    <w:p w:rsidR="009A6B78" w:rsidRDefault="009A6B78" w:rsidP="009A6B78"/>
    <w:p w:rsidR="009A6B78" w:rsidRDefault="009A6B78" w:rsidP="009A6B78">
      <w:r w:rsidRPr="00333C87">
        <w:t xml:space="preserve">Because the forecast event window (1:00 to 6:00 p.m. in April through October; and 4:00 to 9:00 p.m. in all other months) differs from the historical event window (which can vary across event days), we needed to adjust the historical load impacts for use in the ex </w:t>
      </w:r>
      <w:r>
        <w:t>ante study. Load impacts are assumed to be zero until the hour prior to the beginning of the event, at which time we apply historical load impacts to the forecast window to best represent the pattern of customer response given the limitations of the observed events. We develop forecast load impacts through the end of the event day because customers load reductions often persist well after the end of the event hours.</w:t>
      </w:r>
    </w:p>
    <w:p w:rsidR="009A6B78" w:rsidRDefault="009A6B78" w:rsidP="009A6B78"/>
    <w:p w:rsidR="009A6B78" w:rsidRDefault="009A6B78" w:rsidP="009A6B78">
      <w:r>
        <w:t>The uncertainty-adjusted load impacts (i.e., the 10</w:t>
      </w:r>
      <w:r w:rsidRPr="00C87FDC">
        <w:rPr>
          <w:vertAlign w:val="superscript"/>
        </w:rPr>
        <w:t>th</w:t>
      </w:r>
      <w:r>
        <w:t>, 30</w:t>
      </w:r>
      <w:r w:rsidRPr="00C87FDC">
        <w:rPr>
          <w:vertAlign w:val="superscript"/>
        </w:rPr>
        <w:t>th</w:t>
      </w:r>
      <w:r>
        <w:t>, 50</w:t>
      </w:r>
      <w:r w:rsidRPr="00C87FDC">
        <w:rPr>
          <w:vertAlign w:val="superscript"/>
        </w:rPr>
        <w:t>th</w:t>
      </w:r>
      <w:r>
        <w:t>, 70</w:t>
      </w:r>
      <w:r w:rsidRPr="00C87FDC">
        <w:rPr>
          <w:vertAlign w:val="superscript"/>
        </w:rPr>
        <w:t>th</w:t>
      </w:r>
      <w:r>
        <w:t>, and 90</w:t>
      </w:r>
      <w:r w:rsidRPr="00C87FDC">
        <w:rPr>
          <w:vertAlign w:val="superscript"/>
        </w:rPr>
        <w:t>th</w:t>
      </w:r>
      <w:r>
        <w:t xml:space="preserve"> percentile scenarios of load impacts) are based on the standard errors associated with the estimated load impacts from the event day used to determine the customer’s event-day achievement rate. The square of these standard errors (i.e., the variance) is added across customers within each required subgroup. Each uncertainty-adjusted scenario is then calculated under the assumption that the load impacts are normally distributed with a mean equal to the total estimated load impact and a variance based on the standard errors in the estimated load impacts.</w:t>
      </w:r>
    </w:p>
    <w:p w:rsidR="009A6B78" w:rsidRDefault="009A6B78" w:rsidP="009A6B78"/>
    <w:p w:rsidR="009A6B78" w:rsidRDefault="009A6B78" w:rsidP="009A6B78">
      <w:pPr>
        <w:numPr>
          <w:ilvl w:val="0"/>
          <w:numId w:val="24"/>
        </w:numPr>
      </w:pPr>
      <w:r w:rsidRPr="003A5FB4">
        <w:rPr>
          <w:i/>
        </w:rPr>
        <w:t xml:space="preserve">Apply </w:t>
      </w:r>
      <w:r>
        <w:rPr>
          <w:i/>
        </w:rPr>
        <w:t xml:space="preserve">achievement rates </w:t>
      </w:r>
      <w:r w:rsidRPr="003A5FB4">
        <w:rPr>
          <w:i/>
        </w:rPr>
        <w:t>to reference loads for each event scenario</w:t>
      </w:r>
      <w:r>
        <w:t xml:space="preserve">. </w:t>
      </w:r>
    </w:p>
    <w:p w:rsidR="009A6B78" w:rsidRDefault="009A6B78" w:rsidP="009A6B78">
      <w:r>
        <w:lastRenderedPageBreak/>
        <w:t xml:space="preserve">In this step, the customer-specific achievement rates are applied to the reference loads for each scenario to produce all of the required reference loads, estimated event-day loads, and scenarios of load impacts. </w:t>
      </w:r>
    </w:p>
    <w:p w:rsidR="009A6B78" w:rsidRPr="005C35EB" w:rsidRDefault="009A6B78" w:rsidP="009A6B78"/>
    <w:p w:rsidR="009A6B78" w:rsidRDefault="009A6B78" w:rsidP="009A6B78">
      <w:pPr>
        <w:numPr>
          <w:ilvl w:val="0"/>
          <w:numId w:val="24"/>
        </w:numPr>
      </w:pPr>
      <w:r w:rsidRPr="00CA5D61">
        <w:rPr>
          <w:i/>
        </w:rPr>
        <w:t>Apply forecast enrollment</w:t>
      </w:r>
      <w:r>
        <w:rPr>
          <w:i/>
        </w:rPr>
        <w:t>s</w:t>
      </w:r>
      <w:r w:rsidRPr="00CA5D61">
        <w:rPr>
          <w:i/>
        </w:rPr>
        <w:t xml:space="preserve"> to produce program-level load impacts</w:t>
      </w:r>
      <w:r>
        <w:t xml:space="preserve">. </w:t>
      </w:r>
    </w:p>
    <w:p w:rsidR="00EA04FF" w:rsidRDefault="00500D2B" w:rsidP="001C7314">
      <w:r w:rsidRPr="00500D2B">
        <w:t>SDG&amp;E’s enrollment forecast assumes that the number of customers remains constant (at PY2014 levels) throughout the forecast period.</w:t>
      </w:r>
    </w:p>
    <w:p w:rsidR="003B3BCE" w:rsidRDefault="003B3BCE" w:rsidP="00C37EE6">
      <w:pPr>
        <w:pStyle w:val="BodyParagraph"/>
        <w:spacing w:after="0" w:line="276" w:lineRule="auto"/>
        <w:ind w:firstLine="360"/>
        <w:rPr>
          <w:rFonts w:ascii="Times New Roman" w:hAnsi="Times New Roman"/>
          <w:highlight w:val="yellow"/>
        </w:rPr>
      </w:pPr>
    </w:p>
    <w:p w:rsidR="003B3BCE" w:rsidRPr="00711930" w:rsidRDefault="003B3BCE" w:rsidP="00A53241">
      <w:pPr>
        <w:pStyle w:val="Heading2"/>
        <w:rPr>
          <w:rFonts w:ascii="Times New Roman" w:hAnsi="Times New Roman" w:cs="Times New Roman"/>
          <w:color w:val="000000" w:themeColor="text1"/>
        </w:rPr>
      </w:pPr>
      <w:bookmarkStart w:id="123" w:name="_Toc415748981"/>
      <w:r w:rsidRPr="00711930">
        <w:rPr>
          <w:rFonts w:ascii="Times New Roman" w:hAnsi="Times New Roman" w:cs="Times New Roman"/>
          <w:color w:val="000000" w:themeColor="text1"/>
        </w:rPr>
        <w:t xml:space="preserve">BIP </w:t>
      </w:r>
      <w:r w:rsidR="00C91874" w:rsidRPr="00711930">
        <w:rPr>
          <w:rFonts w:ascii="Times New Roman" w:hAnsi="Times New Roman" w:cs="Times New Roman"/>
          <w:color w:val="000000" w:themeColor="text1"/>
        </w:rPr>
        <w:t xml:space="preserve">Comparison of </w:t>
      </w:r>
      <w:r w:rsidR="00A53241" w:rsidRPr="00A53241">
        <w:rPr>
          <w:rFonts w:ascii="Times New Roman" w:hAnsi="Times New Roman" w:cs="Times New Roman"/>
          <w:color w:val="000000" w:themeColor="text1"/>
        </w:rPr>
        <w:t>Previous versus current ex post</w:t>
      </w:r>
      <w:bookmarkEnd w:id="123"/>
    </w:p>
    <w:p w:rsidR="00A53241" w:rsidRDefault="00A53241" w:rsidP="00A53241"/>
    <w:p w:rsidR="00A53241" w:rsidRDefault="00003054" w:rsidP="00003054">
      <w:pPr>
        <w:spacing w:line="276" w:lineRule="auto"/>
        <w:ind w:firstLine="576"/>
      </w:pPr>
      <w:r w:rsidRPr="00003054">
        <w:t xml:space="preserve">Table </w:t>
      </w:r>
      <w:r>
        <w:t>4-7</w:t>
      </w:r>
      <w:r w:rsidRPr="00003054">
        <w:t xml:space="preserve"> compares ex post load impacts between PY2013 and PY2014. Seven service accounts were enrolled in each year. The PY2013 load impacts are based on the September 5, 2013 event (four hours in duration), while the PY2014 load impacts are based on the May 16, 2014 event (four hours in duration). The total reference load and load impact was somewhat lower in PY2013, though the percentage load impact was similar in the two years.</w:t>
      </w:r>
    </w:p>
    <w:p w:rsidR="00A53241" w:rsidRPr="00003054" w:rsidRDefault="00A53241" w:rsidP="00A53241">
      <w:pPr>
        <w:pStyle w:val="TableCaption"/>
        <w:keepLines/>
        <w:rPr>
          <w:i/>
          <w:sz w:val="20"/>
        </w:rPr>
      </w:pPr>
      <w:bookmarkStart w:id="124" w:name="_Toc383598025"/>
      <w:bookmarkStart w:id="125" w:name="_Toc413664221"/>
      <w:r w:rsidRPr="00003054">
        <w:rPr>
          <w:sz w:val="20"/>
        </w:rPr>
        <w:t xml:space="preserve">Table 4.7: Comparison of Average Event-day Ex Post Impacts (in MW) in PY 2013 and PY2014, </w:t>
      </w:r>
      <w:r w:rsidRPr="00003054">
        <w:rPr>
          <w:i/>
          <w:sz w:val="20"/>
        </w:rPr>
        <w:t>SDG&amp;E</w:t>
      </w:r>
      <w:bookmarkEnd w:id="124"/>
      <w:bookmarkEnd w:id="1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948"/>
        <w:gridCol w:w="1726"/>
        <w:gridCol w:w="1727"/>
      </w:tblGrid>
      <w:tr w:rsidR="00003054" w:rsidRPr="009C75E1" w:rsidTr="0079525F">
        <w:trPr>
          <w:jc w:val="center"/>
        </w:trPr>
        <w:tc>
          <w:tcPr>
            <w:tcW w:w="1503" w:type="dxa"/>
            <w:shd w:val="clear" w:color="auto" w:fill="D9E2F3"/>
            <w:vAlign w:val="center"/>
          </w:tcPr>
          <w:p w:rsidR="00003054" w:rsidRPr="009C75E1" w:rsidRDefault="00003054" w:rsidP="0079525F">
            <w:pPr>
              <w:keepNext/>
              <w:keepLines/>
              <w:jc w:val="center"/>
              <w:rPr>
                <w:rFonts w:ascii="Arial" w:hAnsi="Arial" w:cs="Arial"/>
                <w:b/>
                <w:sz w:val="20"/>
                <w:szCs w:val="20"/>
              </w:rPr>
            </w:pPr>
            <w:r w:rsidRPr="009C75E1">
              <w:rPr>
                <w:rFonts w:ascii="Arial" w:hAnsi="Arial" w:cs="Arial"/>
                <w:b/>
                <w:sz w:val="20"/>
                <w:szCs w:val="20"/>
              </w:rPr>
              <w:t>Level</w:t>
            </w:r>
          </w:p>
        </w:tc>
        <w:tc>
          <w:tcPr>
            <w:tcW w:w="1948" w:type="dxa"/>
            <w:shd w:val="clear" w:color="auto" w:fill="D9E2F3"/>
            <w:vAlign w:val="center"/>
          </w:tcPr>
          <w:p w:rsidR="00003054" w:rsidRPr="009C75E1" w:rsidRDefault="00003054" w:rsidP="0079525F">
            <w:pPr>
              <w:keepNext/>
              <w:keepLines/>
              <w:jc w:val="center"/>
              <w:rPr>
                <w:rFonts w:ascii="Arial" w:hAnsi="Arial" w:cs="Arial"/>
                <w:b/>
                <w:sz w:val="20"/>
                <w:szCs w:val="20"/>
              </w:rPr>
            </w:pPr>
            <w:r w:rsidRPr="009C75E1">
              <w:rPr>
                <w:rFonts w:ascii="Arial" w:hAnsi="Arial" w:cs="Arial"/>
                <w:b/>
                <w:sz w:val="20"/>
                <w:szCs w:val="20"/>
              </w:rPr>
              <w:t>Outcome</w:t>
            </w:r>
          </w:p>
        </w:tc>
        <w:tc>
          <w:tcPr>
            <w:tcW w:w="1726" w:type="dxa"/>
            <w:shd w:val="clear" w:color="auto" w:fill="D9E2F3"/>
            <w:vAlign w:val="center"/>
          </w:tcPr>
          <w:p w:rsidR="00003054" w:rsidRPr="009C75E1" w:rsidRDefault="00003054" w:rsidP="0079525F">
            <w:pPr>
              <w:keepNext/>
              <w:keepLines/>
              <w:jc w:val="center"/>
              <w:rPr>
                <w:rFonts w:ascii="Arial" w:hAnsi="Arial" w:cs="Arial"/>
                <w:b/>
                <w:sz w:val="20"/>
                <w:szCs w:val="20"/>
              </w:rPr>
            </w:pPr>
            <w:r>
              <w:rPr>
                <w:rFonts w:ascii="Arial" w:hAnsi="Arial" w:cs="Arial"/>
                <w:b/>
                <w:sz w:val="20"/>
                <w:szCs w:val="20"/>
              </w:rPr>
              <w:t>PY2013</w:t>
            </w:r>
          </w:p>
        </w:tc>
        <w:tc>
          <w:tcPr>
            <w:tcW w:w="1727" w:type="dxa"/>
            <w:shd w:val="clear" w:color="auto" w:fill="D9E2F3"/>
            <w:vAlign w:val="center"/>
          </w:tcPr>
          <w:p w:rsidR="00003054" w:rsidRPr="009C75E1" w:rsidRDefault="00003054" w:rsidP="0079525F">
            <w:pPr>
              <w:keepNext/>
              <w:keepLines/>
              <w:jc w:val="center"/>
              <w:rPr>
                <w:rFonts w:ascii="Arial" w:hAnsi="Arial" w:cs="Arial"/>
                <w:b/>
                <w:sz w:val="20"/>
                <w:szCs w:val="20"/>
              </w:rPr>
            </w:pPr>
            <w:r w:rsidRPr="009C75E1">
              <w:rPr>
                <w:rFonts w:ascii="Arial" w:hAnsi="Arial" w:cs="Arial"/>
                <w:b/>
                <w:sz w:val="20"/>
                <w:szCs w:val="20"/>
              </w:rPr>
              <w:t>PY201</w:t>
            </w:r>
            <w:r>
              <w:rPr>
                <w:rFonts w:ascii="Arial" w:hAnsi="Arial" w:cs="Arial"/>
                <w:b/>
                <w:sz w:val="20"/>
                <w:szCs w:val="20"/>
              </w:rPr>
              <w:t>4</w:t>
            </w:r>
          </w:p>
        </w:tc>
      </w:tr>
      <w:tr w:rsidR="00003054" w:rsidRPr="009C75E1" w:rsidTr="0079525F">
        <w:trPr>
          <w:jc w:val="center"/>
        </w:trPr>
        <w:tc>
          <w:tcPr>
            <w:tcW w:w="1503" w:type="dxa"/>
            <w:vMerge w:val="restart"/>
            <w:shd w:val="clear" w:color="auto" w:fill="auto"/>
            <w:vAlign w:val="center"/>
          </w:tcPr>
          <w:p w:rsidR="00003054" w:rsidRPr="009C75E1" w:rsidRDefault="00003054" w:rsidP="0079525F">
            <w:pPr>
              <w:keepNext/>
              <w:keepLines/>
              <w:rPr>
                <w:rFonts w:ascii="Arial" w:hAnsi="Arial" w:cs="Arial"/>
                <w:b/>
                <w:sz w:val="20"/>
                <w:szCs w:val="20"/>
              </w:rPr>
            </w:pPr>
            <w:r w:rsidRPr="009C75E1">
              <w:rPr>
                <w:rFonts w:ascii="Arial" w:hAnsi="Arial" w:cs="Arial"/>
                <w:b/>
                <w:sz w:val="20"/>
                <w:szCs w:val="20"/>
              </w:rPr>
              <w:t>Total</w:t>
            </w:r>
          </w:p>
        </w:tc>
        <w:tc>
          <w:tcPr>
            <w:tcW w:w="1948" w:type="dxa"/>
            <w:shd w:val="clear" w:color="auto" w:fill="auto"/>
          </w:tcPr>
          <w:p w:rsidR="00003054" w:rsidRPr="009C75E1" w:rsidRDefault="00003054" w:rsidP="0079525F">
            <w:pPr>
              <w:keepNext/>
              <w:keepLines/>
              <w:rPr>
                <w:rFonts w:ascii="Arial" w:hAnsi="Arial" w:cs="Arial"/>
                <w:sz w:val="20"/>
                <w:szCs w:val="20"/>
              </w:rPr>
            </w:pPr>
            <w:r w:rsidRPr="009C75E1">
              <w:rPr>
                <w:rFonts w:ascii="Arial" w:hAnsi="Arial" w:cs="Arial"/>
                <w:sz w:val="20"/>
                <w:szCs w:val="20"/>
              </w:rPr>
              <w:t># SAIDs</w:t>
            </w:r>
          </w:p>
        </w:tc>
        <w:tc>
          <w:tcPr>
            <w:tcW w:w="1726" w:type="dxa"/>
            <w:shd w:val="clear" w:color="auto" w:fill="auto"/>
          </w:tcPr>
          <w:p w:rsidR="00003054" w:rsidRPr="00A53561" w:rsidRDefault="00003054" w:rsidP="0079525F">
            <w:pPr>
              <w:keepNext/>
              <w:keepLines/>
              <w:jc w:val="center"/>
              <w:rPr>
                <w:rFonts w:ascii="Arial" w:hAnsi="Arial" w:cs="Arial"/>
                <w:sz w:val="20"/>
                <w:szCs w:val="20"/>
              </w:rPr>
            </w:pPr>
            <w:r w:rsidRPr="00A53561">
              <w:rPr>
                <w:rFonts w:ascii="Arial" w:hAnsi="Arial" w:cs="Arial"/>
                <w:sz w:val="20"/>
                <w:szCs w:val="20"/>
              </w:rPr>
              <w:t>7</w:t>
            </w:r>
          </w:p>
        </w:tc>
        <w:tc>
          <w:tcPr>
            <w:tcW w:w="1727" w:type="dxa"/>
            <w:shd w:val="clear" w:color="auto" w:fill="auto"/>
          </w:tcPr>
          <w:p w:rsidR="00003054" w:rsidRPr="00A53561" w:rsidRDefault="00003054" w:rsidP="0079525F">
            <w:pPr>
              <w:keepNext/>
              <w:keepLines/>
              <w:jc w:val="center"/>
              <w:rPr>
                <w:rFonts w:ascii="Arial" w:hAnsi="Arial" w:cs="Arial"/>
                <w:sz w:val="20"/>
                <w:szCs w:val="20"/>
              </w:rPr>
            </w:pPr>
            <w:r w:rsidRPr="00A53561">
              <w:rPr>
                <w:rFonts w:ascii="Arial" w:hAnsi="Arial" w:cs="Arial"/>
                <w:sz w:val="20"/>
                <w:szCs w:val="20"/>
              </w:rPr>
              <w:t>7</w:t>
            </w:r>
          </w:p>
        </w:tc>
      </w:tr>
      <w:tr w:rsidR="00003054" w:rsidRPr="009C75E1" w:rsidTr="0079525F">
        <w:trPr>
          <w:trHeight w:val="242"/>
          <w:jc w:val="center"/>
        </w:trPr>
        <w:tc>
          <w:tcPr>
            <w:tcW w:w="1503" w:type="dxa"/>
            <w:vMerge/>
            <w:shd w:val="clear" w:color="auto" w:fill="auto"/>
            <w:vAlign w:val="center"/>
          </w:tcPr>
          <w:p w:rsidR="00003054" w:rsidRPr="009C75E1" w:rsidRDefault="00003054" w:rsidP="0079525F">
            <w:pPr>
              <w:keepNext/>
              <w:keepLines/>
              <w:rPr>
                <w:rFonts w:ascii="Arial" w:hAnsi="Arial" w:cs="Arial"/>
                <w:sz w:val="20"/>
                <w:szCs w:val="20"/>
              </w:rPr>
            </w:pPr>
          </w:p>
        </w:tc>
        <w:tc>
          <w:tcPr>
            <w:tcW w:w="1948" w:type="dxa"/>
            <w:shd w:val="clear" w:color="auto" w:fill="auto"/>
          </w:tcPr>
          <w:p w:rsidR="00003054" w:rsidRPr="009C75E1" w:rsidRDefault="00003054" w:rsidP="0079525F">
            <w:pPr>
              <w:keepNext/>
              <w:keepLines/>
              <w:rPr>
                <w:rFonts w:ascii="Arial" w:hAnsi="Arial" w:cs="Arial"/>
                <w:sz w:val="20"/>
                <w:szCs w:val="20"/>
              </w:rPr>
            </w:pPr>
            <w:r w:rsidRPr="009C75E1">
              <w:rPr>
                <w:rFonts w:ascii="Arial" w:hAnsi="Arial" w:cs="Arial"/>
                <w:sz w:val="20"/>
                <w:szCs w:val="20"/>
              </w:rPr>
              <w:t>Reference (MW)</w:t>
            </w:r>
          </w:p>
        </w:tc>
        <w:tc>
          <w:tcPr>
            <w:tcW w:w="1726"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3.2</w:t>
            </w:r>
          </w:p>
        </w:tc>
        <w:tc>
          <w:tcPr>
            <w:tcW w:w="1727"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4.0</w:t>
            </w:r>
          </w:p>
        </w:tc>
      </w:tr>
      <w:tr w:rsidR="00003054" w:rsidRPr="009C75E1" w:rsidTr="0079525F">
        <w:trPr>
          <w:jc w:val="center"/>
        </w:trPr>
        <w:tc>
          <w:tcPr>
            <w:tcW w:w="1503" w:type="dxa"/>
            <w:vMerge/>
            <w:shd w:val="clear" w:color="auto" w:fill="auto"/>
            <w:vAlign w:val="center"/>
          </w:tcPr>
          <w:p w:rsidR="00003054" w:rsidRPr="009C75E1" w:rsidRDefault="00003054" w:rsidP="0079525F">
            <w:pPr>
              <w:keepNext/>
              <w:keepLines/>
              <w:rPr>
                <w:rFonts w:ascii="Arial" w:hAnsi="Arial" w:cs="Arial"/>
                <w:sz w:val="20"/>
                <w:szCs w:val="20"/>
              </w:rPr>
            </w:pPr>
          </w:p>
        </w:tc>
        <w:tc>
          <w:tcPr>
            <w:tcW w:w="1948" w:type="dxa"/>
            <w:shd w:val="clear" w:color="auto" w:fill="auto"/>
          </w:tcPr>
          <w:p w:rsidR="00003054" w:rsidRPr="009C75E1" w:rsidRDefault="00003054" w:rsidP="0079525F">
            <w:pPr>
              <w:keepNext/>
              <w:keepLines/>
              <w:rPr>
                <w:rFonts w:ascii="Arial" w:hAnsi="Arial" w:cs="Arial"/>
                <w:sz w:val="20"/>
                <w:szCs w:val="20"/>
              </w:rPr>
            </w:pPr>
            <w:r w:rsidRPr="009C75E1">
              <w:rPr>
                <w:rFonts w:ascii="Arial" w:hAnsi="Arial" w:cs="Arial"/>
                <w:sz w:val="20"/>
                <w:szCs w:val="20"/>
              </w:rPr>
              <w:t>Load Impact (MW)</w:t>
            </w:r>
          </w:p>
        </w:tc>
        <w:tc>
          <w:tcPr>
            <w:tcW w:w="1726"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1.7</w:t>
            </w:r>
          </w:p>
        </w:tc>
        <w:tc>
          <w:tcPr>
            <w:tcW w:w="1727"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2.0</w:t>
            </w:r>
          </w:p>
        </w:tc>
      </w:tr>
      <w:tr w:rsidR="00003054" w:rsidRPr="009C75E1" w:rsidTr="0079525F">
        <w:trPr>
          <w:jc w:val="center"/>
        </w:trPr>
        <w:tc>
          <w:tcPr>
            <w:tcW w:w="1503" w:type="dxa"/>
            <w:vMerge w:val="restart"/>
            <w:shd w:val="clear" w:color="auto" w:fill="auto"/>
            <w:vAlign w:val="center"/>
          </w:tcPr>
          <w:p w:rsidR="00003054" w:rsidRPr="009C75E1" w:rsidRDefault="00003054" w:rsidP="0079525F">
            <w:pPr>
              <w:keepNext/>
              <w:keepLines/>
              <w:rPr>
                <w:rFonts w:ascii="Arial" w:hAnsi="Arial" w:cs="Arial"/>
                <w:b/>
                <w:sz w:val="20"/>
                <w:szCs w:val="20"/>
              </w:rPr>
            </w:pPr>
            <w:r w:rsidRPr="009C75E1">
              <w:rPr>
                <w:rFonts w:ascii="Arial" w:hAnsi="Arial" w:cs="Arial"/>
                <w:b/>
                <w:sz w:val="20"/>
                <w:szCs w:val="20"/>
              </w:rPr>
              <w:t>Per SAID</w:t>
            </w:r>
          </w:p>
        </w:tc>
        <w:tc>
          <w:tcPr>
            <w:tcW w:w="1948" w:type="dxa"/>
            <w:shd w:val="clear" w:color="auto" w:fill="auto"/>
          </w:tcPr>
          <w:p w:rsidR="00003054" w:rsidRPr="009C75E1" w:rsidRDefault="00003054" w:rsidP="0079525F">
            <w:pPr>
              <w:keepNext/>
              <w:keepLines/>
              <w:rPr>
                <w:rFonts w:ascii="Arial" w:hAnsi="Arial" w:cs="Arial"/>
                <w:sz w:val="20"/>
                <w:szCs w:val="20"/>
              </w:rPr>
            </w:pPr>
            <w:r w:rsidRPr="009C75E1">
              <w:rPr>
                <w:rFonts w:ascii="Arial" w:hAnsi="Arial" w:cs="Arial"/>
                <w:sz w:val="20"/>
                <w:szCs w:val="20"/>
              </w:rPr>
              <w:t>Reference (kW)</w:t>
            </w:r>
          </w:p>
        </w:tc>
        <w:tc>
          <w:tcPr>
            <w:tcW w:w="1726"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450</w:t>
            </w:r>
          </w:p>
        </w:tc>
        <w:tc>
          <w:tcPr>
            <w:tcW w:w="1727"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575</w:t>
            </w:r>
          </w:p>
        </w:tc>
      </w:tr>
      <w:tr w:rsidR="00003054" w:rsidRPr="009C75E1" w:rsidTr="0079525F">
        <w:trPr>
          <w:jc w:val="center"/>
        </w:trPr>
        <w:tc>
          <w:tcPr>
            <w:tcW w:w="1503" w:type="dxa"/>
            <w:vMerge/>
            <w:shd w:val="clear" w:color="auto" w:fill="auto"/>
          </w:tcPr>
          <w:p w:rsidR="00003054" w:rsidRPr="009C75E1" w:rsidRDefault="00003054" w:rsidP="0079525F">
            <w:pPr>
              <w:keepNext/>
              <w:keepLines/>
              <w:rPr>
                <w:rFonts w:ascii="Arial" w:hAnsi="Arial" w:cs="Arial"/>
                <w:sz w:val="20"/>
                <w:szCs w:val="20"/>
              </w:rPr>
            </w:pPr>
          </w:p>
        </w:tc>
        <w:tc>
          <w:tcPr>
            <w:tcW w:w="1948" w:type="dxa"/>
            <w:shd w:val="clear" w:color="auto" w:fill="auto"/>
          </w:tcPr>
          <w:p w:rsidR="00003054" w:rsidRPr="009C75E1" w:rsidRDefault="00003054" w:rsidP="0079525F">
            <w:pPr>
              <w:keepNext/>
              <w:keepLines/>
              <w:rPr>
                <w:rFonts w:ascii="Arial" w:hAnsi="Arial" w:cs="Arial"/>
                <w:sz w:val="20"/>
                <w:szCs w:val="20"/>
              </w:rPr>
            </w:pPr>
            <w:r w:rsidRPr="009C75E1">
              <w:rPr>
                <w:rFonts w:ascii="Arial" w:hAnsi="Arial" w:cs="Arial"/>
                <w:sz w:val="20"/>
                <w:szCs w:val="20"/>
              </w:rPr>
              <w:t>Load Impact (kW)</w:t>
            </w:r>
          </w:p>
        </w:tc>
        <w:tc>
          <w:tcPr>
            <w:tcW w:w="1726"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236</w:t>
            </w:r>
          </w:p>
        </w:tc>
        <w:tc>
          <w:tcPr>
            <w:tcW w:w="1727"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288</w:t>
            </w:r>
          </w:p>
        </w:tc>
      </w:tr>
      <w:tr w:rsidR="00003054" w:rsidRPr="009C75E1" w:rsidTr="0079525F">
        <w:trPr>
          <w:jc w:val="center"/>
        </w:trPr>
        <w:tc>
          <w:tcPr>
            <w:tcW w:w="1503" w:type="dxa"/>
            <w:vMerge/>
            <w:shd w:val="clear" w:color="auto" w:fill="auto"/>
          </w:tcPr>
          <w:p w:rsidR="00003054" w:rsidRPr="009C75E1" w:rsidRDefault="00003054" w:rsidP="0079525F">
            <w:pPr>
              <w:keepNext/>
              <w:keepLines/>
              <w:rPr>
                <w:rFonts w:ascii="Arial" w:hAnsi="Arial" w:cs="Arial"/>
                <w:sz w:val="20"/>
                <w:szCs w:val="20"/>
              </w:rPr>
            </w:pPr>
          </w:p>
        </w:tc>
        <w:tc>
          <w:tcPr>
            <w:tcW w:w="1948" w:type="dxa"/>
            <w:shd w:val="clear" w:color="auto" w:fill="auto"/>
          </w:tcPr>
          <w:p w:rsidR="00003054" w:rsidRPr="009C75E1" w:rsidRDefault="00003054" w:rsidP="0079525F">
            <w:pPr>
              <w:keepNext/>
              <w:keepLines/>
              <w:rPr>
                <w:rFonts w:ascii="Arial" w:hAnsi="Arial" w:cs="Arial"/>
                <w:sz w:val="20"/>
                <w:szCs w:val="20"/>
              </w:rPr>
            </w:pPr>
            <w:r w:rsidRPr="009C75E1">
              <w:rPr>
                <w:rFonts w:ascii="Arial" w:hAnsi="Arial" w:cs="Arial"/>
                <w:sz w:val="20"/>
                <w:szCs w:val="20"/>
              </w:rPr>
              <w:t>% Load Impact</w:t>
            </w:r>
          </w:p>
        </w:tc>
        <w:tc>
          <w:tcPr>
            <w:tcW w:w="1726"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52.4%</w:t>
            </w:r>
          </w:p>
        </w:tc>
        <w:tc>
          <w:tcPr>
            <w:tcW w:w="1727" w:type="dxa"/>
            <w:shd w:val="clear" w:color="auto" w:fill="auto"/>
          </w:tcPr>
          <w:p w:rsidR="00003054" w:rsidRPr="009C75E1" w:rsidRDefault="00003054" w:rsidP="0079525F">
            <w:pPr>
              <w:keepNext/>
              <w:keepLines/>
              <w:jc w:val="center"/>
              <w:rPr>
                <w:rFonts w:ascii="Arial" w:hAnsi="Arial" w:cs="Arial"/>
                <w:sz w:val="20"/>
                <w:szCs w:val="20"/>
              </w:rPr>
            </w:pPr>
            <w:r>
              <w:rPr>
                <w:rFonts w:ascii="Arial" w:hAnsi="Arial" w:cs="Arial"/>
                <w:sz w:val="20"/>
                <w:szCs w:val="20"/>
              </w:rPr>
              <w:t>50.1%</w:t>
            </w:r>
          </w:p>
        </w:tc>
      </w:tr>
    </w:tbl>
    <w:p w:rsidR="00A53241" w:rsidRPr="00711930" w:rsidRDefault="00A53241" w:rsidP="00A53241">
      <w:pPr>
        <w:pStyle w:val="Heading2"/>
        <w:rPr>
          <w:rFonts w:ascii="Times New Roman" w:hAnsi="Times New Roman" w:cs="Times New Roman"/>
          <w:color w:val="000000" w:themeColor="text1"/>
        </w:rPr>
      </w:pPr>
      <w:bookmarkStart w:id="126" w:name="_Toc415748982"/>
      <w:r w:rsidRPr="00711930">
        <w:rPr>
          <w:rFonts w:ascii="Times New Roman" w:hAnsi="Times New Roman" w:cs="Times New Roman"/>
          <w:color w:val="000000" w:themeColor="text1"/>
        </w:rPr>
        <w:t xml:space="preserve">BIP Comparison of </w:t>
      </w:r>
      <w:r w:rsidR="008D26ED">
        <w:rPr>
          <w:rFonts w:ascii="Times New Roman" w:hAnsi="Times New Roman" w:cs="Times New Roman"/>
          <w:color w:val="000000" w:themeColor="text1"/>
        </w:rPr>
        <w:t>p</w:t>
      </w:r>
      <w:r w:rsidRPr="00A53241">
        <w:rPr>
          <w:rFonts w:ascii="Times New Roman" w:hAnsi="Times New Roman" w:cs="Times New Roman"/>
          <w:color w:val="000000" w:themeColor="text1"/>
        </w:rPr>
        <w:t xml:space="preserve">revious versus current ex </w:t>
      </w:r>
      <w:r>
        <w:rPr>
          <w:rFonts w:ascii="Times New Roman" w:hAnsi="Times New Roman" w:cs="Times New Roman"/>
          <w:color w:val="000000" w:themeColor="text1"/>
        </w:rPr>
        <w:t>ante</w:t>
      </w:r>
      <w:bookmarkEnd w:id="126"/>
      <w:r>
        <w:rPr>
          <w:rFonts w:ascii="Times New Roman" w:hAnsi="Times New Roman" w:cs="Times New Roman"/>
          <w:color w:val="000000" w:themeColor="text1"/>
        </w:rPr>
        <w:t xml:space="preserve"> </w:t>
      </w:r>
    </w:p>
    <w:p w:rsidR="00A53241" w:rsidRDefault="00A53241" w:rsidP="00D934D8">
      <w:pPr>
        <w:pStyle w:val="TableFigureCaption"/>
        <w:rPr>
          <w:rFonts w:ascii="Times New Roman" w:hAnsi="Times New Roman"/>
          <w:sz w:val="20"/>
          <w:szCs w:val="20"/>
        </w:rPr>
      </w:pPr>
    </w:p>
    <w:p w:rsidR="00A53241" w:rsidRDefault="00A53241" w:rsidP="00A53241">
      <w:pPr>
        <w:spacing w:line="276" w:lineRule="auto"/>
        <w:ind w:firstLine="576"/>
      </w:pPr>
      <w:r>
        <w:t>In this sub-section, we compare the ex ante forecast prepared following PY 2013 (the “previous study”) to the ex ante forecast contained in this study (the “current study”). Table 6.12 presents this comparison for the ex ante forecasts of the utility-specific 1-in-2 August peak day. Reference loads, load impacts, and percentage load impacts are all slightly lower in the current ex ante forecast. These likely reflect differences in customer usage levels across PY2013 and PY2014. The relationship between event-day loads and the FSL is similar across the two years, in that the program load is above the FSL early in the event window but below the FSL for the latter portion of the event.</w:t>
      </w:r>
    </w:p>
    <w:p w:rsidR="00A53241" w:rsidRDefault="00A53241" w:rsidP="00A53241"/>
    <w:p w:rsidR="00A53241" w:rsidRDefault="00A53241" w:rsidP="00A53241">
      <w:pPr>
        <w:pStyle w:val="TableCaption"/>
        <w:keepLines/>
        <w:rPr>
          <w:i/>
        </w:rPr>
      </w:pPr>
      <w:bookmarkStart w:id="127" w:name="_Toc383598026"/>
      <w:bookmarkStart w:id="128" w:name="_Toc413664222"/>
      <w:r w:rsidRPr="00376F46">
        <w:lastRenderedPageBreak/>
        <w:t xml:space="preserve">Table </w:t>
      </w:r>
      <w:r>
        <w:t>4.8</w:t>
      </w:r>
      <w:r w:rsidRPr="00376F46">
        <w:t xml:space="preserve">: Comparison of </w:t>
      </w:r>
      <w:r>
        <w:t xml:space="preserve">Ex Ante </w:t>
      </w:r>
      <w:r w:rsidRPr="00376F46">
        <w:t xml:space="preserve">Impacts </w:t>
      </w:r>
      <w:r>
        <w:t xml:space="preserve">from </w:t>
      </w:r>
      <w:r w:rsidRPr="00376F46">
        <w:t>PY 201</w:t>
      </w:r>
      <w:r>
        <w:t>3 and</w:t>
      </w:r>
      <w:r w:rsidRPr="00376F46">
        <w:t xml:space="preserve"> PY 201</w:t>
      </w:r>
      <w:r>
        <w:t>4 Studies</w:t>
      </w:r>
      <w:r w:rsidRPr="00376F46">
        <w:t xml:space="preserve">, </w:t>
      </w:r>
      <w:r>
        <w:rPr>
          <w:i/>
        </w:rPr>
        <w:t>SDG&amp;</w:t>
      </w:r>
      <w:r w:rsidRPr="00376F46">
        <w:rPr>
          <w:i/>
        </w:rPr>
        <w:t>E</w:t>
      </w:r>
      <w:bookmarkEnd w:id="127"/>
      <w:bookmarkEnd w:id="1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980"/>
        <w:gridCol w:w="1476"/>
        <w:gridCol w:w="1404"/>
      </w:tblGrid>
      <w:tr w:rsidR="00A53241" w:rsidTr="00324486">
        <w:trPr>
          <w:jc w:val="center"/>
        </w:trPr>
        <w:tc>
          <w:tcPr>
            <w:tcW w:w="1188" w:type="dxa"/>
            <w:shd w:val="clear" w:color="auto" w:fill="D9E2F3"/>
            <w:vAlign w:val="center"/>
          </w:tcPr>
          <w:p w:rsidR="00A53241" w:rsidRPr="009C75E1" w:rsidRDefault="00A53241" w:rsidP="00324486">
            <w:pPr>
              <w:keepNext/>
              <w:keepLines/>
              <w:jc w:val="center"/>
              <w:rPr>
                <w:rFonts w:ascii="Arial" w:hAnsi="Arial" w:cs="Arial"/>
                <w:b/>
                <w:sz w:val="20"/>
                <w:szCs w:val="20"/>
              </w:rPr>
            </w:pPr>
            <w:r w:rsidRPr="009C75E1">
              <w:rPr>
                <w:rFonts w:ascii="Arial" w:hAnsi="Arial" w:cs="Arial"/>
                <w:b/>
                <w:sz w:val="20"/>
                <w:szCs w:val="20"/>
              </w:rPr>
              <w:t>Level</w:t>
            </w:r>
          </w:p>
        </w:tc>
        <w:tc>
          <w:tcPr>
            <w:tcW w:w="1980" w:type="dxa"/>
            <w:shd w:val="clear" w:color="auto" w:fill="D9E2F3"/>
            <w:vAlign w:val="center"/>
          </w:tcPr>
          <w:p w:rsidR="00A53241" w:rsidRPr="009C75E1" w:rsidRDefault="00A53241" w:rsidP="00324486">
            <w:pPr>
              <w:keepNext/>
              <w:keepLines/>
              <w:jc w:val="center"/>
              <w:rPr>
                <w:rFonts w:ascii="Arial" w:hAnsi="Arial" w:cs="Arial"/>
                <w:b/>
                <w:sz w:val="20"/>
                <w:szCs w:val="20"/>
              </w:rPr>
            </w:pPr>
            <w:r w:rsidRPr="009C75E1">
              <w:rPr>
                <w:rFonts w:ascii="Arial" w:hAnsi="Arial" w:cs="Arial"/>
                <w:b/>
                <w:sz w:val="20"/>
                <w:szCs w:val="20"/>
              </w:rPr>
              <w:t>Outcome</w:t>
            </w:r>
          </w:p>
        </w:tc>
        <w:tc>
          <w:tcPr>
            <w:tcW w:w="1476" w:type="dxa"/>
            <w:shd w:val="clear" w:color="auto" w:fill="D9E2F3"/>
            <w:vAlign w:val="center"/>
          </w:tcPr>
          <w:p w:rsidR="00A53241" w:rsidRPr="009C75E1" w:rsidRDefault="00A53241" w:rsidP="00324486">
            <w:pPr>
              <w:keepNext/>
              <w:keepLines/>
              <w:jc w:val="center"/>
              <w:rPr>
                <w:rFonts w:ascii="Arial" w:hAnsi="Arial" w:cs="Arial"/>
                <w:b/>
                <w:sz w:val="20"/>
                <w:szCs w:val="20"/>
              </w:rPr>
            </w:pPr>
          </w:p>
          <w:p w:rsidR="00A53241" w:rsidRPr="009C75E1" w:rsidRDefault="00A53241" w:rsidP="00324486">
            <w:pPr>
              <w:keepNext/>
              <w:keepLines/>
              <w:jc w:val="center"/>
              <w:rPr>
                <w:rFonts w:ascii="Arial" w:hAnsi="Arial" w:cs="Arial"/>
                <w:b/>
                <w:sz w:val="20"/>
                <w:szCs w:val="20"/>
              </w:rPr>
            </w:pPr>
            <w:r w:rsidRPr="009C75E1">
              <w:rPr>
                <w:rFonts w:ascii="Arial" w:hAnsi="Arial" w:cs="Arial"/>
                <w:b/>
                <w:sz w:val="20"/>
                <w:szCs w:val="20"/>
              </w:rPr>
              <w:t>Previous</w:t>
            </w:r>
            <w:r>
              <w:rPr>
                <w:rFonts w:ascii="Arial" w:hAnsi="Arial" w:cs="Arial"/>
                <w:b/>
                <w:sz w:val="20"/>
                <w:szCs w:val="20"/>
              </w:rPr>
              <w:t xml:space="preserve"> Study 2015</w:t>
            </w:r>
          </w:p>
          <w:p w:rsidR="00A53241" w:rsidRPr="009C75E1" w:rsidRDefault="00A53241" w:rsidP="00324486">
            <w:pPr>
              <w:keepNext/>
              <w:keepLines/>
              <w:jc w:val="center"/>
              <w:rPr>
                <w:rFonts w:ascii="Arial" w:hAnsi="Arial" w:cs="Arial"/>
                <w:b/>
                <w:sz w:val="20"/>
                <w:szCs w:val="20"/>
              </w:rPr>
            </w:pPr>
          </w:p>
        </w:tc>
        <w:tc>
          <w:tcPr>
            <w:tcW w:w="1404" w:type="dxa"/>
            <w:shd w:val="clear" w:color="auto" w:fill="D9E2F3"/>
            <w:vAlign w:val="center"/>
          </w:tcPr>
          <w:p w:rsidR="00A53241" w:rsidRPr="009C75E1" w:rsidRDefault="00A53241" w:rsidP="00324486">
            <w:pPr>
              <w:keepNext/>
              <w:keepLines/>
              <w:jc w:val="center"/>
              <w:rPr>
                <w:rFonts w:ascii="Arial" w:hAnsi="Arial" w:cs="Arial"/>
                <w:b/>
                <w:sz w:val="20"/>
                <w:szCs w:val="20"/>
              </w:rPr>
            </w:pPr>
            <w:r w:rsidRPr="009C75E1">
              <w:rPr>
                <w:rFonts w:ascii="Arial" w:hAnsi="Arial" w:cs="Arial"/>
                <w:b/>
                <w:sz w:val="20"/>
                <w:szCs w:val="20"/>
              </w:rPr>
              <w:t>Current</w:t>
            </w:r>
            <w:r>
              <w:rPr>
                <w:rFonts w:ascii="Arial" w:hAnsi="Arial" w:cs="Arial"/>
                <w:b/>
                <w:sz w:val="20"/>
                <w:szCs w:val="20"/>
              </w:rPr>
              <w:t xml:space="preserve"> Study</w:t>
            </w:r>
            <w:r w:rsidRPr="009C75E1">
              <w:rPr>
                <w:rFonts w:ascii="Arial" w:hAnsi="Arial" w:cs="Arial"/>
                <w:b/>
                <w:sz w:val="20"/>
                <w:szCs w:val="20"/>
              </w:rPr>
              <w:t xml:space="preserve"> 201</w:t>
            </w:r>
            <w:r>
              <w:rPr>
                <w:rFonts w:ascii="Arial" w:hAnsi="Arial" w:cs="Arial"/>
                <w:b/>
                <w:sz w:val="20"/>
                <w:szCs w:val="20"/>
              </w:rPr>
              <w:t>5</w:t>
            </w:r>
          </w:p>
        </w:tc>
      </w:tr>
      <w:tr w:rsidR="00A53241" w:rsidTr="00324486">
        <w:trPr>
          <w:jc w:val="center"/>
        </w:trPr>
        <w:tc>
          <w:tcPr>
            <w:tcW w:w="1188" w:type="dxa"/>
            <w:vMerge w:val="restart"/>
            <w:shd w:val="clear" w:color="auto" w:fill="auto"/>
            <w:vAlign w:val="center"/>
          </w:tcPr>
          <w:p w:rsidR="00A53241" w:rsidRPr="009C75E1" w:rsidRDefault="00A53241" w:rsidP="00324486">
            <w:pPr>
              <w:keepNext/>
              <w:keepLines/>
              <w:rPr>
                <w:rFonts w:ascii="Arial" w:hAnsi="Arial" w:cs="Arial"/>
                <w:b/>
                <w:sz w:val="20"/>
                <w:szCs w:val="20"/>
              </w:rPr>
            </w:pPr>
            <w:r w:rsidRPr="009C75E1">
              <w:rPr>
                <w:rFonts w:ascii="Arial" w:hAnsi="Arial" w:cs="Arial"/>
                <w:b/>
                <w:sz w:val="20"/>
                <w:szCs w:val="20"/>
              </w:rPr>
              <w:t>Total</w:t>
            </w:r>
          </w:p>
        </w:tc>
        <w:tc>
          <w:tcPr>
            <w:tcW w:w="1980" w:type="dxa"/>
            <w:shd w:val="clear" w:color="auto" w:fill="auto"/>
          </w:tcPr>
          <w:p w:rsidR="00A53241" w:rsidRPr="009C75E1" w:rsidRDefault="00A53241" w:rsidP="00324486">
            <w:pPr>
              <w:keepNext/>
              <w:keepLines/>
              <w:rPr>
                <w:rFonts w:ascii="Arial" w:hAnsi="Arial" w:cs="Arial"/>
                <w:sz w:val="20"/>
                <w:szCs w:val="20"/>
              </w:rPr>
            </w:pPr>
            <w:r w:rsidRPr="009C75E1">
              <w:rPr>
                <w:rFonts w:ascii="Arial" w:hAnsi="Arial" w:cs="Arial"/>
                <w:sz w:val="20"/>
                <w:szCs w:val="20"/>
              </w:rPr>
              <w:t># SAIDs</w:t>
            </w:r>
          </w:p>
        </w:tc>
        <w:tc>
          <w:tcPr>
            <w:tcW w:w="1476" w:type="dxa"/>
            <w:shd w:val="clear" w:color="auto" w:fill="auto"/>
          </w:tcPr>
          <w:p w:rsidR="00A53241" w:rsidRPr="00370ECC" w:rsidRDefault="00A53241" w:rsidP="00324486">
            <w:pPr>
              <w:keepNext/>
              <w:keepLines/>
              <w:jc w:val="center"/>
              <w:rPr>
                <w:rFonts w:ascii="Arial" w:hAnsi="Arial" w:cs="Arial"/>
                <w:sz w:val="20"/>
                <w:szCs w:val="20"/>
              </w:rPr>
            </w:pPr>
            <w:r w:rsidRPr="00370ECC">
              <w:rPr>
                <w:rFonts w:ascii="Arial" w:hAnsi="Arial" w:cs="Arial"/>
                <w:sz w:val="20"/>
                <w:szCs w:val="20"/>
              </w:rPr>
              <w:t>7</w:t>
            </w:r>
          </w:p>
        </w:tc>
        <w:tc>
          <w:tcPr>
            <w:tcW w:w="1404" w:type="dxa"/>
            <w:shd w:val="clear" w:color="auto" w:fill="auto"/>
          </w:tcPr>
          <w:p w:rsidR="00A53241" w:rsidRPr="00370ECC" w:rsidRDefault="00A53241" w:rsidP="00324486">
            <w:pPr>
              <w:keepNext/>
              <w:keepLines/>
              <w:jc w:val="center"/>
              <w:rPr>
                <w:rFonts w:ascii="Arial" w:hAnsi="Arial" w:cs="Arial"/>
                <w:sz w:val="20"/>
                <w:szCs w:val="20"/>
              </w:rPr>
            </w:pPr>
            <w:r w:rsidRPr="00370ECC">
              <w:rPr>
                <w:rFonts w:ascii="Arial" w:hAnsi="Arial" w:cs="Arial"/>
                <w:sz w:val="20"/>
                <w:szCs w:val="20"/>
              </w:rPr>
              <w:t>7</w:t>
            </w:r>
          </w:p>
        </w:tc>
      </w:tr>
      <w:tr w:rsidR="00A53241" w:rsidTr="00324486">
        <w:trPr>
          <w:trHeight w:val="242"/>
          <w:jc w:val="center"/>
        </w:trPr>
        <w:tc>
          <w:tcPr>
            <w:tcW w:w="1188" w:type="dxa"/>
            <w:vMerge/>
            <w:shd w:val="clear" w:color="auto" w:fill="auto"/>
            <w:vAlign w:val="center"/>
          </w:tcPr>
          <w:p w:rsidR="00A53241" w:rsidRPr="009C75E1" w:rsidRDefault="00A53241" w:rsidP="00324486">
            <w:pPr>
              <w:keepNext/>
              <w:keepLines/>
              <w:rPr>
                <w:rFonts w:ascii="Arial" w:hAnsi="Arial" w:cs="Arial"/>
                <w:sz w:val="20"/>
                <w:szCs w:val="20"/>
              </w:rPr>
            </w:pPr>
          </w:p>
        </w:tc>
        <w:tc>
          <w:tcPr>
            <w:tcW w:w="1980" w:type="dxa"/>
            <w:shd w:val="clear" w:color="auto" w:fill="auto"/>
          </w:tcPr>
          <w:p w:rsidR="00A53241" w:rsidRPr="009C75E1" w:rsidRDefault="00A53241" w:rsidP="00324486">
            <w:pPr>
              <w:keepNext/>
              <w:keepLines/>
              <w:rPr>
                <w:rFonts w:ascii="Arial" w:hAnsi="Arial" w:cs="Arial"/>
                <w:sz w:val="20"/>
                <w:szCs w:val="20"/>
              </w:rPr>
            </w:pPr>
            <w:r w:rsidRPr="009C75E1">
              <w:rPr>
                <w:rFonts w:ascii="Arial" w:hAnsi="Arial" w:cs="Arial"/>
                <w:sz w:val="20"/>
                <w:szCs w:val="20"/>
              </w:rPr>
              <w:t>Reference (MW)</w:t>
            </w:r>
          </w:p>
        </w:tc>
        <w:tc>
          <w:tcPr>
            <w:tcW w:w="1476"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3.4</w:t>
            </w:r>
          </w:p>
        </w:tc>
        <w:tc>
          <w:tcPr>
            <w:tcW w:w="1404"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3.2</w:t>
            </w:r>
          </w:p>
        </w:tc>
      </w:tr>
      <w:tr w:rsidR="00A53241" w:rsidTr="00324486">
        <w:trPr>
          <w:jc w:val="center"/>
        </w:trPr>
        <w:tc>
          <w:tcPr>
            <w:tcW w:w="1188" w:type="dxa"/>
            <w:vMerge/>
            <w:shd w:val="clear" w:color="auto" w:fill="auto"/>
            <w:vAlign w:val="center"/>
          </w:tcPr>
          <w:p w:rsidR="00A53241" w:rsidRPr="009C75E1" w:rsidRDefault="00A53241" w:rsidP="00324486">
            <w:pPr>
              <w:keepNext/>
              <w:keepLines/>
              <w:rPr>
                <w:rFonts w:ascii="Arial" w:hAnsi="Arial" w:cs="Arial"/>
                <w:sz w:val="20"/>
                <w:szCs w:val="20"/>
              </w:rPr>
            </w:pPr>
          </w:p>
        </w:tc>
        <w:tc>
          <w:tcPr>
            <w:tcW w:w="1980" w:type="dxa"/>
            <w:shd w:val="clear" w:color="auto" w:fill="auto"/>
          </w:tcPr>
          <w:p w:rsidR="00A53241" w:rsidRPr="009C75E1" w:rsidRDefault="00A53241" w:rsidP="00324486">
            <w:pPr>
              <w:keepNext/>
              <w:keepLines/>
              <w:rPr>
                <w:rFonts w:ascii="Arial" w:hAnsi="Arial" w:cs="Arial"/>
                <w:sz w:val="20"/>
                <w:szCs w:val="20"/>
              </w:rPr>
            </w:pPr>
            <w:r w:rsidRPr="009C75E1">
              <w:rPr>
                <w:rFonts w:ascii="Arial" w:hAnsi="Arial" w:cs="Arial"/>
                <w:sz w:val="20"/>
                <w:szCs w:val="20"/>
              </w:rPr>
              <w:t>Load Impact (MW)</w:t>
            </w:r>
          </w:p>
        </w:tc>
        <w:tc>
          <w:tcPr>
            <w:tcW w:w="1476"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1.8</w:t>
            </w:r>
          </w:p>
        </w:tc>
        <w:tc>
          <w:tcPr>
            <w:tcW w:w="1404"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1.4</w:t>
            </w:r>
          </w:p>
        </w:tc>
      </w:tr>
      <w:tr w:rsidR="00A53241" w:rsidTr="00324486">
        <w:trPr>
          <w:jc w:val="center"/>
        </w:trPr>
        <w:tc>
          <w:tcPr>
            <w:tcW w:w="1188" w:type="dxa"/>
            <w:vMerge w:val="restart"/>
            <w:shd w:val="clear" w:color="auto" w:fill="auto"/>
            <w:vAlign w:val="center"/>
          </w:tcPr>
          <w:p w:rsidR="00A53241" w:rsidRPr="009C75E1" w:rsidRDefault="00A53241" w:rsidP="00324486">
            <w:pPr>
              <w:keepNext/>
              <w:keepLines/>
              <w:rPr>
                <w:rFonts w:ascii="Arial" w:hAnsi="Arial" w:cs="Arial"/>
                <w:b/>
                <w:sz w:val="20"/>
                <w:szCs w:val="20"/>
              </w:rPr>
            </w:pPr>
            <w:r w:rsidRPr="009C75E1">
              <w:rPr>
                <w:rFonts w:ascii="Arial" w:hAnsi="Arial" w:cs="Arial"/>
                <w:b/>
                <w:sz w:val="20"/>
                <w:szCs w:val="20"/>
              </w:rPr>
              <w:t>Per SAID</w:t>
            </w:r>
          </w:p>
        </w:tc>
        <w:tc>
          <w:tcPr>
            <w:tcW w:w="1980" w:type="dxa"/>
            <w:shd w:val="clear" w:color="auto" w:fill="auto"/>
          </w:tcPr>
          <w:p w:rsidR="00A53241" w:rsidRPr="009C75E1" w:rsidRDefault="00A53241" w:rsidP="00324486">
            <w:pPr>
              <w:keepNext/>
              <w:keepLines/>
              <w:rPr>
                <w:rFonts w:ascii="Arial" w:hAnsi="Arial" w:cs="Arial"/>
                <w:sz w:val="20"/>
                <w:szCs w:val="20"/>
              </w:rPr>
            </w:pPr>
            <w:r w:rsidRPr="009C75E1">
              <w:rPr>
                <w:rFonts w:ascii="Arial" w:hAnsi="Arial" w:cs="Arial"/>
                <w:sz w:val="20"/>
                <w:szCs w:val="20"/>
              </w:rPr>
              <w:t>Reference (kW)</w:t>
            </w:r>
          </w:p>
        </w:tc>
        <w:tc>
          <w:tcPr>
            <w:tcW w:w="1476"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484</w:t>
            </w:r>
          </w:p>
        </w:tc>
        <w:tc>
          <w:tcPr>
            <w:tcW w:w="1404"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458</w:t>
            </w:r>
          </w:p>
        </w:tc>
      </w:tr>
      <w:tr w:rsidR="00A53241" w:rsidTr="00324486">
        <w:trPr>
          <w:jc w:val="center"/>
        </w:trPr>
        <w:tc>
          <w:tcPr>
            <w:tcW w:w="1188" w:type="dxa"/>
            <w:vMerge/>
            <w:shd w:val="clear" w:color="auto" w:fill="auto"/>
          </w:tcPr>
          <w:p w:rsidR="00A53241" w:rsidRPr="009C75E1" w:rsidRDefault="00A53241" w:rsidP="00324486">
            <w:pPr>
              <w:keepNext/>
              <w:keepLines/>
              <w:rPr>
                <w:rFonts w:ascii="Arial" w:hAnsi="Arial" w:cs="Arial"/>
                <w:sz w:val="20"/>
                <w:szCs w:val="20"/>
              </w:rPr>
            </w:pPr>
          </w:p>
        </w:tc>
        <w:tc>
          <w:tcPr>
            <w:tcW w:w="1980" w:type="dxa"/>
            <w:shd w:val="clear" w:color="auto" w:fill="auto"/>
          </w:tcPr>
          <w:p w:rsidR="00A53241" w:rsidRPr="009C75E1" w:rsidRDefault="00A53241" w:rsidP="00324486">
            <w:pPr>
              <w:keepNext/>
              <w:keepLines/>
              <w:rPr>
                <w:rFonts w:ascii="Arial" w:hAnsi="Arial" w:cs="Arial"/>
                <w:sz w:val="20"/>
                <w:szCs w:val="20"/>
              </w:rPr>
            </w:pPr>
            <w:r w:rsidRPr="009C75E1">
              <w:rPr>
                <w:rFonts w:ascii="Arial" w:hAnsi="Arial" w:cs="Arial"/>
                <w:sz w:val="20"/>
                <w:szCs w:val="20"/>
              </w:rPr>
              <w:t>Load Impact (kW)</w:t>
            </w:r>
          </w:p>
        </w:tc>
        <w:tc>
          <w:tcPr>
            <w:tcW w:w="1476"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262</w:t>
            </w:r>
          </w:p>
        </w:tc>
        <w:tc>
          <w:tcPr>
            <w:tcW w:w="1404"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205</w:t>
            </w:r>
          </w:p>
        </w:tc>
      </w:tr>
      <w:tr w:rsidR="00A53241" w:rsidTr="00324486">
        <w:trPr>
          <w:jc w:val="center"/>
        </w:trPr>
        <w:tc>
          <w:tcPr>
            <w:tcW w:w="1188" w:type="dxa"/>
            <w:vMerge/>
            <w:shd w:val="clear" w:color="auto" w:fill="auto"/>
          </w:tcPr>
          <w:p w:rsidR="00A53241" w:rsidRPr="009C75E1" w:rsidRDefault="00A53241" w:rsidP="00324486">
            <w:pPr>
              <w:keepNext/>
              <w:keepLines/>
              <w:rPr>
                <w:rFonts w:ascii="Arial" w:hAnsi="Arial" w:cs="Arial"/>
                <w:sz w:val="20"/>
                <w:szCs w:val="20"/>
              </w:rPr>
            </w:pPr>
          </w:p>
        </w:tc>
        <w:tc>
          <w:tcPr>
            <w:tcW w:w="1980" w:type="dxa"/>
            <w:shd w:val="clear" w:color="auto" w:fill="auto"/>
          </w:tcPr>
          <w:p w:rsidR="00A53241" w:rsidRPr="009C75E1" w:rsidRDefault="00A53241" w:rsidP="00324486">
            <w:pPr>
              <w:keepNext/>
              <w:keepLines/>
              <w:rPr>
                <w:rFonts w:ascii="Arial" w:hAnsi="Arial" w:cs="Arial"/>
                <w:sz w:val="20"/>
                <w:szCs w:val="20"/>
              </w:rPr>
            </w:pPr>
            <w:r w:rsidRPr="009C75E1">
              <w:rPr>
                <w:rFonts w:ascii="Arial" w:hAnsi="Arial" w:cs="Arial"/>
                <w:sz w:val="20"/>
                <w:szCs w:val="20"/>
              </w:rPr>
              <w:t>% Load Impact</w:t>
            </w:r>
          </w:p>
        </w:tc>
        <w:tc>
          <w:tcPr>
            <w:tcW w:w="1476"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54.1%</w:t>
            </w:r>
          </w:p>
        </w:tc>
        <w:tc>
          <w:tcPr>
            <w:tcW w:w="1404" w:type="dxa"/>
            <w:shd w:val="clear" w:color="auto" w:fill="auto"/>
          </w:tcPr>
          <w:p w:rsidR="00A53241" w:rsidRPr="009C75E1" w:rsidRDefault="00A53241" w:rsidP="00324486">
            <w:pPr>
              <w:keepNext/>
              <w:keepLines/>
              <w:jc w:val="center"/>
              <w:rPr>
                <w:rFonts w:ascii="Arial" w:hAnsi="Arial" w:cs="Arial"/>
                <w:sz w:val="20"/>
                <w:szCs w:val="20"/>
              </w:rPr>
            </w:pPr>
            <w:r>
              <w:rPr>
                <w:rFonts w:ascii="Arial" w:hAnsi="Arial" w:cs="Arial"/>
                <w:sz w:val="20"/>
                <w:szCs w:val="20"/>
              </w:rPr>
              <w:t>44.8%</w:t>
            </w:r>
          </w:p>
        </w:tc>
      </w:tr>
    </w:tbl>
    <w:p w:rsidR="008D26ED" w:rsidRPr="00711930" w:rsidRDefault="008D26ED" w:rsidP="008D26ED">
      <w:pPr>
        <w:pStyle w:val="Heading2"/>
        <w:rPr>
          <w:rFonts w:ascii="Times New Roman" w:hAnsi="Times New Roman" w:cs="Times New Roman"/>
          <w:color w:val="000000" w:themeColor="text1"/>
        </w:rPr>
      </w:pPr>
      <w:bookmarkStart w:id="129" w:name="_Toc415748983"/>
      <w:r w:rsidRPr="00711930">
        <w:rPr>
          <w:rFonts w:ascii="Times New Roman" w:hAnsi="Times New Roman" w:cs="Times New Roman"/>
          <w:color w:val="000000" w:themeColor="text1"/>
        </w:rPr>
        <w:t xml:space="preserve">BIP Comparison of </w:t>
      </w:r>
      <w:r>
        <w:rPr>
          <w:rFonts w:ascii="Times New Roman" w:hAnsi="Times New Roman" w:cs="Times New Roman"/>
          <w:color w:val="000000" w:themeColor="text1"/>
        </w:rPr>
        <w:t xml:space="preserve">previous </w:t>
      </w:r>
      <w:r w:rsidRPr="008D26ED">
        <w:rPr>
          <w:rFonts w:ascii="Times New Roman" w:hAnsi="Times New Roman" w:cs="Times New Roman"/>
          <w:color w:val="000000" w:themeColor="text1"/>
        </w:rPr>
        <w:t>ex ante versus current ex post</w:t>
      </w:r>
      <w:bookmarkEnd w:id="129"/>
    </w:p>
    <w:p w:rsidR="00A53241" w:rsidRDefault="00A53241" w:rsidP="00A53241"/>
    <w:p w:rsidR="0031611E" w:rsidRDefault="0031611E" w:rsidP="00AC74CA">
      <w:pPr>
        <w:spacing w:line="276" w:lineRule="auto"/>
        <w:ind w:firstLine="576"/>
      </w:pPr>
      <w:r>
        <w:t>Table 4.9</w:t>
      </w:r>
      <w:r w:rsidRPr="00CC435E">
        <w:t xml:space="preserve"> </w:t>
      </w:r>
      <w:r w:rsidR="00AC74CA" w:rsidRPr="00AC74CA">
        <w:t>compares the ex ante forecast prepared following PY2013 to the PY2014 ex post load impact estimates contained in this report. The ex ante load impacts are based on the typical event day in a utility-specific 1-in-2 weather year. The ex post load impacts are based on the May 16, 2014 event day. The ex post reference loads and load impacts are somewhat higher than the ex ante forecast, though the percentage load impacts are quite similar.</w:t>
      </w:r>
    </w:p>
    <w:p w:rsidR="0031611E" w:rsidRPr="00AC74CA" w:rsidRDefault="0031611E" w:rsidP="0031611E">
      <w:pPr>
        <w:pStyle w:val="TableCaption"/>
        <w:keepLines/>
        <w:rPr>
          <w:i/>
          <w:sz w:val="20"/>
        </w:rPr>
      </w:pPr>
      <w:bookmarkStart w:id="130" w:name="_Toc413664223"/>
      <w:r w:rsidRPr="00AC74CA">
        <w:rPr>
          <w:sz w:val="20"/>
        </w:rPr>
        <w:t xml:space="preserve">Table 4.9: Comparison of Previous Ex Ante and Current Ex Post Impacts, </w:t>
      </w:r>
      <w:r w:rsidRPr="00AC74CA">
        <w:rPr>
          <w:i/>
          <w:sz w:val="20"/>
        </w:rPr>
        <w:t>SDG&amp;E</w:t>
      </w:r>
      <w:bookmarkEnd w:id="1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994"/>
        <w:gridCol w:w="1771"/>
        <w:gridCol w:w="1772"/>
      </w:tblGrid>
      <w:tr w:rsidR="00AC74CA" w:rsidRPr="009C75E1" w:rsidTr="0079525F">
        <w:trPr>
          <w:jc w:val="center"/>
        </w:trPr>
        <w:tc>
          <w:tcPr>
            <w:tcW w:w="1548" w:type="dxa"/>
            <w:shd w:val="clear" w:color="auto" w:fill="D9E2F3"/>
            <w:vAlign w:val="center"/>
          </w:tcPr>
          <w:p w:rsidR="00AC74CA" w:rsidRPr="009C75E1" w:rsidRDefault="00AC74CA" w:rsidP="0079525F">
            <w:pPr>
              <w:keepNext/>
              <w:keepLines/>
              <w:jc w:val="center"/>
              <w:rPr>
                <w:rFonts w:ascii="Arial" w:hAnsi="Arial" w:cs="Arial"/>
                <w:b/>
                <w:sz w:val="20"/>
                <w:szCs w:val="20"/>
              </w:rPr>
            </w:pPr>
            <w:r w:rsidRPr="009C75E1">
              <w:rPr>
                <w:rFonts w:ascii="Arial" w:hAnsi="Arial" w:cs="Arial"/>
                <w:b/>
                <w:sz w:val="20"/>
                <w:szCs w:val="20"/>
              </w:rPr>
              <w:t>Level</w:t>
            </w:r>
          </w:p>
        </w:tc>
        <w:tc>
          <w:tcPr>
            <w:tcW w:w="1994" w:type="dxa"/>
            <w:shd w:val="clear" w:color="auto" w:fill="D9E2F3"/>
            <w:vAlign w:val="center"/>
          </w:tcPr>
          <w:p w:rsidR="00AC74CA" w:rsidRPr="009C75E1" w:rsidRDefault="00AC74CA" w:rsidP="0079525F">
            <w:pPr>
              <w:keepNext/>
              <w:keepLines/>
              <w:jc w:val="center"/>
              <w:rPr>
                <w:rFonts w:ascii="Arial" w:hAnsi="Arial" w:cs="Arial"/>
                <w:b/>
                <w:sz w:val="20"/>
                <w:szCs w:val="20"/>
              </w:rPr>
            </w:pPr>
            <w:r w:rsidRPr="009C75E1">
              <w:rPr>
                <w:rFonts w:ascii="Arial" w:hAnsi="Arial" w:cs="Arial"/>
                <w:b/>
                <w:sz w:val="20"/>
                <w:szCs w:val="20"/>
              </w:rPr>
              <w:t>Outcome</w:t>
            </w:r>
          </w:p>
        </w:tc>
        <w:tc>
          <w:tcPr>
            <w:tcW w:w="1771" w:type="dxa"/>
            <w:shd w:val="clear" w:color="auto" w:fill="D9E2F3"/>
            <w:vAlign w:val="center"/>
          </w:tcPr>
          <w:p w:rsidR="00AC74CA" w:rsidRPr="009C75E1" w:rsidRDefault="00AC74CA" w:rsidP="0079525F">
            <w:pPr>
              <w:keepNext/>
              <w:keepLines/>
              <w:jc w:val="center"/>
              <w:rPr>
                <w:rFonts w:ascii="Arial" w:hAnsi="Arial" w:cs="Arial"/>
                <w:b/>
                <w:sz w:val="20"/>
                <w:szCs w:val="20"/>
              </w:rPr>
            </w:pPr>
          </w:p>
          <w:p w:rsidR="00AC74CA" w:rsidRPr="009C75E1" w:rsidRDefault="00AC74CA" w:rsidP="0079525F">
            <w:pPr>
              <w:keepNext/>
              <w:keepLines/>
              <w:jc w:val="center"/>
              <w:rPr>
                <w:rFonts w:ascii="Arial" w:hAnsi="Arial" w:cs="Arial"/>
                <w:b/>
                <w:sz w:val="20"/>
                <w:szCs w:val="20"/>
              </w:rPr>
            </w:pPr>
            <w:r>
              <w:rPr>
                <w:rFonts w:ascii="Arial" w:hAnsi="Arial" w:cs="Arial"/>
                <w:b/>
                <w:sz w:val="20"/>
                <w:szCs w:val="20"/>
              </w:rPr>
              <w:t>Ex Ante for TED in PY2014, following PY2013 Study</w:t>
            </w:r>
          </w:p>
          <w:p w:rsidR="00AC74CA" w:rsidRPr="009C75E1" w:rsidRDefault="00AC74CA" w:rsidP="0079525F">
            <w:pPr>
              <w:keepNext/>
              <w:keepLines/>
              <w:jc w:val="center"/>
              <w:rPr>
                <w:rFonts w:ascii="Arial" w:hAnsi="Arial" w:cs="Arial"/>
                <w:b/>
                <w:sz w:val="20"/>
                <w:szCs w:val="20"/>
              </w:rPr>
            </w:pPr>
          </w:p>
        </w:tc>
        <w:tc>
          <w:tcPr>
            <w:tcW w:w="1772" w:type="dxa"/>
            <w:shd w:val="clear" w:color="auto" w:fill="D9E2F3"/>
            <w:vAlign w:val="center"/>
          </w:tcPr>
          <w:p w:rsidR="00AC74CA" w:rsidRPr="009C75E1" w:rsidRDefault="00AC74CA" w:rsidP="0079525F">
            <w:pPr>
              <w:keepNext/>
              <w:keepLines/>
              <w:jc w:val="center"/>
              <w:rPr>
                <w:rFonts w:ascii="Arial" w:hAnsi="Arial" w:cs="Arial"/>
                <w:b/>
                <w:sz w:val="20"/>
                <w:szCs w:val="20"/>
              </w:rPr>
            </w:pPr>
            <w:r>
              <w:rPr>
                <w:rFonts w:ascii="Arial" w:hAnsi="Arial" w:cs="Arial"/>
                <w:b/>
                <w:sz w:val="20"/>
                <w:szCs w:val="20"/>
              </w:rPr>
              <w:t>Ex Post Average Event Day, PY2014</w:t>
            </w:r>
          </w:p>
        </w:tc>
      </w:tr>
      <w:tr w:rsidR="00AC74CA" w:rsidRPr="009C75E1" w:rsidTr="0079525F">
        <w:trPr>
          <w:jc w:val="center"/>
        </w:trPr>
        <w:tc>
          <w:tcPr>
            <w:tcW w:w="1548" w:type="dxa"/>
            <w:vMerge w:val="restart"/>
            <w:shd w:val="clear" w:color="auto" w:fill="auto"/>
            <w:vAlign w:val="center"/>
          </w:tcPr>
          <w:p w:rsidR="00AC74CA" w:rsidRPr="009C75E1" w:rsidRDefault="00AC74CA" w:rsidP="0079525F">
            <w:pPr>
              <w:keepNext/>
              <w:keepLines/>
              <w:rPr>
                <w:rFonts w:ascii="Arial" w:hAnsi="Arial" w:cs="Arial"/>
                <w:b/>
                <w:sz w:val="20"/>
                <w:szCs w:val="20"/>
              </w:rPr>
            </w:pPr>
            <w:r w:rsidRPr="009C75E1">
              <w:rPr>
                <w:rFonts w:ascii="Arial" w:hAnsi="Arial" w:cs="Arial"/>
                <w:b/>
                <w:sz w:val="20"/>
                <w:szCs w:val="20"/>
              </w:rPr>
              <w:t>Total</w:t>
            </w:r>
          </w:p>
        </w:tc>
        <w:tc>
          <w:tcPr>
            <w:tcW w:w="1994" w:type="dxa"/>
            <w:shd w:val="clear" w:color="auto" w:fill="auto"/>
          </w:tcPr>
          <w:p w:rsidR="00AC74CA" w:rsidRPr="009C75E1" w:rsidRDefault="00AC74CA" w:rsidP="0079525F">
            <w:pPr>
              <w:keepNext/>
              <w:keepLines/>
              <w:rPr>
                <w:rFonts w:ascii="Arial" w:hAnsi="Arial" w:cs="Arial"/>
                <w:sz w:val="20"/>
                <w:szCs w:val="20"/>
              </w:rPr>
            </w:pPr>
            <w:r w:rsidRPr="009C75E1">
              <w:rPr>
                <w:rFonts w:ascii="Arial" w:hAnsi="Arial" w:cs="Arial"/>
                <w:sz w:val="20"/>
                <w:szCs w:val="20"/>
              </w:rPr>
              <w:t># SAIDs</w:t>
            </w:r>
          </w:p>
        </w:tc>
        <w:tc>
          <w:tcPr>
            <w:tcW w:w="1771" w:type="dxa"/>
            <w:shd w:val="clear" w:color="auto" w:fill="auto"/>
          </w:tcPr>
          <w:p w:rsidR="00AC74CA" w:rsidRPr="00370ECC" w:rsidRDefault="00AC74CA" w:rsidP="0079525F">
            <w:pPr>
              <w:keepNext/>
              <w:keepLines/>
              <w:jc w:val="center"/>
              <w:rPr>
                <w:rFonts w:ascii="Arial" w:hAnsi="Arial" w:cs="Arial"/>
                <w:sz w:val="20"/>
                <w:szCs w:val="20"/>
              </w:rPr>
            </w:pPr>
            <w:r w:rsidRPr="00370ECC">
              <w:rPr>
                <w:rFonts w:ascii="Arial" w:hAnsi="Arial" w:cs="Arial"/>
                <w:sz w:val="20"/>
                <w:szCs w:val="20"/>
              </w:rPr>
              <w:t>7</w:t>
            </w:r>
          </w:p>
        </w:tc>
        <w:tc>
          <w:tcPr>
            <w:tcW w:w="1772" w:type="dxa"/>
            <w:shd w:val="clear" w:color="auto" w:fill="auto"/>
          </w:tcPr>
          <w:p w:rsidR="00AC74CA" w:rsidRPr="00370ECC" w:rsidRDefault="00AC74CA" w:rsidP="0079525F">
            <w:pPr>
              <w:keepNext/>
              <w:keepLines/>
              <w:jc w:val="center"/>
              <w:rPr>
                <w:rFonts w:ascii="Arial" w:hAnsi="Arial" w:cs="Arial"/>
                <w:sz w:val="20"/>
                <w:szCs w:val="20"/>
              </w:rPr>
            </w:pPr>
            <w:r w:rsidRPr="00370ECC">
              <w:rPr>
                <w:rFonts w:ascii="Arial" w:hAnsi="Arial" w:cs="Arial"/>
                <w:sz w:val="20"/>
                <w:szCs w:val="20"/>
              </w:rPr>
              <w:t>7</w:t>
            </w:r>
          </w:p>
        </w:tc>
      </w:tr>
      <w:tr w:rsidR="00AC74CA" w:rsidRPr="009C75E1" w:rsidTr="0079525F">
        <w:trPr>
          <w:trHeight w:val="242"/>
          <w:jc w:val="center"/>
        </w:trPr>
        <w:tc>
          <w:tcPr>
            <w:tcW w:w="1548" w:type="dxa"/>
            <w:vMerge/>
            <w:shd w:val="clear" w:color="auto" w:fill="auto"/>
            <w:vAlign w:val="center"/>
          </w:tcPr>
          <w:p w:rsidR="00AC74CA" w:rsidRPr="009C75E1" w:rsidRDefault="00AC74CA" w:rsidP="0079525F">
            <w:pPr>
              <w:keepNext/>
              <w:keepLines/>
              <w:rPr>
                <w:rFonts w:ascii="Arial" w:hAnsi="Arial" w:cs="Arial"/>
                <w:sz w:val="20"/>
                <w:szCs w:val="20"/>
              </w:rPr>
            </w:pPr>
          </w:p>
        </w:tc>
        <w:tc>
          <w:tcPr>
            <w:tcW w:w="1994" w:type="dxa"/>
            <w:shd w:val="clear" w:color="auto" w:fill="auto"/>
          </w:tcPr>
          <w:p w:rsidR="00AC74CA" w:rsidRPr="009C75E1" w:rsidRDefault="00AC74CA" w:rsidP="0079525F">
            <w:pPr>
              <w:keepNext/>
              <w:keepLines/>
              <w:rPr>
                <w:rFonts w:ascii="Arial" w:hAnsi="Arial" w:cs="Arial"/>
                <w:sz w:val="20"/>
                <w:szCs w:val="20"/>
              </w:rPr>
            </w:pPr>
            <w:r w:rsidRPr="009C75E1">
              <w:rPr>
                <w:rFonts w:ascii="Arial" w:hAnsi="Arial" w:cs="Arial"/>
                <w:sz w:val="20"/>
                <w:szCs w:val="20"/>
              </w:rPr>
              <w:t>Reference (MW)</w:t>
            </w:r>
          </w:p>
        </w:tc>
        <w:tc>
          <w:tcPr>
            <w:tcW w:w="1771"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3.4</w:t>
            </w:r>
          </w:p>
        </w:tc>
        <w:tc>
          <w:tcPr>
            <w:tcW w:w="1772"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4.0</w:t>
            </w:r>
          </w:p>
        </w:tc>
      </w:tr>
      <w:tr w:rsidR="00AC74CA" w:rsidRPr="009C75E1" w:rsidTr="0079525F">
        <w:trPr>
          <w:jc w:val="center"/>
        </w:trPr>
        <w:tc>
          <w:tcPr>
            <w:tcW w:w="1548" w:type="dxa"/>
            <w:vMerge/>
            <w:shd w:val="clear" w:color="auto" w:fill="auto"/>
            <w:vAlign w:val="center"/>
          </w:tcPr>
          <w:p w:rsidR="00AC74CA" w:rsidRPr="009C75E1" w:rsidRDefault="00AC74CA" w:rsidP="0079525F">
            <w:pPr>
              <w:keepNext/>
              <w:keepLines/>
              <w:rPr>
                <w:rFonts w:ascii="Arial" w:hAnsi="Arial" w:cs="Arial"/>
                <w:sz w:val="20"/>
                <w:szCs w:val="20"/>
              </w:rPr>
            </w:pPr>
          </w:p>
        </w:tc>
        <w:tc>
          <w:tcPr>
            <w:tcW w:w="1994" w:type="dxa"/>
            <w:shd w:val="clear" w:color="auto" w:fill="auto"/>
          </w:tcPr>
          <w:p w:rsidR="00AC74CA" w:rsidRPr="009C75E1" w:rsidRDefault="00AC74CA" w:rsidP="0079525F">
            <w:pPr>
              <w:keepNext/>
              <w:keepLines/>
              <w:rPr>
                <w:rFonts w:ascii="Arial" w:hAnsi="Arial" w:cs="Arial"/>
                <w:sz w:val="20"/>
                <w:szCs w:val="20"/>
              </w:rPr>
            </w:pPr>
            <w:r w:rsidRPr="009C75E1">
              <w:rPr>
                <w:rFonts w:ascii="Arial" w:hAnsi="Arial" w:cs="Arial"/>
                <w:sz w:val="20"/>
                <w:szCs w:val="20"/>
              </w:rPr>
              <w:t>Load Impact (MW)</w:t>
            </w:r>
          </w:p>
        </w:tc>
        <w:tc>
          <w:tcPr>
            <w:tcW w:w="1771"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1.8</w:t>
            </w:r>
          </w:p>
        </w:tc>
        <w:tc>
          <w:tcPr>
            <w:tcW w:w="1772"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2.0</w:t>
            </w:r>
          </w:p>
        </w:tc>
      </w:tr>
      <w:tr w:rsidR="00AC74CA" w:rsidRPr="009C75E1" w:rsidTr="0079525F">
        <w:trPr>
          <w:jc w:val="center"/>
        </w:trPr>
        <w:tc>
          <w:tcPr>
            <w:tcW w:w="1548" w:type="dxa"/>
            <w:vMerge w:val="restart"/>
            <w:shd w:val="clear" w:color="auto" w:fill="auto"/>
            <w:vAlign w:val="center"/>
          </w:tcPr>
          <w:p w:rsidR="00AC74CA" w:rsidRPr="009C75E1" w:rsidRDefault="00AC74CA" w:rsidP="0079525F">
            <w:pPr>
              <w:keepNext/>
              <w:keepLines/>
              <w:rPr>
                <w:rFonts w:ascii="Arial" w:hAnsi="Arial" w:cs="Arial"/>
                <w:b/>
                <w:sz w:val="20"/>
                <w:szCs w:val="20"/>
              </w:rPr>
            </w:pPr>
            <w:r w:rsidRPr="009C75E1">
              <w:rPr>
                <w:rFonts w:ascii="Arial" w:hAnsi="Arial" w:cs="Arial"/>
                <w:b/>
                <w:sz w:val="20"/>
                <w:szCs w:val="20"/>
              </w:rPr>
              <w:t>Per SAID</w:t>
            </w:r>
          </w:p>
        </w:tc>
        <w:tc>
          <w:tcPr>
            <w:tcW w:w="1994" w:type="dxa"/>
            <w:shd w:val="clear" w:color="auto" w:fill="auto"/>
          </w:tcPr>
          <w:p w:rsidR="00AC74CA" w:rsidRPr="009C75E1" w:rsidRDefault="00AC74CA" w:rsidP="0079525F">
            <w:pPr>
              <w:keepNext/>
              <w:keepLines/>
              <w:rPr>
                <w:rFonts w:ascii="Arial" w:hAnsi="Arial" w:cs="Arial"/>
                <w:sz w:val="20"/>
                <w:szCs w:val="20"/>
              </w:rPr>
            </w:pPr>
            <w:r w:rsidRPr="009C75E1">
              <w:rPr>
                <w:rFonts w:ascii="Arial" w:hAnsi="Arial" w:cs="Arial"/>
                <w:sz w:val="20"/>
                <w:szCs w:val="20"/>
              </w:rPr>
              <w:t>Reference (kW)</w:t>
            </w:r>
          </w:p>
        </w:tc>
        <w:tc>
          <w:tcPr>
            <w:tcW w:w="1771"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484</w:t>
            </w:r>
          </w:p>
        </w:tc>
        <w:tc>
          <w:tcPr>
            <w:tcW w:w="1772"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575</w:t>
            </w:r>
          </w:p>
        </w:tc>
      </w:tr>
      <w:tr w:rsidR="00AC74CA" w:rsidRPr="009C75E1" w:rsidTr="0079525F">
        <w:trPr>
          <w:jc w:val="center"/>
        </w:trPr>
        <w:tc>
          <w:tcPr>
            <w:tcW w:w="1548" w:type="dxa"/>
            <w:vMerge/>
            <w:shd w:val="clear" w:color="auto" w:fill="auto"/>
          </w:tcPr>
          <w:p w:rsidR="00AC74CA" w:rsidRPr="009C75E1" w:rsidRDefault="00AC74CA" w:rsidP="0079525F">
            <w:pPr>
              <w:keepNext/>
              <w:keepLines/>
              <w:rPr>
                <w:rFonts w:ascii="Arial" w:hAnsi="Arial" w:cs="Arial"/>
                <w:sz w:val="20"/>
                <w:szCs w:val="20"/>
              </w:rPr>
            </w:pPr>
          </w:p>
        </w:tc>
        <w:tc>
          <w:tcPr>
            <w:tcW w:w="1994" w:type="dxa"/>
            <w:shd w:val="clear" w:color="auto" w:fill="auto"/>
          </w:tcPr>
          <w:p w:rsidR="00AC74CA" w:rsidRPr="009C75E1" w:rsidRDefault="00AC74CA" w:rsidP="0079525F">
            <w:pPr>
              <w:keepNext/>
              <w:keepLines/>
              <w:rPr>
                <w:rFonts w:ascii="Arial" w:hAnsi="Arial" w:cs="Arial"/>
                <w:sz w:val="20"/>
                <w:szCs w:val="20"/>
              </w:rPr>
            </w:pPr>
            <w:r w:rsidRPr="009C75E1">
              <w:rPr>
                <w:rFonts w:ascii="Arial" w:hAnsi="Arial" w:cs="Arial"/>
                <w:sz w:val="20"/>
                <w:szCs w:val="20"/>
              </w:rPr>
              <w:t>Load Impact (kW)</w:t>
            </w:r>
          </w:p>
        </w:tc>
        <w:tc>
          <w:tcPr>
            <w:tcW w:w="1771"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262</w:t>
            </w:r>
          </w:p>
        </w:tc>
        <w:tc>
          <w:tcPr>
            <w:tcW w:w="1772"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288</w:t>
            </w:r>
          </w:p>
        </w:tc>
      </w:tr>
      <w:tr w:rsidR="00AC74CA" w:rsidRPr="009C75E1" w:rsidTr="0079525F">
        <w:trPr>
          <w:jc w:val="center"/>
        </w:trPr>
        <w:tc>
          <w:tcPr>
            <w:tcW w:w="1548" w:type="dxa"/>
            <w:vMerge/>
            <w:shd w:val="clear" w:color="auto" w:fill="auto"/>
          </w:tcPr>
          <w:p w:rsidR="00AC74CA" w:rsidRPr="009C75E1" w:rsidRDefault="00AC74CA" w:rsidP="0079525F">
            <w:pPr>
              <w:keepNext/>
              <w:keepLines/>
              <w:rPr>
                <w:rFonts w:ascii="Arial" w:hAnsi="Arial" w:cs="Arial"/>
                <w:sz w:val="20"/>
                <w:szCs w:val="20"/>
              </w:rPr>
            </w:pPr>
          </w:p>
        </w:tc>
        <w:tc>
          <w:tcPr>
            <w:tcW w:w="1994" w:type="dxa"/>
            <w:shd w:val="clear" w:color="auto" w:fill="auto"/>
          </w:tcPr>
          <w:p w:rsidR="00AC74CA" w:rsidRPr="009C75E1" w:rsidRDefault="00AC74CA" w:rsidP="0079525F">
            <w:pPr>
              <w:keepNext/>
              <w:keepLines/>
              <w:rPr>
                <w:rFonts w:ascii="Arial" w:hAnsi="Arial" w:cs="Arial"/>
                <w:sz w:val="20"/>
                <w:szCs w:val="20"/>
              </w:rPr>
            </w:pPr>
            <w:r w:rsidRPr="009C75E1">
              <w:rPr>
                <w:rFonts w:ascii="Arial" w:hAnsi="Arial" w:cs="Arial"/>
                <w:sz w:val="20"/>
                <w:szCs w:val="20"/>
              </w:rPr>
              <w:t>% Load Impact</w:t>
            </w:r>
          </w:p>
        </w:tc>
        <w:tc>
          <w:tcPr>
            <w:tcW w:w="1771"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54.1%</w:t>
            </w:r>
          </w:p>
        </w:tc>
        <w:tc>
          <w:tcPr>
            <w:tcW w:w="1772" w:type="dxa"/>
            <w:shd w:val="clear" w:color="auto" w:fill="auto"/>
          </w:tcPr>
          <w:p w:rsidR="00AC74CA" w:rsidRPr="009C75E1" w:rsidRDefault="00AC74CA" w:rsidP="0079525F">
            <w:pPr>
              <w:keepNext/>
              <w:keepLines/>
              <w:jc w:val="center"/>
              <w:rPr>
                <w:rFonts w:ascii="Arial" w:hAnsi="Arial" w:cs="Arial"/>
                <w:sz w:val="20"/>
                <w:szCs w:val="20"/>
              </w:rPr>
            </w:pPr>
            <w:r>
              <w:rPr>
                <w:rFonts w:ascii="Arial" w:hAnsi="Arial" w:cs="Arial"/>
                <w:sz w:val="20"/>
                <w:szCs w:val="20"/>
              </w:rPr>
              <w:t>50.1%</w:t>
            </w:r>
          </w:p>
        </w:tc>
      </w:tr>
    </w:tbl>
    <w:p w:rsidR="00AC74CA" w:rsidRDefault="00AC74CA" w:rsidP="0031611E">
      <w:pPr>
        <w:pStyle w:val="TableCaption"/>
        <w:keepLines/>
        <w:rPr>
          <w:i/>
        </w:rPr>
      </w:pPr>
    </w:p>
    <w:p w:rsidR="00A53241" w:rsidRDefault="00F1201D" w:rsidP="00F1201D">
      <w:pPr>
        <w:pStyle w:val="Heading2"/>
        <w:rPr>
          <w:rFonts w:ascii="Times New Roman" w:hAnsi="Times New Roman" w:cs="Times New Roman"/>
          <w:color w:val="000000" w:themeColor="text1"/>
        </w:rPr>
      </w:pPr>
      <w:bookmarkStart w:id="131" w:name="_Toc415748984"/>
      <w:r w:rsidRPr="00F1201D">
        <w:rPr>
          <w:rFonts w:ascii="Times New Roman" w:hAnsi="Times New Roman" w:cs="Times New Roman"/>
          <w:color w:val="000000" w:themeColor="text1"/>
        </w:rPr>
        <w:t xml:space="preserve">BIP Comparison of </w:t>
      </w:r>
      <w:r>
        <w:rPr>
          <w:rFonts w:ascii="Times New Roman" w:hAnsi="Times New Roman" w:cs="Times New Roman"/>
          <w:color w:val="000000" w:themeColor="text1"/>
        </w:rPr>
        <w:t>c</w:t>
      </w:r>
      <w:r w:rsidRPr="00F1201D">
        <w:rPr>
          <w:rFonts w:ascii="Times New Roman" w:hAnsi="Times New Roman" w:cs="Times New Roman"/>
          <w:color w:val="000000" w:themeColor="text1"/>
        </w:rPr>
        <w:t>urrent ex post versus current ex ante</w:t>
      </w:r>
      <w:bookmarkEnd w:id="131"/>
    </w:p>
    <w:p w:rsidR="00F1201D" w:rsidRPr="00F1201D" w:rsidRDefault="00F1201D" w:rsidP="00F1201D"/>
    <w:p w:rsidR="00F1201D" w:rsidRDefault="00F1201D" w:rsidP="00F1201D">
      <w:pPr>
        <w:spacing w:line="276" w:lineRule="auto"/>
        <w:ind w:firstLine="576"/>
      </w:pPr>
      <w:r>
        <w:t xml:space="preserve">Table 4.10 describes the factors that differ between the ex post and ex ante load impacts for SDG&amp;E. The ex ante forecast is based on the ex post achievement (i.e., observed loads) relative to the FSL during event hours. So in that way, the ex post and ex ante load impacts match. The key difference in the level (MW) and percentage load impacts is that the historical event occurred earlier in the day when program loads are high relative to the loads during the 1:00 to 4:00 p.m. ex ante event window. Therefore, the level of the ex ante load impacts is lower than the ex post load impacts. </w:t>
      </w:r>
    </w:p>
    <w:p w:rsidR="00F1201D" w:rsidRDefault="00F1201D" w:rsidP="00F1201D">
      <w:pPr>
        <w:spacing w:line="276" w:lineRule="auto"/>
      </w:pPr>
    </w:p>
    <w:p w:rsidR="00F1201D" w:rsidRDefault="00F1201D" w:rsidP="00F1201D">
      <w:pPr>
        <w:spacing w:line="276" w:lineRule="auto"/>
      </w:pPr>
      <w:r>
        <w:lastRenderedPageBreak/>
        <w:t>Enrollments are not a factor because the customers enrolled during PY2014 are carried forward into the ex ante forecast. Weather is not a factor because the program reference load is not very weather sensitive.</w:t>
      </w:r>
    </w:p>
    <w:p w:rsidR="00F1201D" w:rsidRDefault="00F1201D" w:rsidP="00F1201D"/>
    <w:p w:rsidR="00F1201D" w:rsidRPr="008E5D4C" w:rsidRDefault="00F1201D" w:rsidP="00F1201D">
      <w:pPr>
        <w:pStyle w:val="TableCaption"/>
        <w:keepLines/>
      </w:pPr>
      <w:bookmarkStart w:id="132" w:name="_Toc383598027"/>
      <w:bookmarkStart w:id="133" w:name="_Toc413664224"/>
      <w:r>
        <w:t>Table</w:t>
      </w:r>
      <w:r w:rsidRPr="008E5D4C">
        <w:t xml:space="preserve"> </w:t>
      </w:r>
      <w:r>
        <w:t>4.10</w:t>
      </w:r>
      <w:r w:rsidRPr="008E5D4C">
        <w:t xml:space="preserve">: </w:t>
      </w:r>
      <w:r>
        <w:t>SDG&amp;</w:t>
      </w:r>
      <w:r w:rsidRPr="008E5D4C">
        <w:t xml:space="preserve">E </w:t>
      </w:r>
      <w:r>
        <w:t>BIP Ex Post versus Ex Ante Factors</w:t>
      </w:r>
      <w:bookmarkEnd w:id="132"/>
      <w:r>
        <w:t>, Typical Event Day</w:t>
      </w:r>
      <w:bookmarkEnd w:id="133"/>
    </w:p>
    <w:tbl>
      <w:tblPr>
        <w:tblW w:w="9452" w:type="dxa"/>
        <w:jc w:val="center"/>
        <w:tblLook w:val="04A0" w:firstRow="1" w:lastRow="0" w:firstColumn="1" w:lastColumn="0" w:noHBand="0" w:noVBand="1"/>
      </w:tblPr>
      <w:tblGrid>
        <w:gridCol w:w="1518"/>
        <w:gridCol w:w="3028"/>
        <w:gridCol w:w="2340"/>
        <w:gridCol w:w="2566"/>
      </w:tblGrid>
      <w:tr w:rsidR="00F1201D" w:rsidRPr="008E5D4C" w:rsidTr="00324486">
        <w:trPr>
          <w:trHeight w:val="510"/>
          <w:jc w:val="center"/>
        </w:trPr>
        <w:tc>
          <w:tcPr>
            <w:tcW w:w="151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F1201D" w:rsidRPr="008E5D4C" w:rsidRDefault="00F1201D" w:rsidP="00324486">
            <w:pPr>
              <w:pStyle w:val="TableHeader"/>
              <w:keepNext/>
              <w:keepLines/>
              <w:rPr>
                <w:color w:val="auto"/>
                <w:szCs w:val="20"/>
              </w:rPr>
            </w:pPr>
            <w:r w:rsidRPr="008E5D4C">
              <w:rPr>
                <w:color w:val="auto"/>
                <w:szCs w:val="20"/>
              </w:rPr>
              <w:t>Factor</w:t>
            </w:r>
          </w:p>
        </w:tc>
        <w:tc>
          <w:tcPr>
            <w:tcW w:w="3028"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F1201D" w:rsidRPr="008E5D4C" w:rsidRDefault="00F1201D" w:rsidP="00324486">
            <w:pPr>
              <w:pStyle w:val="TableHeader"/>
              <w:keepNext/>
              <w:keepLines/>
              <w:rPr>
                <w:color w:val="auto"/>
                <w:szCs w:val="20"/>
              </w:rPr>
            </w:pPr>
            <w:r w:rsidRPr="008E5D4C">
              <w:rPr>
                <w:color w:val="auto"/>
                <w:szCs w:val="20"/>
              </w:rPr>
              <w:t>Ex Post</w:t>
            </w:r>
          </w:p>
        </w:tc>
        <w:tc>
          <w:tcPr>
            <w:tcW w:w="2340"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F1201D" w:rsidRPr="008E5D4C" w:rsidRDefault="00F1201D" w:rsidP="00324486">
            <w:pPr>
              <w:pStyle w:val="TableHeader"/>
              <w:keepNext/>
              <w:keepLines/>
              <w:rPr>
                <w:color w:val="auto"/>
                <w:szCs w:val="20"/>
              </w:rPr>
            </w:pPr>
            <w:r w:rsidRPr="008E5D4C">
              <w:rPr>
                <w:color w:val="auto"/>
                <w:szCs w:val="20"/>
              </w:rPr>
              <w:t>Ex Ante</w:t>
            </w:r>
          </w:p>
        </w:tc>
        <w:tc>
          <w:tcPr>
            <w:tcW w:w="2566" w:type="dxa"/>
            <w:tcBorders>
              <w:top w:val="single" w:sz="4" w:space="0" w:color="auto"/>
              <w:left w:val="single" w:sz="4" w:space="0" w:color="auto"/>
              <w:bottom w:val="single" w:sz="4" w:space="0" w:color="auto"/>
              <w:right w:val="single" w:sz="4" w:space="0" w:color="auto"/>
            </w:tcBorders>
            <w:shd w:val="clear" w:color="auto" w:fill="D9E2F3"/>
            <w:vAlign w:val="center"/>
            <w:hideMark/>
          </w:tcPr>
          <w:p w:rsidR="00F1201D" w:rsidRPr="008E5D4C" w:rsidRDefault="00F1201D" w:rsidP="00324486">
            <w:pPr>
              <w:pStyle w:val="TableHeader"/>
              <w:keepNext/>
              <w:keepLines/>
              <w:rPr>
                <w:color w:val="auto"/>
                <w:szCs w:val="20"/>
              </w:rPr>
            </w:pPr>
            <w:r w:rsidRPr="008E5D4C">
              <w:rPr>
                <w:color w:val="auto"/>
                <w:szCs w:val="20"/>
              </w:rPr>
              <w:t>Expected Impact</w:t>
            </w:r>
          </w:p>
        </w:tc>
      </w:tr>
      <w:tr w:rsidR="00F1201D" w:rsidRPr="007F356D" w:rsidTr="00324486">
        <w:trPr>
          <w:trHeight w:val="300"/>
          <w:jc w:val="center"/>
        </w:trPr>
        <w:tc>
          <w:tcPr>
            <w:tcW w:w="1518" w:type="dxa"/>
            <w:tcBorders>
              <w:top w:val="single" w:sz="4" w:space="0" w:color="auto"/>
              <w:left w:val="single" w:sz="4" w:space="0" w:color="auto"/>
              <w:bottom w:val="single" w:sz="4" w:space="0" w:color="auto"/>
              <w:right w:val="single" w:sz="4" w:space="0" w:color="auto"/>
            </w:tcBorders>
            <w:shd w:val="clear" w:color="auto" w:fill="auto"/>
            <w:noWrap/>
            <w:hideMark/>
          </w:tcPr>
          <w:p w:rsidR="00F1201D" w:rsidRPr="008E5D4C" w:rsidRDefault="00F1201D" w:rsidP="00324486">
            <w:pPr>
              <w:pStyle w:val="TableText"/>
              <w:keepNext/>
              <w:keepLines/>
              <w:rPr>
                <w:sz w:val="20"/>
                <w:szCs w:val="20"/>
              </w:rPr>
            </w:pPr>
            <w:r w:rsidRPr="008E5D4C">
              <w:rPr>
                <w:sz w:val="20"/>
                <w:szCs w:val="20"/>
              </w:rPr>
              <w:t>Weather</w:t>
            </w:r>
          </w:p>
        </w:tc>
        <w:tc>
          <w:tcPr>
            <w:tcW w:w="3028" w:type="dxa"/>
            <w:tcBorders>
              <w:top w:val="single" w:sz="4" w:space="0" w:color="auto"/>
              <w:left w:val="nil"/>
              <w:bottom w:val="single" w:sz="4" w:space="0" w:color="auto"/>
              <w:right w:val="single" w:sz="4" w:space="0" w:color="auto"/>
            </w:tcBorders>
            <w:shd w:val="clear" w:color="auto" w:fill="auto"/>
            <w:noWrap/>
          </w:tcPr>
          <w:p w:rsidR="00F1201D" w:rsidRPr="008E5D4C" w:rsidRDefault="00F1201D" w:rsidP="00324486">
            <w:pPr>
              <w:pStyle w:val="TableText"/>
              <w:keepNext/>
              <w:keepLines/>
              <w:spacing w:after="120"/>
              <w:rPr>
                <w:rFonts w:cs="Calibri"/>
                <w:sz w:val="20"/>
                <w:szCs w:val="20"/>
              </w:rPr>
            </w:pPr>
            <w:r>
              <w:rPr>
                <w:rFonts w:cs="Calibri"/>
                <w:sz w:val="20"/>
                <w:szCs w:val="20"/>
              </w:rPr>
              <w:t>89.1 degrees Fahrenheit during HE 12-15 on the May 16</w:t>
            </w:r>
            <w:r w:rsidRPr="00E70197">
              <w:rPr>
                <w:rFonts w:cs="Calibri"/>
                <w:sz w:val="20"/>
                <w:szCs w:val="20"/>
                <w:vertAlign w:val="superscript"/>
              </w:rPr>
              <w:t>th</w:t>
            </w:r>
            <w:r>
              <w:rPr>
                <w:rFonts w:cs="Calibri"/>
                <w:sz w:val="20"/>
                <w:szCs w:val="20"/>
              </w:rPr>
              <w:t xml:space="preserve"> event day</w:t>
            </w:r>
          </w:p>
        </w:tc>
        <w:tc>
          <w:tcPr>
            <w:tcW w:w="2340" w:type="dxa"/>
            <w:tcBorders>
              <w:top w:val="single" w:sz="4" w:space="0" w:color="auto"/>
              <w:left w:val="nil"/>
              <w:bottom w:val="single" w:sz="4" w:space="0" w:color="auto"/>
              <w:right w:val="single" w:sz="4" w:space="0" w:color="auto"/>
            </w:tcBorders>
            <w:shd w:val="clear" w:color="000000" w:fill="FFFFFF"/>
          </w:tcPr>
          <w:p w:rsidR="00F1201D" w:rsidRPr="008E5D4C" w:rsidRDefault="00F1201D" w:rsidP="00324486">
            <w:pPr>
              <w:pStyle w:val="TableText"/>
              <w:keepNext/>
              <w:keepLines/>
              <w:rPr>
                <w:sz w:val="20"/>
                <w:szCs w:val="20"/>
              </w:rPr>
            </w:pPr>
            <w:r>
              <w:rPr>
                <w:sz w:val="20"/>
                <w:szCs w:val="20"/>
              </w:rPr>
              <w:t>80.0</w:t>
            </w:r>
            <w:r>
              <w:rPr>
                <w:rFonts w:cs="Calibri"/>
                <w:sz w:val="20"/>
                <w:szCs w:val="20"/>
              </w:rPr>
              <w:t xml:space="preserve"> degrees Fahrenheit during HE 14-18 on utility-specific 1-in-2 typical event day</w:t>
            </w:r>
          </w:p>
        </w:tc>
        <w:tc>
          <w:tcPr>
            <w:tcW w:w="2566" w:type="dxa"/>
            <w:tcBorders>
              <w:top w:val="single" w:sz="4" w:space="0" w:color="auto"/>
              <w:left w:val="nil"/>
              <w:bottom w:val="single" w:sz="4" w:space="0" w:color="auto"/>
              <w:right w:val="single" w:sz="4" w:space="0" w:color="auto"/>
            </w:tcBorders>
            <w:shd w:val="clear" w:color="000000" w:fill="FFFFFF"/>
          </w:tcPr>
          <w:p w:rsidR="00F1201D" w:rsidRPr="008E5D4C" w:rsidRDefault="00F1201D" w:rsidP="00324486">
            <w:pPr>
              <w:pStyle w:val="TableText"/>
              <w:keepNext/>
              <w:keepLines/>
              <w:rPr>
                <w:sz w:val="20"/>
                <w:szCs w:val="20"/>
              </w:rPr>
            </w:pPr>
            <w:r>
              <w:rPr>
                <w:sz w:val="20"/>
                <w:szCs w:val="20"/>
              </w:rPr>
              <w:t>Program load is not very weather sensitive, so a small effect.</w:t>
            </w:r>
          </w:p>
        </w:tc>
      </w:tr>
      <w:tr w:rsidR="00F1201D" w:rsidRPr="007F356D" w:rsidTr="00324486">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F1201D" w:rsidRPr="008E5D4C" w:rsidRDefault="00F1201D" w:rsidP="00324486">
            <w:pPr>
              <w:pStyle w:val="TableText"/>
              <w:keepNext/>
              <w:keepLines/>
              <w:rPr>
                <w:sz w:val="20"/>
                <w:szCs w:val="20"/>
              </w:rPr>
            </w:pPr>
            <w:r w:rsidRPr="008E5D4C">
              <w:rPr>
                <w:sz w:val="20"/>
                <w:szCs w:val="20"/>
              </w:rPr>
              <w:t>Event window</w:t>
            </w:r>
          </w:p>
        </w:tc>
        <w:tc>
          <w:tcPr>
            <w:tcW w:w="3028" w:type="dxa"/>
            <w:tcBorders>
              <w:top w:val="nil"/>
              <w:left w:val="nil"/>
              <w:bottom w:val="single" w:sz="4" w:space="0" w:color="auto"/>
              <w:right w:val="single" w:sz="4" w:space="0" w:color="auto"/>
            </w:tcBorders>
            <w:shd w:val="clear" w:color="auto" w:fill="auto"/>
            <w:noWrap/>
          </w:tcPr>
          <w:p w:rsidR="00F1201D" w:rsidRPr="008E5D4C" w:rsidRDefault="00F1201D" w:rsidP="00324486">
            <w:pPr>
              <w:pStyle w:val="TableText"/>
              <w:keepNext/>
              <w:keepLines/>
              <w:rPr>
                <w:rFonts w:cs="Calibri"/>
                <w:sz w:val="20"/>
                <w:szCs w:val="20"/>
              </w:rPr>
            </w:pPr>
            <w:r>
              <w:rPr>
                <w:rFonts w:cs="Calibri"/>
                <w:sz w:val="20"/>
                <w:szCs w:val="20"/>
              </w:rPr>
              <w:t>HE 12-15</w:t>
            </w:r>
          </w:p>
        </w:tc>
        <w:tc>
          <w:tcPr>
            <w:tcW w:w="2340" w:type="dxa"/>
            <w:tcBorders>
              <w:top w:val="nil"/>
              <w:left w:val="nil"/>
              <w:bottom w:val="single" w:sz="4" w:space="0" w:color="auto"/>
              <w:right w:val="single" w:sz="4" w:space="0" w:color="auto"/>
            </w:tcBorders>
            <w:shd w:val="clear" w:color="000000" w:fill="FFFFFF"/>
          </w:tcPr>
          <w:p w:rsidR="00F1201D" w:rsidRPr="008E5D4C" w:rsidRDefault="00F1201D" w:rsidP="00324486">
            <w:pPr>
              <w:pStyle w:val="TableText"/>
              <w:keepNext/>
              <w:keepLines/>
              <w:rPr>
                <w:sz w:val="20"/>
                <w:szCs w:val="20"/>
              </w:rPr>
            </w:pPr>
            <w:r>
              <w:rPr>
                <w:sz w:val="20"/>
                <w:szCs w:val="20"/>
              </w:rPr>
              <w:t>HE 14-18 in Apr-Oct.</w:t>
            </w:r>
          </w:p>
        </w:tc>
        <w:tc>
          <w:tcPr>
            <w:tcW w:w="2566" w:type="dxa"/>
            <w:tcBorders>
              <w:top w:val="nil"/>
              <w:left w:val="nil"/>
              <w:bottom w:val="single" w:sz="4" w:space="0" w:color="auto"/>
              <w:right w:val="single" w:sz="4" w:space="0" w:color="auto"/>
            </w:tcBorders>
            <w:shd w:val="clear" w:color="000000" w:fill="FFFFFF"/>
          </w:tcPr>
          <w:p w:rsidR="00F1201D" w:rsidRPr="008E5D4C" w:rsidRDefault="00F1201D" w:rsidP="00324486">
            <w:pPr>
              <w:pStyle w:val="TableText"/>
              <w:keepNext/>
              <w:keepLines/>
              <w:rPr>
                <w:sz w:val="20"/>
                <w:szCs w:val="20"/>
              </w:rPr>
            </w:pPr>
            <w:r>
              <w:rPr>
                <w:sz w:val="20"/>
                <w:szCs w:val="20"/>
              </w:rPr>
              <w:t>Reference loads are higher earlier in the day, so the load impacts are higher in ex post even though the event-day loads relative to FSL are set to be the same.</w:t>
            </w:r>
          </w:p>
        </w:tc>
      </w:tr>
      <w:tr w:rsidR="00F1201D" w:rsidRPr="007F356D" w:rsidTr="00324486">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F1201D" w:rsidRPr="008E5D4C" w:rsidRDefault="00F1201D" w:rsidP="00324486">
            <w:pPr>
              <w:pStyle w:val="TableText"/>
              <w:keepNext/>
              <w:keepLines/>
              <w:rPr>
                <w:sz w:val="20"/>
                <w:szCs w:val="20"/>
              </w:rPr>
            </w:pPr>
            <w:r w:rsidRPr="008E5D4C">
              <w:rPr>
                <w:sz w:val="20"/>
                <w:szCs w:val="20"/>
              </w:rPr>
              <w:t>% of resource dispatched</w:t>
            </w:r>
          </w:p>
        </w:tc>
        <w:tc>
          <w:tcPr>
            <w:tcW w:w="3028" w:type="dxa"/>
            <w:tcBorders>
              <w:top w:val="nil"/>
              <w:left w:val="nil"/>
              <w:bottom w:val="single" w:sz="4" w:space="0" w:color="auto"/>
              <w:right w:val="single" w:sz="4" w:space="0" w:color="auto"/>
            </w:tcBorders>
            <w:shd w:val="clear" w:color="auto" w:fill="auto"/>
            <w:noWrap/>
          </w:tcPr>
          <w:p w:rsidR="00F1201D" w:rsidRPr="008E5D4C" w:rsidRDefault="00F1201D" w:rsidP="00324486">
            <w:pPr>
              <w:pStyle w:val="TableText"/>
              <w:keepNext/>
              <w:keepLines/>
              <w:rPr>
                <w:rFonts w:cs="Calibri"/>
                <w:sz w:val="20"/>
                <w:szCs w:val="20"/>
              </w:rPr>
            </w:pPr>
            <w:r>
              <w:rPr>
                <w:rFonts w:cs="Calibri"/>
                <w:sz w:val="20"/>
                <w:szCs w:val="20"/>
              </w:rPr>
              <w:t>All</w:t>
            </w:r>
          </w:p>
        </w:tc>
        <w:tc>
          <w:tcPr>
            <w:tcW w:w="2340" w:type="dxa"/>
            <w:tcBorders>
              <w:top w:val="nil"/>
              <w:left w:val="nil"/>
              <w:bottom w:val="single" w:sz="4" w:space="0" w:color="auto"/>
              <w:right w:val="single" w:sz="4" w:space="0" w:color="auto"/>
            </w:tcBorders>
            <w:shd w:val="clear" w:color="000000" w:fill="FFFFFF"/>
          </w:tcPr>
          <w:p w:rsidR="00F1201D" w:rsidRPr="008E5D4C" w:rsidRDefault="00F1201D" w:rsidP="00324486">
            <w:pPr>
              <w:pStyle w:val="TableText"/>
              <w:keepNext/>
              <w:keepLines/>
              <w:rPr>
                <w:sz w:val="20"/>
                <w:szCs w:val="20"/>
              </w:rPr>
            </w:pPr>
            <w:r>
              <w:rPr>
                <w:sz w:val="20"/>
                <w:szCs w:val="20"/>
              </w:rPr>
              <w:t>All</w:t>
            </w:r>
          </w:p>
        </w:tc>
        <w:tc>
          <w:tcPr>
            <w:tcW w:w="2566" w:type="dxa"/>
            <w:tcBorders>
              <w:top w:val="nil"/>
              <w:left w:val="nil"/>
              <w:bottom w:val="single" w:sz="4" w:space="0" w:color="auto"/>
              <w:right w:val="single" w:sz="4" w:space="0" w:color="auto"/>
            </w:tcBorders>
            <w:shd w:val="clear" w:color="000000" w:fill="FFFFFF"/>
          </w:tcPr>
          <w:p w:rsidR="00F1201D" w:rsidRPr="008E5D4C" w:rsidRDefault="00F1201D" w:rsidP="00324486">
            <w:pPr>
              <w:pStyle w:val="TableText"/>
              <w:keepNext/>
              <w:keepLines/>
              <w:rPr>
                <w:sz w:val="20"/>
                <w:szCs w:val="20"/>
              </w:rPr>
            </w:pPr>
            <w:r>
              <w:rPr>
                <w:sz w:val="20"/>
                <w:szCs w:val="20"/>
              </w:rPr>
              <w:t>None</w:t>
            </w:r>
          </w:p>
        </w:tc>
      </w:tr>
      <w:tr w:rsidR="00F1201D" w:rsidRPr="007F356D" w:rsidTr="00324486">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F1201D" w:rsidRPr="008E5D4C" w:rsidRDefault="00F1201D" w:rsidP="00324486">
            <w:pPr>
              <w:pStyle w:val="TableText"/>
              <w:keepNext/>
              <w:keepLines/>
              <w:rPr>
                <w:sz w:val="20"/>
                <w:szCs w:val="20"/>
              </w:rPr>
            </w:pPr>
            <w:r w:rsidRPr="008E5D4C">
              <w:rPr>
                <w:sz w:val="20"/>
                <w:szCs w:val="20"/>
              </w:rPr>
              <w:t>Enrollment</w:t>
            </w:r>
          </w:p>
        </w:tc>
        <w:tc>
          <w:tcPr>
            <w:tcW w:w="3028" w:type="dxa"/>
            <w:tcBorders>
              <w:top w:val="nil"/>
              <w:left w:val="nil"/>
              <w:bottom w:val="single" w:sz="4" w:space="0" w:color="auto"/>
              <w:right w:val="single" w:sz="4" w:space="0" w:color="auto"/>
            </w:tcBorders>
            <w:shd w:val="clear" w:color="auto" w:fill="auto"/>
            <w:noWrap/>
          </w:tcPr>
          <w:p w:rsidR="00F1201D" w:rsidRPr="00370ECC" w:rsidRDefault="00F1201D" w:rsidP="00324486">
            <w:pPr>
              <w:pStyle w:val="TableText"/>
              <w:keepNext/>
              <w:keepLines/>
              <w:rPr>
                <w:rFonts w:cs="Calibri"/>
                <w:sz w:val="20"/>
                <w:szCs w:val="20"/>
              </w:rPr>
            </w:pPr>
            <w:r w:rsidRPr="00370ECC">
              <w:rPr>
                <w:rFonts w:cs="Calibri"/>
                <w:sz w:val="20"/>
                <w:szCs w:val="20"/>
              </w:rPr>
              <w:t>7 service accounts</w:t>
            </w:r>
          </w:p>
        </w:tc>
        <w:tc>
          <w:tcPr>
            <w:tcW w:w="2340" w:type="dxa"/>
            <w:tcBorders>
              <w:top w:val="nil"/>
              <w:left w:val="nil"/>
              <w:bottom w:val="single" w:sz="4" w:space="0" w:color="auto"/>
              <w:right w:val="single" w:sz="4" w:space="0" w:color="auto"/>
            </w:tcBorders>
            <w:shd w:val="clear" w:color="000000" w:fill="FFFFFF"/>
          </w:tcPr>
          <w:p w:rsidR="00F1201D" w:rsidRPr="00370ECC" w:rsidRDefault="00F1201D" w:rsidP="00324486">
            <w:pPr>
              <w:pStyle w:val="TableText"/>
              <w:keepNext/>
              <w:keepLines/>
              <w:rPr>
                <w:sz w:val="20"/>
                <w:szCs w:val="20"/>
              </w:rPr>
            </w:pPr>
            <w:r w:rsidRPr="00370ECC">
              <w:rPr>
                <w:sz w:val="20"/>
                <w:szCs w:val="20"/>
              </w:rPr>
              <w:t>7 service accounts</w:t>
            </w:r>
          </w:p>
        </w:tc>
        <w:tc>
          <w:tcPr>
            <w:tcW w:w="2566" w:type="dxa"/>
            <w:tcBorders>
              <w:top w:val="nil"/>
              <w:left w:val="nil"/>
              <w:bottom w:val="single" w:sz="4" w:space="0" w:color="auto"/>
              <w:right w:val="single" w:sz="4" w:space="0" w:color="auto"/>
            </w:tcBorders>
            <w:shd w:val="clear" w:color="000000" w:fill="FFFFFF"/>
          </w:tcPr>
          <w:p w:rsidR="00F1201D" w:rsidRPr="008E5D4C" w:rsidRDefault="00F1201D" w:rsidP="00324486">
            <w:pPr>
              <w:pStyle w:val="TableText"/>
              <w:keepNext/>
              <w:keepLines/>
              <w:rPr>
                <w:sz w:val="20"/>
                <w:szCs w:val="20"/>
              </w:rPr>
            </w:pPr>
            <w:r>
              <w:rPr>
                <w:sz w:val="20"/>
                <w:szCs w:val="20"/>
              </w:rPr>
              <w:t>None. We assume that enrollment does not change in the forecast period.</w:t>
            </w:r>
          </w:p>
        </w:tc>
      </w:tr>
      <w:tr w:rsidR="00F1201D" w:rsidRPr="007F356D" w:rsidTr="00324486">
        <w:trPr>
          <w:trHeight w:val="300"/>
          <w:jc w:val="center"/>
        </w:trPr>
        <w:tc>
          <w:tcPr>
            <w:tcW w:w="1518" w:type="dxa"/>
            <w:tcBorders>
              <w:top w:val="nil"/>
              <w:left w:val="single" w:sz="4" w:space="0" w:color="auto"/>
              <w:bottom w:val="single" w:sz="4" w:space="0" w:color="auto"/>
              <w:right w:val="single" w:sz="4" w:space="0" w:color="auto"/>
            </w:tcBorders>
            <w:shd w:val="clear" w:color="auto" w:fill="auto"/>
            <w:noWrap/>
            <w:hideMark/>
          </w:tcPr>
          <w:p w:rsidR="00F1201D" w:rsidRPr="008E5D4C" w:rsidRDefault="00F1201D" w:rsidP="00324486">
            <w:pPr>
              <w:pStyle w:val="TableText"/>
              <w:keepNext/>
              <w:keepLines/>
              <w:rPr>
                <w:sz w:val="20"/>
                <w:szCs w:val="20"/>
              </w:rPr>
            </w:pPr>
            <w:r w:rsidRPr="008E5D4C">
              <w:rPr>
                <w:sz w:val="20"/>
                <w:szCs w:val="20"/>
              </w:rPr>
              <w:t>Methodology</w:t>
            </w:r>
          </w:p>
        </w:tc>
        <w:tc>
          <w:tcPr>
            <w:tcW w:w="3028" w:type="dxa"/>
            <w:tcBorders>
              <w:top w:val="nil"/>
              <w:left w:val="nil"/>
              <w:bottom w:val="single" w:sz="4" w:space="0" w:color="auto"/>
              <w:right w:val="single" w:sz="4" w:space="0" w:color="auto"/>
            </w:tcBorders>
            <w:shd w:val="clear" w:color="auto" w:fill="auto"/>
            <w:noWrap/>
          </w:tcPr>
          <w:p w:rsidR="00F1201D" w:rsidRPr="008E5D4C" w:rsidRDefault="00F1201D" w:rsidP="00324486">
            <w:pPr>
              <w:pStyle w:val="TableText"/>
              <w:keepNext/>
              <w:keepLines/>
              <w:spacing w:after="120"/>
              <w:rPr>
                <w:rFonts w:cs="Calibri"/>
                <w:sz w:val="20"/>
                <w:szCs w:val="20"/>
              </w:rPr>
            </w:pPr>
            <w:r>
              <w:rPr>
                <w:rFonts w:cs="Calibri"/>
                <w:sz w:val="20"/>
                <w:szCs w:val="20"/>
              </w:rPr>
              <w:t>SAID-specific regressions using own within-subject analysis.</w:t>
            </w:r>
          </w:p>
        </w:tc>
        <w:tc>
          <w:tcPr>
            <w:tcW w:w="2340" w:type="dxa"/>
            <w:tcBorders>
              <w:top w:val="nil"/>
              <w:left w:val="nil"/>
              <w:bottom w:val="single" w:sz="4" w:space="0" w:color="auto"/>
              <w:right w:val="single" w:sz="4" w:space="0" w:color="auto"/>
            </w:tcBorders>
            <w:shd w:val="clear" w:color="000000" w:fill="FFFFFF"/>
          </w:tcPr>
          <w:p w:rsidR="00F1201D" w:rsidRPr="008E5D4C" w:rsidRDefault="00F1201D" w:rsidP="00324486">
            <w:pPr>
              <w:pStyle w:val="TableText"/>
              <w:keepNext/>
              <w:keepLines/>
              <w:rPr>
                <w:sz w:val="20"/>
                <w:szCs w:val="20"/>
              </w:rPr>
            </w:pPr>
            <w:r>
              <w:rPr>
                <w:sz w:val="20"/>
                <w:szCs w:val="20"/>
              </w:rPr>
              <w:t xml:space="preserve">Reference loads are simulated from </w:t>
            </w:r>
            <w:r>
              <w:rPr>
                <w:rFonts w:cs="Calibri"/>
                <w:sz w:val="20"/>
                <w:szCs w:val="20"/>
              </w:rPr>
              <w:t xml:space="preserve">SAID-specific regressions. </w:t>
            </w:r>
          </w:p>
        </w:tc>
        <w:tc>
          <w:tcPr>
            <w:tcW w:w="2566" w:type="dxa"/>
            <w:tcBorders>
              <w:top w:val="nil"/>
              <w:left w:val="nil"/>
              <w:bottom w:val="single" w:sz="4" w:space="0" w:color="auto"/>
              <w:right w:val="single" w:sz="4" w:space="0" w:color="auto"/>
            </w:tcBorders>
            <w:shd w:val="clear" w:color="000000" w:fill="FFFFFF"/>
          </w:tcPr>
          <w:p w:rsidR="00F1201D" w:rsidRPr="008E5D4C" w:rsidRDefault="00F1201D" w:rsidP="00324486">
            <w:pPr>
              <w:pStyle w:val="TableText"/>
              <w:keepNext/>
              <w:keepLines/>
              <w:rPr>
                <w:sz w:val="20"/>
                <w:szCs w:val="20"/>
              </w:rPr>
            </w:pPr>
            <w:r>
              <w:rPr>
                <w:sz w:val="20"/>
                <w:szCs w:val="20"/>
              </w:rPr>
              <w:t>Small differences between simulated ex ante and estimated ex post reference loads</w:t>
            </w:r>
          </w:p>
        </w:tc>
      </w:tr>
    </w:tbl>
    <w:p w:rsidR="00F1201D" w:rsidRDefault="00F1201D" w:rsidP="00F1201D"/>
    <w:p w:rsidR="00F1201D" w:rsidRDefault="00F1201D" w:rsidP="00F1201D">
      <w:pPr>
        <w:spacing w:line="276" w:lineRule="auto"/>
        <w:ind w:firstLine="720"/>
      </w:pPr>
      <w:r>
        <w:t xml:space="preserve">Table 4.11 </w:t>
      </w:r>
      <w:r w:rsidR="00AE222D" w:rsidRPr="00AE222D">
        <w:t>shows a comparison of ex post and ex ante load impacts. The average reference loads and load impacts are calculated across the relevant event hours. This table illustrates the explanation above: that reference loads were higher during the earlier event window on the May 16th event day, causing the ex post load impacts to be higher than the forecast load impacts.</w:t>
      </w:r>
    </w:p>
    <w:p w:rsidR="00F1201D" w:rsidRDefault="00F1201D" w:rsidP="00F1201D"/>
    <w:p w:rsidR="00F1201D" w:rsidRPr="008E5D4C" w:rsidRDefault="00F1201D" w:rsidP="00F1201D">
      <w:pPr>
        <w:pStyle w:val="TableCaption"/>
        <w:keepLines/>
      </w:pPr>
      <w:bookmarkStart w:id="134" w:name="_Toc383598028"/>
      <w:bookmarkStart w:id="135" w:name="_Toc413664225"/>
      <w:r>
        <w:t>Table</w:t>
      </w:r>
      <w:r w:rsidRPr="008E5D4C">
        <w:t xml:space="preserve"> </w:t>
      </w:r>
      <w:r>
        <w:t>4.11</w:t>
      </w:r>
      <w:r w:rsidRPr="008E5D4C">
        <w:t xml:space="preserve">: </w:t>
      </w:r>
      <w:r>
        <w:t>Comparison of Ex Post and Ex Ante Load Impacts, SDG&amp;</w:t>
      </w:r>
      <w:r w:rsidRPr="008E5D4C">
        <w:t>E</w:t>
      </w:r>
      <w:bookmarkEnd w:id="134"/>
      <w:bookmarkEnd w:id="1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395"/>
        <w:gridCol w:w="1184"/>
        <w:gridCol w:w="1394"/>
        <w:gridCol w:w="805"/>
        <w:gridCol w:w="784"/>
      </w:tblGrid>
      <w:tr w:rsidR="00AE222D" w:rsidRPr="008F1A9C" w:rsidTr="0079525F">
        <w:trPr>
          <w:jc w:val="center"/>
        </w:trPr>
        <w:tc>
          <w:tcPr>
            <w:tcW w:w="0" w:type="auto"/>
            <w:shd w:val="clear" w:color="auto" w:fill="D9E2F3"/>
            <w:vAlign w:val="center"/>
          </w:tcPr>
          <w:p w:rsidR="00AE222D" w:rsidRPr="008F1A9C" w:rsidRDefault="00AE222D" w:rsidP="0079525F">
            <w:pPr>
              <w:keepNext/>
              <w:keepLines/>
              <w:jc w:val="center"/>
              <w:rPr>
                <w:rFonts w:ascii="Arial" w:hAnsi="Arial" w:cs="Arial"/>
                <w:b/>
                <w:sz w:val="20"/>
                <w:szCs w:val="20"/>
              </w:rPr>
            </w:pPr>
          </w:p>
          <w:p w:rsidR="00AE222D" w:rsidRPr="008F1A9C" w:rsidRDefault="00AE222D" w:rsidP="0079525F">
            <w:pPr>
              <w:keepNext/>
              <w:keepLines/>
              <w:jc w:val="center"/>
              <w:rPr>
                <w:rFonts w:ascii="Arial" w:hAnsi="Arial" w:cs="Arial"/>
                <w:b/>
                <w:sz w:val="20"/>
                <w:szCs w:val="20"/>
              </w:rPr>
            </w:pPr>
            <w:r w:rsidRPr="008F1A9C">
              <w:rPr>
                <w:rFonts w:ascii="Arial" w:hAnsi="Arial" w:cs="Arial"/>
                <w:b/>
                <w:sz w:val="20"/>
                <w:szCs w:val="20"/>
              </w:rPr>
              <w:t>Date</w:t>
            </w:r>
          </w:p>
          <w:p w:rsidR="00AE222D" w:rsidRPr="008F1A9C" w:rsidRDefault="00AE222D" w:rsidP="0079525F">
            <w:pPr>
              <w:keepNext/>
              <w:keepLines/>
              <w:jc w:val="center"/>
              <w:rPr>
                <w:rFonts w:ascii="Arial" w:hAnsi="Arial" w:cs="Arial"/>
                <w:b/>
                <w:sz w:val="20"/>
                <w:szCs w:val="20"/>
              </w:rPr>
            </w:pPr>
          </w:p>
        </w:tc>
        <w:tc>
          <w:tcPr>
            <w:tcW w:w="0" w:type="auto"/>
            <w:shd w:val="clear" w:color="auto" w:fill="D9E2F3"/>
            <w:vAlign w:val="center"/>
          </w:tcPr>
          <w:p w:rsidR="00AE222D" w:rsidRPr="008F1A9C" w:rsidRDefault="00AE222D" w:rsidP="0079525F">
            <w:pPr>
              <w:keepNext/>
              <w:keepLines/>
              <w:jc w:val="center"/>
              <w:rPr>
                <w:rFonts w:ascii="Arial" w:hAnsi="Arial" w:cs="Arial"/>
                <w:b/>
                <w:sz w:val="20"/>
                <w:szCs w:val="20"/>
              </w:rPr>
            </w:pPr>
            <w:r w:rsidRPr="008F1A9C">
              <w:rPr>
                <w:rFonts w:ascii="Arial" w:hAnsi="Arial" w:cs="Arial"/>
                <w:b/>
                <w:sz w:val="20"/>
                <w:szCs w:val="20"/>
              </w:rPr>
              <w:t>Event Hours</w:t>
            </w:r>
          </w:p>
        </w:tc>
        <w:tc>
          <w:tcPr>
            <w:tcW w:w="0" w:type="auto"/>
            <w:shd w:val="clear" w:color="auto" w:fill="D9E2F3"/>
            <w:vAlign w:val="center"/>
          </w:tcPr>
          <w:p w:rsidR="00AE222D" w:rsidRPr="008F1A9C" w:rsidRDefault="00AE222D" w:rsidP="0079525F">
            <w:pPr>
              <w:keepNext/>
              <w:keepLines/>
              <w:jc w:val="center"/>
              <w:rPr>
                <w:rFonts w:ascii="Arial" w:hAnsi="Arial" w:cs="Arial"/>
                <w:b/>
                <w:sz w:val="20"/>
                <w:szCs w:val="20"/>
              </w:rPr>
            </w:pPr>
            <w:r w:rsidRPr="008F1A9C">
              <w:rPr>
                <w:rFonts w:ascii="Arial" w:hAnsi="Arial" w:cs="Arial"/>
                <w:b/>
                <w:sz w:val="20"/>
                <w:szCs w:val="20"/>
              </w:rPr>
              <w:t xml:space="preserve">Reference </w:t>
            </w:r>
          </w:p>
          <w:p w:rsidR="00AE222D" w:rsidRPr="008F1A9C" w:rsidRDefault="00AE222D" w:rsidP="0079525F">
            <w:pPr>
              <w:keepNext/>
              <w:keepLines/>
              <w:jc w:val="center"/>
              <w:rPr>
                <w:rFonts w:ascii="Arial" w:hAnsi="Arial" w:cs="Arial"/>
                <w:b/>
                <w:sz w:val="20"/>
                <w:szCs w:val="20"/>
              </w:rPr>
            </w:pPr>
            <w:r w:rsidRPr="008F1A9C">
              <w:rPr>
                <w:rFonts w:ascii="Arial" w:hAnsi="Arial" w:cs="Arial"/>
                <w:b/>
                <w:sz w:val="20"/>
                <w:szCs w:val="20"/>
              </w:rPr>
              <w:t>(MW)</w:t>
            </w:r>
          </w:p>
        </w:tc>
        <w:tc>
          <w:tcPr>
            <w:tcW w:w="0" w:type="auto"/>
            <w:shd w:val="clear" w:color="auto" w:fill="D9E2F3"/>
            <w:vAlign w:val="center"/>
          </w:tcPr>
          <w:p w:rsidR="00AE222D" w:rsidRPr="008F1A9C" w:rsidRDefault="00AE222D" w:rsidP="0079525F">
            <w:pPr>
              <w:keepNext/>
              <w:keepLines/>
              <w:jc w:val="center"/>
              <w:rPr>
                <w:rFonts w:ascii="Arial" w:hAnsi="Arial" w:cs="Arial"/>
                <w:b/>
                <w:sz w:val="20"/>
                <w:szCs w:val="20"/>
              </w:rPr>
            </w:pPr>
            <w:r w:rsidRPr="008F1A9C">
              <w:rPr>
                <w:rFonts w:ascii="Arial" w:hAnsi="Arial" w:cs="Arial"/>
                <w:b/>
                <w:sz w:val="20"/>
                <w:szCs w:val="20"/>
              </w:rPr>
              <w:t xml:space="preserve">Load Impact </w:t>
            </w:r>
          </w:p>
          <w:p w:rsidR="00AE222D" w:rsidRPr="008F1A9C" w:rsidRDefault="00AE222D" w:rsidP="0079525F">
            <w:pPr>
              <w:keepNext/>
              <w:keepLines/>
              <w:jc w:val="center"/>
              <w:rPr>
                <w:rFonts w:ascii="Arial" w:hAnsi="Arial" w:cs="Arial"/>
                <w:b/>
                <w:sz w:val="20"/>
                <w:szCs w:val="20"/>
              </w:rPr>
            </w:pPr>
            <w:r w:rsidRPr="008F1A9C">
              <w:rPr>
                <w:rFonts w:ascii="Arial" w:hAnsi="Arial" w:cs="Arial"/>
                <w:b/>
                <w:sz w:val="20"/>
                <w:szCs w:val="20"/>
              </w:rPr>
              <w:t>(MW)</w:t>
            </w:r>
          </w:p>
        </w:tc>
        <w:tc>
          <w:tcPr>
            <w:tcW w:w="0" w:type="auto"/>
            <w:shd w:val="clear" w:color="auto" w:fill="D9E2F3"/>
            <w:vAlign w:val="center"/>
          </w:tcPr>
          <w:p w:rsidR="00AE222D" w:rsidRPr="008F1A9C" w:rsidRDefault="00AE222D" w:rsidP="0079525F">
            <w:pPr>
              <w:keepNext/>
              <w:keepLines/>
              <w:jc w:val="center"/>
              <w:rPr>
                <w:rFonts w:ascii="Arial" w:hAnsi="Arial" w:cs="Arial"/>
                <w:b/>
                <w:sz w:val="20"/>
                <w:szCs w:val="20"/>
              </w:rPr>
            </w:pPr>
            <w:r w:rsidRPr="008F1A9C">
              <w:rPr>
                <w:rFonts w:ascii="Arial" w:hAnsi="Arial" w:cs="Arial"/>
                <w:b/>
                <w:sz w:val="20"/>
                <w:szCs w:val="20"/>
              </w:rPr>
              <w:t>Temp.</w:t>
            </w:r>
          </w:p>
        </w:tc>
        <w:tc>
          <w:tcPr>
            <w:tcW w:w="0" w:type="auto"/>
            <w:shd w:val="clear" w:color="auto" w:fill="D9E2F3"/>
            <w:vAlign w:val="center"/>
          </w:tcPr>
          <w:p w:rsidR="00AE222D" w:rsidRPr="008F1A9C" w:rsidRDefault="00AE222D" w:rsidP="0079525F">
            <w:pPr>
              <w:keepNext/>
              <w:keepLines/>
              <w:jc w:val="center"/>
              <w:rPr>
                <w:rFonts w:ascii="Arial" w:hAnsi="Arial" w:cs="Arial"/>
                <w:b/>
                <w:sz w:val="20"/>
                <w:szCs w:val="20"/>
              </w:rPr>
            </w:pPr>
            <w:r w:rsidRPr="008F1A9C">
              <w:rPr>
                <w:rFonts w:ascii="Arial" w:hAnsi="Arial" w:cs="Arial"/>
                <w:b/>
                <w:sz w:val="20"/>
                <w:szCs w:val="20"/>
              </w:rPr>
              <w:t>% LI</w:t>
            </w:r>
          </w:p>
        </w:tc>
      </w:tr>
      <w:tr w:rsidR="00AE222D" w:rsidRPr="008F1A9C" w:rsidTr="0079525F">
        <w:trPr>
          <w:jc w:val="center"/>
        </w:trPr>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Pr>
                <w:rFonts w:ascii="Arial" w:hAnsi="Arial" w:cs="Arial"/>
                <w:sz w:val="20"/>
                <w:szCs w:val="20"/>
              </w:rPr>
              <w:t>5/16/2014</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sidRPr="008F1A9C">
              <w:rPr>
                <w:rFonts w:ascii="Arial" w:hAnsi="Arial" w:cs="Arial"/>
                <w:sz w:val="20"/>
                <w:szCs w:val="20"/>
              </w:rPr>
              <w:t>H</w:t>
            </w:r>
            <w:r>
              <w:rPr>
                <w:rFonts w:ascii="Arial" w:hAnsi="Arial" w:cs="Arial"/>
                <w:sz w:val="20"/>
                <w:szCs w:val="20"/>
              </w:rPr>
              <w:t>E 12</w:t>
            </w:r>
            <w:r w:rsidRPr="008F1A9C">
              <w:rPr>
                <w:rFonts w:ascii="Arial" w:hAnsi="Arial" w:cs="Arial"/>
                <w:sz w:val="20"/>
                <w:szCs w:val="20"/>
              </w:rPr>
              <w:t>-1</w:t>
            </w:r>
            <w:r>
              <w:rPr>
                <w:rFonts w:ascii="Arial" w:hAnsi="Arial" w:cs="Arial"/>
                <w:sz w:val="20"/>
                <w:szCs w:val="20"/>
              </w:rPr>
              <w:t>4</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Pr>
                <w:rFonts w:ascii="Arial" w:hAnsi="Arial" w:cs="Arial"/>
                <w:sz w:val="20"/>
                <w:szCs w:val="20"/>
              </w:rPr>
              <w:t>4.0</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Pr>
                <w:rFonts w:ascii="Arial" w:hAnsi="Arial" w:cs="Arial"/>
                <w:sz w:val="20"/>
                <w:szCs w:val="20"/>
              </w:rPr>
              <w:t>2.0</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Pr>
                <w:rFonts w:ascii="Arial" w:hAnsi="Arial" w:cs="Arial"/>
                <w:sz w:val="20"/>
                <w:szCs w:val="20"/>
              </w:rPr>
              <w:t>89.6</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Pr>
                <w:rFonts w:ascii="Arial" w:hAnsi="Arial" w:cs="Arial"/>
                <w:sz w:val="20"/>
                <w:szCs w:val="20"/>
              </w:rPr>
              <w:t>50.1</w:t>
            </w:r>
            <w:r w:rsidRPr="008F1A9C">
              <w:rPr>
                <w:rFonts w:ascii="Arial" w:hAnsi="Arial" w:cs="Arial"/>
                <w:sz w:val="20"/>
                <w:szCs w:val="20"/>
              </w:rPr>
              <w:t>%</w:t>
            </w:r>
          </w:p>
        </w:tc>
      </w:tr>
      <w:tr w:rsidR="00AE222D" w:rsidRPr="008F1A9C" w:rsidTr="0079525F">
        <w:trPr>
          <w:jc w:val="center"/>
        </w:trPr>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sidRPr="008F1A9C">
              <w:rPr>
                <w:rFonts w:ascii="Arial" w:hAnsi="Arial" w:cs="Arial"/>
                <w:sz w:val="20"/>
                <w:szCs w:val="20"/>
              </w:rPr>
              <w:t xml:space="preserve">Ex Ante </w:t>
            </w:r>
            <w:r>
              <w:rPr>
                <w:rFonts w:ascii="Arial" w:hAnsi="Arial" w:cs="Arial"/>
                <w:sz w:val="20"/>
                <w:szCs w:val="20"/>
              </w:rPr>
              <w:t>TED</w:t>
            </w:r>
            <w:r w:rsidRPr="008F1A9C">
              <w:rPr>
                <w:rFonts w:ascii="Arial" w:hAnsi="Arial" w:cs="Arial"/>
                <w:sz w:val="20"/>
                <w:szCs w:val="20"/>
              </w:rPr>
              <w:t xml:space="preserve"> 1-in-2</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sidRPr="008F1A9C">
              <w:rPr>
                <w:rFonts w:ascii="Arial" w:hAnsi="Arial" w:cs="Arial"/>
                <w:sz w:val="20"/>
                <w:szCs w:val="20"/>
              </w:rPr>
              <w:t>HE 14-18</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Pr>
                <w:rFonts w:ascii="Arial" w:hAnsi="Arial" w:cs="Arial"/>
                <w:sz w:val="20"/>
                <w:szCs w:val="20"/>
              </w:rPr>
              <w:t>3.2</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Pr>
                <w:rFonts w:ascii="Arial" w:hAnsi="Arial" w:cs="Arial"/>
                <w:sz w:val="20"/>
                <w:szCs w:val="20"/>
              </w:rPr>
              <w:t>1.4</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Pr>
                <w:rFonts w:ascii="Arial" w:hAnsi="Arial" w:cs="Arial"/>
                <w:sz w:val="20"/>
                <w:szCs w:val="20"/>
              </w:rPr>
              <w:t>80.0</w:t>
            </w:r>
          </w:p>
        </w:tc>
        <w:tc>
          <w:tcPr>
            <w:tcW w:w="0" w:type="auto"/>
            <w:shd w:val="clear" w:color="auto" w:fill="auto"/>
            <w:vAlign w:val="center"/>
          </w:tcPr>
          <w:p w:rsidR="00AE222D" w:rsidRPr="008F1A9C" w:rsidRDefault="00AE222D" w:rsidP="0079525F">
            <w:pPr>
              <w:keepNext/>
              <w:keepLines/>
              <w:jc w:val="center"/>
              <w:rPr>
                <w:rFonts w:ascii="Arial" w:hAnsi="Arial" w:cs="Arial"/>
                <w:sz w:val="20"/>
                <w:szCs w:val="20"/>
              </w:rPr>
            </w:pPr>
            <w:r>
              <w:rPr>
                <w:rFonts w:ascii="Arial" w:hAnsi="Arial" w:cs="Arial"/>
                <w:sz w:val="20"/>
                <w:szCs w:val="20"/>
              </w:rPr>
              <w:t>44.8</w:t>
            </w:r>
            <w:r w:rsidRPr="008F1A9C">
              <w:rPr>
                <w:rFonts w:ascii="Arial" w:hAnsi="Arial" w:cs="Arial"/>
                <w:sz w:val="20"/>
                <w:szCs w:val="20"/>
              </w:rPr>
              <w:t>%</w:t>
            </w:r>
          </w:p>
        </w:tc>
      </w:tr>
    </w:tbl>
    <w:p w:rsidR="00A53241" w:rsidRPr="00A53241" w:rsidRDefault="00A53241" w:rsidP="00A53241">
      <w:pPr>
        <w:pStyle w:val="BodyParagraph"/>
      </w:pPr>
    </w:p>
    <w:p w:rsidR="005D7D2C" w:rsidRPr="00652F43" w:rsidRDefault="005D7D2C" w:rsidP="00C37EE6">
      <w:pPr>
        <w:pStyle w:val="Heading1"/>
        <w:spacing w:after="0" w:line="276" w:lineRule="auto"/>
        <w:rPr>
          <w:rFonts w:ascii="Times New Roman" w:hAnsi="Times New Roman" w:cs="Times New Roman"/>
          <w:color w:val="000000" w:themeColor="text1"/>
        </w:rPr>
      </w:pPr>
      <w:bookmarkStart w:id="136" w:name="_Toc351990579"/>
      <w:bookmarkStart w:id="137" w:name="_Toc352084156"/>
      <w:bookmarkStart w:id="138" w:name="_Toc350242628"/>
      <w:bookmarkStart w:id="139" w:name="_Toc415748985"/>
      <w:r w:rsidRPr="00652F43">
        <w:rPr>
          <w:rFonts w:ascii="Times New Roman" w:hAnsi="Times New Roman" w:cs="Times New Roman"/>
          <w:color w:val="000000" w:themeColor="text1"/>
        </w:rPr>
        <w:lastRenderedPageBreak/>
        <w:t>Summary of SDG&amp;E’s Demand Bidding Program Report</w:t>
      </w:r>
      <w:bookmarkEnd w:id="136"/>
      <w:bookmarkEnd w:id="137"/>
      <w:bookmarkEnd w:id="139"/>
    </w:p>
    <w:p w:rsidR="005D7D2C" w:rsidRPr="00711930" w:rsidRDefault="00D174B4" w:rsidP="00C37EE6">
      <w:pPr>
        <w:pStyle w:val="Heading2"/>
        <w:spacing w:after="0" w:line="276" w:lineRule="auto"/>
        <w:rPr>
          <w:rFonts w:ascii="Times New Roman" w:hAnsi="Times New Roman" w:cs="Times New Roman"/>
          <w:color w:val="000000" w:themeColor="text1"/>
        </w:rPr>
      </w:pPr>
      <w:bookmarkStart w:id="140" w:name="_Toc351990580"/>
      <w:bookmarkStart w:id="141" w:name="_Toc352084157"/>
      <w:bookmarkStart w:id="142" w:name="_Toc415748986"/>
      <w:r w:rsidRPr="00711930">
        <w:rPr>
          <w:rFonts w:ascii="Times New Roman" w:hAnsi="Times New Roman" w:cs="Times New Roman"/>
          <w:color w:val="000000" w:themeColor="text1"/>
        </w:rPr>
        <w:t xml:space="preserve">DBP </w:t>
      </w:r>
      <w:r w:rsidR="005D7D2C" w:rsidRPr="00711930">
        <w:rPr>
          <w:rFonts w:ascii="Times New Roman" w:hAnsi="Times New Roman" w:cs="Times New Roman"/>
          <w:color w:val="000000" w:themeColor="text1"/>
        </w:rPr>
        <w:t>Program Description</w:t>
      </w:r>
      <w:bookmarkEnd w:id="140"/>
      <w:bookmarkEnd w:id="141"/>
      <w:bookmarkEnd w:id="142"/>
      <w:r w:rsidR="005D7D2C" w:rsidRPr="00711930">
        <w:rPr>
          <w:rFonts w:ascii="Times New Roman" w:hAnsi="Times New Roman" w:cs="Times New Roman"/>
          <w:color w:val="000000" w:themeColor="text1"/>
        </w:rPr>
        <w:tab/>
      </w:r>
    </w:p>
    <w:p w:rsidR="003E48A4" w:rsidRPr="00711930" w:rsidRDefault="003E48A4" w:rsidP="00C37EE6">
      <w:pPr>
        <w:spacing w:line="276" w:lineRule="auto"/>
        <w:rPr>
          <w:color w:val="000000" w:themeColor="text1"/>
        </w:rPr>
      </w:pPr>
      <w:bookmarkStart w:id="143" w:name="_Toc350242616"/>
      <w:bookmarkEnd w:id="138"/>
    </w:p>
    <w:p w:rsidR="00ED5356" w:rsidRPr="00711930" w:rsidRDefault="00ED5356" w:rsidP="00C37EE6">
      <w:pPr>
        <w:spacing w:line="276" w:lineRule="auto"/>
        <w:rPr>
          <w:b/>
          <w:bCs/>
          <w:i/>
          <w:iCs/>
          <w:color w:val="000000" w:themeColor="text1"/>
        </w:rPr>
      </w:pPr>
      <w:r w:rsidRPr="00711930">
        <w:rPr>
          <w:color w:val="000000" w:themeColor="text1"/>
        </w:rPr>
        <w:t>SDG&amp;E has two DBP programs described below:</w:t>
      </w:r>
    </w:p>
    <w:p w:rsidR="00F93EB0" w:rsidRPr="00711930" w:rsidRDefault="00F93EB0" w:rsidP="00C37EE6">
      <w:pPr>
        <w:autoSpaceDE w:val="0"/>
        <w:autoSpaceDN w:val="0"/>
        <w:adjustRightInd w:val="0"/>
        <w:spacing w:line="276" w:lineRule="auto"/>
        <w:rPr>
          <w:color w:val="000000" w:themeColor="text1"/>
        </w:rPr>
      </w:pPr>
    </w:p>
    <w:p w:rsidR="00ED5356" w:rsidRPr="00711930" w:rsidRDefault="00ED5356" w:rsidP="00C37EE6">
      <w:pPr>
        <w:autoSpaceDE w:val="0"/>
        <w:autoSpaceDN w:val="0"/>
        <w:adjustRightInd w:val="0"/>
        <w:spacing w:line="276" w:lineRule="auto"/>
        <w:rPr>
          <w:color w:val="000000" w:themeColor="text1"/>
        </w:rPr>
      </w:pPr>
      <w:r w:rsidRPr="00711930">
        <w:rPr>
          <w:color w:val="000000" w:themeColor="text1"/>
          <w:u w:val="single"/>
        </w:rPr>
        <w:t>Schedule DBP-DA:</w:t>
      </w:r>
      <w:r w:rsidRPr="00711930">
        <w:rPr>
          <w:color w:val="000000" w:themeColor="text1"/>
        </w:rPr>
        <w:t xml:space="preserve"> Schedule DBP-DA </w:t>
      </w:r>
      <w:r w:rsidR="007755A0" w:rsidRPr="007755A0">
        <w:rPr>
          <w:color w:val="000000" w:themeColor="text1"/>
        </w:rPr>
        <w:t>provides day-ahead notice of event days. The DBP-DA incentive is $0.40 per kWh for customers who purchase commodity from the utility (bundled customers).</w:t>
      </w:r>
    </w:p>
    <w:p w:rsidR="00ED5356" w:rsidRDefault="00ED5356" w:rsidP="002061E0">
      <w:pPr>
        <w:autoSpaceDE w:val="0"/>
        <w:autoSpaceDN w:val="0"/>
        <w:adjustRightInd w:val="0"/>
        <w:spacing w:line="276" w:lineRule="auto"/>
        <w:rPr>
          <w:color w:val="000000" w:themeColor="text1"/>
        </w:rPr>
      </w:pPr>
    </w:p>
    <w:p w:rsidR="00ED5356" w:rsidRPr="00711930" w:rsidRDefault="00ED5356" w:rsidP="002061E0">
      <w:pPr>
        <w:autoSpaceDE w:val="0"/>
        <w:autoSpaceDN w:val="0"/>
        <w:adjustRightInd w:val="0"/>
        <w:spacing w:line="276" w:lineRule="auto"/>
        <w:rPr>
          <w:color w:val="000000" w:themeColor="text1"/>
        </w:rPr>
      </w:pPr>
      <w:r w:rsidRPr="00711930">
        <w:rPr>
          <w:color w:val="000000" w:themeColor="text1"/>
          <w:u w:val="single"/>
        </w:rPr>
        <w:t>Schedule DBP-DO:</w:t>
      </w:r>
      <w:r w:rsidRPr="00711930">
        <w:rPr>
          <w:color w:val="000000" w:themeColor="text1"/>
        </w:rPr>
        <w:t xml:space="preserve"> Demand/energy bidding program offers incentives to </w:t>
      </w:r>
      <w:r w:rsidR="007B1CE9" w:rsidRPr="00711930">
        <w:rPr>
          <w:color w:val="000000" w:themeColor="text1"/>
        </w:rPr>
        <w:t>n</w:t>
      </w:r>
      <w:r w:rsidRPr="00711930">
        <w:rPr>
          <w:color w:val="000000" w:themeColor="text1"/>
        </w:rPr>
        <w:t>onresidential customers for reducing energy consumption and demand during a specific Demand Bidding</w:t>
      </w:r>
      <w:r w:rsidR="002061E0" w:rsidRPr="00711930">
        <w:rPr>
          <w:color w:val="000000" w:themeColor="text1"/>
        </w:rPr>
        <w:t xml:space="preserve"> </w:t>
      </w:r>
      <w:r w:rsidRPr="00711930">
        <w:rPr>
          <w:color w:val="000000" w:themeColor="text1"/>
        </w:rPr>
        <w:t xml:space="preserve">Event. This program is applicable to customers who are capable of providing at least a 5 MW load reduction based on the customer’s specific baseline. The DBP-DA Incentive is $0.50 per kWh for customers who purchase commodity from the Utility (bundled customers). </w:t>
      </w:r>
    </w:p>
    <w:p w:rsidR="00ED5356" w:rsidRPr="00711930" w:rsidRDefault="00ED5356" w:rsidP="00C37EE6">
      <w:pPr>
        <w:autoSpaceDE w:val="0"/>
        <w:autoSpaceDN w:val="0"/>
        <w:adjustRightInd w:val="0"/>
        <w:spacing w:line="276" w:lineRule="auto"/>
        <w:rPr>
          <w:color w:val="000000" w:themeColor="text1"/>
        </w:rPr>
      </w:pPr>
    </w:p>
    <w:p w:rsidR="00ED5356" w:rsidRPr="00711930" w:rsidRDefault="00ED5356" w:rsidP="00C37EE6">
      <w:pPr>
        <w:autoSpaceDE w:val="0"/>
        <w:autoSpaceDN w:val="0"/>
        <w:adjustRightInd w:val="0"/>
        <w:spacing w:line="276" w:lineRule="auto"/>
        <w:rPr>
          <w:color w:val="000000" w:themeColor="text1"/>
        </w:rPr>
      </w:pPr>
      <w:r w:rsidRPr="00711930">
        <w:rPr>
          <w:color w:val="000000" w:themeColor="text1"/>
        </w:rPr>
        <w:t>Schedule DBP-DO and DBP-DA programs are available year-round and there is no limit to the number of Demand Bidding Events per month or per year. A customer may not participate simultaneously in DBP-DA or DBP-DO and any other Demand Response rate or program.</w:t>
      </w:r>
    </w:p>
    <w:p w:rsidR="00221BE7" w:rsidRPr="00711930" w:rsidRDefault="00221BE7" w:rsidP="00C37EE6">
      <w:pPr>
        <w:pStyle w:val="Heading2"/>
        <w:spacing w:after="0" w:line="276" w:lineRule="auto"/>
        <w:rPr>
          <w:rFonts w:ascii="Times New Roman" w:hAnsi="Times New Roman" w:cs="Times New Roman"/>
          <w:color w:val="000000" w:themeColor="text1"/>
        </w:rPr>
      </w:pPr>
      <w:r w:rsidRPr="00711930">
        <w:rPr>
          <w:rFonts w:ascii="Times New Roman" w:hAnsi="Times New Roman" w:cs="Times New Roman"/>
          <w:color w:val="000000" w:themeColor="text1"/>
        </w:rPr>
        <w:t xml:space="preserve"> </w:t>
      </w:r>
      <w:bookmarkStart w:id="144" w:name="_Toc351990581"/>
      <w:bookmarkStart w:id="145" w:name="_Toc352084158"/>
      <w:bookmarkStart w:id="146" w:name="_Toc415748987"/>
      <w:r w:rsidRPr="00711930">
        <w:rPr>
          <w:rFonts w:ascii="Times New Roman" w:hAnsi="Times New Roman" w:cs="Times New Roman"/>
          <w:color w:val="000000" w:themeColor="text1"/>
        </w:rPr>
        <w:t xml:space="preserve">DBP </w:t>
      </w:r>
      <w:r w:rsidR="0015465A" w:rsidRPr="00711930">
        <w:rPr>
          <w:rFonts w:ascii="Times New Roman" w:hAnsi="Times New Roman" w:cs="Times New Roman"/>
          <w:color w:val="000000" w:themeColor="text1"/>
        </w:rPr>
        <w:t>Ex-</w:t>
      </w:r>
      <w:r w:rsidR="0024147B" w:rsidRPr="00711930">
        <w:rPr>
          <w:rFonts w:ascii="Times New Roman" w:hAnsi="Times New Roman" w:cs="Times New Roman"/>
          <w:color w:val="000000" w:themeColor="text1"/>
        </w:rPr>
        <w:t>P</w:t>
      </w:r>
      <w:r w:rsidR="0015465A" w:rsidRPr="00711930">
        <w:rPr>
          <w:rFonts w:ascii="Times New Roman" w:hAnsi="Times New Roman" w:cs="Times New Roman"/>
          <w:color w:val="000000" w:themeColor="text1"/>
        </w:rPr>
        <w:t>ost</w:t>
      </w:r>
      <w:r w:rsidR="0071253C" w:rsidRPr="00711930">
        <w:rPr>
          <w:rFonts w:ascii="Times New Roman" w:hAnsi="Times New Roman" w:cs="Times New Roman"/>
          <w:color w:val="000000" w:themeColor="text1"/>
        </w:rPr>
        <w:t xml:space="preserve"> </w:t>
      </w:r>
      <w:r w:rsidRPr="00711930">
        <w:rPr>
          <w:rFonts w:ascii="Times New Roman" w:hAnsi="Times New Roman" w:cs="Times New Roman"/>
          <w:color w:val="000000" w:themeColor="text1"/>
        </w:rPr>
        <w:t>Evaluation Methodology</w:t>
      </w:r>
      <w:bookmarkEnd w:id="143"/>
      <w:bookmarkEnd w:id="144"/>
      <w:bookmarkEnd w:id="145"/>
      <w:bookmarkEnd w:id="146"/>
    </w:p>
    <w:p w:rsidR="00C55ABD" w:rsidRPr="00711930" w:rsidRDefault="00C55ABD" w:rsidP="00C37EE6">
      <w:pPr>
        <w:spacing w:line="276" w:lineRule="auto"/>
        <w:rPr>
          <w:color w:val="000000" w:themeColor="text1"/>
        </w:rPr>
      </w:pPr>
      <w:bookmarkStart w:id="147" w:name="_Toc350242618"/>
    </w:p>
    <w:p w:rsidR="008E4E9C" w:rsidRDefault="008E4E9C" w:rsidP="008E4E9C">
      <w:pPr>
        <w:ind w:firstLine="360"/>
      </w:pPr>
      <w:r w:rsidRPr="008E4E9C">
        <w:t>Ex-post</w:t>
      </w:r>
      <w:r>
        <w:t xml:space="preserve"> hourly load impacts were estimated using regression equations applied to customer-level hourly load data. The regression equation models hourly load as a function of a set of variables designed to control for factors affecting consumers’ hourly demand levels, such as:</w:t>
      </w:r>
    </w:p>
    <w:p w:rsidR="008E4E9C" w:rsidRPr="001E060E" w:rsidRDefault="008E4E9C" w:rsidP="008E4E9C">
      <w:pPr>
        <w:numPr>
          <w:ilvl w:val="0"/>
          <w:numId w:val="7"/>
        </w:numPr>
        <w:spacing w:before="120"/>
      </w:pPr>
      <w:r>
        <w:t>Seasonal and hourly time patterns (</w:t>
      </w:r>
      <w:r>
        <w:rPr>
          <w:i/>
        </w:rPr>
        <w:t>e.g.</w:t>
      </w:r>
      <w:r>
        <w:t xml:space="preserve">, year, month, day-of-week, and hour, plus </w:t>
      </w:r>
      <w:r w:rsidRPr="001E060E">
        <w:t>various hour/day-type interactions)</w:t>
      </w:r>
      <w:r>
        <w:t>;</w:t>
      </w:r>
    </w:p>
    <w:p w:rsidR="008E4E9C" w:rsidRPr="001E060E" w:rsidRDefault="008E4E9C" w:rsidP="008E4E9C">
      <w:pPr>
        <w:numPr>
          <w:ilvl w:val="0"/>
          <w:numId w:val="7"/>
        </w:numPr>
      </w:pPr>
      <w:r w:rsidRPr="001E060E">
        <w:t>Weather</w:t>
      </w:r>
      <w:r>
        <w:t xml:space="preserve">, </w:t>
      </w:r>
      <w:r w:rsidRPr="001E060E">
        <w:t>including hour-specific weather coefficients</w:t>
      </w:r>
      <w:r>
        <w:t>;</w:t>
      </w:r>
    </w:p>
    <w:p w:rsidR="008E4E9C" w:rsidRPr="001E060E" w:rsidRDefault="008E4E9C" w:rsidP="008E4E9C">
      <w:pPr>
        <w:numPr>
          <w:ilvl w:val="0"/>
          <w:numId w:val="7"/>
        </w:numPr>
      </w:pPr>
      <w:r w:rsidRPr="001E060E">
        <w:t xml:space="preserve">Event </w:t>
      </w:r>
      <w:r>
        <w:t xml:space="preserve">variables. A series of dummy variables was included to account for each hour of each event day, allowing us to estimate the load impacts for all hours across the event days.  </w:t>
      </w:r>
    </w:p>
    <w:p w:rsidR="008E4E9C" w:rsidRDefault="008E4E9C" w:rsidP="008E4E9C"/>
    <w:p w:rsidR="008E4E9C" w:rsidRDefault="008E4E9C" w:rsidP="008E4E9C">
      <w:pPr>
        <w:ind w:firstLine="360"/>
      </w:pPr>
      <w:r>
        <w:t xml:space="preserve">The models use the </w:t>
      </w:r>
      <w:r w:rsidRPr="00533155">
        <w:t>level</w:t>
      </w:r>
      <w:r>
        <w:t xml:space="preserve"> of hourly demand (kW) as the dependent variable and a separate equation is estimated for each enrolled customer. As a result, the coefficients on the event day/hour variables are direct estimates of the </w:t>
      </w:r>
      <w:r w:rsidRPr="00933F01">
        <w:rPr>
          <w:i/>
        </w:rPr>
        <w:t>ex-post</w:t>
      </w:r>
      <w:r>
        <w:t xml:space="preserve"> load impacts. For example, a DBP hour 15 event coefficient of -100 would mean that the customer reduced load by 100 kWh during hour 15 of that event day relative to its normal usage in that hour. Weekends and holidays were excluded from the estimation database.</w:t>
      </w:r>
      <w:r w:rsidRPr="00BE6F16">
        <w:rPr>
          <w:rStyle w:val="FootnoteReference"/>
        </w:rPr>
        <w:footnoteReference w:id="6"/>
      </w:r>
      <w:r>
        <w:t xml:space="preserve">  </w:t>
      </w:r>
    </w:p>
    <w:p w:rsidR="00216385" w:rsidRPr="00711930" w:rsidRDefault="00216385" w:rsidP="00275B1E">
      <w:pPr>
        <w:pStyle w:val="Heading3"/>
        <w:spacing w:after="0" w:line="276" w:lineRule="auto"/>
        <w:rPr>
          <w:rFonts w:ascii="Times New Roman" w:hAnsi="Times New Roman" w:cs="Times New Roman"/>
          <w:color w:val="000000" w:themeColor="text1"/>
          <w:szCs w:val="24"/>
        </w:rPr>
      </w:pPr>
      <w:bookmarkStart w:id="148" w:name="_Toc380051801"/>
      <w:bookmarkStart w:id="149" w:name="_Toc415748988"/>
      <w:bookmarkEnd w:id="147"/>
      <w:r w:rsidRPr="00711930">
        <w:rPr>
          <w:rFonts w:ascii="Times New Roman" w:hAnsi="Times New Roman" w:cs="Times New Roman"/>
          <w:color w:val="000000" w:themeColor="text1"/>
          <w:szCs w:val="24"/>
        </w:rPr>
        <w:lastRenderedPageBreak/>
        <w:t>Regression Model</w:t>
      </w:r>
      <w:bookmarkEnd w:id="148"/>
      <w:bookmarkEnd w:id="149"/>
    </w:p>
    <w:p w:rsidR="000E5A34" w:rsidRPr="00711930" w:rsidRDefault="000E5A34" w:rsidP="00275B1E">
      <w:pPr>
        <w:spacing w:line="276" w:lineRule="auto"/>
        <w:rPr>
          <w:color w:val="000000" w:themeColor="text1"/>
        </w:rPr>
      </w:pPr>
    </w:p>
    <w:p w:rsidR="00216385" w:rsidRPr="00711930" w:rsidRDefault="00216385" w:rsidP="00275B1E">
      <w:pPr>
        <w:spacing w:line="276" w:lineRule="auto"/>
        <w:rPr>
          <w:b/>
          <w:color w:val="000000" w:themeColor="text1"/>
        </w:rPr>
      </w:pPr>
      <w:r w:rsidRPr="00711930">
        <w:rPr>
          <w:color w:val="000000" w:themeColor="text1"/>
        </w:rPr>
        <w:t xml:space="preserve">The model shown below was separately estimated for each enrolled customer. The table </w:t>
      </w:r>
      <w:r w:rsidR="00857BC6" w:rsidRPr="00711930">
        <w:rPr>
          <w:color w:val="000000" w:themeColor="text1"/>
        </w:rPr>
        <w:t>5-1</w:t>
      </w:r>
      <w:r w:rsidRPr="00711930">
        <w:rPr>
          <w:color w:val="000000" w:themeColor="text1"/>
        </w:rPr>
        <w:t xml:space="preserve"> describes the terms included in the equation.</w:t>
      </w:r>
    </w:p>
    <w:p w:rsidR="00221BE7" w:rsidRPr="00275B1E" w:rsidRDefault="00221BE7" w:rsidP="00275B1E">
      <w:pPr>
        <w:spacing w:line="276" w:lineRule="auto"/>
        <w:rPr>
          <w:color w:val="0000FF"/>
        </w:rPr>
      </w:pPr>
    </w:p>
    <w:p w:rsidR="00216385" w:rsidRPr="007A2104" w:rsidRDefault="00FB7AE8" w:rsidP="00711930">
      <w:pPr>
        <w:jc w:val="center"/>
        <w:rPr>
          <w:color w:val="0000FF"/>
        </w:rPr>
      </w:pPr>
      <w:r w:rsidRPr="00877B31">
        <w:rPr>
          <w:position w:val="-134"/>
        </w:rPr>
        <w:object w:dxaOrig="8500" w:dyaOrig="2799">
          <v:shape id="_x0000_i1028" type="#_x0000_t75" style="width:425.25pt;height:136.5pt" o:ole="">
            <v:imagedata r:id="rId22" o:title=""/>
          </v:shape>
          <o:OLEObject Type="Embed" ProgID="Equation.3" ShapeID="_x0000_i1028" DrawAspect="Content" ObjectID="_1489490868" r:id="rId23"/>
        </w:object>
      </w:r>
    </w:p>
    <w:p w:rsidR="00216385" w:rsidRPr="007A2104" w:rsidRDefault="00216385" w:rsidP="00216385">
      <w:pPr>
        <w:rPr>
          <w:color w:val="0000FF"/>
        </w:rPr>
      </w:pPr>
    </w:p>
    <w:p w:rsidR="00BD4109" w:rsidRDefault="00BD4109" w:rsidP="00216385">
      <w:pPr>
        <w:pStyle w:val="TableCaption"/>
        <w:keepLines/>
        <w:rPr>
          <w:color w:val="0000FF"/>
        </w:rPr>
      </w:pPr>
      <w:bookmarkStart w:id="150" w:name="_Toc380051919"/>
    </w:p>
    <w:p w:rsidR="00216385" w:rsidRDefault="00857BC6" w:rsidP="00216385">
      <w:pPr>
        <w:pStyle w:val="TableCaption"/>
        <w:keepLines/>
        <w:rPr>
          <w:color w:val="000000" w:themeColor="text1"/>
          <w:sz w:val="20"/>
        </w:rPr>
      </w:pPr>
      <w:r w:rsidRPr="00711930">
        <w:rPr>
          <w:color w:val="000000" w:themeColor="text1"/>
          <w:sz w:val="20"/>
        </w:rPr>
        <w:t xml:space="preserve">Table 5-1: </w:t>
      </w:r>
      <w:bookmarkEnd w:id="150"/>
      <w:r w:rsidR="00FB7AE8" w:rsidRPr="00FB7AE8">
        <w:rPr>
          <w:color w:val="000000" w:themeColor="text1"/>
          <w:sz w:val="20"/>
        </w:rPr>
        <w:t>Descriptions of Terms included in the Ex-post Regression Equation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7529"/>
      </w:tblGrid>
      <w:tr w:rsidR="00FB7AE8" w:rsidRPr="00AA745A" w:rsidTr="00324486">
        <w:trPr>
          <w:jc w:val="center"/>
        </w:trPr>
        <w:tc>
          <w:tcPr>
            <w:tcW w:w="0" w:type="auto"/>
            <w:shd w:val="clear" w:color="auto" w:fill="D9E2F3"/>
            <w:vAlign w:val="center"/>
          </w:tcPr>
          <w:p w:rsidR="00FB7AE8" w:rsidRPr="00AA745A" w:rsidRDefault="00FB7AE8" w:rsidP="00324486">
            <w:pPr>
              <w:keepNext/>
              <w:keepLines/>
              <w:jc w:val="center"/>
              <w:rPr>
                <w:rFonts w:ascii="Arial" w:hAnsi="Arial" w:cs="Arial"/>
                <w:b/>
                <w:sz w:val="20"/>
                <w:szCs w:val="20"/>
              </w:rPr>
            </w:pPr>
            <w:r w:rsidRPr="00AA745A">
              <w:rPr>
                <w:rFonts w:ascii="Arial" w:hAnsi="Arial" w:cs="Arial"/>
                <w:b/>
                <w:sz w:val="20"/>
                <w:szCs w:val="20"/>
              </w:rPr>
              <w:t>Variable Name / Term</w:t>
            </w:r>
          </w:p>
        </w:tc>
        <w:tc>
          <w:tcPr>
            <w:tcW w:w="0" w:type="auto"/>
            <w:shd w:val="clear" w:color="auto" w:fill="D9E2F3"/>
            <w:vAlign w:val="center"/>
          </w:tcPr>
          <w:p w:rsidR="00FB7AE8" w:rsidRPr="00AA745A" w:rsidRDefault="00FB7AE8" w:rsidP="00324486">
            <w:pPr>
              <w:keepNext/>
              <w:keepLines/>
              <w:jc w:val="center"/>
              <w:rPr>
                <w:rFonts w:ascii="Arial" w:hAnsi="Arial" w:cs="Arial"/>
                <w:b/>
                <w:sz w:val="20"/>
                <w:szCs w:val="20"/>
              </w:rPr>
            </w:pPr>
            <w:r w:rsidRPr="00AA745A">
              <w:rPr>
                <w:rFonts w:ascii="Arial" w:hAnsi="Arial" w:cs="Arial"/>
                <w:b/>
                <w:sz w:val="20"/>
                <w:szCs w:val="20"/>
              </w:rPr>
              <w:t>Variable / Term Description</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Q</w:t>
            </w:r>
            <w:r w:rsidRPr="00AA745A">
              <w:rPr>
                <w:rFonts w:ascii="Arial" w:hAnsi="Arial" w:cs="Arial"/>
                <w:i/>
                <w:sz w:val="20"/>
                <w:szCs w:val="20"/>
                <w:vertAlign w:val="subscript"/>
              </w:rPr>
              <w:t>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 xml:space="preserve">the demand in hour </w:t>
            </w:r>
            <w:r w:rsidRPr="00AA745A">
              <w:rPr>
                <w:rFonts w:ascii="Arial" w:hAnsi="Arial" w:cs="Arial"/>
                <w:i/>
                <w:sz w:val="20"/>
                <w:szCs w:val="20"/>
              </w:rPr>
              <w:t>t</w:t>
            </w:r>
            <w:r w:rsidRPr="00AA745A">
              <w:rPr>
                <w:rFonts w:ascii="Arial" w:hAnsi="Arial" w:cs="Arial"/>
                <w:sz w:val="20"/>
                <w:szCs w:val="20"/>
              </w:rPr>
              <w:t xml:space="preserve"> for a customer enrolled in DBP prior to the last event date</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sz w:val="20"/>
                <w:szCs w:val="20"/>
              </w:rPr>
              <w:t xml:space="preserve">The various </w:t>
            </w:r>
            <w:r w:rsidRPr="00AA745A">
              <w:rPr>
                <w:rFonts w:ascii="Arial" w:hAnsi="Arial" w:cs="Arial"/>
                <w:i/>
                <w:sz w:val="20"/>
                <w:szCs w:val="20"/>
              </w:rPr>
              <w:t>b</w:t>
            </w:r>
            <w:r w:rsidRPr="00AA745A">
              <w:rPr>
                <w:rFonts w:ascii="Arial" w:hAnsi="Arial" w:cs="Arial"/>
                <w:sz w:val="20"/>
                <w:szCs w:val="20"/>
              </w:rPr>
              <w:t xml:space="preserve">’s </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the estimated parameters</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h</w:t>
            </w:r>
            <w:r w:rsidRPr="00AA745A">
              <w:rPr>
                <w:rFonts w:ascii="Arial" w:hAnsi="Arial" w:cs="Arial"/>
                <w:i/>
                <w:sz w:val="20"/>
                <w:szCs w:val="20"/>
                <w:vertAlign w:val="subscript"/>
              </w:rPr>
              <w:t>i,t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 xml:space="preserve">a dummy variable for hour </w:t>
            </w:r>
            <w:r w:rsidRPr="00AA745A">
              <w:rPr>
                <w:rFonts w:ascii="Arial" w:hAnsi="Arial" w:cs="Arial"/>
                <w:i/>
                <w:sz w:val="20"/>
                <w:szCs w:val="20"/>
              </w:rPr>
              <w:t>i</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DBP</w:t>
            </w:r>
            <w:r w:rsidRPr="00AA745A">
              <w:rPr>
                <w:rFonts w:ascii="Arial" w:hAnsi="Arial" w:cs="Arial"/>
                <w:i/>
                <w:sz w:val="20"/>
                <w:szCs w:val="20"/>
                <w:vertAlign w:val="subscript"/>
              </w:rPr>
              <w:t>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an indicator variable for program event days</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Weather</w:t>
            </w:r>
            <w:r w:rsidRPr="00AA745A">
              <w:rPr>
                <w:rFonts w:ascii="Arial" w:hAnsi="Arial" w:cs="Arial"/>
                <w:i/>
                <w:sz w:val="20"/>
                <w:szCs w:val="20"/>
                <w:vertAlign w:val="subscript"/>
              </w:rPr>
              <w:t>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 xml:space="preserve">the weather variables selected using our model screening process </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E</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 xml:space="preserve">the number of event days that occurred during the program year </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MornLoad</w:t>
            </w:r>
            <w:r w:rsidRPr="00AA745A">
              <w:rPr>
                <w:rFonts w:ascii="Arial" w:hAnsi="Arial" w:cs="Arial"/>
                <w:i/>
                <w:sz w:val="20"/>
                <w:szCs w:val="20"/>
                <w:vertAlign w:val="subscript"/>
              </w:rPr>
              <w:t>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a variable equal to the average of the day’s load in hours 1 through 10</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OtherEvt</w:t>
            </w:r>
            <w:r w:rsidRPr="00EB0348">
              <w:rPr>
                <w:rFonts w:ascii="Arial" w:hAnsi="Arial" w:cs="Arial"/>
                <w:i/>
                <w:sz w:val="20"/>
                <w:szCs w:val="20"/>
                <w:vertAlign w:val="superscript"/>
              </w:rPr>
              <w:t>DR</w:t>
            </w:r>
            <w:r w:rsidRPr="00AA745A">
              <w:rPr>
                <w:rFonts w:ascii="Arial" w:hAnsi="Arial" w:cs="Arial"/>
                <w:i/>
                <w:sz w:val="20"/>
                <w:szCs w:val="20"/>
                <w:vertAlign w:val="subscript"/>
              </w:rPr>
              <w:t>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 xml:space="preserve">equals one on the event days of other demand response programs in which the customer is enrolled </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smartTag w:uri="urn:schemas-microsoft-com:office:smarttags" w:element="place">
              <w:smartTag w:uri="urn:schemas-microsoft-com:office:smarttags" w:element="State">
                <w:r w:rsidRPr="00AA745A">
                  <w:rPr>
                    <w:rFonts w:ascii="Arial" w:hAnsi="Arial" w:cs="Arial"/>
                    <w:i/>
                    <w:sz w:val="20"/>
                    <w:szCs w:val="20"/>
                  </w:rPr>
                  <w:t>MON</w:t>
                </w:r>
                <w:r w:rsidRPr="00AA745A">
                  <w:rPr>
                    <w:rFonts w:ascii="Arial" w:hAnsi="Arial" w:cs="Arial"/>
                    <w:i/>
                    <w:sz w:val="20"/>
                    <w:szCs w:val="20"/>
                    <w:vertAlign w:val="subscript"/>
                  </w:rPr>
                  <w:t>t</w:t>
                </w:r>
              </w:smartTag>
            </w:smartTag>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 xml:space="preserve">a dummy variable for Monday </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FRI</w:t>
            </w:r>
            <w:r w:rsidRPr="00AA745A">
              <w:rPr>
                <w:rFonts w:ascii="Arial" w:hAnsi="Arial" w:cs="Arial"/>
                <w:i/>
                <w:sz w:val="20"/>
                <w:szCs w:val="20"/>
                <w:vertAlign w:val="subscript"/>
              </w:rPr>
              <w:t>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 xml:space="preserve">a dummy variable for Friday </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i/>
                <w:sz w:val="20"/>
                <w:szCs w:val="20"/>
              </w:rPr>
            </w:pPr>
            <w:r w:rsidRPr="00AA745A">
              <w:rPr>
                <w:rFonts w:ascii="Arial" w:hAnsi="Arial" w:cs="Arial"/>
                <w:i/>
                <w:sz w:val="20"/>
                <w:szCs w:val="20"/>
              </w:rPr>
              <w:t>SUMMER</w:t>
            </w:r>
            <w:r w:rsidRPr="00AA745A">
              <w:rPr>
                <w:rFonts w:ascii="Arial" w:hAnsi="Arial" w:cs="Arial"/>
                <w:i/>
                <w:sz w:val="20"/>
                <w:szCs w:val="20"/>
                <w:vertAlign w:val="subscript"/>
              </w:rPr>
              <w:t>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a dummy variable for the summer pricing season</w:t>
            </w:r>
            <w:r w:rsidRPr="00AA745A">
              <w:rPr>
                <w:rStyle w:val="FootnoteReference"/>
                <w:rFonts w:ascii="Arial" w:hAnsi="Arial"/>
                <w:sz w:val="20"/>
                <w:szCs w:val="20"/>
              </w:rPr>
              <w:footnoteReference w:id="7"/>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DTYPE</w:t>
            </w:r>
            <w:r w:rsidRPr="00AA745A">
              <w:rPr>
                <w:rFonts w:ascii="Arial" w:hAnsi="Arial" w:cs="Arial"/>
                <w:i/>
                <w:sz w:val="20"/>
                <w:szCs w:val="20"/>
                <w:vertAlign w:val="subscript"/>
              </w:rPr>
              <w:t>i,t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a series of dummy variables for each day of the week</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MONTH</w:t>
            </w:r>
            <w:r w:rsidRPr="00AA745A">
              <w:rPr>
                <w:rFonts w:ascii="Arial" w:hAnsi="Arial" w:cs="Arial"/>
                <w:i/>
                <w:sz w:val="20"/>
                <w:szCs w:val="20"/>
                <w:vertAlign w:val="subscript"/>
              </w:rPr>
              <w:t>i,t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 xml:space="preserve">a series of dummy variables for each month </w:t>
            </w:r>
          </w:p>
        </w:tc>
      </w:tr>
      <w:tr w:rsidR="00FB7AE8" w:rsidRPr="00AA745A" w:rsidTr="00324486">
        <w:trPr>
          <w:jc w:val="center"/>
        </w:trPr>
        <w:tc>
          <w:tcPr>
            <w:tcW w:w="0" w:type="auto"/>
            <w:shd w:val="clear" w:color="auto" w:fill="auto"/>
            <w:vAlign w:val="center"/>
          </w:tcPr>
          <w:p w:rsidR="00FB7AE8" w:rsidRPr="00AA745A" w:rsidRDefault="00FB7AE8" w:rsidP="00324486">
            <w:pPr>
              <w:keepNext/>
              <w:keepLines/>
              <w:jc w:val="center"/>
              <w:rPr>
                <w:rFonts w:ascii="Arial" w:hAnsi="Arial" w:cs="Arial"/>
                <w:sz w:val="20"/>
                <w:szCs w:val="20"/>
              </w:rPr>
            </w:pPr>
            <w:r w:rsidRPr="00AA745A">
              <w:rPr>
                <w:rFonts w:ascii="Arial" w:hAnsi="Arial" w:cs="Arial"/>
                <w:i/>
                <w:sz w:val="20"/>
                <w:szCs w:val="20"/>
              </w:rPr>
              <w:t>e</w:t>
            </w:r>
            <w:r w:rsidRPr="00AA745A">
              <w:rPr>
                <w:rFonts w:ascii="Arial" w:hAnsi="Arial" w:cs="Arial"/>
                <w:i/>
                <w:sz w:val="20"/>
                <w:szCs w:val="20"/>
                <w:vertAlign w:val="subscript"/>
              </w:rPr>
              <w:t>t</w:t>
            </w:r>
          </w:p>
        </w:tc>
        <w:tc>
          <w:tcPr>
            <w:tcW w:w="0" w:type="auto"/>
            <w:shd w:val="clear" w:color="auto" w:fill="auto"/>
            <w:vAlign w:val="center"/>
          </w:tcPr>
          <w:p w:rsidR="00FB7AE8" w:rsidRPr="00AA745A" w:rsidRDefault="00FB7AE8" w:rsidP="00324486">
            <w:pPr>
              <w:keepNext/>
              <w:keepLines/>
              <w:rPr>
                <w:rFonts w:ascii="Arial" w:hAnsi="Arial" w:cs="Arial"/>
                <w:sz w:val="20"/>
                <w:szCs w:val="20"/>
              </w:rPr>
            </w:pPr>
            <w:r w:rsidRPr="00AA745A">
              <w:rPr>
                <w:rFonts w:ascii="Arial" w:hAnsi="Arial" w:cs="Arial"/>
                <w:sz w:val="20"/>
                <w:szCs w:val="20"/>
              </w:rPr>
              <w:t>the error term.</w:t>
            </w:r>
          </w:p>
        </w:tc>
      </w:tr>
    </w:tbl>
    <w:p w:rsidR="00216385" w:rsidRPr="00711930" w:rsidRDefault="00216385" w:rsidP="00DE2208">
      <w:pPr>
        <w:spacing w:line="276" w:lineRule="auto"/>
        <w:rPr>
          <w:color w:val="000000" w:themeColor="text1"/>
        </w:rPr>
      </w:pPr>
    </w:p>
    <w:p w:rsidR="00FB7AE8" w:rsidRPr="00FB7AE8" w:rsidRDefault="00FB7AE8" w:rsidP="00FB7AE8">
      <w:pPr>
        <w:pStyle w:val="BodyParagraph"/>
        <w:spacing w:line="276" w:lineRule="auto"/>
        <w:ind w:firstLine="360"/>
        <w:rPr>
          <w:rFonts w:ascii="Times New Roman" w:hAnsi="Times New Roman"/>
          <w:color w:val="000000" w:themeColor="text1"/>
          <w:sz w:val="24"/>
          <w:szCs w:val="24"/>
        </w:rPr>
      </w:pPr>
      <w:r w:rsidRPr="00FB7AE8">
        <w:rPr>
          <w:rFonts w:ascii="Times New Roman" w:hAnsi="Times New Roman"/>
          <w:color w:val="000000" w:themeColor="text1"/>
          <w:sz w:val="24"/>
          <w:szCs w:val="24"/>
        </w:rPr>
        <w:t xml:space="preserve">The OtherEvt variables help the model explain load changes that occur on event days for programs in which the DBP customers are dually enrolled. (In the absence of these variables, any load reductions that occur on such days may be falsely attributed to other included variables, such as weather condition or day-type variables.) The “morning load” variables are included in the same spirit as the day-of adjustment to the 10-in-10 baseline settlement method. That is, those variables help adjust the reference loads (or the loads that would have been observed in the </w:t>
      </w:r>
      <w:r w:rsidRPr="00FB7AE8">
        <w:rPr>
          <w:rFonts w:ascii="Times New Roman" w:hAnsi="Times New Roman"/>
          <w:color w:val="000000" w:themeColor="text1"/>
          <w:sz w:val="24"/>
          <w:szCs w:val="24"/>
        </w:rPr>
        <w:lastRenderedPageBreak/>
        <w:t xml:space="preserve">absence of an event) for factors that affect pre-event usage, but are not accounted for by the other included variables. </w:t>
      </w:r>
    </w:p>
    <w:p w:rsidR="00FB7AE8" w:rsidRPr="00FB7AE8" w:rsidRDefault="00FB7AE8" w:rsidP="00FB7AE8">
      <w:pPr>
        <w:pStyle w:val="BodyParagraph"/>
        <w:spacing w:line="276" w:lineRule="auto"/>
        <w:ind w:firstLine="360"/>
        <w:rPr>
          <w:rFonts w:ascii="Times New Roman" w:hAnsi="Times New Roman"/>
          <w:color w:val="000000" w:themeColor="text1"/>
          <w:sz w:val="24"/>
          <w:szCs w:val="24"/>
        </w:rPr>
      </w:pPr>
      <w:r w:rsidRPr="00FB7AE8">
        <w:rPr>
          <w:rFonts w:ascii="Times New Roman" w:hAnsi="Times New Roman"/>
          <w:color w:val="000000" w:themeColor="text1"/>
          <w:sz w:val="24"/>
          <w:szCs w:val="24"/>
        </w:rPr>
        <w:t>The model allows for the hourly load profile to differ by: day of week, with separate profiles for Monday, Tuesday through Thursday, and Friday; and by pricing season (i.e., summer versus winter), in order to account for potential customer load changes in response to seasonal changes in rates.</w:t>
      </w:r>
    </w:p>
    <w:p w:rsidR="005D7D2C" w:rsidRPr="003B5EED" w:rsidRDefault="00FB7AE8" w:rsidP="00FB7AE8">
      <w:pPr>
        <w:pStyle w:val="BodyParagraph"/>
        <w:spacing w:after="0" w:line="276" w:lineRule="auto"/>
        <w:ind w:firstLine="360"/>
        <w:rPr>
          <w:rFonts w:ascii="Times New Roman" w:hAnsi="Times New Roman"/>
          <w:color w:val="000000" w:themeColor="text1"/>
          <w:sz w:val="24"/>
          <w:szCs w:val="24"/>
        </w:rPr>
      </w:pPr>
      <w:r w:rsidRPr="00FB7AE8">
        <w:rPr>
          <w:rFonts w:ascii="Times New Roman" w:hAnsi="Times New Roman"/>
          <w:color w:val="000000" w:themeColor="text1"/>
          <w:sz w:val="24"/>
          <w:szCs w:val="24"/>
        </w:rPr>
        <w:t>Separate models were estimated for each customer. The load impacts were aggregated across customer accounts as appropriate to arrive at program-level load impacts, as well as load impacts by industry group and local capacity area (LCA).</w:t>
      </w:r>
    </w:p>
    <w:p w:rsidR="00D430A5" w:rsidRPr="003B5EED" w:rsidRDefault="00D430A5" w:rsidP="00BD4109">
      <w:pPr>
        <w:pStyle w:val="Heading3"/>
        <w:spacing w:after="0" w:line="276" w:lineRule="auto"/>
        <w:rPr>
          <w:rFonts w:ascii="Times New Roman" w:hAnsi="Times New Roman" w:cs="Times New Roman"/>
          <w:color w:val="000000" w:themeColor="text1"/>
          <w:szCs w:val="24"/>
        </w:rPr>
      </w:pPr>
      <w:bookmarkStart w:id="151" w:name="_Toc380051802"/>
      <w:bookmarkStart w:id="152" w:name="_Toc415748989"/>
      <w:r w:rsidRPr="003B5EED">
        <w:rPr>
          <w:rFonts w:ascii="Times New Roman" w:hAnsi="Times New Roman" w:cs="Times New Roman"/>
          <w:color w:val="000000" w:themeColor="text1"/>
          <w:szCs w:val="24"/>
        </w:rPr>
        <w:t>Development of Uncertainty-Adjusted Load Impacts</w:t>
      </w:r>
      <w:bookmarkEnd w:id="151"/>
      <w:bookmarkEnd w:id="152"/>
    </w:p>
    <w:p w:rsidR="00DE2208" w:rsidRPr="003B5EED" w:rsidRDefault="00DE2208" w:rsidP="00BD4109">
      <w:pPr>
        <w:spacing w:line="276" w:lineRule="auto"/>
        <w:rPr>
          <w:color w:val="000000" w:themeColor="text1"/>
        </w:rPr>
      </w:pPr>
    </w:p>
    <w:p w:rsidR="00ED3505" w:rsidRPr="00ED3505" w:rsidRDefault="00ED3505" w:rsidP="00ED3505">
      <w:pPr>
        <w:pStyle w:val="BodyParagraph"/>
        <w:spacing w:line="276" w:lineRule="auto"/>
        <w:ind w:firstLine="360"/>
        <w:rPr>
          <w:rFonts w:ascii="Times New Roman" w:hAnsi="Times New Roman"/>
          <w:color w:val="000000" w:themeColor="text1"/>
          <w:sz w:val="24"/>
          <w:szCs w:val="24"/>
        </w:rPr>
      </w:pPr>
      <w:r w:rsidRPr="00ED3505">
        <w:rPr>
          <w:rFonts w:ascii="Times New Roman" w:hAnsi="Times New Roman"/>
          <w:color w:val="000000" w:themeColor="text1"/>
          <w:sz w:val="24"/>
          <w:szCs w:val="24"/>
        </w:rPr>
        <w:t xml:space="preserve">The Load Impact Protocols require the estimation of uncertainty-adjusted load impacts. In the case of ex-post load impacts, the parameters that constitute the load impact estimates are not estimated with certainty. We base the uncertainty-adjusted load impacts on the variances associated with the estimated load impact coefficients.  </w:t>
      </w:r>
    </w:p>
    <w:p w:rsidR="00435223" w:rsidRPr="003B5EED" w:rsidRDefault="00ED3505" w:rsidP="00ED3505">
      <w:pPr>
        <w:pStyle w:val="BodyParagraph"/>
        <w:spacing w:after="0" w:line="276" w:lineRule="auto"/>
        <w:ind w:firstLine="360"/>
        <w:rPr>
          <w:rFonts w:ascii="Times New Roman" w:hAnsi="Times New Roman"/>
          <w:color w:val="000000" w:themeColor="text1"/>
          <w:sz w:val="24"/>
          <w:szCs w:val="24"/>
        </w:rPr>
      </w:pPr>
      <w:r w:rsidRPr="00ED3505">
        <w:rPr>
          <w:rFonts w:ascii="Times New Roman" w:hAnsi="Times New Roman"/>
          <w:color w:val="000000" w:themeColor="text1"/>
          <w:sz w:val="24"/>
          <w:szCs w:val="24"/>
        </w:rPr>
        <w:t>Specifically, we added the variances of the estimated load impacts across the customers who submit a bid for the event in question. These aggregations were performed at either the program level, by industry group, or by LCA, as appropriate. The uncertainty-adjusted scenarios were then simulated under the assumption that each hour’s load impact is normally distributed with the mean equal to the sum of the estimated load impacts and the standard deviation equal to the square root of the sum of the variances of the errors around the estimates of the load impacts. Results for the 10th, 30th, 70th, and 90th percentile scenarios are generated from these distributions.</w:t>
      </w:r>
    </w:p>
    <w:p w:rsidR="00C00205" w:rsidRPr="003B5EED" w:rsidRDefault="00C00205" w:rsidP="00FA5A10">
      <w:pPr>
        <w:pStyle w:val="BodyParagraph"/>
        <w:spacing w:after="0" w:line="276" w:lineRule="auto"/>
        <w:ind w:firstLine="360"/>
        <w:rPr>
          <w:rFonts w:ascii="Times New Roman" w:hAnsi="Times New Roman"/>
          <w:color w:val="000000" w:themeColor="text1"/>
        </w:rPr>
      </w:pPr>
    </w:p>
    <w:p w:rsidR="00687934" w:rsidRPr="003B5EED" w:rsidRDefault="00687934" w:rsidP="00FA5A10">
      <w:pPr>
        <w:pStyle w:val="Heading2"/>
        <w:spacing w:after="0" w:line="276" w:lineRule="auto"/>
        <w:rPr>
          <w:rFonts w:ascii="Times New Roman" w:hAnsi="Times New Roman" w:cs="Times New Roman"/>
          <w:color w:val="000000" w:themeColor="text1"/>
        </w:rPr>
      </w:pPr>
      <w:bookmarkStart w:id="153" w:name="_Toc415748990"/>
      <w:r w:rsidRPr="003B5EED">
        <w:rPr>
          <w:rFonts w:ascii="Times New Roman" w:hAnsi="Times New Roman" w:cs="Times New Roman"/>
          <w:color w:val="000000" w:themeColor="text1"/>
        </w:rPr>
        <w:t>DBP Ex-Ante Evaluation Methodology</w:t>
      </w:r>
      <w:bookmarkEnd w:id="153"/>
    </w:p>
    <w:p w:rsidR="00687934" w:rsidRPr="003B5EED" w:rsidRDefault="00687934" w:rsidP="00FA5A10">
      <w:pPr>
        <w:pStyle w:val="BodyParagraph"/>
        <w:spacing w:after="0" w:line="276" w:lineRule="auto"/>
        <w:ind w:firstLine="360"/>
        <w:rPr>
          <w:rFonts w:ascii="Times New Roman" w:hAnsi="Times New Roman"/>
          <w:color w:val="000000" w:themeColor="text1"/>
        </w:rPr>
      </w:pPr>
    </w:p>
    <w:p w:rsidR="00BF4245" w:rsidRDefault="00BF4245" w:rsidP="00BF4245">
      <w:r>
        <w:t>Reference loads and load impacts for all of the above factors were developed in the following series of steps:</w:t>
      </w:r>
    </w:p>
    <w:p w:rsidR="00BF4245" w:rsidRDefault="00BF4245" w:rsidP="00BF4245"/>
    <w:p w:rsidR="00BF4245" w:rsidRDefault="00BF4245" w:rsidP="00BF4245">
      <w:pPr>
        <w:pStyle w:val="ListParagraph"/>
        <w:numPr>
          <w:ilvl w:val="0"/>
          <w:numId w:val="26"/>
        </w:numPr>
      </w:pPr>
      <w:r w:rsidRPr="00BF4245">
        <w:rPr>
          <w:i/>
        </w:rPr>
        <w:t>Define data sources</w:t>
      </w:r>
      <w:r>
        <w:t xml:space="preserve">  </w:t>
      </w:r>
    </w:p>
    <w:p w:rsidR="00BF4245" w:rsidRPr="00834007" w:rsidRDefault="00BF4245" w:rsidP="00BF4245">
      <w:pPr>
        <w:tabs>
          <w:tab w:val="left" w:pos="4140"/>
        </w:tabs>
        <w:rPr>
          <w:b/>
        </w:rPr>
      </w:pPr>
      <w:r>
        <w:t xml:space="preserve">The reference loads are developed using data for customers enrolled in the DBP during the 2014 program year. The percentage load impacts are developed using the estimated </w:t>
      </w:r>
      <w:r w:rsidRPr="00933F01">
        <w:rPr>
          <w:i/>
        </w:rPr>
        <w:t>ex-post</w:t>
      </w:r>
      <w:r>
        <w:t xml:space="preserve"> load impacts for the same customers, using data for 2013 and 2014. </w:t>
      </w:r>
    </w:p>
    <w:p w:rsidR="00BF4245" w:rsidRDefault="00BF4245" w:rsidP="00BF4245">
      <w:pPr>
        <w:tabs>
          <w:tab w:val="left" w:pos="4140"/>
        </w:tabs>
      </w:pPr>
    </w:p>
    <w:p w:rsidR="00BF4245" w:rsidRDefault="003E59AC" w:rsidP="003E59AC">
      <w:pPr>
        <w:tabs>
          <w:tab w:val="left" w:pos="0"/>
        </w:tabs>
      </w:pPr>
      <w:r>
        <w:tab/>
      </w:r>
      <w:r w:rsidR="00BF4245">
        <w:t xml:space="preserve">For each service account, we determine the appropriate size group, LCA, and dual enrollment status. Service accounts that are dually enrolled in the BIP or an aggregator program (e.g., the Aggregated Managed Portfolio or Capacity Bidding Program) will have their reference loads and load impacts counted in the </w:t>
      </w:r>
      <w:r w:rsidR="00BF4245" w:rsidRPr="00277675">
        <w:rPr>
          <w:i/>
        </w:rPr>
        <w:t>program-specific</w:t>
      </w:r>
      <w:r w:rsidR="00BF4245">
        <w:t xml:space="preserve"> scenarios (in which each DR program is </w:t>
      </w:r>
      <w:r w:rsidR="00BF4245">
        <w:lastRenderedPageBreak/>
        <w:t xml:space="preserve">assumed to be called in isolation), but not in the </w:t>
      </w:r>
      <w:r w:rsidR="00BF4245" w:rsidRPr="00277675">
        <w:rPr>
          <w:i/>
        </w:rPr>
        <w:t>portfolio-level</w:t>
      </w:r>
      <w:r w:rsidR="00BF4245">
        <w:t xml:space="preserve"> scenarios (in which all DR programs are assumed to have been called). </w:t>
      </w:r>
    </w:p>
    <w:p w:rsidR="003E59AC" w:rsidRDefault="003E59AC" w:rsidP="00BF4245">
      <w:pPr>
        <w:tabs>
          <w:tab w:val="left" w:pos="4140"/>
        </w:tabs>
      </w:pPr>
    </w:p>
    <w:p w:rsidR="003E59AC" w:rsidRDefault="003E59AC" w:rsidP="003E59AC">
      <w:pPr>
        <w:pStyle w:val="ListParagraph"/>
        <w:numPr>
          <w:ilvl w:val="0"/>
          <w:numId w:val="26"/>
        </w:numPr>
      </w:pPr>
      <w:r w:rsidRPr="003E59AC">
        <w:rPr>
          <w:i/>
        </w:rPr>
        <w:t>Simulate reference loads</w:t>
      </w:r>
      <w:r>
        <w:t xml:space="preserve">  </w:t>
      </w:r>
    </w:p>
    <w:p w:rsidR="003E59AC" w:rsidRDefault="003E59AC" w:rsidP="003E59AC">
      <w:r>
        <w:t xml:space="preserve">In order to develop reference loads, we first re-estimated regression equations for each </w:t>
      </w:r>
      <w:r w:rsidRPr="00B116E3">
        <w:t>enrolled</w:t>
      </w:r>
      <w:r>
        <w:t xml:space="preserve"> service account using data for the current program year. The resulting estimates were used to simulate reference loads for each service account under the various scenarios required by the Protocols (</w:t>
      </w:r>
      <w:r w:rsidRPr="004D7BCF">
        <w:rPr>
          <w:i/>
        </w:rPr>
        <w:t>e.g.</w:t>
      </w:r>
      <w:r>
        <w:t xml:space="preserve">, the typical event day in a utility-specific 1-in-2 weather year).   </w:t>
      </w:r>
    </w:p>
    <w:p w:rsidR="003E59AC" w:rsidRDefault="003E59AC" w:rsidP="003E59AC"/>
    <w:p w:rsidR="003E59AC" w:rsidRPr="003C262F" w:rsidRDefault="003E59AC" w:rsidP="003E59AC">
      <w:pPr>
        <w:ind w:firstLine="720"/>
      </w:pPr>
      <w:r w:rsidRPr="002177EE">
        <w:t xml:space="preserve">For the summer months, the re-estimated regression equations were similar in design to the </w:t>
      </w:r>
      <w:r w:rsidRPr="00933F01">
        <w:rPr>
          <w:i/>
        </w:rPr>
        <w:t>ex-post</w:t>
      </w:r>
      <w:r w:rsidRPr="002177EE">
        <w:t xml:space="preserve"> load impact equations</w:t>
      </w:r>
      <w:r w:rsidRPr="00CC5A6A">
        <w:t>.</w:t>
      </w:r>
      <w:r w:rsidRPr="002177EE">
        <w:t xml:space="preserve"> First, the </w:t>
      </w:r>
      <w:r w:rsidRPr="00933F01">
        <w:rPr>
          <w:i/>
        </w:rPr>
        <w:t>ex-ante</w:t>
      </w:r>
      <w:r w:rsidRPr="002177EE">
        <w:t xml:space="preserve"> models excluded the morning-usage variable</w:t>
      </w:r>
      <w:r>
        <w:t>s. While these</w:t>
      </w:r>
      <w:r w:rsidRPr="002177EE">
        <w:t xml:space="preserve"> variable</w:t>
      </w:r>
      <w:r>
        <w:t>s are</w:t>
      </w:r>
      <w:r w:rsidRPr="002177EE">
        <w:t xml:space="preserve"> useful for improving accuracy in estimating </w:t>
      </w:r>
      <w:r w:rsidRPr="00933F01">
        <w:rPr>
          <w:i/>
        </w:rPr>
        <w:t>ex-post</w:t>
      </w:r>
      <w:r w:rsidRPr="002177EE">
        <w:t xml:space="preserve"> load impacts for particular events, </w:t>
      </w:r>
      <w:r>
        <w:t xml:space="preserve">they </w:t>
      </w:r>
      <w:r w:rsidRPr="002177EE">
        <w:t xml:space="preserve">complicate the use of the equations in </w:t>
      </w:r>
      <w:r w:rsidRPr="00933F01">
        <w:rPr>
          <w:i/>
        </w:rPr>
        <w:t>ex-ante</w:t>
      </w:r>
      <w:r w:rsidRPr="002177EE">
        <w:t xml:space="preserve"> simulation. That is, </w:t>
      </w:r>
      <w:r>
        <w:t xml:space="preserve">they </w:t>
      </w:r>
      <w:r w:rsidRPr="002177EE">
        <w:t xml:space="preserve">would require a separate simulation of the level of the morning </w:t>
      </w:r>
      <w:r w:rsidRPr="00277675">
        <w:t xml:space="preserve">load. The second difference </w:t>
      </w:r>
      <w:r w:rsidRPr="003C262F">
        <w:t xml:space="preserve">between the </w:t>
      </w:r>
      <w:r w:rsidRPr="00933F01">
        <w:rPr>
          <w:i/>
        </w:rPr>
        <w:t>ex-post</w:t>
      </w:r>
      <w:r w:rsidRPr="003C262F">
        <w:t xml:space="preserve"> and </w:t>
      </w:r>
      <w:r w:rsidRPr="00933F01">
        <w:rPr>
          <w:i/>
        </w:rPr>
        <w:t>ex-ante</w:t>
      </w:r>
      <w:r w:rsidRPr="003C262F">
        <w:t xml:space="preserve"> models is that the </w:t>
      </w:r>
      <w:r w:rsidRPr="00933F01">
        <w:rPr>
          <w:i/>
        </w:rPr>
        <w:t>ex-ante</w:t>
      </w:r>
      <w:r w:rsidRPr="003C262F">
        <w:t xml:space="preserve"> models use </w:t>
      </w:r>
      <w:r w:rsidRPr="006F24DA">
        <w:t xml:space="preserve">CDH60 as the weather variables in place of the </w:t>
      </w:r>
      <w:r>
        <w:t xml:space="preserve">lagged CDH </w:t>
      </w:r>
      <w:r w:rsidRPr="006F24DA">
        <w:t xml:space="preserve">variables used in the </w:t>
      </w:r>
      <w:r w:rsidRPr="00933F01">
        <w:rPr>
          <w:i/>
        </w:rPr>
        <w:t>ex-post</w:t>
      </w:r>
      <w:r w:rsidRPr="006F24DA">
        <w:t xml:space="preserve"> regressions</w:t>
      </w:r>
      <w:r w:rsidRPr="003C262F">
        <w:t>.</w:t>
      </w:r>
      <w:r>
        <w:t xml:space="preserve"> The primary reason for this is that the </w:t>
      </w:r>
      <w:r w:rsidRPr="00933F01">
        <w:rPr>
          <w:i/>
        </w:rPr>
        <w:t>ex-ante</w:t>
      </w:r>
      <w:r>
        <w:t xml:space="preserve"> weather days were not selected based on weather from the prior day, restricting the use of lagged weather variables to construct the </w:t>
      </w:r>
      <w:r w:rsidRPr="00933F01">
        <w:rPr>
          <w:i/>
        </w:rPr>
        <w:t>ex-ante</w:t>
      </w:r>
      <w:r>
        <w:t xml:space="preserve"> scenarios.</w:t>
      </w:r>
    </w:p>
    <w:p w:rsidR="003E59AC" w:rsidRDefault="003E59AC" w:rsidP="003E59AC"/>
    <w:p w:rsidR="003E59AC" w:rsidRDefault="003E59AC" w:rsidP="003E59AC">
      <w:r w:rsidRPr="00770A8C">
        <w:t xml:space="preserve">Because DBP events may be called in any month of the year, we estimated separate regression models to allow us to simulate non-summer reference loads. The non-summer model is shown below. This model is estimated separately from the summer </w:t>
      </w:r>
      <w:r w:rsidRPr="00933F01">
        <w:rPr>
          <w:i/>
        </w:rPr>
        <w:t>ex-ante</w:t>
      </w:r>
      <w:r w:rsidRPr="00770A8C">
        <w:t xml:space="preserve"> model. It only differs from the summer model in t</w:t>
      </w:r>
      <w:r>
        <w:t>wo</w:t>
      </w:r>
      <w:r w:rsidRPr="00770A8C">
        <w:t xml:space="preserve"> ways: it includes </w:t>
      </w:r>
      <w:r w:rsidRPr="00770A8C">
        <w:rPr>
          <w:i/>
        </w:rPr>
        <w:t>HDH</w:t>
      </w:r>
      <w:r w:rsidRPr="00770A8C">
        <w:rPr>
          <w:i/>
          <w:vertAlign w:val="subscript"/>
        </w:rPr>
        <w:t>t</w:t>
      </w:r>
      <w:r w:rsidRPr="00770A8C">
        <w:t xml:space="preserve"> variables, where the summer model does not; </w:t>
      </w:r>
      <w:r>
        <w:t xml:space="preserve">and </w:t>
      </w:r>
      <w:r w:rsidRPr="00770A8C">
        <w:t xml:space="preserve">the month dummies relate to a different set of months. </w:t>
      </w:r>
    </w:p>
    <w:p w:rsidR="003E59AC" w:rsidRDefault="003E59AC" w:rsidP="00BF4245">
      <w:pPr>
        <w:tabs>
          <w:tab w:val="left" w:pos="4140"/>
        </w:tabs>
      </w:pPr>
    </w:p>
    <w:p w:rsidR="00BF4245" w:rsidRDefault="00BF4245" w:rsidP="00BF4245">
      <w:pPr>
        <w:tabs>
          <w:tab w:val="left" w:pos="4140"/>
        </w:tabs>
      </w:pPr>
    </w:p>
    <w:p w:rsidR="00030DDE" w:rsidRPr="00EA49A1" w:rsidRDefault="00030DDE" w:rsidP="00030DDE">
      <w:pPr>
        <w:rPr>
          <w:color w:val="0000FF"/>
        </w:rPr>
      </w:pPr>
    </w:p>
    <w:p w:rsidR="00030DDE" w:rsidRPr="00EA49A1" w:rsidRDefault="003E59AC" w:rsidP="0061413A">
      <w:pPr>
        <w:jc w:val="center"/>
        <w:rPr>
          <w:color w:val="0000FF"/>
        </w:rPr>
      </w:pPr>
      <w:r w:rsidRPr="004061BB">
        <w:rPr>
          <w:position w:val="-136"/>
        </w:rPr>
        <w:object w:dxaOrig="7479" w:dyaOrig="2840">
          <v:shape id="_x0000_i1029" type="#_x0000_t75" style="width:374.25pt;height:2in" o:ole="">
            <v:imagedata r:id="rId24" o:title=""/>
          </v:shape>
          <o:OLEObject Type="Embed" ProgID="Equation.3" ShapeID="_x0000_i1029" DrawAspect="Content" ObjectID="_1489490869" r:id="rId25"/>
        </w:object>
      </w:r>
    </w:p>
    <w:p w:rsidR="00030DDE" w:rsidRPr="00EA49A1" w:rsidRDefault="00030DDE" w:rsidP="00030DDE">
      <w:pPr>
        <w:rPr>
          <w:color w:val="0000FF"/>
        </w:rPr>
      </w:pPr>
    </w:p>
    <w:p w:rsidR="003E59AC" w:rsidRPr="00B2669C" w:rsidRDefault="003E59AC" w:rsidP="003E59AC">
      <w:pPr>
        <w:pStyle w:val="TableCaption"/>
        <w:keepLines/>
        <w:rPr>
          <w:sz w:val="20"/>
        </w:rPr>
      </w:pPr>
      <w:bookmarkStart w:id="154" w:name="_Toc326224700"/>
      <w:bookmarkStart w:id="155" w:name="_Toc414439890"/>
      <w:r w:rsidRPr="00B2669C">
        <w:rPr>
          <w:sz w:val="20"/>
        </w:rPr>
        <w:lastRenderedPageBreak/>
        <w:t xml:space="preserve">Table 5.4: Descriptions of Terms included in the </w:t>
      </w:r>
      <w:r w:rsidRPr="00B2669C">
        <w:rPr>
          <w:i/>
          <w:sz w:val="20"/>
        </w:rPr>
        <w:t>Ex-ante</w:t>
      </w:r>
      <w:r w:rsidRPr="00B2669C">
        <w:rPr>
          <w:sz w:val="20"/>
        </w:rPr>
        <w:t xml:space="preserve"> Regression Equation</w:t>
      </w:r>
      <w:bookmarkEnd w:id="154"/>
      <w:bookmarkEnd w:id="1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8030"/>
      </w:tblGrid>
      <w:tr w:rsidR="003E59AC" w:rsidTr="00324486">
        <w:trPr>
          <w:jc w:val="center"/>
        </w:trPr>
        <w:tc>
          <w:tcPr>
            <w:tcW w:w="0" w:type="auto"/>
            <w:shd w:val="clear" w:color="auto" w:fill="D9E2F3"/>
            <w:vAlign w:val="center"/>
          </w:tcPr>
          <w:p w:rsidR="003E59AC" w:rsidRPr="00AA745A" w:rsidRDefault="003E59AC" w:rsidP="00324486">
            <w:pPr>
              <w:keepNext/>
              <w:keepLines/>
              <w:jc w:val="center"/>
              <w:rPr>
                <w:rFonts w:ascii="Arial" w:hAnsi="Arial" w:cs="Arial"/>
                <w:b/>
                <w:sz w:val="20"/>
                <w:szCs w:val="20"/>
              </w:rPr>
            </w:pPr>
            <w:r w:rsidRPr="00AA745A">
              <w:rPr>
                <w:rFonts w:ascii="Arial" w:hAnsi="Arial" w:cs="Arial"/>
                <w:b/>
                <w:sz w:val="20"/>
                <w:szCs w:val="20"/>
              </w:rPr>
              <w:t>Variable Name</w:t>
            </w:r>
          </w:p>
        </w:tc>
        <w:tc>
          <w:tcPr>
            <w:tcW w:w="0" w:type="auto"/>
            <w:shd w:val="clear" w:color="auto" w:fill="D9E2F3"/>
            <w:vAlign w:val="center"/>
          </w:tcPr>
          <w:p w:rsidR="003E59AC" w:rsidRPr="00AA745A" w:rsidRDefault="003E59AC" w:rsidP="00324486">
            <w:pPr>
              <w:keepNext/>
              <w:keepLines/>
              <w:jc w:val="center"/>
              <w:rPr>
                <w:rFonts w:ascii="Arial" w:hAnsi="Arial" w:cs="Arial"/>
                <w:b/>
                <w:sz w:val="20"/>
                <w:szCs w:val="20"/>
              </w:rPr>
            </w:pPr>
            <w:r w:rsidRPr="00AA745A">
              <w:rPr>
                <w:rFonts w:ascii="Arial" w:hAnsi="Arial" w:cs="Arial"/>
                <w:b/>
                <w:sz w:val="20"/>
                <w:szCs w:val="20"/>
              </w:rPr>
              <w:t>Variable Description</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sz w:val="20"/>
                <w:szCs w:val="20"/>
              </w:rPr>
            </w:pPr>
            <w:r w:rsidRPr="00AA745A">
              <w:rPr>
                <w:rFonts w:ascii="Arial" w:hAnsi="Arial" w:cs="Arial"/>
                <w:i/>
                <w:sz w:val="20"/>
                <w:szCs w:val="20"/>
              </w:rPr>
              <w:t>Q</w:t>
            </w:r>
            <w:r w:rsidRPr="00AA745A">
              <w:rPr>
                <w:rFonts w:ascii="Arial" w:hAnsi="Arial" w:cs="Arial"/>
                <w:i/>
                <w:sz w:val="20"/>
                <w:szCs w:val="20"/>
                <w:vertAlign w:val="subscript"/>
              </w:rPr>
              <w:t>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 xml:space="preserve">the demand in hour </w:t>
            </w:r>
            <w:r w:rsidRPr="00AA745A">
              <w:rPr>
                <w:rFonts w:ascii="Arial" w:hAnsi="Arial" w:cs="Arial"/>
                <w:i/>
                <w:sz w:val="20"/>
                <w:szCs w:val="20"/>
              </w:rPr>
              <w:t>t</w:t>
            </w:r>
            <w:r w:rsidRPr="00AA745A">
              <w:rPr>
                <w:rFonts w:ascii="Arial" w:hAnsi="Arial" w:cs="Arial"/>
                <w:sz w:val="20"/>
                <w:szCs w:val="20"/>
              </w:rPr>
              <w:t xml:space="preserve"> for a customer enrolled in DBP prior to the last event date</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sz w:val="20"/>
                <w:szCs w:val="20"/>
              </w:rPr>
            </w:pPr>
            <w:r w:rsidRPr="00AA745A">
              <w:rPr>
                <w:rFonts w:ascii="Arial" w:hAnsi="Arial" w:cs="Arial"/>
                <w:sz w:val="20"/>
                <w:szCs w:val="20"/>
              </w:rPr>
              <w:t xml:space="preserve">The various </w:t>
            </w:r>
            <w:r w:rsidRPr="00AA745A">
              <w:rPr>
                <w:rFonts w:ascii="Arial" w:hAnsi="Arial" w:cs="Arial"/>
                <w:i/>
                <w:sz w:val="20"/>
                <w:szCs w:val="20"/>
              </w:rPr>
              <w:t>b</w:t>
            </w:r>
            <w:r w:rsidRPr="00AA745A">
              <w:rPr>
                <w:rFonts w:ascii="Arial" w:hAnsi="Arial" w:cs="Arial"/>
                <w:sz w:val="20"/>
                <w:szCs w:val="20"/>
              </w:rPr>
              <w:t xml:space="preserve">’s </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the estimated parameters</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sz w:val="20"/>
                <w:szCs w:val="20"/>
              </w:rPr>
            </w:pPr>
            <w:r w:rsidRPr="00AA745A">
              <w:rPr>
                <w:rFonts w:ascii="Arial" w:hAnsi="Arial" w:cs="Arial"/>
                <w:i/>
                <w:sz w:val="20"/>
                <w:szCs w:val="20"/>
              </w:rPr>
              <w:t>h</w:t>
            </w:r>
            <w:r w:rsidRPr="00AA745A">
              <w:rPr>
                <w:rFonts w:ascii="Arial" w:hAnsi="Arial" w:cs="Arial"/>
                <w:i/>
                <w:sz w:val="20"/>
                <w:szCs w:val="20"/>
                <w:vertAlign w:val="subscript"/>
              </w:rPr>
              <w:t>i,t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 xml:space="preserve">a dummy variable for hour </w:t>
            </w:r>
            <w:r w:rsidRPr="00AA745A">
              <w:rPr>
                <w:rFonts w:ascii="Arial" w:hAnsi="Arial" w:cs="Arial"/>
                <w:i/>
                <w:sz w:val="20"/>
                <w:szCs w:val="20"/>
              </w:rPr>
              <w:t>i</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i/>
                <w:sz w:val="20"/>
                <w:szCs w:val="20"/>
              </w:rPr>
            </w:pPr>
            <w:r>
              <w:rPr>
                <w:rFonts w:ascii="Arial" w:hAnsi="Arial" w:cs="Arial"/>
                <w:i/>
                <w:sz w:val="20"/>
                <w:szCs w:val="20"/>
              </w:rPr>
              <w:t>D</w:t>
            </w:r>
            <w:r w:rsidRPr="00AA745A">
              <w:rPr>
                <w:rFonts w:ascii="Arial" w:hAnsi="Arial" w:cs="Arial"/>
                <w:i/>
                <w:sz w:val="20"/>
                <w:szCs w:val="20"/>
              </w:rPr>
              <w:t>BP</w:t>
            </w:r>
            <w:r w:rsidRPr="00AA745A">
              <w:rPr>
                <w:rFonts w:ascii="Arial" w:hAnsi="Arial" w:cs="Arial"/>
                <w:i/>
                <w:sz w:val="20"/>
                <w:szCs w:val="20"/>
                <w:vertAlign w:val="subscript"/>
              </w:rPr>
              <w:t>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an indicator variable for program event days</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i/>
                <w:sz w:val="20"/>
                <w:szCs w:val="20"/>
              </w:rPr>
            </w:pPr>
            <w:r w:rsidRPr="00AA745A">
              <w:rPr>
                <w:rFonts w:ascii="Arial" w:hAnsi="Arial" w:cs="Arial"/>
                <w:i/>
                <w:sz w:val="20"/>
                <w:szCs w:val="20"/>
              </w:rPr>
              <w:t>OtherEvt</w:t>
            </w:r>
            <w:r w:rsidRPr="00EB0348">
              <w:rPr>
                <w:rFonts w:ascii="Arial" w:hAnsi="Arial" w:cs="Arial"/>
                <w:i/>
                <w:sz w:val="20"/>
                <w:szCs w:val="20"/>
                <w:vertAlign w:val="superscript"/>
              </w:rPr>
              <w:t>DR</w:t>
            </w:r>
            <w:r w:rsidRPr="00AA745A">
              <w:rPr>
                <w:rFonts w:ascii="Arial" w:hAnsi="Arial" w:cs="Arial"/>
                <w:i/>
                <w:sz w:val="20"/>
                <w:szCs w:val="20"/>
                <w:vertAlign w:val="subscript"/>
              </w:rPr>
              <w:t>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 xml:space="preserve">equals one on the event days of other demand response programs in which the customer is enrolled </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sz w:val="20"/>
                <w:szCs w:val="20"/>
              </w:rPr>
            </w:pPr>
            <w:r w:rsidRPr="00AA745A">
              <w:rPr>
                <w:rFonts w:ascii="Arial" w:hAnsi="Arial" w:cs="Arial"/>
                <w:i/>
                <w:sz w:val="20"/>
                <w:szCs w:val="20"/>
              </w:rPr>
              <w:t>CDH</w:t>
            </w:r>
            <w:r w:rsidRPr="00AA745A">
              <w:rPr>
                <w:rFonts w:ascii="Arial" w:hAnsi="Arial" w:cs="Arial"/>
                <w:i/>
                <w:sz w:val="20"/>
                <w:szCs w:val="20"/>
                <w:vertAlign w:val="subscript"/>
              </w:rPr>
              <w:t>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 xml:space="preserve">cooling degree hours </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i/>
                <w:sz w:val="20"/>
                <w:szCs w:val="20"/>
              </w:rPr>
            </w:pPr>
            <w:r w:rsidRPr="00AA745A">
              <w:rPr>
                <w:rFonts w:ascii="Arial" w:hAnsi="Arial" w:cs="Arial"/>
                <w:i/>
                <w:sz w:val="20"/>
                <w:szCs w:val="20"/>
              </w:rPr>
              <w:t>HDH</w:t>
            </w:r>
            <w:r w:rsidRPr="00AA745A">
              <w:rPr>
                <w:rFonts w:ascii="Arial" w:hAnsi="Arial" w:cs="Arial"/>
                <w:i/>
                <w:sz w:val="20"/>
                <w:szCs w:val="20"/>
                <w:vertAlign w:val="subscript"/>
              </w:rPr>
              <w:t>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heating degree hours</w:t>
            </w:r>
            <w:r w:rsidRPr="00AA745A">
              <w:rPr>
                <w:rStyle w:val="FootnoteReference"/>
                <w:rFonts w:ascii="Arial" w:hAnsi="Arial" w:cs="Arial"/>
                <w:sz w:val="20"/>
                <w:szCs w:val="20"/>
              </w:rPr>
              <w:footnoteReference w:id="8"/>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sz w:val="20"/>
                <w:szCs w:val="20"/>
              </w:rPr>
            </w:pPr>
            <w:smartTag w:uri="urn:schemas-microsoft-com:office:smarttags" w:element="place">
              <w:smartTag w:uri="urn:schemas-microsoft-com:office:smarttags" w:element="State">
                <w:r w:rsidRPr="00AA745A">
                  <w:rPr>
                    <w:rFonts w:ascii="Arial" w:hAnsi="Arial" w:cs="Arial"/>
                    <w:i/>
                    <w:sz w:val="20"/>
                    <w:szCs w:val="20"/>
                  </w:rPr>
                  <w:t>MON</w:t>
                </w:r>
                <w:r w:rsidRPr="00AA745A">
                  <w:rPr>
                    <w:rFonts w:ascii="Arial" w:hAnsi="Arial" w:cs="Arial"/>
                    <w:i/>
                    <w:sz w:val="20"/>
                    <w:szCs w:val="20"/>
                    <w:vertAlign w:val="subscript"/>
                  </w:rPr>
                  <w:t>t</w:t>
                </w:r>
              </w:smartTag>
            </w:smartTag>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 xml:space="preserve">a dummy variable for Monday </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sz w:val="20"/>
                <w:szCs w:val="20"/>
              </w:rPr>
            </w:pPr>
            <w:r w:rsidRPr="00AA745A">
              <w:rPr>
                <w:rFonts w:ascii="Arial" w:hAnsi="Arial" w:cs="Arial"/>
                <w:i/>
                <w:sz w:val="20"/>
                <w:szCs w:val="20"/>
              </w:rPr>
              <w:t>FRI</w:t>
            </w:r>
            <w:r w:rsidRPr="00AA745A">
              <w:rPr>
                <w:rFonts w:ascii="Arial" w:hAnsi="Arial" w:cs="Arial"/>
                <w:i/>
                <w:sz w:val="20"/>
                <w:szCs w:val="20"/>
                <w:vertAlign w:val="subscript"/>
              </w:rPr>
              <w:t>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 xml:space="preserve">a dummy variable for Friday </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sz w:val="20"/>
                <w:szCs w:val="20"/>
              </w:rPr>
            </w:pPr>
            <w:r w:rsidRPr="00AA745A">
              <w:rPr>
                <w:rFonts w:ascii="Arial" w:hAnsi="Arial" w:cs="Arial"/>
                <w:i/>
                <w:sz w:val="20"/>
                <w:szCs w:val="20"/>
              </w:rPr>
              <w:t>DTYPE</w:t>
            </w:r>
            <w:r w:rsidRPr="00AA745A">
              <w:rPr>
                <w:rFonts w:ascii="Arial" w:hAnsi="Arial" w:cs="Arial"/>
                <w:i/>
                <w:sz w:val="20"/>
                <w:szCs w:val="20"/>
                <w:vertAlign w:val="subscript"/>
              </w:rPr>
              <w:t>i,t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a series of dummy variables for each day of the week</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sz w:val="20"/>
                <w:szCs w:val="20"/>
              </w:rPr>
            </w:pPr>
            <w:r w:rsidRPr="00AA745A">
              <w:rPr>
                <w:rFonts w:ascii="Arial" w:hAnsi="Arial" w:cs="Arial"/>
                <w:i/>
                <w:sz w:val="20"/>
                <w:szCs w:val="20"/>
              </w:rPr>
              <w:t>MONTH</w:t>
            </w:r>
            <w:r w:rsidRPr="00AA745A">
              <w:rPr>
                <w:rFonts w:ascii="Arial" w:hAnsi="Arial" w:cs="Arial"/>
                <w:i/>
                <w:sz w:val="20"/>
                <w:szCs w:val="20"/>
                <w:vertAlign w:val="subscript"/>
              </w:rPr>
              <w:t>i,t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 xml:space="preserve">a series of dummy variables for each month </w:t>
            </w:r>
          </w:p>
        </w:tc>
      </w:tr>
      <w:tr w:rsidR="003E59AC" w:rsidTr="00324486">
        <w:trPr>
          <w:jc w:val="center"/>
        </w:trPr>
        <w:tc>
          <w:tcPr>
            <w:tcW w:w="0" w:type="auto"/>
            <w:shd w:val="clear" w:color="auto" w:fill="auto"/>
            <w:vAlign w:val="center"/>
          </w:tcPr>
          <w:p w:rsidR="003E59AC" w:rsidRPr="00AA745A" w:rsidRDefault="003E59AC" w:rsidP="00324486">
            <w:pPr>
              <w:keepNext/>
              <w:keepLines/>
              <w:jc w:val="center"/>
              <w:rPr>
                <w:rFonts w:ascii="Arial" w:hAnsi="Arial" w:cs="Arial"/>
                <w:sz w:val="20"/>
                <w:szCs w:val="20"/>
              </w:rPr>
            </w:pPr>
            <w:r w:rsidRPr="00AA745A">
              <w:rPr>
                <w:rFonts w:ascii="Arial" w:hAnsi="Arial" w:cs="Arial"/>
                <w:i/>
                <w:sz w:val="20"/>
                <w:szCs w:val="20"/>
              </w:rPr>
              <w:t>e</w:t>
            </w:r>
            <w:r w:rsidRPr="00AA745A">
              <w:rPr>
                <w:rFonts w:ascii="Arial" w:hAnsi="Arial" w:cs="Arial"/>
                <w:i/>
                <w:sz w:val="20"/>
                <w:szCs w:val="20"/>
                <w:vertAlign w:val="subscript"/>
              </w:rPr>
              <w:t>t</w:t>
            </w:r>
          </w:p>
        </w:tc>
        <w:tc>
          <w:tcPr>
            <w:tcW w:w="0" w:type="auto"/>
            <w:shd w:val="clear" w:color="auto" w:fill="auto"/>
            <w:vAlign w:val="center"/>
          </w:tcPr>
          <w:p w:rsidR="003E59AC" w:rsidRPr="00AA745A" w:rsidRDefault="003E59AC" w:rsidP="00324486">
            <w:pPr>
              <w:keepNext/>
              <w:keepLines/>
              <w:rPr>
                <w:rFonts w:ascii="Arial" w:hAnsi="Arial" w:cs="Arial"/>
                <w:sz w:val="20"/>
                <w:szCs w:val="20"/>
              </w:rPr>
            </w:pPr>
            <w:r w:rsidRPr="00AA745A">
              <w:rPr>
                <w:rFonts w:ascii="Arial" w:hAnsi="Arial" w:cs="Arial"/>
                <w:sz w:val="20"/>
                <w:szCs w:val="20"/>
              </w:rPr>
              <w:t>the error term.</w:t>
            </w:r>
          </w:p>
        </w:tc>
      </w:tr>
    </w:tbl>
    <w:p w:rsidR="003E59AC" w:rsidRDefault="003E59AC" w:rsidP="003E59AC"/>
    <w:p w:rsidR="003E59AC" w:rsidRDefault="003E59AC" w:rsidP="003E59AC">
      <w:r>
        <w:t xml:space="preserve">Once these models were estimated, we simulated 24-hour load profiles for each required scenario. The typical event day was assumed to occur in August. Much of the differences across scenarios can be attributed to varying weather conditions. </w:t>
      </w:r>
    </w:p>
    <w:p w:rsidR="00030DDE" w:rsidRDefault="00030DDE" w:rsidP="00FA5A10">
      <w:pPr>
        <w:spacing w:line="276" w:lineRule="auto"/>
        <w:rPr>
          <w:color w:val="000000" w:themeColor="text1"/>
        </w:rPr>
      </w:pPr>
    </w:p>
    <w:p w:rsidR="005A2873" w:rsidRPr="005A2873" w:rsidRDefault="005A2873" w:rsidP="005A2873">
      <w:pPr>
        <w:pStyle w:val="ListParagraph"/>
        <w:numPr>
          <w:ilvl w:val="0"/>
          <w:numId w:val="26"/>
        </w:numPr>
        <w:rPr>
          <w:i/>
        </w:rPr>
      </w:pPr>
      <w:r w:rsidRPr="00AA5190">
        <w:rPr>
          <w:i/>
        </w:rPr>
        <w:t>Calculate</w:t>
      </w:r>
      <w:r>
        <w:rPr>
          <w:i/>
        </w:rPr>
        <w:t xml:space="preserve"> forecast</w:t>
      </w:r>
      <w:r w:rsidRPr="00AA5190">
        <w:rPr>
          <w:i/>
        </w:rPr>
        <w:t xml:space="preserve"> percentage load impacts</w:t>
      </w:r>
    </w:p>
    <w:p w:rsidR="005A2873" w:rsidRDefault="005A2873" w:rsidP="005A2873">
      <w:r>
        <w:t xml:space="preserve">SDG&amp;E used only 2013 and 2014, as the program did not exist in 2012. Specifically, we examined only customers enrolled in PY2014, but included load impact estimates from the previous two program years for the PY 2014 program participants that also participated in the program in 2013. This method allowed us to base the </w:t>
      </w:r>
      <w:r w:rsidRPr="00933F01">
        <w:rPr>
          <w:i/>
        </w:rPr>
        <w:t>ex-ante</w:t>
      </w:r>
      <w:r>
        <w:t xml:space="preserve"> load impacts on a larger sample of events, which helps improve the reliability and consistency of the load impacts across forecasts.</w:t>
      </w:r>
    </w:p>
    <w:p w:rsidR="005A2873" w:rsidRDefault="005A2873" w:rsidP="005A2873"/>
    <w:p w:rsidR="005A2873" w:rsidRDefault="005A2873" w:rsidP="005A2873">
      <w:r>
        <w:t xml:space="preserve">For each service account, we collect the hourly </w:t>
      </w:r>
      <w:r w:rsidRPr="00933F01">
        <w:rPr>
          <w:i/>
        </w:rPr>
        <w:t>ex-post</w:t>
      </w:r>
      <w:r>
        <w:t xml:space="preserve"> load impact estimates and observed loads for every event available for PY13 and PY14. Within each service account, we then calculated the average hourly load impact and observed load profile, as well as the variance of the each hour’s load impact across the event days. The average load impacts and their associated variances are converted to percentages by dividing them into the customer’s average </w:t>
      </w:r>
      <w:r w:rsidRPr="00933F01">
        <w:rPr>
          <w:i/>
        </w:rPr>
        <w:t>ex-post</w:t>
      </w:r>
      <w:r>
        <w:t xml:space="preserve"> reference load for the corresponding hour. These percentages are applied to the customer’s </w:t>
      </w:r>
      <w:r w:rsidRPr="00933F01">
        <w:rPr>
          <w:i/>
        </w:rPr>
        <w:t>ex-ante</w:t>
      </w:r>
      <w:r>
        <w:t xml:space="preserve"> (forecast) reference load for each required scenario (e.g., the August peak month day during a utility-specific 1-in-2 weather year).</w:t>
      </w:r>
    </w:p>
    <w:p w:rsidR="005A2873" w:rsidRDefault="005A2873" w:rsidP="005A2873"/>
    <w:p w:rsidR="005116DE" w:rsidRPr="005116DE" w:rsidRDefault="005116DE" w:rsidP="005116DE">
      <w:pPr>
        <w:pStyle w:val="ListParagraph"/>
        <w:numPr>
          <w:ilvl w:val="0"/>
          <w:numId w:val="26"/>
        </w:numPr>
        <w:rPr>
          <w:i/>
        </w:rPr>
      </w:pPr>
      <w:r w:rsidRPr="003A5FB4">
        <w:rPr>
          <w:i/>
        </w:rPr>
        <w:t>Apply percentage load impacts to reference loads for each event scenario</w:t>
      </w:r>
      <w:r w:rsidRPr="005116DE">
        <w:rPr>
          <w:i/>
        </w:rPr>
        <w:t xml:space="preserve">. </w:t>
      </w:r>
    </w:p>
    <w:p w:rsidR="005116DE" w:rsidRPr="005C35EB" w:rsidRDefault="005116DE" w:rsidP="005116DE">
      <w:r>
        <w:t xml:space="preserve">In this step, the percentage load impacts were applied to the reference loads for each scenario to produce all of the required reference loads, estimated event-day loads, and scenarios of load impacts. </w:t>
      </w:r>
      <w:r>
        <w:br/>
      </w:r>
    </w:p>
    <w:p w:rsidR="005116DE" w:rsidRPr="005116DE" w:rsidRDefault="005116DE" w:rsidP="005116DE">
      <w:pPr>
        <w:pStyle w:val="ListParagraph"/>
        <w:numPr>
          <w:ilvl w:val="0"/>
          <w:numId w:val="26"/>
        </w:numPr>
        <w:rPr>
          <w:i/>
        </w:rPr>
      </w:pPr>
      <w:r w:rsidRPr="00CA5D61">
        <w:rPr>
          <w:i/>
        </w:rPr>
        <w:t>Apply forecast enrollment</w:t>
      </w:r>
      <w:r>
        <w:rPr>
          <w:i/>
        </w:rPr>
        <w:t>s</w:t>
      </w:r>
      <w:r w:rsidRPr="00CA5D61">
        <w:rPr>
          <w:i/>
        </w:rPr>
        <w:t xml:space="preserve"> to produce program-level load impacts</w:t>
      </w:r>
      <w:r w:rsidRPr="005116DE">
        <w:rPr>
          <w:i/>
        </w:rPr>
        <w:t xml:space="preserve">. </w:t>
      </w:r>
    </w:p>
    <w:p w:rsidR="005116DE" w:rsidRDefault="005116DE" w:rsidP="005116DE">
      <w:r>
        <w:lastRenderedPageBreak/>
        <w:t xml:space="preserve">SDG&amp;E assumes that current enrollments persist through the end of the analysis period. </w:t>
      </w:r>
      <w:r w:rsidRPr="00CC5A6A">
        <w:t>The enrollments are then used to scale up the reference loads and load impacts for each required scenario and customer subgroup.</w:t>
      </w:r>
    </w:p>
    <w:tbl>
      <w:tblPr>
        <w:tblW w:w="5000" w:type="pct"/>
        <w:tblLook w:val="0000" w:firstRow="0" w:lastRow="0" w:firstColumn="0" w:lastColumn="0" w:noHBand="0" w:noVBand="0"/>
      </w:tblPr>
      <w:tblGrid>
        <w:gridCol w:w="9576"/>
      </w:tblGrid>
      <w:tr w:rsidR="0081561D" w:rsidRPr="003B5EED" w:rsidTr="009B0CFA">
        <w:trPr>
          <w:trHeight w:val="300"/>
        </w:trPr>
        <w:tc>
          <w:tcPr>
            <w:tcW w:w="5000" w:type="pct"/>
            <w:tcBorders>
              <w:top w:val="nil"/>
              <w:left w:val="nil"/>
              <w:bottom w:val="nil"/>
              <w:right w:val="nil"/>
            </w:tcBorders>
            <w:shd w:val="clear" w:color="auto" w:fill="auto"/>
            <w:noWrap/>
            <w:vAlign w:val="bottom"/>
          </w:tcPr>
          <w:p w:rsidR="00B1456D" w:rsidRPr="003B5EED" w:rsidRDefault="00B1456D" w:rsidP="005567FF">
            <w:pPr>
              <w:jc w:val="center"/>
              <w:rPr>
                <w:rFonts w:eastAsia="MS Mincho"/>
                <w:b/>
                <w:bCs/>
                <w:color w:val="000000" w:themeColor="text1"/>
                <w:sz w:val="20"/>
                <w:szCs w:val="20"/>
                <w:lang w:eastAsia="ja-JP"/>
              </w:rPr>
            </w:pPr>
          </w:p>
        </w:tc>
      </w:tr>
    </w:tbl>
    <w:p w:rsidR="001212D5" w:rsidRDefault="001212D5" w:rsidP="00B40AEC">
      <w:pPr>
        <w:spacing w:line="276" w:lineRule="auto"/>
      </w:pPr>
      <w:bookmarkStart w:id="156" w:name="_Toc259624201"/>
      <w:bookmarkStart w:id="157" w:name="_Toc259628877"/>
      <w:bookmarkStart w:id="158" w:name="_Toc289248351"/>
      <w:bookmarkStart w:id="159" w:name="_Toc351990587"/>
      <w:bookmarkStart w:id="160" w:name="_Toc352084164"/>
      <w:r>
        <w:t xml:space="preserve">The total load impact for the DBP-DA customer (the eight service accounts in PY2013 and PY2013 are all from the same customer) dropped substantially in PY2014. It is not clear why customer performance deteriorated across program years. In contrast, the DBP-DO customer increased the level of its load impacts slightly across program years, but by less than the increase in its reference load, such that the percentage load impact fell.  </w:t>
      </w:r>
    </w:p>
    <w:p w:rsidR="00ED7741" w:rsidRPr="003B5EED" w:rsidRDefault="00ED7741" w:rsidP="00FC2DEA">
      <w:pPr>
        <w:pStyle w:val="Heading1"/>
        <w:spacing w:after="0" w:line="276" w:lineRule="auto"/>
        <w:rPr>
          <w:rFonts w:ascii="Times New Roman" w:hAnsi="Times New Roman" w:cs="Times New Roman"/>
          <w:color w:val="000000" w:themeColor="text1"/>
        </w:rPr>
      </w:pPr>
      <w:bookmarkStart w:id="161" w:name="_Toc415748991"/>
      <w:r w:rsidRPr="003B5EED">
        <w:rPr>
          <w:rFonts w:ascii="Times New Roman" w:hAnsi="Times New Roman" w:cs="Times New Roman"/>
          <w:color w:val="000000" w:themeColor="text1"/>
        </w:rPr>
        <w:t>Summary of SDG&amp;E’s Summer Saver Report</w:t>
      </w:r>
      <w:bookmarkEnd w:id="156"/>
      <w:bookmarkEnd w:id="157"/>
      <w:bookmarkEnd w:id="158"/>
      <w:bookmarkEnd w:id="159"/>
      <w:bookmarkEnd w:id="160"/>
      <w:bookmarkEnd w:id="161"/>
    </w:p>
    <w:p w:rsidR="00ED7741" w:rsidRPr="003B5EED" w:rsidRDefault="00126A78" w:rsidP="00E308CB">
      <w:pPr>
        <w:pStyle w:val="Heading2"/>
        <w:spacing w:after="0" w:line="276" w:lineRule="auto"/>
        <w:rPr>
          <w:rFonts w:ascii="Times New Roman" w:hAnsi="Times New Roman" w:cs="Times New Roman"/>
          <w:color w:val="000000" w:themeColor="text1"/>
          <w:szCs w:val="24"/>
        </w:rPr>
      </w:pPr>
      <w:bookmarkStart w:id="162" w:name="_Toc259624202"/>
      <w:bookmarkStart w:id="163" w:name="_Toc259628878"/>
      <w:bookmarkStart w:id="164" w:name="_Toc289248352"/>
      <w:r w:rsidRPr="003B5EED">
        <w:rPr>
          <w:rFonts w:ascii="Times New Roman" w:hAnsi="Times New Roman" w:cs="Times New Roman"/>
          <w:color w:val="000000" w:themeColor="text1"/>
        </w:rPr>
        <w:t xml:space="preserve"> </w:t>
      </w:r>
      <w:bookmarkStart w:id="165" w:name="_Toc351990588"/>
      <w:bookmarkStart w:id="166" w:name="_Toc352084165"/>
      <w:bookmarkStart w:id="167" w:name="_Toc415748992"/>
      <w:r w:rsidR="00ED7741" w:rsidRPr="003B5EED">
        <w:rPr>
          <w:rFonts w:ascii="Times New Roman" w:hAnsi="Times New Roman" w:cs="Times New Roman"/>
          <w:color w:val="000000" w:themeColor="text1"/>
          <w:szCs w:val="24"/>
        </w:rPr>
        <w:t>Summer Saver Program Description</w:t>
      </w:r>
      <w:bookmarkEnd w:id="162"/>
      <w:bookmarkEnd w:id="163"/>
      <w:bookmarkEnd w:id="164"/>
      <w:bookmarkEnd w:id="165"/>
      <w:bookmarkEnd w:id="166"/>
      <w:bookmarkEnd w:id="167"/>
    </w:p>
    <w:p w:rsidR="00ED7741" w:rsidRPr="003B5EED" w:rsidRDefault="00ED7741" w:rsidP="00E308CB">
      <w:pPr>
        <w:spacing w:line="276" w:lineRule="auto"/>
        <w:rPr>
          <w:b/>
          <w:color w:val="000000" w:themeColor="text1"/>
        </w:rPr>
      </w:pPr>
    </w:p>
    <w:p w:rsidR="00E308CB" w:rsidRPr="003B5EED" w:rsidRDefault="00E308CB" w:rsidP="00E308CB">
      <w:pPr>
        <w:pStyle w:val="BodyParagraph"/>
        <w:spacing w:after="0" w:line="276" w:lineRule="auto"/>
        <w:ind w:firstLine="360"/>
        <w:rPr>
          <w:rFonts w:ascii="Times New Roman" w:hAnsi="Times New Roman"/>
          <w:color w:val="000000" w:themeColor="text1"/>
          <w:sz w:val="24"/>
          <w:szCs w:val="24"/>
        </w:rPr>
      </w:pPr>
      <w:bookmarkStart w:id="168" w:name="_Toc257732865"/>
      <w:bookmarkStart w:id="169" w:name="_Toc259624203"/>
      <w:bookmarkStart w:id="170" w:name="_Toc259628879"/>
      <w:bookmarkStart w:id="171" w:name="_Toc289248353"/>
      <w:r w:rsidRPr="003B5EED">
        <w:rPr>
          <w:rFonts w:ascii="Times New Roman" w:hAnsi="Times New Roman"/>
          <w:color w:val="000000" w:themeColor="text1"/>
          <w:sz w:val="24"/>
          <w:szCs w:val="24"/>
        </w:rPr>
        <w:t>SDG&amp;E’s Summer Saver program is a demand response resource based on CAC load control.  It is implemented through an agreement between SDG&amp;E and Alternative Energy Resources (AER), a subsidiary of Comverge, Inc.,</w:t>
      </w:r>
      <w:r w:rsidRPr="003B5EED">
        <w:rPr>
          <w:rStyle w:val="FootnoteReference"/>
          <w:rFonts w:ascii="Times New Roman" w:hAnsi="Times New Roman"/>
          <w:color w:val="000000" w:themeColor="text1"/>
          <w:sz w:val="24"/>
          <w:szCs w:val="24"/>
        </w:rPr>
        <w:footnoteReference w:id="9"/>
      </w:r>
      <w:r w:rsidRPr="003B5EED">
        <w:rPr>
          <w:rFonts w:ascii="Times New Roman" w:hAnsi="Times New Roman"/>
          <w:color w:val="000000" w:themeColor="text1"/>
          <w:sz w:val="24"/>
          <w:szCs w:val="24"/>
        </w:rPr>
        <w:t xml:space="preserve"> and is expected to continue to be implemented at SDG&amp;E through 2016.  </w:t>
      </w:r>
    </w:p>
    <w:p w:rsidR="00E308CB" w:rsidRPr="003B5EED" w:rsidRDefault="00E308CB" w:rsidP="00E308CB">
      <w:pPr>
        <w:pStyle w:val="BodyParagraph"/>
        <w:spacing w:after="0" w:line="276" w:lineRule="auto"/>
        <w:ind w:firstLine="360"/>
        <w:rPr>
          <w:rFonts w:ascii="Times New Roman" w:hAnsi="Times New Roman"/>
          <w:color w:val="000000" w:themeColor="text1"/>
          <w:sz w:val="24"/>
          <w:szCs w:val="24"/>
          <w:highlight w:val="yellow"/>
        </w:rPr>
      </w:pPr>
      <w:r w:rsidRPr="003B5EED">
        <w:rPr>
          <w:rFonts w:ascii="Times New Roman" w:hAnsi="Times New Roman"/>
          <w:color w:val="000000" w:themeColor="text1"/>
          <w:sz w:val="24"/>
          <w:szCs w:val="24"/>
        </w:rPr>
        <w:t xml:space="preserve">The Summer Saver program is available to both residential and nonresidential customers, where eligible nonresidential customers are subject to a demand limit.  Only those nonresidential customers with average monthly peak demand up to a maximum of 100 kW over a 12-month period may participate.  Summer Saver events may only be called during the months of May through October.  Events must run for at least 2 hours and no more than 4 hours and cannot be called for more than 40 hours per month or 120 hours per year.  Load control events can occur on weekends but not on holidays and cannot be called more than three-days in any calendar week.  These rules apply to both residential and nonresidential customers alike.  </w:t>
      </w:r>
    </w:p>
    <w:p w:rsidR="00E308CB" w:rsidRPr="003B5EED" w:rsidRDefault="00E308CB" w:rsidP="00E308CB">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Summer Saver is classified as a day-of demand response program.  The program does not notify participating customers when an event is called.  SDG&amp;E may call an event whenever the utility’s electric system supply portfolio reaches resource dispatch equivalence of 15,000 Btu/kWh heat rate or as utility system conditions warrant.  A Summer Saver event may also be triggered by extreme system conditions, such as special alerts issued by the California Independent System Operator, SDG&amp;E system emergencies related to grid operations, conditions of high forecasted California spot market prices, or for testing or evaluation purposes.  </w:t>
      </w:r>
    </w:p>
    <w:p w:rsidR="00E308CB" w:rsidRPr="003B5EED" w:rsidRDefault="00E308CB" w:rsidP="00E308CB">
      <w:pPr>
        <w:pStyle w:val="BodyBeforeBullet"/>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There are two enrollment options for both residential and nonresidential participants.  Residential customers can choose to have their CAC units cycled 50% or 100% of the time during an event.  The incentive paid for each option varies; the 50% cycling option pays $11.50 per ton per year of CAC capacity and the 100% cycling option pays $38 per ton per year.  A </w:t>
      </w:r>
      <w:r w:rsidRPr="003B5EED">
        <w:rPr>
          <w:rFonts w:ascii="Times New Roman" w:hAnsi="Times New Roman"/>
          <w:color w:val="000000" w:themeColor="text1"/>
          <w:sz w:val="24"/>
          <w:szCs w:val="24"/>
        </w:rPr>
        <w:lastRenderedPageBreak/>
        <w:t>residential customer with a four-ton CAC unit would be paid the following on an annual basis under each option:</w:t>
      </w:r>
    </w:p>
    <w:p w:rsidR="00E308CB" w:rsidRPr="003B5EED" w:rsidRDefault="00E308CB" w:rsidP="00E308CB">
      <w:pPr>
        <w:pStyle w:val="Bullets"/>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 xml:space="preserve">$46 for 50% cycling; or </w:t>
      </w:r>
    </w:p>
    <w:p w:rsidR="00E308CB" w:rsidRPr="003B5EED" w:rsidRDefault="00E308CB" w:rsidP="00E308CB">
      <w:pPr>
        <w:pStyle w:val="BulletLast"/>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$152 for 100% cycling.</w:t>
      </w:r>
    </w:p>
    <w:p w:rsidR="00E308CB" w:rsidRPr="003B5EED" w:rsidRDefault="00E308CB" w:rsidP="00E308CB">
      <w:pPr>
        <w:pStyle w:val="BodyBeforeBullet"/>
        <w:spacing w:after="0" w:line="276" w:lineRule="auto"/>
        <w:rPr>
          <w:rFonts w:ascii="Times New Roman" w:hAnsi="Times New Roman"/>
          <w:color w:val="000000" w:themeColor="text1"/>
          <w:sz w:val="24"/>
          <w:szCs w:val="24"/>
        </w:rPr>
      </w:pPr>
    </w:p>
    <w:p w:rsidR="00E308CB" w:rsidRPr="003B5EED" w:rsidRDefault="00E308CB" w:rsidP="00E308CB">
      <w:pPr>
        <w:pStyle w:val="BodyBeforeBullet"/>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Nonresidential customers have the option of choosing 30% or 50% cycling.  The incentive payment for 30% cycling is $9 per ton per year and $15 per ton per year for the 50% cycling option.  A nonresidential customer with a nine-ton CAC unit would be paid the following on an annual basis under each option: </w:t>
      </w:r>
    </w:p>
    <w:p w:rsidR="00E308CB" w:rsidRPr="003B5EED" w:rsidRDefault="00E308CB" w:rsidP="00E308CB">
      <w:pPr>
        <w:pStyle w:val="Bullets"/>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w:t>
      </w:r>
      <w:r w:rsidR="00E613E5">
        <w:rPr>
          <w:rFonts w:ascii="Times New Roman" w:hAnsi="Times New Roman" w:cs="Times New Roman"/>
          <w:color w:val="000000" w:themeColor="text1"/>
          <w:sz w:val="24"/>
          <w:szCs w:val="24"/>
        </w:rPr>
        <w:t>45</w:t>
      </w:r>
      <w:r w:rsidRPr="003B5EED">
        <w:rPr>
          <w:rFonts w:ascii="Times New Roman" w:hAnsi="Times New Roman" w:cs="Times New Roman"/>
          <w:color w:val="000000" w:themeColor="text1"/>
          <w:sz w:val="24"/>
          <w:szCs w:val="24"/>
        </w:rPr>
        <w:t xml:space="preserve"> for 30% cycling; or</w:t>
      </w:r>
    </w:p>
    <w:p w:rsidR="00E308CB" w:rsidRPr="003B5EED" w:rsidRDefault="00E308CB" w:rsidP="00E308CB">
      <w:pPr>
        <w:pStyle w:val="BulletLast"/>
        <w:spacing w:after="0" w:line="276" w:lineRule="auto"/>
        <w:rPr>
          <w:rFonts w:ascii="Times New Roman" w:hAnsi="Times New Roman" w:cs="Times New Roman"/>
          <w:color w:val="000000" w:themeColor="text1"/>
          <w:sz w:val="24"/>
          <w:szCs w:val="24"/>
        </w:rPr>
      </w:pPr>
      <w:r w:rsidRPr="003B5EED">
        <w:rPr>
          <w:rFonts w:ascii="Times New Roman" w:hAnsi="Times New Roman" w:cs="Times New Roman"/>
          <w:color w:val="000000" w:themeColor="text1"/>
          <w:sz w:val="24"/>
          <w:szCs w:val="24"/>
        </w:rPr>
        <w:t>$</w:t>
      </w:r>
      <w:r w:rsidR="00E613E5">
        <w:rPr>
          <w:rFonts w:ascii="Times New Roman" w:hAnsi="Times New Roman" w:cs="Times New Roman"/>
          <w:color w:val="000000" w:themeColor="text1"/>
          <w:sz w:val="24"/>
          <w:szCs w:val="24"/>
        </w:rPr>
        <w:t>7</w:t>
      </w:r>
      <w:r w:rsidRPr="003B5EED">
        <w:rPr>
          <w:rFonts w:ascii="Times New Roman" w:hAnsi="Times New Roman" w:cs="Times New Roman"/>
          <w:color w:val="000000" w:themeColor="text1"/>
          <w:sz w:val="24"/>
          <w:szCs w:val="24"/>
        </w:rPr>
        <w:t>5 for 50% cycling.</w:t>
      </w:r>
    </w:p>
    <w:p w:rsidR="00C62A8A" w:rsidRPr="003B5EED" w:rsidRDefault="00C62A8A" w:rsidP="00EC3DEF">
      <w:pPr>
        <w:pStyle w:val="BodyParagraph"/>
        <w:spacing w:after="0" w:line="276" w:lineRule="auto"/>
        <w:rPr>
          <w:rFonts w:ascii="Times New Roman" w:hAnsi="Times New Roman"/>
          <w:color w:val="000000" w:themeColor="text1"/>
        </w:rPr>
      </w:pPr>
    </w:p>
    <w:p w:rsidR="00F149C4" w:rsidRPr="003B5EED" w:rsidRDefault="00F149C4" w:rsidP="00106C6D">
      <w:pPr>
        <w:pStyle w:val="Heading2"/>
        <w:spacing w:after="0" w:line="276" w:lineRule="auto"/>
        <w:rPr>
          <w:rFonts w:ascii="Times New Roman" w:hAnsi="Times New Roman" w:cs="Times New Roman"/>
          <w:color w:val="000000" w:themeColor="text1"/>
          <w:szCs w:val="24"/>
        </w:rPr>
      </w:pPr>
      <w:bookmarkStart w:id="172" w:name="_Toc349548901"/>
      <w:bookmarkStart w:id="173" w:name="_Toc350953032"/>
      <w:r w:rsidRPr="003B5EED">
        <w:rPr>
          <w:rFonts w:ascii="Times New Roman" w:hAnsi="Times New Roman" w:cs="Times New Roman"/>
          <w:color w:val="000000" w:themeColor="text1"/>
          <w:szCs w:val="24"/>
        </w:rPr>
        <w:t xml:space="preserve"> </w:t>
      </w:r>
      <w:bookmarkStart w:id="174" w:name="_Toc351990589"/>
      <w:bookmarkStart w:id="175" w:name="_Toc352084166"/>
      <w:bookmarkStart w:id="176" w:name="_Toc415748993"/>
      <w:r w:rsidR="00F93AF3" w:rsidRPr="003B5EED">
        <w:rPr>
          <w:rFonts w:ascii="Times New Roman" w:hAnsi="Times New Roman" w:cs="Times New Roman"/>
          <w:color w:val="000000" w:themeColor="text1"/>
          <w:szCs w:val="24"/>
        </w:rPr>
        <w:t xml:space="preserve">Summer Saver </w:t>
      </w:r>
      <w:r w:rsidR="0015465A" w:rsidRPr="003B5EED">
        <w:rPr>
          <w:rFonts w:ascii="Times New Roman" w:hAnsi="Times New Roman" w:cs="Times New Roman"/>
          <w:color w:val="000000" w:themeColor="text1"/>
          <w:szCs w:val="24"/>
        </w:rPr>
        <w:t>Ex-post</w:t>
      </w:r>
      <w:r w:rsidRPr="003B5EED">
        <w:rPr>
          <w:rFonts w:ascii="Times New Roman" w:hAnsi="Times New Roman" w:cs="Times New Roman"/>
          <w:color w:val="000000" w:themeColor="text1"/>
          <w:szCs w:val="24"/>
        </w:rPr>
        <w:t xml:space="preserve"> Methodology</w:t>
      </w:r>
      <w:bookmarkEnd w:id="172"/>
      <w:bookmarkEnd w:id="173"/>
      <w:bookmarkEnd w:id="174"/>
      <w:bookmarkEnd w:id="175"/>
      <w:bookmarkEnd w:id="176"/>
    </w:p>
    <w:p w:rsidR="00F149C4" w:rsidRPr="003B5EED" w:rsidRDefault="00F149C4" w:rsidP="00106C6D">
      <w:pPr>
        <w:pStyle w:val="BodyParagraph"/>
        <w:spacing w:after="0" w:line="276" w:lineRule="auto"/>
        <w:rPr>
          <w:rFonts w:ascii="Times New Roman" w:hAnsi="Times New Roman"/>
          <w:color w:val="000000" w:themeColor="text1"/>
          <w:sz w:val="24"/>
          <w:szCs w:val="24"/>
        </w:rPr>
      </w:pPr>
    </w:p>
    <w:p w:rsidR="001A7E7C" w:rsidRPr="001A7E7C" w:rsidRDefault="001A7E7C" w:rsidP="001A7E7C">
      <w:pPr>
        <w:pStyle w:val="BodyParagraph"/>
        <w:ind w:firstLine="576"/>
        <w:rPr>
          <w:rFonts w:ascii="Times New Roman" w:hAnsi="Times New Roman"/>
          <w:color w:val="000000" w:themeColor="text1"/>
          <w:sz w:val="24"/>
          <w:szCs w:val="24"/>
        </w:rPr>
      </w:pPr>
      <w:r w:rsidRPr="001A7E7C">
        <w:rPr>
          <w:rFonts w:ascii="Times New Roman" w:hAnsi="Times New Roman"/>
          <w:color w:val="000000" w:themeColor="text1"/>
          <w:sz w:val="24"/>
          <w:szCs w:val="24"/>
        </w:rPr>
        <w:t>An R</w:t>
      </w:r>
      <w:r w:rsidR="009C2680">
        <w:rPr>
          <w:rFonts w:ascii="Times New Roman" w:hAnsi="Times New Roman"/>
          <w:color w:val="000000" w:themeColor="text1"/>
          <w:sz w:val="24"/>
          <w:szCs w:val="24"/>
        </w:rPr>
        <w:t xml:space="preserve">andomized </w:t>
      </w:r>
      <w:r w:rsidRPr="001A7E7C">
        <w:rPr>
          <w:rFonts w:ascii="Times New Roman" w:hAnsi="Times New Roman"/>
          <w:color w:val="000000" w:themeColor="text1"/>
          <w:sz w:val="24"/>
          <w:szCs w:val="24"/>
        </w:rPr>
        <w:t>C</w:t>
      </w:r>
      <w:r w:rsidR="009C2680">
        <w:rPr>
          <w:rFonts w:ascii="Times New Roman" w:hAnsi="Times New Roman"/>
          <w:color w:val="000000" w:themeColor="text1"/>
          <w:sz w:val="24"/>
          <w:szCs w:val="24"/>
        </w:rPr>
        <w:t xml:space="preserve">ontrol </w:t>
      </w:r>
      <w:r w:rsidRPr="001A7E7C">
        <w:rPr>
          <w:rFonts w:ascii="Times New Roman" w:hAnsi="Times New Roman"/>
          <w:color w:val="000000" w:themeColor="text1"/>
          <w:sz w:val="24"/>
          <w:szCs w:val="24"/>
        </w:rPr>
        <w:t>T</w:t>
      </w:r>
      <w:r w:rsidR="009C2680">
        <w:rPr>
          <w:rFonts w:ascii="Times New Roman" w:hAnsi="Times New Roman"/>
          <w:color w:val="000000" w:themeColor="text1"/>
          <w:sz w:val="24"/>
          <w:szCs w:val="24"/>
        </w:rPr>
        <w:t>rial (RCT)</w:t>
      </w:r>
      <w:r w:rsidRPr="001A7E7C">
        <w:rPr>
          <w:rFonts w:ascii="Times New Roman" w:hAnsi="Times New Roman"/>
          <w:color w:val="000000" w:themeColor="text1"/>
          <w:sz w:val="24"/>
          <w:szCs w:val="24"/>
        </w:rPr>
        <w:t xml:space="preserve"> is an experimental research approach where customers are randomly assigned to treatment and control conditions so that the only difference between the two groups, other than random chance, is the existence of the treatment condition.  In this context, for each of the five non-May events this year, roughly half of the 1,512 customers in the residential sample and half of the 1,475 customers in the nonresidential sample had their CAC unit cycled while the remaining customers served as the control group.  The group that received the event signal alternated from event to event. This design has significant advantages in providing fast, reliable impact estimates if sample sizes are large enough.</w:t>
      </w:r>
    </w:p>
    <w:p w:rsidR="001A7E7C" w:rsidRPr="001A7E7C" w:rsidRDefault="001A7E7C" w:rsidP="001A7E7C">
      <w:pPr>
        <w:pStyle w:val="BodyParagraph"/>
        <w:ind w:firstLine="576"/>
        <w:rPr>
          <w:rFonts w:ascii="Times New Roman" w:hAnsi="Times New Roman"/>
          <w:color w:val="000000" w:themeColor="text1"/>
          <w:sz w:val="24"/>
          <w:szCs w:val="24"/>
        </w:rPr>
      </w:pPr>
      <w:r w:rsidRPr="001A7E7C">
        <w:rPr>
          <w:rFonts w:ascii="Times New Roman" w:hAnsi="Times New Roman"/>
          <w:color w:val="000000" w:themeColor="text1"/>
          <w:sz w:val="24"/>
          <w:szCs w:val="24"/>
        </w:rPr>
        <w:t xml:space="preserve">Ex post event impacts for each cycling option were estimated for each hour of each event by taking the average load in the group that received the event and subtracting it from the average adjusted load of the group that did not receive the event.  The adjustment was based on the ratio of usage between the treatment and control groups for the hour prior to the event start.  This adjustment is referred to as a “same-day adjustment” and is an effective way of accounting for small differences in load that can arise between randomly assigned treatment and control groups.  Such an adjustment is appropriate in this setting because the vast majority of customers were not notified of Summer Saver events prior to the events’ initiation. Since Summer Saver is a day-of demand response program, the notification occurs within hours of the actual event. </w:t>
      </w:r>
    </w:p>
    <w:p w:rsidR="001A7E7C" w:rsidRPr="001A7E7C" w:rsidRDefault="001A7E7C" w:rsidP="001A7E7C">
      <w:pPr>
        <w:pStyle w:val="BodyParagraph"/>
        <w:ind w:firstLine="576"/>
        <w:rPr>
          <w:rFonts w:ascii="Times New Roman" w:hAnsi="Times New Roman"/>
          <w:color w:val="000000" w:themeColor="text1"/>
          <w:sz w:val="24"/>
          <w:szCs w:val="24"/>
        </w:rPr>
      </w:pPr>
      <w:r w:rsidRPr="001A7E7C">
        <w:rPr>
          <w:rFonts w:ascii="Times New Roman" w:hAnsi="Times New Roman"/>
          <w:color w:val="000000" w:themeColor="text1"/>
          <w:sz w:val="24"/>
          <w:szCs w:val="24"/>
        </w:rPr>
        <w:t xml:space="preserve">Hourly impact estimates for the residential and nonresidential Summer Saver population were calculated by taking a weighted average of the impact estimates for each cycling option, with weights determined by the number of tons enrolled on each cycling option.  Similar weighting was done to calculate cycle percentage level impacts. For cycle percentage level impacts, weights were determined by the number of tons enrolled in each climate zone. Impacts </w:t>
      </w:r>
      <w:r w:rsidRPr="001A7E7C">
        <w:rPr>
          <w:rFonts w:ascii="Times New Roman" w:hAnsi="Times New Roman"/>
          <w:color w:val="000000" w:themeColor="text1"/>
          <w:sz w:val="24"/>
          <w:szCs w:val="24"/>
        </w:rPr>
        <w:lastRenderedPageBreak/>
        <w:t xml:space="preserve">for the average event day were calculated from treatment and control group load shapes averaged across the three events that lasted from 2 to 6 PM. </w:t>
      </w:r>
    </w:p>
    <w:p w:rsidR="00ED7741" w:rsidRPr="003B5EED" w:rsidRDefault="00C62A8A" w:rsidP="00416411">
      <w:pPr>
        <w:pStyle w:val="Heading2"/>
        <w:spacing w:after="0" w:line="276" w:lineRule="auto"/>
        <w:rPr>
          <w:rFonts w:ascii="Times New Roman" w:hAnsi="Times New Roman" w:cs="Times New Roman"/>
          <w:color w:val="000000" w:themeColor="text1"/>
          <w:szCs w:val="24"/>
        </w:rPr>
      </w:pPr>
      <w:r w:rsidRPr="003B5EED">
        <w:rPr>
          <w:rFonts w:ascii="Times New Roman" w:hAnsi="Times New Roman" w:cs="Times New Roman"/>
          <w:color w:val="000000" w:themeColor="text1"/>
          <w:szCs w:val="24"/>
        </w:rPr>
        <w:t xml:space="preserve"> </w:t>
      </w:r>
      <w:bookmarkStart w:id="177" w:name="_Toc351990591"/>
      <w:bookmarkStart w:id="178" w:name="_Toc352084168"/>
      <w:bookmarkStart w:id="179" w:name="_Toc415748994"/>
      <w:r w:rsidR="00ED7741" w:rsidRPr="003B5EED">
        <w:rPr>
          <w:rFonts w:ascii="Times New Roman" w:hAnsi="Times New Roman" w:cs="Times New Roman"/>
          <w:color w:val="000000" w:themeColor="text1"/>
          <w:szCs w:val="24"/>
        </w:rPr>
        <w:t xml:space="preserve">Summer Saver </w:t>
      </w:r>
      <w:r w:rsidR="0015465A" w:rsidRPr="003B5EED">
        <w:rPr>
          <w:rFonts w:ascii="Times New Roman" w:hAnsi="Times New Roman" w:cs="Times New Roman"/>
          <w:color w:val="000000" w:themeColor="text1"/>
          <w:szCs w:val="24"/>
        </w:rPr>
        <w:t>Ex-</w:t>
      </w:r>
      <w:r w:rsidR="00416411" w:rsidRPr="003B5EED">
        <w:rPr>
          <w:rFonts w:ascii="Times New Roman" w:hAnsi="Times New Roman" w:cs="Times New Roman"/>
          <w:color w:val="000000" w:themeColor="text1"/>
          <w:szCs w:val="24"/>
        </w:rPr>
        <w:t>P</w:t>
      </w:r>
      <w:r w:rsidR="0015465A" w:rsidRPr="003B5EED">
        <w:rPr>
          <w:rFonts w:ascii="Times New Roman" w:hAnsi="Times New Roman" w:cs="Times New Roman"/>
          <w:color w:val="000000" w:themeColor="text1"/>
          <w:szCs w:val="24"/>
        </w:rPr>
        <w:t>ost</w:t>
      </w:r>
      <w:r w:rsidR="00ED7741" w:rsidRPr="003B5EED">
        <w:rPr>
          <w:rFonts w:ascii="Times New Roman" w:hAnsi="Times New Roman" w:cs="Times New Roman"/>
          <w:color w:val="000000" w:themeColor="text1"/>
          <w:szCs w:val="24"/>
        </w:rPr>
        <w:t xml:space="preserve"> Load Impact Estimates</w:t>
      </w:r>
      <w:bookmarkEnd w:id="168"/>
      <w:bookmarkEnd w:id="169"/>
      <w:bookmarkEnd w:id="170"/>
      <w:bookmarkEnd w:id="171"/>
      <w:bookmarkEnd w:id="177"/>
      <w:bookmarkEnd w:id="178"/>
      <w:bookmarkEnd w:id="179"/>
    </w:p>
    <w:p w:rsidR="00ED7741" w:rsidRPr="003B5EED" w:rsidRDefault="00ED7741" w:rsidP="00416411">
      <w:pPr>
        <w:spacing w:line="276" w:lineRule="auto"/>
        <w:rPr>
          <w:color w:val="000000" w:themeColor="text1"/>
        </w:rPr>
      </w:pPr>
    </w:p>
    <w:p w:rsidR="00416411" w:rsidRDefault="00416411" w:rsidP="00416411">
      <w:pPr>
        <w:pStyle w:val="BodyParagraph"/>
        <w:spacing w:after="0" w:line="276" w:lineRule="auto"/>
        <w:ind w:firstLine="360"/>
        <w:rPr>
          <w:rFonts w:ascii="Times New Roman" w:hAnsi="Times New Roman"/>
          <w:color w:val="000000" w:themeColor="text1"/>
          <w:sz w:val="24"/>
          <w:szCs w:val="24"/>
        </w:rPr>
      </w:pPr>
      <w:r w:rsidRPr="003B5EED">
        <w:rPr>
          <w:rFonts w:ascii="Times New Roman" w:hAnsi="Times New Roman"/>
          <w:color w:val="000000" w:themeColor="text1"/>
          <w:sz w:val="24"/>
          <w:szCs w:val="24"/>
        </w:rPr>
        <w:t xml:space="preserve">This section contains the </w:t>
      </w:r>
      <w:r w:rsidR="00E46994" w:rsidRPr="003B5EED">
        <w:rPr>
          <w:rFonts w:ascii="Times New Roman" w:hAnsi="Times New Roman"/>
          <w:color w:val="000000" w:themeColor="text1"/>
          <w:sz w:val="24"/>
          <w:szCs w:val="24"/>
        </w:rPr>
        <w:t>ex-post</w:t>
      </w:r>
      <w:r w:rsidRPr="003B5EED">
        <w:rPr>
          <w:rFonts w:ascii="Times New Roman" w:hAnsi="Times New Roman"/>
          <w:color w:val="000000" w:themeColor="text1"/>
          <w:sz w:val="24"/>
          <w:szCs w:val="24"/>
        </w:rPr>
        <w:t xml:space="preserve"> load impact estimates for program year 201</w:t>
      </w:r>
      <w:r w:rsidR="008F5405">
        <w:rPr>
          <w:rFonts w:ascii="Times New Roman" w:hAnsi="Times New Roman"/>
          <w:color w:val="000000" w:themeColor="text1"/>
          <w:sz w:val="24"/>
          <w:szCs w:val="24"/>
        </w:rPr>
        <w:t>4</w:t>
      </w:r>
      <w:r w:rsidRPr="003B5EED">
        <w:rPr>
          <w:rFonts w:ascii="Times New Roman" w:hAnsi="Times New Roman"/>
          <w:color w:val="000000" w:themeColor="text1"/>
          <w:sz w:val="24"/>
          <w:szCs w:val="24"/>
        </w:rPr>
        <w:t xml:space="preserve">.  Residential estimates are provided first, followed by nonresidential estimates.  </w:t>
      </w:r>
    </w:p>
    <w:p w:rsidR="008E3378" w:rsidRPr="003B5EED" w:rsidRDefault="008E3378" w:rsidP="00416411">
      <w:pPr>
        <w:pStyle w:val="BodyParagraph"/>
        <w:spacing w:after="0" w:line="276" w:lineRule="auto"/>
        <w:ind w:firstLine="360"/>
        <w:rPr>
          <w:rFonts w:ascii="Times New Roman" w:hAnsi="Times New Roman"/>
          <w:color w:val="000000" w:themeColor="text1"/>
          <w:sz w:val="24"/>
          <w:szCs w:val="24"/>
        </w:rPr>
      </w:pPr>
    </w:p>
    <w:p w:rsidR="00416411" w:rsidRPr="003B5EED" w:rsidRDefault="00DC24A2" w:rsidP="008E3378">
      <w:pPr>
        <w:pStyle w:val="Heading3"/>
        <w:spacing w:before="0" w:after="0" w:line="276" w:lineRule="auto"/>
        <w:ind w:hanging="360"/>
        <w:rPr>
          <w:rFonts w:ascii="Times New Roman" w:hAnsi="Times New Roman" w:cs="Times New Roman"/>
          <w:color w:val="000000" w:themeColor="text1"/>
        </w:rPr>
      </w:pPr>
      <w:bookmarkStart w:id="180" w:name="_Toc349548907"/>
      <w:bookmarkStart w:id="181" w:name="_Toc350953038"/>
      <w:bookmarkStart w:id="182" w:name="_Toc383585136"/>
      <w:bookmarkStart w:id="183" w:name="_Toc415748995"/>
      <w:r w:rsidRPr="003B5EED">
        <w:rPr>
          <w:rFonts w:ascii="Times New Roman" w:hAnsi="Times New Roman" w:cs="Times New Roman"/>
          <w:color w:val="000000" w:themeColor="text1"/>
        </w:rPr>
        <w:t xml:space="preserve">Summer Saver </w:t>
      </w:r>
      <w:r w:rsidR="00416411" w:rsidRPr="003B5EED">
        <w:rPr>
          <w:rFonts w:ascii="Times New Roman" w:hAnsi="Times New Roman" w:cs="Times New Roman"/>
          <w:color w:val="000000" w:themeColor="text1"/>
        </w:rPr>
        <w:t>Residential Ex</w:t>
      </w:r>
      <w:r w:rsidRPr="003B5EED">
        <w:rPr>
          <w:rFonts w:ascii="Times New Roman" w:hAnsi="Times New Roman" w:cs="Times New Roman"/>
          <w:color w:val="000000" w:themeColor="text1"/>
        </w:rPr>
        <w:t>-</w:t>
      </w:r>
      <w:r w:rsidR="00416411" w:rsidRPr="003B5EED">
        <w:rPr>
          <w:rFonts w:ascii="Times New Roman" w:hAnsi="Times New Roman" w:cs="Times New Roman"/>
          <w:color w:val="000000" w:themeColor="text1"/>
        </w:rPr>
        <w:t>Post Load Impact Estimates</w:t>
      </w:r>
      <w:bookmarkEnd w:id="180"/>
      <w:bookmarkEnd w:id="181"/>
      <w:bookmarkEnd w:id="182"/>
      <w:bookmarkEnd w:id="183"/>
    </w:p>
    <w:p w:rsidR="008E3378" w:rsidRDefault="008E3378" w:rsidP="008E3378">
      <w:pPr>
        <w:pStyle w:val="BodyParagraph"/>
        <w:spacing w:after="0" w:line="276" w:lineRule="auto"/>
        <w:ind w:firstLine="576"/>
        <w:rPr>
          <w:rFonts w:ascii="Times New Roman" w:hAnsi="Times New Roman"/>
          <w:color w:val="000000" w:themeColor="text1"/>
          <w:sz w:val="24"/>
          <w:szCs w:val="24"/>
        </w:rPr>
      </w:pPr>
    </w:p>
    <w:p w:rsidR="00F15656" w:rsidRPr="008E3378" w:rsidRDefault="00810936" w:rsidP="008E3378">
      <w:pPr>
        <w:pStyle w:val="BodyParagraph"/>
        <w:spacing w:after="0" w:line="276" w:lineRule="auto"/>
        <w:ind w:firstLine="576"/>
        <w:rPr>
          <w:rFonts w:ascii="Times New Roman" w:hAnsi="Times New Roman"/>
          <w:color w:val="000000" w:themeColor="text1"/>
          <w:sz w:val="24"/>
          <w:szCs w:val="24"/>
        </w:rPr>
      </w:pPr>
      <w:r w:rsidRPr="00810936">
        <w:rPr>
          <w:rFonts w:ascii="Times New Roman" w:hAnsi="Times New Roman"/>
          <w:color w:val="000000" w:themeColor="text1"/>
          <w:sz w:val="24"/>
          <w:szCs w:val="24"/>
        </w:rPr>
        <w:t>Summer Saver program events were triggered eight times in 2014 and each event lasted four hours. The hours covered by each event varied, but three of the eight events lasted from 2 to 6 PM. Two events were called late in the day, from 4 to 8 PM. Table 4-1 presents ex post load impacts for the residential program segment for 2014 and 2013, for comparison. Aggregate load impacts ranged from a low of 6.0 MW on May 16, 2014 to a high of 19.5 MW on September 16, 2014. The three events that occurred from 2 to 6 PM produced, on average, 11.2 MW of load reduction. These load impacts represent some of the lowest estimated load impacts in recent years. Two factors may explain these low impacts. First, there were three events called in the month of May during a Santa Ana weather event in the San Diego region. These three events are the first time that Summer Saver has been dispatched in the month of May. Such early events may reflect reduced air conditioning load due to the fact that many HVAC systems were not set to cooling mode yet. Second, the Summer Saver events called in 2014 were called during historically cool weather conditions—on average, the temperatures observed during the event hours are</w:t>
      </w:r>
      <w:r>
        <w:rPr>
          <w:rFonts w:ascii="Times New Roman" w:hAnsi="Times New Roman"/>
          <w:color w:val="000000" w:themeColor="text1"/>
          <w:sz w:val="24"/>
          <w:szCs w:val="24"/>
        </w:rPr>
        <w:t xml:space="preserve"> the lowest observed since 2010</w:t>
      </w:r>
      <w:r w:rsidR="00F15656" w:rsidRPr="008E3378">
        <w:rPr>
          <w:rFonts w:ascii="Times New Roman" w:hAnsi="Times New Roman"/>
          <w:color w:val="000000" w:themeColor="text1"/>
          <w:sz w:val="24"/>
          <w:szCs w:val="24"/>
        </w:rPr>
        <w:t>.</w:t>
      </w:r>
    </w:p>
    <w:p w:rsidR="00FB44A7" w:rsidRPr="00FB44A7" w:rsidRDefault="00FB44A7" w:rsidP="00FB44A7"/>
    <w:p w:rsidR="00810936" w:rsidRDefault="00F15656" w:rsidP="00810936">
      <w:pPr>
        <w:pStyle w:val="TableFigureCaption"/>
      </w:pPr>
      <w:r w:rsidRPr="00B2669C">
        <w:rPr>
          <w:rFonts w:ascii="Times New Roman" w:hAnsi="Times New Roman"/>
          <w:sz w:val="20"/>
          <w:szCs w:val="20"/>
        </w:rPr>
        <w:t xml:space="preserve">Table </w:t>
      </w:r>
      <w:r w:rsidR="00A37FEE" w:rsidRPr="00B2669C">
        <w:rPr>
          <w:rFonts w:ascii="Times New Roman" w:hAnsi="Times New Roman"/>
          <w:sz w:val="20"/>
          <w:szCs w:val="20"/>
        </w:rPr>
        <w:t>6</w:t>
      </w:r>
      <w:r w:rsidRPr="00B2669C">
        <w:rPr>
          <w:rFonts w:ascii="Times New Roman" w:hAnsi="Times New Roman"/>
          <w:sz w:val="20"/>
          <w:szCs w:val="20"/>
        </w:rPr>
        <w:t xml:space="preserve">-1: </w:t>
      </w:r>
      <w:r w:rsidR="00810936" w:rsidRPr="004556E7">
        <w:t xml:space="preserve">Summer Saver Residential Ex Post </w:t>
      </w:r>
      <w:r w:rsidR="00810936">
        <w:t xml:space="preserve">Load </w:t>
      </w:r>
      <w:r w:rsidR="00810936" w:rsidRPr="004556E7">
        <w:t>Impact Estimates</w:t>
      </w:r>
    </w:p>
    <w:tbl>
      <w:tblPr>
        <w:tblW w:w="9287" w:type="dxa"/>
        <w:tblInd w:w="93" w:type="dxa"/>
        <w:tblLook w:val="04A0" w:firstRow="1" w:lastRow="0" w:firstColumn="1" w:lastColumn="0" w:noHBand="0" w:noVBand="1"/>
      </w:tblPr>
      <w:tblGrid>
        <w:gridCol w:w="1025"/>
        <w:gridCol w:w="1174"/>
        <w:gridCol w:w="1851"/>
        <w:gridCol w:w="1774"/>
        <w:gridCol w:w="1691"/>
        <w:gridCol w:w="1772"/>
      </w:tblGrid>
      <w:tr w:rsidR="00810936" w:rsidRPr="00612F61" w:rsidTr="0079525F">
        <w:trPr>
          <w:trHeight w:val="358"/>
        </w:trPr>
        <w:tc>
          <w:tcPr>
            <w:tcW w:w="1025" w:type="dxa"/>
            <w:vMerge w:val="restart"/>
            <w:tcBorders>
              <w:top w:val="single" w:sz="8" w:space="0" w:color="auto"/>
              <w:left w:val="single" w:sz="8" w:space="0" w:color="auto"/>
              <w:bottom w:val="single" w:sz="8" w:space="0" w:color="000000"/>
              <w:right w:val="single" w:sz="8" w:space="0" w:color="FFFFFF"/>
            </w:tcBorders>
            <w:shd w:val="clear" w:color="000000" w:fill="0070C0"/>
            <w:noWrap/>
            <w:vAlign w:val="center"/>
            <w:hideMark/>
          </w:tcPr>
          <w:p w:rsidR="00810936" w:rsidRPr="00612F61" w:rsidRDefault="00810936" w:rsidP="0079525F">
            <w:pPr>
              <w:jc w:val="center"/>
              <w:rPr>
                <w:rFonts w:ascii="Calibri" w:hAnsi="Calibri"/>
                <w:b/>
                <w:bCs/>
                <w:color w:val="FFFFFF"/>
                <w:sz w:val="20"/>
                <w:szCs w:val="20"/>
                <w:lang w:eastAsia="zh-CN"/>
              </w:rPr>
            </w:pPr>
            <w:r w:rsidRPr="00612F61">
              <w:rPr>
                <w:rFonts w:ascii="Calibri" w:hAnsi="Calibri"/>
                <w:b/>
                <w:bCs/>
                <w:color w:val="FFFFFF"/>
                <w:sz w:val="20"/>
                <w:szCs w:val="20"/>
                <w:lang w:eastAsia="zh-CN"/>
              </w:rPr>
              <w:t>Year</w:t>
            </w:r>
          </w:p>
        </w:tc>
        <w:tc>
          <w:tcPr>
            <w:tcW w:w="1174" w:type="dxa"/>
            <w:vMerge w:val="restart"/>
            <w:tcBorders>
              <w:top w:val="single" w:sz="8" w:space="0" w:color="auto"/>
              <w:left w:val="single" w:sz="8" w:space="0" w:color="FFFFFF"/>
              <w:bottom w:val="single" w:sz="8" w:space="0" w:color="000000"/>
              <w:right w:val="single" w:sz="8" w:space="0" w:color="FFFFFF"/>
            </w:tcBorders>
            <w:shd w:val="clear" w:color="000000" w:fill="0070C0"/>
            <w:noWrap/>
            <w:vAlign w:val="center"/>
            <w:hideMark/>
          </w:tcPr>
          <w:p w:rsidR="00810936" w:rsidRPr="00612F61" w:rsidRDefault="00810936" w:rsidP="0079525F">
            <w:pPr>
              <w:jc w:val="center"/>
              <w:rPr>
                <w:rFonts w:ascii="Calibri" w:hAnsi="Calibri"/>
                <w:b/>
                <w:bCs/>
                <w:color w:val="FFFFFF"/>
                <w:sz w:val="20"/>
                <w:szCs w:val="20"/>
                <w:lang w:eastAsia="zh-CN"/>
              </w:rPr>
            </w:pPr>
            <w:r w:rsidRPr="00612F61">
              <w:rPr>
                <w:rFonts w:ascii="Calibri" w:hAnsi="Calibri"/>
                <w:b/>
                <w:bCs/>
                <w:color w:val="FFFFFF"/>
                <w:sz w:val="20"/>
                <w:szCs w:val="20"/>
                <w:lang w:eastAsia="zh-CN"/>
              </w:rPr>
              <w:t>Date</w:t>
            </w:r>
          </w:p>
        </w:tc>
        <w:tc>
          <w:tcPr>
            <w:tcW w:w="5315" w:type="dxa"/>
            <w:gridSpan w:val="3"/>
            <w:tcBorders>
              <w:top w:val="single" w:sz="8" w:space="0" w:color="auto"/>
              <w:left w:val="nil"/>
              <w:bottom w:val="single" w:sz="8" w:space="0" w:color="FFFFFF"/>
              <w:right w:val="single" w:sz="8" w:space="0" w:color="FFFFFF"/>
            </w:tcBorders>
            <w:shd w:val="clear" w:color="000000" w:fill="0070C0"/>
            <w:noWrap/>
            <w:vAlign w:val="center"/>
            <w:hideMark/>
          </w:tcPr>
          <w:p w:rsidR="00810936" w:rsidRPr="00612F61" w:rsidRDefault="00810936" w:rsidP="0079525F">
            <w:pPr>
              <w:jc w:val="center"/>
              <w:rPr>
                <w:rFonts w:ascii="Calibri" w:hAnsi="Calibri"/>
                <w:b/>
                <w:bCs/>
                <w:color w:val="FFFFFF"/>
                <w:sz w:val="20"/>
                <w:szCs w:val="20"/>
                <w:lang w:eastAsia="zh-CN"/>
              </w:rPr>
            </w:pPr>
            <w:r w:rsidRPr="00612F61">
              <w:rPr>
                <w:rFonts w:ascii="Calibri" w:hAnsi="Calibri"/>
                <w:b/>
                <w:bCs/>
                <w:color w:val="FFFFFF"/>
                <w:sz w:val="20"/>
                <w:szCs w:val="20"/>
                <w:lang w:eastAsia="zh-CN"/>
              </w:rPr>
              <w:t>Impact</w:t>
            </w:r>
          </w:p>
        </w:tc>
        <w:tc>
          <w:tcPr>
            <w:tcW w:w="1772" w:type="dxa"/>
            <w:vMerge w:val="restart"/>
            <w:tcBorders>
              <w:top w:val="single" w:sz="8" w:space="0" w:color="auto"/>
              <w:left w:val="single" w:sz="8" w:space="0" w:color="FFFFFF"/>
              <w:bottom w:val="single" w:sz="8" w:space="0" w:color="000000"/>
              <w:right w:val="single" w:sz="8" w:space="0" w:color="auto"/>
            </w:tcBorders>
            <w:shd w:val="clear" w:color="000000" w:fill="0070C0"/>
            <w:vAlign w:val="center"/>
            <w:hideMark/>
          </w:tcPr>
          <w:p w:rsidR="00810936" w:rsidRPr="00612F61" w:rsidRDefault="00810936" w:rsidP="0079525F">
            <w:pPr>
              <w:jc w:val="center"/>
              <w:rPr>
                <w:rFonts w:ascii="Calibri" w:hAnsi="Calibri"/>
                <w:b/>
                <w:bCs/>
                <w:color w:val="FFFFFF"/>
                <w:sz w:val="20"/>
                <w:szCs w:val="20"/>
                <w:lang w:eastAsia="zh-CN"/>
              </w:rPr>
            </w:pPr>
            <w:r>
              <w:rPr>
                <w:rFonts w:ascii="Calibri" w:hAnsi="Calibri"/>
                <w:b/>
                <w:bCs/>
                <w:color w:val="FFFFFF"/>
                <w:sz w:val="20"/>
                <w:szCs w:val="20"/>
                <w:lang w:eastAsia="zh-CN"/>
              </w:rPr>
              <w:t xml:space="preserve">Avg. </w:t>
            </w:r>
            <w:r w:rsidRPr="00612F61">
              <w:rPr>
                <w:rFonts w:ascii="Calibri" w:hAnsi="Calibri"/>
                <w:b/>
                <w:bCs/>
                <w:color w:val="FFFFFF"/>
                <w:sz w:val="20"/>
                <w:szCs w:val="20"/>
                <w:lang w:eastAsia="zh-CN"/>
              </w:rPr>
              <w:t>Temperature During Event</w:t>
            </w:r>
            <w:r>
              <w:rPr>
                <w:rFonts w:ascii="Calibri" w:hAnsi="Calibri"/>
                <w:b/>
                <w:bCs/>
                <w:color w:val="FFFFFF"/>
                <w:sz w:val="20"/>
                <w:szCs w:val="20"/>
                <w:lang w:eastAsia="zh-CN"/>
              </w:rPr>
              <w:t xml:space="preserve"> </w:t>
            </w:r>
            <w:r w:rsidRPr="00555FBD">
              <w:rPr>
                <w:b/>
                <w:bCs/>
                <w:color w:val="FFFFFF"/>
                <w:sz w:val="20"/>
                <w:szCs w:val="20"/>
              </w:rPr>
              <w:t>(°F)</w:t>
            </w:r>
          </w:p>
        </w:tc>
      </w:tr>
      <w:tr w:rsidR="00810936" w:rsidRPr="00612F61" w:rsidTr="0079525F">
        <w:trPr>
          <w:trHeight w:val="358"/>
        </w:trPr>
        <w:tc>
          <w:tcPr>
            <w:tcW w:w="1025" w:type="dxa"/>
            <w:vMerge/>
            <w:tcBorders>
              <w:top w:val="single" w:sz="8" w:space="0" w:color="auto"/>
              <w:left w:val="single" w:sz="8" w:space="0" w:color="auto"/>
              <w:bottom w:val="single" w:sz="8" w:space="0" w:color="000000"/>
              <w:right w:val="single" w:sz="8" w:space="0" w:color="FFFFFF"/>
            </w:tcBorders>
            <w:vAlign w:val="center"/>
            <w:hideMark/>
          </w:tcPr>
          <w:p w:rsidR="00810936" w:rsidRPr="00612F61" w:rsidRDefault="00810936" w:rsidP="0079525F">
            <w:pPr>
              <w:rPr>
                <w:rFonts w:ascii="Calibri" w:hAnsi="Calibri"/>
                <w:b/>
                <w:bCs/>
                <w:color w:val="FFFFFF"/>
                <w:sz w:val="20"/>
                <w:szCs w:val="20"/>
                <w:lang w:eastAsia="zh-CN"/>
              </w:rPr>
            </w:pPr>
          </w:p>
        </w:tc>
        <w:tc>
          <w:tcPr>
            <w:tcW w:w="1174" w:type="dxa"/>
            <w:vMerge/>
            <w:tcBorders>
              <w:top w:val="single" w:sz="8" w:space="0" w:color="auto"/>
              <w:left w:val="single" w:sz="8" w:space="0" w:color="FFFFFF"/>
              <w:bottom w:val="single" w:sz="8" w:space="0" w:color="000000"/>
              <w:right w:val="single" w:sz="8" w:space="0" w:color="FFFFFF"/>
            </w:tcBorders>
            <w:vAlign w:val="center"/>
            <w:hideMark/>
          </w:tcPr>
          <w:p w:rsidR="00810936" w:rsidRPr="00612F61" w:rsidRDefault="00810936" w:rsidP="0079525F">
            <w:pPr>
              <w:rPr>
                <w:rFonts w:ascii="Calibri" w:hAnsi="Calibri"/>
                <w:b/>
                <w:bCs/>
                <w:color w:val="FFFFFF"/>
                <w:sz w:val="20"/>
                <w:szCs w:val="20"/>
                <w:lang w:eastAsia="zh-CN"/>
              </w:rPr>
            </w:pPr>
          </w:p>
        </w:tc>
        <w:tc>
          <w:tcPr>
            <w:tcW w:w="1851" w:type="dxa"/>
            <w:tcBorders>
              <w:top w:val="nil"/>
              <w:left w:val="nil"/>
              <w:bottom w:val="single" w:sz="8" w:space="0" w:color="auto"/>
              <w:right w:val="single" w:sz="8" w:space="0" w:color="FFFFFF"/>
            </w:tcBorders>
            <w:shd w:val="clear" w:color="000000" w:fill="0070C0"/>
            <w:noWrap/>
            <w:vAlign w:val="center"/>
            <w:hideMark/>
          </w:tcPr>
          <w:p w:rsidR="00810936" w:rsidRPr="00612F61" w:rsidRDefault="00810936" w:rsidP="0079525F">
            <w:pPr>
              <w:jc w:val="center"/>
              <w:rPr>
                <w:rFonts w:ascii="Calibri" w:hAnsi="Calibri"/>
                <w:b/>
                <w:bCs/>
                <w:color w:val="FFFFFF"/>
                <w:sz w:val="20"/>
                <w:szCs w:val="20"/>
                <w:lang w:eastAsia="zh-CN"/>
              </w:rPr>
            </w:pPr>
            <w:r w:rsidRPr="00612F61">
              <w:rPr>
                <w:rFonts w:ascii="Calibri" w:hAnsi="Calibri"/>
                <w:b/>
                <w:bCs/>
                <w:color w:val="FFFFFF"/>
                <w:sz w:val="20"/>
                <w:szCs w:val="20"/>
                <w:lang w:eastAsia="zh-CN"/>
              </w:rPr>
              <w:t>Per CAC Unit (kW)</w:t>
            </w:r>
          </w:p>
        </w:tc>
        <w:tc>
          <w:tcPr>
            <w:tcW w:w="1774" w:type="dxa"/>
            <w:tcBorders>
              <w:top w:val="nil"/>
              <w:left w:val="nil"/>
              <w:bottom w:val="single" w:sz="8" w:space="0" w:color="auto"/>
              <w:right w:val="single" w:sz="8" w:space="0" w:color="FFFFFF"/>
            </w:tcBorders>
            <w:shd w:val="clear" w:color="000000" w:fill="0070C0"/>
            <w:noWrap/>
            <w:vAlign w:val="center"/>
            <w:hideMark/>
          </w:tcPr>
          <w:p w:rsidR="00810936" w:rsidRPr="00612F61" w:rsidRDefault="00810936" w:rsidP="0079525F">
            <w:pPr>
              <w:jc w:val="center"/>
              <w:rPr>
                <w:rFonts w:ascii="Calibri" w:hAnsi="Calibri"/>
                <w:b/>
                <w:bCs/>
                <w:color w:val="FFFFFF"/>
                <w:sz w:val="20"/>
                <w:szCs w:val="20"/>
                <w:lang w:eastAsia="zh-CN"/>
              </w:rPr>
            </w:pPr>
            <w:r w:rsidRPr="00612F61">
              <w:rPr>
                <w:rFonts w:ascii="Calibri" w:hAnsi="Calibri"/>
                <w:b/>
                <w:bCs/>
                <w:color w:val="FFFFFF"/>
                <w:sz w:val="20"/>
                <w:szCs w:val="20"/>
                <w:lang w:eastAsia="zh-CN"/>
              </w:rPr>
              <w:t>Per Premise (kW)</w:t>
            </w:r>
          </w:p>
        </w:tc>
        <w:tc>
          <w:tcPr>
            <w:tcW w:w="1691" w:type="dxa"/>
            <w:tcBorders>
              <w:top w:val="nil"/>
              <w:left w:val="nil"/>
              <w:bottom w:val="single" w:sz="8" w:space="0" w:color="auto"/>
              <w:right w:val="single" w:sz="8" w:space="0" w:color="FFFFFF"/>
            </w:tcBorders>
            <w:shd w:val="clear" w:color="000000" w:fill="0070C0"/>
            <w:noWrap/>
            <w:vAlign w:val="center"/>
            <w:hideMark/>
          </w:tcPr>
          <w:p w:rsidR="00810936" w:rsidRPr="00612F61" w:rsidRDefault="00810936" w:rsidP="0079525F">
            <w:pPr>
              <w:jc w:val="center"/>
              <w:rPr>
                <w:rFonts w:ascii="Calibri" w:hAnsi="Calibri"/>
                <w:b/>
                <w:bCs/>
                <w:color w:val="FFFFFF"/>
                <w:sz w:val="20"/>
                <w:szCs w:val="20"/>
                <w:lang w:eastAsia="zh-CN"/>
              </w:rPr>
            </w:pPr>
            <w:r w:rsidRPr="00612F61">
              <w:rPr>
                <w:rFonts w:ascii="Calibri" w:hAnsi="Calibri"/>
                <w:b/>
                <w:bCs/>
                <w:color w:val="FFFFFF"/>
                <w:sz w:val="20"/>
                <w:szCs w:val="20"/>
                <w:lang w:eastAsia="zh-CN"/>
              </w:rPr>
              <w:t>Aggregate (MW)</w:t>
            </w:r>
          </w:p>
        </w:tc>
        <w:tc>
          <w:tcPr>
            <w:tcW w:w="1772" w:type="dxa"/>
            <w:vMerge/>
            <w:tcBorders>
              <w:top w:val="single" w:sz="8" w:space="0" w:color="auto"/>
              <w:left w:val="single" w:sz="8" w:space="0" w:color="FFFFFF"/>
              <w:bottom w:val="single" w:sz="8" w:space="0" w:color="000000"/>
              <w:right w:val="single" w:sz="8" w:space="0" w:color="auto"/>
            </w:tcBorders>
            <w:vAlign w:val="center"/>
            <w:hideMark/>
          </w:tcPr>
          <w:p w:rsidR="00810936" w:rsidRPr="00612F61" w:rsidRDefault="00810936" w:rsidP="0079525F">
            <w:pPr>
              <w:rPr>
                <w:rFonts w:ascii="Calibri" w:hAnsi="Calibri"/>
                <w:b/>
                <w:bCs/>
                <w:color w:val="FFFFFF"/>
                <w:sz w:val="20"/>
                <w:szCs w:val="20"/>
                <w:lang w:eastAsia="zh-CN"/>
              </w:rPr>
            </w:pPr>
          </w:p>
        </w:tc>
      </w:tr>
      <w:tr w:rsidR="00810936" w:rsidRPr="00612F61" w:rsidTr="0079525F">
        <w:trPr>
          <w:trHeight w:val="278"/>
        </w:trPr>
        <w:tc>
          <w:tcPr>
            <w:tcW w:w="1025" w:type="dxa"/>
            <w:vMerge w:val="restart"/>
            <w:tcBorders>
              <w:top w:val="nil"/>
              <w:left w:val="single" w:sz="8" w:space="0" w:color="auto"/>
              <w:bottom w:val="nil"/>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2013</w:t>
            </w:r>
          </w:p>
        </w:tc>
        <w:tc>
          <w:tcPr>
            <w:tcW w:w="1174" w:type="dxa"/>
            <w:tcBorders>
              <w:top w:val="nil"/>
              <w:left w:val="nil"/>
              <w:bottom w:val="nil"/>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8/28/2013</w:t>
            </w:r>
          </w:p>
        </w:tc>
        <w:tc>
          <w:tcPr>
            <w:tcW w:w="1851" w:type="dxa"/>
            <w:tcBorders>
              <w:top w:val="nil"/>
              <w:left w:val="single" w:sz="8" w:space="0" w:color="auto"/>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0.48</w:t>
            </w:r>
          </w:p>
        </w:tc>
        <w:tc>
          <w:tcPr>
            <w:tcW w:w="1774" w:type="dxa"/>
            <w:tcBorders>
              <w:top w:val="nil"/>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0.52</w:t>
            </w:r>
          </w:p>
        </w:tc>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12</w:t>
            </w:r>
          </w:p>
        </w:tc>
        <w:tc>
          <w:tcPr>
            <w:tcW w:w="1772" w:type="dxa"/>
            <w:tcBorders>
              <w:top w:val="nil"/>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84</w:t>
            </w:r>
          </w:p>
        </w:tc>
      </w:tr>
      <w:tr w:rsidR="00810936" w:rsidRPr="00612F61" w:rsidTr="0079525F">
        <w:trPr>
          <w:trHeight w:val="278"/>
        </w:trPr>
        <w:tc>
          <w:tcPr>
            <w:tcW w:w="1025" w:type="dxa"/>
            <w:vMerge/>
            <w:tcBorders>
              <w:top w:val="nil"/>
              <w:left w:val="single" w:sz="8" w:space="0" w:color="auto"/>
              <w:bottom w:val="nil"/>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single" w:sz="8" w:space="0" w:color="auto"/>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8/29/2013</w:t>
            </w:r>
          </w:p>
        </w:tc>
        <w:tc>
          <w:tcPr>
            <w:tcW w:w="1851" w:type="dxa"/>
            <w:tcBorders>
              <w:top w:val="nil"/>
              <w:left w:val="single" w:sz="8" w:space="0" w:color="auto"/>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0.46</w:t>
            </w:r>
          </w:p>
        </w:tc>
        <w:tc>
          <w:tcPr>
            <w:tcW w:w="1774" w:type="dxa"/>
            <w:tcBorders>
              <w:top w:val="nil"/>
              <w:left w:val="nil"/>
              <w:bottom w:val="nil"/>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0.51</w:t>
            </w:r>
          </w:p>
        </w:tc>
        <w:tc>
          <w:tcPr>
            <w:tcW w:w="1691" w:type="dxa"/>
            <w:tcBorders>
              <w:top w:val="nil"/>
              <w:left w:val="single" w:sz="8" w:space="0" w:color="auto"/>
              <w:bottom w:val="nil"/>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12</w:t>
            </w:r>
          </w:p>
        </w:tc>
        <w:tc>
          <w:tcPr>
            <w:tcW w:w="1772" w:type="dxa"/>
            <w:tcBorders>
              <w:top w:val="nil"/>
              <w:left w:val="nil"/>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88</w:t>
            </w:r>
          </w:p>
        </w:tc>
      </w:tr>
      <w:tr w:rsidR="00810936" w:rsidRPr="00612F61" w:rsidTr="0079525F">
        <w:trPr>
          <w:trHeight w:val="278"/>
        </w:trPr>
        <w:tc>
          <w:tcPr>
            <w:tcW w:w="1025" w:type="dxa"/>
            <w:vMerge/>
            <w:tcBorders>
              <w:top w:val="nil"/>
              <w:left w:val="single" w:sz="8" w:space="0" w:color="auto"/>
              <w:bottom w:val="nil"/>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8/30/2013</w:t>
            </w:r>
          </w:p>
        </w:tc>
        <w:tc>
          <w:tcPr>
            <w:tcW w:w="1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0.68</w:t>
            </w:r>
          </w:p>
        </w:tc>
        <w:tc>
          <w:tcPr>
            <w:tcW w:w="1774" w:type="dxa"/>
            <w:tcBorders>
              <w:top w:val="single" w:sz="8" w:space="0" w:color="auto"/>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0.78</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18</w:t>
            </w:r>
          </w:p>
        </w:tc>
        <w:tc>
          <w:tcPr>
            <w:tcW w:w="1772" w:type="dxa"/>
            <w:tcBorders>
              <w:top w:val="single" w:sz="8" w:space="0" w:color="auto"/>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91</w:t>
            </w:r>
          </w:p>
        </w:tc>
      </w:tr>
      <w:tr w:rsidR="00810936" w:rsidRPr="00612F61" w:rsidTr="0079525F">
        <w:trPr>
          <w:trHeight w:val="278"/>
        </w:trPr>
        <w:tc>
          <w:tcPr>
            <w:tcW w:w="1025" w:type="dxa"/>
            <w:vMerge/>
            <w:tcBorders>
              <w:top w:val="nil"/>
              <w:left w:val="single" w:sz="8" w:space="0" w:color="auto"/>
              <w:bottom w:val="nil"/>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9/3/2013</w:t>
            </w:r>
          </w:p>
        </w:tc>
        <w:tc>
          <w:tcPr>
            <w:tcW w:w="1851" w:type="dxa"/>
            <w:tcBorders>
              <w:top w:val="nil"/>
              <w:left w:val="single" w:sz="8" w:space="0" w:color="auto"/>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0.58</w:t>
            </w:r>
          </w:p>
        </w:tc>
        <w:tc>
          <w:tcPr>
            <w:tcW w:w="1774" w:type="dxa"/>
            <w:tcBorders>
              <w:top w:val="nil"/>
              <w:left w:val="nil"/>
              <w:bottom w:val="nil"/>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0.65</w:t>
            </w:r>
          </w:p>
        </w:tc>
        <w:tc>
          <w:tcPr>
            <w:tcW w:w="1691" w:type="dxa"/>
            <w:tcBorders>
              <w:top w:val="nil"/>
              <w:left w:val="single" w:sz="8" w:space="0" w:color="auto"/>
              <w:bottom w:val="nil"/>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15</w:t>
            </w:r>
          </w:p>
        </w:tc>
        <w:tc>
          <w:tcPr>
            <w:tcW w:w="1772" w:type="dxa"/>
            <w:tcBorders>
              <w:top w:val="nil"/>
              <w:left w:val="nil"/>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88</w:t>
            </w:r>
          </w:p>
        </w:tc>
      </w:tr>
      <w:tr w:rsidR="00810936" w:rsidRPr="00612F61" w:rsidTr="0079525F">
        <w:trPr>
          <w:trHeight w:val="278"/>
        </w:trPr>
        <w:tc>
          <w:tcPr>
            <w:tcW w:w="1025" w:type="dxa"/>
            <w:vMerge/>
            <w:tcBorders>
              <w:top w:val="nil"/>
              <w:left w:val="single" w:sz="8" w:space="0" w:color="auto"/>
              <w:bottom w:val="nil"/>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9/5/2013</w:t>
            </w:r>
          </w:p>
        </w:tc>
        <w:tc>
          <w:tcPr>
            <w:tcW w:w="1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0.57</w:t>
            </w:r>
          </w:p>
        </w:tc>
        <w:tc>
          <w:tcPr>
            <w:tcW w:w="1774" w:type="dxa"/>
            <w:tcBorders>
              <w:top w:val="single" w:sz="8" w:space="0" w:color="auto"/>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0.63</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14</w:t>
            </w:r>
          </w:p>
        </w:tc>
        <w:tc>
          <w:tcPr>
            <w:tcW w:w="1772" w:type="dxa"/>
            <w:tcBorders>
              <w:top w:val="single" w:sz="8" w:space="0" w:color="auto"/>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89</w:t>
            </w:r>
          </w:p>
        </w:tc>
      </w:tr>
      <w:tr w:rsidR="00810936" w:rsidRPr="00612F61" w:rsidTr="0079525F">
        <w:trPr>
          <w:trHeight w:val="278"/>
        </w:trPr>
        <w:tc>
          <w:tcPr>
            <w:tcW w:w="1025" w:type="dxa"/>
            <w:vMerge/>
            <w:tcBorders>
              <w:top w:val="nil"/>
              <w:left w:val="single" w:sz="8" w:space="0" w:color="auto"/>
              <w:bottom w:val="nil"/>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9/6/2013</w:t>
            </w:r>
          </w:p>
        </w:tc>
        <w:tc>
          <w:tcPr>
            <w:tcW w:w="1851" w:type="dxa"/>
            <w:tcBorders>
              <w:top w:val="nil"/>
              <w:left w:val="nil"/>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0.84</w:t>
            </w:r>
          </w:p>
        </w:tc>
        <w:tc>
          <w:tcPr>
            <w:tcW w:w="1774" w:type="dxa"/>
            <w:tcBorders>
              <w:top w:val="nil"/>
              <w:left w:val="nil"/>
              <w:bottom w:val="nil"/>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0.90</w:t>
            </w:r>
          </w:p>
        </w:tc>
        <w:tc>
          <w:tcPr>
            <w:tcW w:w="1691" w:type="dxa"/>
            <w:tcBorders>
              <w:top w:val="nil"/>
              <w:left w:val="single" w:sz="8" w:space="0" w:color="auto"/>
              <w:bottom w:val="nil"/>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21</w:t>
            </w:r>
          </w:p>
        </w:tc>
        <w:tc>
          <w:tcPr>
            <w:tcW w:w="1772" w:type="dxa"/>
            <w:tcBorders>
              <w:top w:val="nil"/>
              <w:left w:val="nil"/>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92</w:t>
            </w:r>
          </w:p>
        </w:tc>
      </w:tr>
      <w:tr w:rsidR="00810936" w:rsidRPr="00612F61" w:rsidTr="0079525F">
        <w:trPr>
          <w:trHeight w:val="278"/>
        </w:trPr>
        <w:tc>
          <w:tcPr>
            <w:tcW w:w="1025" w:type="dxa"/>
            <w:vMerge/>
            <w:tcBorders>
              <w:top w:val="nil"/>
              <w:left w:val="single" w:sz="8" w:space="0" w:color="auto"/>
              <w:bottom w:val="nil"/>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Average*</w:t>
            </w:r>
          </w:p>
        </w:tc>
        <w:tc>
          <w:tcPr>
            <w:tcW w:w="1851" w:type="dxa"/>
            <w:tcBorders>
              <w:top w:val="single" w:sz="8" w:space="0" w:color="auto"/>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0.66</w:t>
            </w:r>
          </w:p>
        </w:tc>
        <w:tc>
          <w:tcPr>
            <w:tcW w:w="1774" w:type="dxa"/>
            <w:tcBorders>
              <w:top w:val="single" w:sz="8" w:space="0" w:color="auto"/>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0.74</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17</w:t>
            </w:r>
          </w:p>
        </w:tc>
        <w:tc>
          <w:tcPr>
            <w:tcW w:w="1772" w:type="dxa"/>
            <w:tcBorders>
              <w:top w:val="single" w:sz="8" w:space="0" w:color="auto"/>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90</w:t>
            </w:r>
          </w:p>
        </w:tc>
      </w:tr>
      <w:tr w:rsidR="00810936" w:rsidRPr="00612F61" w:rsidTr="0079525F">
        <w:trPr>
          <w:trHeight w:val="278"/>
        </w:trPr>
        <w:tc>
          <w:tcPr>
            <w:tcW w:w="102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2014</w:t>
            </w:r>
          </w:p>
        </w:tc>
        <w:tc>
          <w:tcPr>
            <w:tcW w:w="1174" w:type="dxa"/>
            <w:tcBorders>
              <w:top w:val="nil"/>
              <w:left w:val="nil"/>
              <w:bottom w:val="nil"/>
              <w:right w:val="nil"/>
            </w:tcBorders>
            <w:shd w:val="clear" w:color="auto" w:fill="auto"/>
            <w:noWrap/>
            <w:vAlign w:val="bottom"/>
            <w:hideMark/>
          </w:tcPr>
          <w:p w:rsidR="00810936" w:rsidRPr="00612F61" w:rsidRDefault="009C2680" w:rsidP="0079525F">
            <w:pPr>
              <w:jc w:val="center"/>
              <w:rPr>
                <w:rFonts w:ascii="Calibri" w:hAnsi="Calibri"/>
                <w:color w:val="000000"/>
                <w:sz w:val="20"/>
                <w:szCs w:val="20"/>
                <w:lang w:eastAsia="zh-CN"/>
              </w:rPr>
            </w:pPr>
            <w:r>
              <w:rPr>
                <w:rFonts w:ascii="Calibri" w:hAnsi="Calibri"/>
                <w:color w:val="000000"/>
                <w:sz w:val="20"/>
                <w:szCs w:val="20"/>
                <w:lang w:eastAsia="zh-CN"/>
              </w:rPr>
              <w:t>5/14/2014</w:t>
            </w:r>
          </w:p>
        </w:tc>
        <w:tc>
          <w:tcPr>
            <w:tcW w:w="1851" w:type="dxa"/>
            <w:tcBorders>
              <w:top w:val="nil"/>
              <w:left w:val="single" w:sz="8" w:space="0" w:color="auto"/>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0.26</w:t>
            </w:r>
          </w:p>
        </w:tc>
        <w:tc>
          <w:tcPr>
            <w:tcW w:w="1774" w:type="dxa"/>
            <w:tcBorders>
              <w:top w:val="nil"/>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0.31</w:t>
            </w:r>
          </w:p>
        </w:tc>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6.9</w:t>
            </w:r>
          </w:p>
        </w:tc>
        <w:tc>
          <w:tcPr>
            <w:tcW w:w="1772" w:type="dxa"/>
            <w:tcBorders>
              <w:top w:val="nil"/>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85</w:t>
            </w:r>
          </w:p>
        </w:tc>
      </w:tr>
      <w:tr w:rsidR="00810936" w:rsidRPr="00612F61" w:rsidTr="0079525F">
        <w:trPr>
          <w:trHeight w:val="278"/>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single" w:sz="8" w:space="0" w:color="auto"/>
              <w:left w:val="nil"/>
              <w:bottom w:val="single" w:sz="8" w:space="0" w:color="auto"/>
              <w:right w:val="nil"/>
            </w:tcBorders>
            <w:shd w:val="clear" w:color="auto" w:fill="auto"/>
            <w:noWrap/>
            <w:vAlign w:val="bottom"/>
            <w:hideMark/>
          </w:tcPr>
          <w:p w:rsidR="00810936" w:rsidRPr="00612F61" w:rsidRDefault="009C2680" w:rsidP="0079525F">
            <w:pPr>
              <w:jc w:val="center"/>
              <w:rPr>
                <w:rFonts w:ascii="Calibri" w:hAnsi="Calibri"/>
                <w:color w:val="000000"/>
                <w:sz w:val="20"/>
                <w:szCs w:val="20"/>
                <w:lang w:eastAsia="zh-CN"/>
              </w:rPr>
            </w:pPr>
            <w:r>
              <w:rPr>
                <w:rFonts w:ascii="Calibri" w:hAnsi="Calibri"/>
                <w:color w:val="000000"/>
                <w:sz w:val="20"/>
                <w:szCs w:val="20"/>
                <w:lang w:eastAsia="zh-CN"/>
              </w:rPr>
              <w:t>5/15/2014</w:t>
            </w:r>
          </w:p>
        </w:tc>
        <w:tc>
          <w:tcPr>
            <w:tcW w:w="1851" w:type="dxa"/>
            <w:tcBorders>
              <w:top w:val="nil"/>
              <w:left w:val="single" w:sz="8" w:space="0" w:color="auto"/>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0.41</w:t>
            </w:r>
          </w:p>
        </w:tc>
        <w:tc>
          <w:tcPr>
            <w:tcW w:w="1774" w:type="dxa"/>
            <w:tcBorders>
              <w:top w:val="nil"/>
              <w:left w:val="nil"/>
              <w:bottom w:val="nil"/>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0.49</w:t>
            </w:r>
          </w:p>
        </w:tc>
        <w:tc>
          <w:tcPr>
            <w:tcW w:w="1691" w:type="dxa"/>
            <w:tcBorders>
              <w:top w:val="nil"/>
              <w:left w:val="single" w:sz="8" w:space="0" w:color="auto"/>
              <w:bottom w:val="nil"/>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10.9</w:t>
            </w:r>
          </w:p>
        </w:tc>
        <w:tc>
          <w:tcPr>
            <w:tcW w:w="1772" w:type="dxa"/>
            <w:tcBorders>
              <w:top w:val="nil"/>
              <w:left w:val="nil"/>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87</w:t>
            </w:r>
          </w:p>
        </w:tc>
      </w:tr>
      <w:tr w:rsidR="00810936" w:rsidRPr="00612F61" w:rsidTr="0079525F">
        <w:trPr>
          <w:trHeight w:val="278"/>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nil"/>
            </w:tcBorders>
            <w:shd w:val="clear" w:color="auto" w:fill="auto"/>
            <w:noWrap/>
            <w:vAlign w:val="bottom"/>
            <w:hideMark/>
          </w:tcPr>
          <w:p w:rsidR="00810936" w:rsidRPr="00612F61" w:rsidRDefault="009C2680" w:rsidP="0079525F">
            <w:pPr>
              <w:jc w:val="center"/>
              <w:rPr>
                <w:rFonts w:ascii="Calibri" w:hAnsi="Calibri"/>
                <w:color w:val="000000"/>
                <w:sz w:val="20"/>
                <w:szCs w:val="20"/>
                <w:lang w:eastAsia="zh-CN"/>
              </w:rPr>
            </w:pPr>
            <w:r>
              <w:rPr>
                <w:rFonts w:ascii="Calibri" w:hAnsi="Calibri"/>
                <w:color w:val="000000"/>
                <w:sz w:val="20"/>
                <w:szCs w:val="20"/>
                <w:lang w:eastAsia="zh-CN"/>
              </w:rPr>
              <w:t>5/16/2014</w:t>
            </w:r>
          </w:p>
        </w:tc>
        <w:tc>
          <w:tcPr>
            <w:tcW w:w="1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0.22</w:t>
            </w:r>
          </w:p>
        </w:tc>
        <w:tc>
          <w:tcPr>
            <w:tcW w:w="1774" w:type="dxa"/>
            <w:tcBorders>
              <w:top w:val="single" w:sz="8" w:space="0" w:color="auto"/>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0.27</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6.0</w:t>
            </w:r>
          </w:p>
        </w:tc>
        <w:tc>
          <w:tcPr>
            <w:tcW w:w="1772" w:type="dxa"/>
            <w:tcBorders>
              <w:top w:val="single" w:sz="8" w:space="0" w:color="auto"/>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93</w:t>
            </w:r>
          </w:p>
        </w:tc>
      </w:tr>
      <w:tr w:rsidR="00810936" w:rsidRPr="00612F61" w:rsidTr="0079525F">
        <w:trPr>
          <w:trHeight w:val="278"/>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nil"/>
            </w:tcBorders>
            <w:shd w:val="clear" w:color="auto" w:fill="auto"/>
            <w:noWrap/>
            <w:vAlign w:val="bottom"/>
            <w:hideMark/>
          </w:tcPr>
          <w:p w:rsidR="00810936" w:rsidRPr="00612F61" w:rsidRDefault="009C2680" w:rsidP="0079525F">
            <w:pPr>
              <w:jc w:val="center"/>
              <w:rPr>
                <w:rFonts w:ascii="Calibri" w:hAnsi="Calibri"/>
                <w:color w:val="000000"/>
                <w:sz w:val="20"/>
                <w:szCs w:val="20"/>
                <w:lang w:eastAsia="zh-CN"/>
              </w:rPr>
            </w:pPr>
            <w:r>
              <w:rPr>
                <w:rFonts w:ascii="Calibri" w:hAnsi="Calibri"/>
                <w:color w:val="000000"/>
                <w:sz w:val="20"/>
                <w:szCs w:val="20"/>
                <w:lang w:eastAsia="zh-CN"/>
              </w:rPr>
              <w:t>7/29/2014</w:t>
            </w:r>
          </w:p>
        </w:tc>
        <w:tc>
          <w:tcPr>
            <w:tcW w:w="1851" w:type="dxa"/>
            <w:tcBorders>
              <w:top w:val="nil"/>
              <w:left w:val="single" w:sz="8" w:space="0" w:color="auto"/>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0.45</w:t>
            </w:r>
          </w:p>
        </w:tc>
        <w:tc>
          <w:tcPr>
            <w:tcW w:w="1774" w:type="dxa"/>
            <w:tcBorders>
              <w:top w:val="nil"/>
              <w:left w:val="nil"/>
              <w:bottom w:val="nil"/>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0.54</w:t>
            </w:r>
          </w:p>
        </w:tc>
        <w:tc>
          <w:tcPr>
            <w:tcW w:w="1691" w:type="dxa"/>
            <w:tcBorders>
              <w:top w:val="nil"/>
              <w:left w:val="single" w:sz="8" w:space="0" w:color="auto"/>
              <w:bottom w:val="nil"/>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12.2</w:t>
            </w:r>
          </w:p>
        </w:tc>
        <w:tc>
          <w:tcPr>
            <w:tcW w:w="1772" w:type="dxa"/>
            <w:tcBorders>
              <w:top w:val="nil"/>
              <w:left w:val="nil"/>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80</w:t>
            </w:r>
          </w:p>
        </w:tc>
      </w:tr>
      <w:tr w:rsidR="00810936" w:rsidRPr="00612F61" w:rsidTr="0079525F">
        <w:trPr>
          <w:trHeight w:val="278"/>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nil"/>
            </w:tcBorders>
            <w:shd w:val="clear" w:color="auto" w:fill="auto"/>
            <w:noWrap/>
            <w:vAlign w:val="bottom"/>
            <w:hideMark/>
          </w:tcPr>
          <w:p w:rsidR="00810936" w:rsidRPr="00612F61" w:rsidRDefault="009C2680" w:rsidP="0079525F">
            <w:pPr>
              <w:jc w:val="center"/>
              <w:rPr>
                <w:rFonts w:ascii="Calibri" w:hAnsi="Calibri"/>
                <w:color w:val="000000"/>
                <w:sz w:val="20"/>
                <w:szCs w:val="20"/>
                <w:lang w:eastAsia="zh-CN"/>
              </w:rPr>
            </w:pPr>
            <w:r>
              <w:rPr>
                <w:rFonts w:ascii="Calibri" w:hAnsi="Calibri"/>
                <w:color w:val="000000"/>
                <w:sz w:val="20"/>
                <w:szCs w:val="20"/>
                <w:lang w:eastAsia="zh-CN"/>
              </w:rPr>
              <w:t>8/27/2014</w:t>
            </w:r>
          </w:p>
        </w:tc>
        <w:tc>
          <w:tcPr>
            <w:tcW w:w="1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0.23</w:t>
            </w:r>
          </w:p>
        </w:tc>
        <w:tc>
          <w:tcPr>
            <w:tcW w:w="1774" w:type="dxa"/>
            <w:tcBorders>
              <w:top w:val="single" w:sz="8" w:space="0" w:color="auto"/>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0.27</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6.1</w:t>
            </w:r>
          </w:p>
        </w:tc>
        <w:tc>
          <w:tcPr>
            <w:tcW w:w="1772" w:type="dxa"/>
            <w:tcBorders>
              <w:top w:val="single" w:sz="8" w:space="0" w:color="auto"/>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85</w:t>
            </w:r>
          </w:p>
        </w:tc>
      </w:tr>
      <w:tr w:rsidR="00810936" w:rsidRPr="00612F61" w:rsidTr="0079525F">
        <w:trPr>
          <w:trHeight w:val="278"/>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single" w:sz="8" w:space="0" w:color="auto"/>
            </w:tcBorders>
            <w:shd w:val="clear" w:color="auto" w:fill="auto"/>
            <w:noWrap/>
            <w:vAlign w:val="bottom"/>
            <w:hideMark/>
          </w:tcPr>
          <w:p w:rsidR="00810936" w:rsidRPr="00612F61" w:rsidRDefault="009C2680" w:rsidP="009C2680">
            <w:pPr>
              <w:jc w:val="center"/>
              <w:rPr>
                <w:rFonts w:ascii="Calibri" w:hAnsi="Calibri"/>
                <w:color w:val="000000"/>
                <w:sz w:val="20"/>
                <w:szCs w:val="20"/>
                <w:lang w:eastAsia="zh-CN"/>
              </w:rPr>
            </w:pPr>
            <w:r>
              <w:rPr>
                <w:rFonts w:ascii="Calibri" w:hAnsi="Calibri"/>
                <w:color w:val="000000"/>
                <w:sz w:val="20"/>
                <w:szCs w:val="20"/>
                <w:lang w:eastAsia="zh-CN"/>
              </w:rPr>
              <w:t>9/15/2014</w:t>
            </w:r>
          </w:p>
        </w:tc>
        <w:tc>
          <w:tcPr>
            <w:tcW w:w="1851" w:type="dxa"/>
            <w:tcBorders>
              <w:top w:val="nil"/>
              <w:left w:val="nil"/>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0.68</w:t>
            </w:r>
          </w:p>
        </w:tc>
        <w:tc>
          <w:tcPr>
            <w:tcW w:w="1774" w:type="dxa"/>
            <w:tcBorders>
              <w:top w:val="nil"/>
              <w:left w:val="nil"/>
              <w:bottom w:val="nil"/>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0.81</w:t>
            </w:r>
          </w:p>
        </w:tc>
        <w:tc>
          <w:tcPr>
            <w:tcW w:w="1691" w:type="dxa"/>
            <w:tcBorders>
              <w:top w:val="nil"/>
              <w:left w:val="single" w:sz="8" w:space="0" w:color="auto"/>
              <w:bottom w:val="nil"/>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18.2</w:t>
            </w:r>
          </w:p>
        </w:tc>
        <w:tc>
          <w:tcPr>
            <w:tcW w:w="1772" w:type="dxa"/>
            <w:tcBorders>
              <w:top w:val="nil"/>
              <w:left w:val="nil"/>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88</w:t>
            </w:r>
          </w:p>
        </w:tc>
      </w:tr>
      <w:tr w:rsidR="00810936" w:rsidRPr="00612F61" w:rsidTr="0079525F">
        <w:trPr>
          <w:trHeight w:val="278"/>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nil"/>
              <w:right w:val="nil"/>
            </w:tcBorders>
            <w:shd w:val="clear" w:color="auto" w:fill="auto"/>
            <w:noWrap/>
            <w:vAlign w:val="bottom"/>
            <w:hideMark/>
          </w:tcPr>
          <w:p w:rsidR="00810936" w:rsidRPr="00612F61" w:rsidRDefault="009C2680" w:rsidP="0079525F">
            <w:pPr>
              <w:jc w:val="center"/>
              <w:rPr>
                <w:rFonts w:ascii="Calibri" w:hAnsi="Calibri"/>
                <w:color w:val="000000"/>
                <w:sz w:val="20"/>
                <w:szCs w:val="20"/>
                <w:lang w:eastAsia="zh-CN"/>
              </w:rPr>
            </w:pPr>
            <w:r>
              <w:rPr>
                <w:rFonts w:ascii="Calibri" w:hAnsi="Calibri"/>
                <w:color w:val="000000"/>
                <w:sz w:val="20"/>
                <w:szCs w:val="20"/>
                <w:lang w:eastAsia="zh-CN"/>
              </w:rPr>
              <w:t>9/16/2014</w:t>
            </w:r>
          </w:p>
        </w:tc>
        <w:tc>
          <w:tcPr>
            <w:tcW w:w="1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0.73</w:t>
            </w:r>
          </w:p>
        </w:tc>
        <w:tc>
          <w:tcPr>
            <w:tcW w:w="1774" w:type="dxa"/>
            <w:tcBorders>
              <w:top w:val="single" w:sz="8" w:space="0" w:color="auto"/>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0.87</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19.5</w:t>
            </w:r>
          </w:p>
        </w:tc>
        <w:tc>
          <w:tcPr>
            <w:tcW w:w="1772" w:type="dxa"/>
            <w:tcBorders>
              <w:top w:val="single" w:sz="8" w:space="0" w:color="auto"/>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89</w:t>
            </w:r>
          </w:p>
        </w:tc>
      </w:tr>
      <w:tr w:rsidR="00810936" w:rsidRPr="00612F61" w:rsidTr="0079525F">
        <w:trPr>
          <w:trHeight w:val="278"/>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single" w:sz="8" w:space="0" w:color="auto"/>
              <w:left w:val="nil"/>
              <w:bottom w:val="single" w:sz="8" w:space="0" w:color="auto"/>
              <w:right w:val="nil"/>
            </w:tcBorders>
            <w:shd w:val="clear" w:color="auto" w:fill="auto"/>
            <w:noWrap/>
            <w:vAlign w:val="bottom"/>
            <w:hideMark/>
          </w:tcPr>
          <w:p w:rsidR="00810936" w:rsidRPr="00612F61" w:rsidRDefault="009C2680" w:rsidP="0079525F">
            <w:pPr>
              <w:jc w:val="center"/>
              <w:rPr>
                <w:rFonts w:ascii="Calibri" w:hAnsi="Calibri"/>
                <w:color w:val="000000"/>
                <w:sz w:val="20"/>
                <w:szCs w:val="20"/>
                <w:lang w:eastAsia="zh-CN"/>
              </w:rPr>
            </w:pPr>
            <w:r>
              <w:rPr>
                <w:rFonts w:ascii="Calibri" w:hAnsi="Calibri"/>
                <w:color w:val="000000"/>
                <w:sz w:val="20"/>
                <w:szCs w:val="20"/>
                <w:lang w:eastAsia="zh-CN"/>
              </w:rPr>
              <w:t>9/17/2014</w:t>
            </w:r>
          </w:p>
        </w:tc>
        <w:tc>
          <w:tcPr>
            <w:tcW w:w="1851" w:type="dxa"/>
            <w:tcBorders>
              <w:top w:val="nil"/>
              <w:left w:val="single" w:sz="8" w:space="0" w:color="auto"/>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0.53</w:t>
            </w:r>
          </w:p>
        </w:tc>
        <w:tc>
          <w:tcPr>
            <w:tcW w:w="1774" w:type="dxa"/>
            <w:tcBorders>
              <w:top w:val="nil"/>
              <w:left w:val="nil"/>
              <w:bottom w:val="nil"/>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0.64</w:t>
            </w:r>
          </w:p>
        </w:tc>
        <w:tc>
          <w:tcPr>
            <w:tcW w:w="1691" w:type="dxa"/>
            <w:tcBorders>
              <w:top w:val="nil"/>
              <w:left w:val="single" w:sz="8" w:space="0" w:color="auto"/>
              <w:bottom w:val="nil"/>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14.3</w:t>
            </w:r>
          </w:p>
        </w:tc>
        <w:tc>
          <w:tcPr>
            <w:tcW w:w="1772" w:type="dxa"/>
            <w:tcBorders>
              <w:top w:val="nil"/>
              <w:left w:val="nil"/>
              <w:bottom w:val="nil"/>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83</w:t>
            </w:r>
          </w:p>
        </w:tc>
      </w:tr>
      <w:tr w:rsidR="00810936" w:rsidRPr="00612F61" w:rsidTr="0079525F">
        <w:trPr>
          <w:trHeight w:val="278"/>
        </w:trPr>
        <w:tc>
          <w:tcPr>
            <w:tcW w:w="1025" w:type="dxa"/>
            <w:vMerge/>
            <w:tcBorders>
              <w:top w:val="single" w:sz="8" w:space="0" w:color="auto"/>
              <w:left w:val="single" w:sz="8" w:space="0" w:color="auto"/>
              <w:bottom w:val="single" w:sz="8" w:space="0" w:color="000000"/>
              <w:right w:val="single" w:sz="8" w:space="0" w:color="auto"/>
            </w:tcBorders>
            <w:vAlign w:val="center"/>
            <w:hideMark/>
          </w:tcPr>
          <w:p w:rsidR="00810936" w:rsidRPr="00612F61" w:rsidRDefault="00810936" w:rsidP="0079525F">
            <w:pPr>
              <w:rPr>
                <w:rFonts w:ascii="Calibri" w:hAnsi="Calibri"/>
                <w:color w:val="000000"/>
                <w:sz w:val="20"/>
                <w:szCs w:val="20"/>
                <w:lang w:eastAsia="zh-CN"/>
              </w:rPr>
            </w:pPr>
          </w:p>
        </w:tc>
        <w:tc>
          <w:tcPr>
            <w:tcW w:w="1174" w:type="dxa"/>
            <w:tcBorders>
              <w:top w:val="nil"/>
              <w:left w:val="nil"/>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Average**</w:t>
            </w:r>
          </w:p>
        </w:tc>
        <w:tc>
          <w:tcPr>
            <w:tcW w:w="1851" w:type="dxa"/>
            <w:tcBorders>
              <w:top w:val="single" w:sz="8" w:space="0" w:color="auto"/>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0.42</w:t>
            </w:r>
          </w:p>
        </w:tc>
        <w:tc>
          <w:tcPr>
            <w:tcW w:w="1774" w:type="dxa"/>
            <w:tcBorders>
              <w:top w:val="single" w:sz="8" w:space="0" w:color="auto"/>
              <w:left w:val="nil"/>
              <w:bottom w:val="single" w:sz="8" w:space="0" w:color="auto"/>
              <w:right w:val="nil"/>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0.50</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11.2</w:t>
            </w:r>
          </w:p>
        </w:tc>
        <w:tc>
          <w:tcPr>
            <w:tcW w:w="1772" w:type="dxa"/>
            <w:tcBorders>
              <w:top w:val="single" w:sz="8" w:space="0" w:color="auto"/>
              <w:left w:val="nil"/>
              <w:bottom w:val="single" w:sz="8" w:space="0" w:color="auto"/>
              <w:right w:val="single" w:sz="8" w:space="0" w:color="auto"/>
            </w:tcBorders>
            <w:shd w:val="clear" w:color="auto" w:fill="auto"/>
            <w:noWrap/>
            <w:vAlign w:val="bottom"/>
            <w:hideMark/>
          </w:tcPr>
          <w:p w:rsidR="00810936" w:rsidRPr="00612F61" w:rsidRDefault="00810936" w:rsidP="0079525F">
            <w:pPr>
              <w:jc w:val="center"/>
              <w:rPr>
                <w:rFonts w:ascii="Calibri" w:hAnsi="Calibri"/>
                <w:color w:val="000000"/>
                <w:sz w:val="20"/>
                <w:szCs w:val="20"/>
                <w:lang w:eastAsia="zh-CN"/>
              </w:rPr>
            </w:pPr>
            <w:r w:rsidRPr="00612F61">
              <w:rPr>
                <w:rFonts w:ascii="Calibri" w:hAnsi="Calibri"/>
                <w:color w:val="000000"/>
                <w:sz w:val="20"/>
                <w:szCs w:val="20"/>
                <w:lang w:eastAsia="zh-CN"/>
              </w:rPr>
              <w:t>85</w:t>
            </w:r>
          </w:p>
        </w:tc>
      </w:tr>
      <w:tr w:rsidR="00810936" w:rsidRPr="00612F61" w:rsidTr="0079525F">
        <w:trPr>
          <w:trHeight w:val="265"/>
        </w:trPr>
        <w:tc>
          <w:tcPr>
            <w:tcW w:w="9285" w:type="dxa"/>
            <w:gridSpan w:val="6"/>
            <w:tcBorders>
              <w:top w:val="nil"/>
              <w:left w:val="nil"/>
              <w:bottom w:val="nil"/>
              <w:right w:val="nil"/>
            </w:tcBorders>
            <w:shd w:val="clear" w:color="auto" w:fill="auto"/>
            <w:noWrap/>
            <w:vAlign w:val="center"/>
            <w:hideMark/>
          </w:tcPr>
          <w:p w:rsidR="00810936" w:rsidRPr="00612F61" w:rsidRDefault="00810936" w:rsidP="0079525F">
            <w:pPr>
              <w:rPr>
                <w:rFonts w:ascii="Franklin Gothic Book" w:hAnsi="Franklin Gothic Book"/>
                <w:color w:val="000000"/>
                <w:sz w:val="18"/>
                <w:szCs w:val="18"/>
                <w:lang w:eastAsia="zh-CN"/>
              </w:rPr>
            </w:pPr>
            <w:r w:rsidRPr="00612F61">
              <w:rPr>
                <w:rFonts w:ascii="Franklin Gothic Book" w:hAnsi="Franklin Gothic Book"/>
                <w:color w:val="000000"/>
                <w:sz w:val="18"/>
                <w:szCs w:val="18"/>
                <w:lang w:eastAsia="zh-CN"/>
              </w:rPr>
              <w:t>*</w:t>
            </w:r>
            <w:r>
              <w:rPr>
                <w:rFonts w:ascii="Franklin Gothic Book" w:hAnsi="Franklin Gothic Book"/>
                <w:color w:val="000000"/>
                <w:sz w:val="18"/>
                <w:szCs w:val="18"/>
                <w:lang w:eastAsia="zh-CN"/>
              </w:rPr>
              <w:t>R</w:t>
            </w:r>
            <w:r w:rsidRPr="00612F61">
              <w:rPr>
                <w:rFonts w:ascii="Franklin Gothic Book" w:hAnsi="Franklin Gothic Book"/>
                <w:color w:val="000000"/>
                <w:sz w:val="18"/>
                <w:szCs w:val="18"/>
                <w:lang w:eastAsia="zh-CN"/>
              </w:rPr>
              <w:t xml:space="preserve">eflects the average </w:t>
            </w:r>
            <w:r>
              <w:rPr>
                <w:rFonts w:ascii="Franklin Gothic Book" w:hAnsi="Franklin Gothic Book"/>
                <w:color w:val="000000"/>
                <w:sz w:val="18"/>
                <w:szCs w:val="18"/>
                <w:lang w:eastAsia="zh-CN"/>
              </w:rPr>
              <w:t>1</w:t>
            </w:r>
            <w:r>
              <w:rPr>
                <w:rFonts w:ascii="Franklin Gothic Book" w:hAnsi="Franklin Gothic Book"/>
                <w:color w:val="000000"/>
                <w:sz w:val="18"/>
                <w:szCs w:val="18"/>
              </w:rPr>
              <w:t>–5</w:t>
            </w:r>
            <w:r w:rsidRPr="00BA0249">
              <w:rPr>
                <w:rFonts w:ascii="Franklin Gothic Book" w:hAnsi="Franklin Gothic Book"/>
                <w:color w:val="000000"/>
                <w:sz w:val="18"/>
                <w:szCs w:val="18"/>
              </w:rPr>
              <w:t xml:space="preserve"> </w:t>
            </w:r>
            <w:r>
              <w:rPr>
                <w:rFonts w:ascii="Franklin Gothic Book" w:hAnsi="Franklin Gothic Book"/>
                <w:color w:val="000000"/>
                <w:sz w:val="18"/>
                <w:szCs w:val="18"/>
              </w:rPr>
              <w:t>PM 2013 Summer Saver event</w:t>
            </w:r>
          </w:p>
        </w:tc>
      </w:tr>
      <w:tr w:rsidR="00810936" w:rsidRPr="00612F61" w:rsidTr="0079525F">
        <w:trPr>
          <w:trHeight w:val="265"/>
        </w:trPr>
        <w:tc>
          <w:tcPr>
            <w:tcW w:w="9285" w:type="dxa"/>
            <w:gridSpan w:val="6"/>
            <w:tcBorders>
              <w:top w:val="nil"/>
              <w:left w:val="nil"/>
              <w:bottom w:val="nil"/>
              <w:right w:val="nil"/>
            </w:tcBorders>
            <w:shd w:val="clear" w:color="auto" w:fill="auto"/>
            <w:noWrap/>
            <w:vAlign w:val="center"/>
            <w:hideMark/>
          </w:tcPr>
          <w:p w:rsidR="00810936" w:rsidRPr="00612F61" w:rsidRDefault="00810936" w:rsidP="0079525F">
            <w:pPr>
              <w:rPr>
                <w:rFonts w:ascii="Franklin Gothic Book" w:hAnsi="Franklin Gothic Book"/>
                <w:color w:val="000000"/>
                <w:sz w:val="18"/>
                <w:szCs w:val="18"/>
                <w:lang w:eastAsia="zh-CN"/>
              </w:rPr>
            </w:pPr>
            <w:r w:rsidRPr="00612F61">
              <w:rPr>
                <w:rFonts w:ascii="Franklin Gothic Book" w:hAnsi="Franklin Gothic Book"/>
                <w:color w:val="000000"/>
                <w:sz w:val="18"/>
                <w:szCs w:val="18"/>
                <w:lang w:eastAsia="zh-CN"/>
              </w:rPr>
              <w:t>**</w:t>
            </w:r>
            <w:r>
              <w:rPr>
                <w:rFonts w:ascii="Franklin Gothic Book" w:hAnsi="Franklin Gothic Book"/>
                <w:color w:val="000000"/>
                <w:sz w:val="18"/>
                <w:szCs w:val="18"/>
                <w:lang w:eastAsia="zh-CN"/>
              </w:rPr>
              <w:t>R</w:t>
            </w:r>
            <w:r w:rsidRPr="00612F61">
              <w:rPr>
                <w:rFonts w:ascii="Franklin Gothic Book" w:hAnsi="Franklin Gothic Book"/>
                <w:color w:val="000000"/>
                <w:sz w:val="18"/>
                <w:szCs w:val="18"/>
                <w:lang w:eastAsia="zh-CN"/>
              </w:rPr>
              <w:t xml:space="preserve">eflects the average </w:t>
            </w:r>
            <w:r w:rsidRPr="00BA0249">
              <w:rPr>
                <w:rFonts w:ascii="Franklin Gothic Book" w:hAnsi="Franklin Gothic Book"/>
                <w:color w:val="000000"/>
                <w:sz w:val="18"/>
                <w:szCs w:val="18"/>
              </w:rPr>
              <w:t>2</w:t>
            </w:r>
            <w:r>
              <w:rPr>
                <w:rFonts w:ascii="Franklin Gothic Book" w:hAnsi="Franklin Gothic Book"/>
                <w:color w:val="000000"/>
                <w:sz w:val="18"/>
                <w:szCs w:val="18"/>
              </w:rPr>
              <w:t>–</w:t>
            </w:r>
            <w:r w:rsidRPr="00BA0249">
              <w:rPr>
                <w:rFonts w:ascii="Franklin Gothic Book" w:hAnsi="Franklin Gothic Book"/>
                <w:color w:val="000000"/>
                <w:sz w:val="18"/>
                <w:szCs w:val="18"/>
              </w:rPr>
              <w:t xml:space="preserve">6 </w:t>
            </w:r>
            <w:r>
              <w:rPr>
                <w:rFonts w:ascii="Franklin Gothic Book" w:hAnsi="Franklin Gothic Book"/>
                <w:color w:val="000000"/>
                <w:sz w:val="18"/>
                <w:szCs w:val="18"/>
              </w:rPr>
              <w:t>PM 2014 Summer Saver event</w:t>
            </w:r>
          </w:p>
        </w:tc>
      </w:tr>
    </w:tbl>
    <w:p w:rsidR="00810936" w:rsidRDefault="00810936" w:rsidP="00810936">
      <w:pPr>
        <w:pStyle w:val="TableFigureCaption"/>
        <w:rPr>
          <w:rFonts w:ascii="Times New Roman" w:hAnsi="Times New Roman"/>
          <w:color w:val="000000" w:themeColor="text1"/>
          <w:sz w:val="24"/>
          <w:szCs w:val="24"/>
        </w:rPr>
      </w:pPr>
    </w:p>
    <w:p w:rsidR="00F15656" w:rsidRPr="00810936" w:rsidRDefault="00F15656" w:rsidP="00810936">
      <w:pPr>
        <w:pStyle w:val="TableFigureCaption"/>
        <w:spacing w:after="0" w:line="276" w:lineRule="auto"/>
        <w:ind w:firstLine="720"/>
        <w:jc w:val="left"/>
        <w:rPr>
          <w:rFonts w:ascii="Times New Roman" w:hAnsi="Times New Roman"/>
          <w:b w:val="0"/>
          <w:color w:val="000000" w:themeColor="text1"/>
          <w:sz w:val="24"/>
          <w:szCs w:val="24"/>
        </w:rPr>
      </w:pPr>
      <w:r w:rsidRPr="00810936">
        <w:rPr>
          <w:rFonts w:ascii="Times New Roman" w:hAnsi="Times New Roman"/>
          <w:b w:val="0"/>
          <w:color w:val="000000" w:themeColor="text1"/>
          <w:sz w:val="24"/>
          <w:szCs w:val="24"/>
        </w:rPr>
        <w:t xml:space="preserve">Table </w:t>
      </w:r>
      <w:r w:rsidR="00A37FEE" w:rsidRPr="00810936">
        <w:rPr>
          <w:rFonts w:ascii="Times New Roman" w:hAnsi="Times New Roman"/>
          <w:b w:val="0"/>
          <w:color w:val="000000" w:themeColor="text1"/>
          <w:sz w:val="24"/>
          <w:szCs w:val="24"/>
        </w:rPr>
        <w:t>6</w:t>
      </w:r>
      <w:r w:rsidRPr="00810936">
        <w:rPr>
          <w:rFonts w:ascii="Times New Roman" w:hAnsi="Times New Roman"/>
          <w:b w:val="0"/>
          <w:color w:val="000000" w:themeColor="text1"/>
          <w:sz w:val="24"/>
          <w:szCs w:val="24"/>
        </w:rPr>
        <w:t xml:space="preserve">-2 shows the estimated load impacts for residential participants on each event day segmented by cycling option. On a per premise basis, load impacts for 100% cycling range from a high of 1.05 kW to a low of 0.43 kW. Load impacts for 50% cycling range from 0.85 kW to 0.11 kW per premise. Across the three days with the same event times, load impacts for 100% cycling are 35% higher than for 50% cycling, despite the fact that the cycling percentage differs by a factor of two. This is primarily due to the fact that average reference load for customers taking the 50% cycling option is about 40% higher than for those taking the 100% option.  Put another way, customers that use their CAC units more are less likely to take the 100% cycling options.  </w:t>
      </w:r>
    </w:p>
    <w:p w:rsidR="00F15656" w:rsidRPr="00A37FEE" w:rsidRDefault="00F15656" w:rsidP="00A37FEE">
      <w:pPr>
        <w:pStyle w:val="BodyParagraph"/>
        <w:ind w:firstLine="720"/>
        <w:rPr>
          <w:rFonts w:ascii="Times New Roman" w:hAnsi="Times New Roman"/>
          <w:color w:val="000000" w:themeColor="text1"/>
          <w:sz w:val="24"/>
          <w:szCs w:val="24"/>
        </w:rPr>
      </w:pPr>
      <w:r w:rsidRPr="00A37FEE">
        <w:rPr>
          <w:rFonts w:ascii="Times New Roman" w:hAnsi="Times New Roman"/>
          <w:color w:val="000000" w:themeColor="text1"/>
          <w:sz w:val="24"/>
          <w:szCs w:val="24"/>
        </w:rPr>
        <w:t xml:space="preserve">In the case of two event days, July 29, 2014 and September 15, 2014, reference loads for 100% cycling customers are in fact much higher, which is also when load impacts for 100% cycling are actually lower than 50% cycling,. While the differences between the estimated load impacts for 50% and 100% cycling are not statistically significant, on both of these days, reference loads for customers on the 50% cycling option are about 60% higher than for customers on the 100% option. Similar outcomes have been observed in prior evaluations of the Summer Saver program, but given the relatively small sample sizes at the cycling option level of aggregation, this result may just be due to random fluctuation. There may also have been slightly different weather patterns for the two groups that caused the larger reference load increase for the 50% cycling customers on these days (100% cycling customers are more highly concentrated in the moderate coastal climate zone than are 50% cycling customers, so there are small differences in average weather for the two groups).   </w:t>
      </w:r>
    </w:p>
    <w:p w:rsidR="00F15656" w:rsidRPr="00B2669C" w:rsidRDefault="00F15656" w:rsidP="00F15656">
      <w:pPr>
        <w:pStyle w:val="TableFigureCaption"/>
        <w:contextualSpacing/>
        <w:rPr>
          <w:rFonts w:ascii="Times New Roman" w:hAnsi="Times New Roman"/>
          <w:sz w:val="20"/>
          <w:szCs w:val="20"/>
        </w:rPr>
      </w:pPr>
      <w:r w:rsidRPr="00B2669C">
        <w:rPr>
          <w:rFonts w:ascii="Times New Roman" w:hAnsi="Times New Roman"/>
          <w:sz w:val="20"/>
          <w:szCs w:val="20"/>
        </w:rPr>
        <w:t xml:space="preserve">Table </w:t>
      </w:r>
      <w:r w:rsidR="00A37FEE" w:rsidRPr="00B2669C">
        <w:rPr>
          <w:rFonts w:ascii="Times New Roman" w:hAnsi="Times New Roman"/>
          <w:sz w:val="20"/>
          <w:szCs w:val="20"/>
        </w:rPr>
        <w:t>6</w:t>
      </w:r>
      <w:r w:rsidRPr="00B2669C">
        <w:rPr>
          <w:rFonts w:ascii="Times New Roman" w:hAnsi="Times New Roman"/>
          <w:sz w:val="20"/>
          <w:szCs w:val="20"/>
        </w:rPr>
        <w:t>-2: Summer Saver Residential Average (kW per Premise) and Aggregate (MW) Load Impacts by Cycling Option</w:t>
      </w:r>
    </w:p>
    <w:tbl>
      <w:tblPr>
        <w:tblW w:w="5000" w:type="pct"/>
        <w:tblLayout w:type="fixed"/>
        <w:tblLook w:val="04A0" w:firstRow="1" w:lastRow="0" w:firstColumn="1" w:lastColumn="0" w:noHBand="0" w:noVBand="1"/>
      </w:tblPr>
      <w:tblGrid>
        <w:gridCol w:w="2250"/>
        <w:gridCol w:w="1818"/>
        <w:gridCol w:w="1846"/>
        <w:gridCol w:w="1844"/>
        <w:gridCol w:w="1818"/>
      </w:tblGrid>
      <w:tr w:rsidR="00F15656" w:rsidRPr="00ED1806" w:rsidTr="00324486">
        <w:trPr>
          <w:trHeight w:val="570"/>
        </w:trPr>
        <w:tc>
          <w:tcPr>
            <w:tcW w:w="1175" w:type="pct"/>
            <w:vMerge w:val="restart"/>
            <w:tcBorders>
              <w:top w:val="single" w:sz="4" w:space="0" w:color="auto"/>
              <w:left w:val="single" w:sz="4" w:space="0" w:color="auto"/>
              <w:bottom w:val="single" w:sz="4" w:space="0" w:color="auto"/>
              <w:right w:val="single" w:sz="4" w:space="0" w:color="FFFFFF"/>
            </w:tcBorders>
            <w:shd w:val="clear" w:color="000000" w:fill="0070C0"/>
            <w:vAlign w:val="center"/>
            <w:hideMark/>
          </w:tcPr>
          <w:p w:rsidR="00F15656" w:rsidRPr="00ED1806" w:rsidRDefault="00F15656" w:rsidP="00324486">
            <w:pPr>
              <w:jc w:val="center"/>
              <w:rPr>
                <w:rFonts w:ascii="Calibri" w:hAnsi="Calibri"/>
                <w:b/>
                <w:bCs/>
                <w:color w:val="FFFFFF"/>
                <w:sz w:val="20"/>
                <w:szCs w:val="20"/>
              </w:rPr>
            </w:pPr>
            <w:r w:rsidRPr="00ED1806">
              <w:rPr>
                <w:rFonts w:ascii="Calibri" w:hAnsi="Calibri"/>
                <w:b/>
                <w:bCs/>
                <w:color w:val="FFFFFF"/>
                <w:sz w:val="20"/>
                <w:szCs w:val="20"/>
              </w:rPr>
              <w:t>Event Date</w:t>
            </w:r>
          </w:p>
        </w:tc>
        <w:tc>
          <w:tcPr>
            <w:tcW w:w="1913" w:type="pct"/>
            <w:gridSpan w:val="2"/>
            <w:tcBorders>
              <w:top w:val="single" w:sz="4" w:space="0" w:color="auto"/>
              <w:left w:val="nil"/>
              <w:bottom w:val="single" w:sz="4" w:space="0" w:color="FFFFFF"/>
              <w:right w:val="single" w:sz="4" w:space="0" w:color="FFFFFF" w:themeColor="background1"/>
            </w:tcBorders>
            <w:shd w:val="clear" w:color="000000" w:fill="0070C0"/>
            <w:vAlign w:val="center"/>
            <w:hideMark/>
          </w:tcPr>
          <w:p w:rsidR="00F15656" w:rsidRPr="00ED1806" w:rsidRDefault="00F15656" w:rsidP="00324486">
            <w:pPr>
              <w:jc w:val="center"/>
              <w:rPr>
                <w:rFonts w:ascii="Calibri" w:hAnsi="Calibri"/>
                <w:b/>
                <w:bCs/>
                <w:color w:val="FFFFFF"/>
                <w:sz w:val="20"/>
                <w:szCs w:val="20"/>
              </w:rPr>
            </w:pPr>
            <w:r w:rsidRPr="00ED1806">
              <w:rPr>
                <w:rFonts w:ascii="Calibri" w:hAnsi="Calibri"/>
                <w:b/>
                <w:bCs/>
                <w:color w:val="FFFFFF"/>
                <w:sz w:val="20"/>
                <w:szCs w:val="20"/>
              </w:rPr>
              <w:t>Average Load Impact per Premise (kW)</w:t>
            </w:r>
          </w:p>
        </w:tc>
        <w:tc>
          <w:tcPr>
            <w:tcW w:w="1912" w:type="pct"/>
            <w:gridSpan w:val="2"/>
            <w:tcBorders>
              <w:top w:val="single" w:sz="4" w:space="0" w:color="auto"/>
              <w:left w:val="single" w:sz="4" w:space="0" w:color="FFFFFF" w:themeColor="background1"/>
              <w:bottom w:val="nil"/>
              <w:right w:val="single" w:sz="4" w:space="0" w:color="auto"/>
            </w:tcBorders>
            <w:shd w:val="clear" w:color="000000" w:fill="0070C0"/>
            <w:vAlign w:val="center"/>
            <w:hideMark/>
          </w:tcPr>
          <w:p w:rsidR="00F15656" w:rsidRPr="00ED1806" w:rsidRDefault="00F15656" w:rsidP="00324486">
            <w:pPr>
              <w:jc w:val="center"/>
              <w:rPr>
                <w:rFonts w:ascii="Calibri" w:hAnsi="Calibri"/>
                <w:b/>
                <w:bCs/>
                <w:color w:val="FFFFFF"/>
                <w:sz w:val="20"/>
                <w:szCs w:val="20"/>
              </w:rPr>
            </w:pPr>
            <w:r w:rsidRPr="00ED1806">
              <w:rPr>
                <w:rFonts w:ascii="Calibri" w:hAnsi="Calibri"/>
                <w:b/>
                <w:bCs/>
                <w:color w:val="FFFFFF"/>
                <w:sz w:val="20"/>
                <w:szCs w:val="20"/>
              </w:rPr>
              <w:t>Aggregate Load Impact (MW)</w:t>
            </w:r>
          </w:p>
        </w:tc>
      </w:tr>
      <w:tr w:rsidR="00F15656" w:rsidRPr="00ED1806" w:rsidTr="00324486">
        <w:trPr>
          <w:trHeight w:val="300"/>
        </w:trPr>
        <w:tc>
          <w:tcPr>
            <w:tcW w:w="1175" w:type="pct"/>
            <w:vMerge/>
            <w:tcBorders>
              <w:top w:val="single" w:sz="4" w:space="0" w:color="auto"/>
              <w:left w:val="single" w:sz="4" w:space="0" w:color="auto"/>
              <w:bottom w:val="single" w:sz="4" w:space="0" w:color="auto"/>
              <w:right w:val="single" w:sz="4" w:space="0" w:color="FFFFFF"/>
            </w:tcBorders>
            <w:vAlign w:val="center"/>
            <w:hideMark/>
          </w:tcPr>
          <w:p w:rsidR="00F15656" w:rsidRPr="00ED1806" w:rsidRDefault="00F15656" w:rsidP="00324486">
            <w:pPr>
              <w:rPr>
                <w:rFonts w:ascii="Calibri" w:hAnsi="Calibri"/>
                <w:b/>
                <w:bCs/>
                <w:color w:val="FFFFFF"/>
                <w:sz w:val="20"/>
                <w:szCs w:val="20"/>
              </w:rPr>
            </w:pPr>
          </w:p>
        </w:tc>
        <w:tc>
          <w:tcPr>
            <w:tcW w:w="949" w:type="pct"/>
            <w:tcBorders>
              <w:top w:val="nil"/>
              <w:left w:val="nil"/>
              <w:bottom w:val="single" w:sz="4" w:space="0" w:color="auto"/>
              <w:right w:val="single" w:sz="4" w:space="0" w:color="FFFFFF"/>
            </w:tcBorders>
            <w:shd w:val="clear" w:color="000000" w:fill="0070C0"/>
            <w:noWrap/>
            <w:vAlign w:val="center"/>
            <w:hideMark/>
          </w:tcPr>
          <w:p w:rsidR="00F15656" w:rsidRPr="00ED1806" w:rsidRDefault="00F15656" w:rsidP="00324486">
            <w:pPr>
              <w:jc w:val="center"/>
              <w:rPr>
                <w:rFonts w:ascii="Calibri" w:hAnsi="Calibri"/>
                <w:b/>
                <w:bCs/>
                <w:color w:val="FFFFFF"/>
                <w:sz w:val="20"/>
                <w:szCs w:val="20"/>
              </w:rPr>
            </w:pPr>
            <w:r w:rsidRPr="00ED1806">
              <w:rPr>
                <w:rFonts w:ascii="Calibri" w:hAnsi="Calibri"/>
                <w:b/>
                <w:bCs/>
                <w:color w:val="FFFFFF"/>
                <w:sz w:val="20"/>
                <w:szCs w:val="20"/>
              </w:rPr>
              <w:t>100%</w:t>
            </w:r>
          </w:p>
        </w:tc>
        <w:tc>
          <w:tcPr>
            <w:tcW w:w="964" w:type="pct"/>
            <w:tcBorders>
              <w:top w:val="nil"/>
              <w:left w:val="nil"/>
              <w:bottom w:val="single" w:sz="4" w:space="0" w:color="auto"/>
              <w:right w:val="nil"/>
            </w:tcBorders>
            <w:shd w:val="clear" w:color="000000" w:fill="0070C0"/>
            <w:noWrap/>
            <w:vAlign w:val="center"/>
            <w:hideMark/>
          </w:tcPr>
          <w:p w:rsidR="00F15656" w:rsidRPr="00ED1806" w:rsidRDefault="00F15656" w:rsidP="00324486">
            <w:pPr>
              <w:jc w:val="center"/>
              <w:rPr>
                <w:rFonts w:ascii="Calibri" w:hAnsi="Calibri"/>
                <w:b/>
                <w:bCs/>
                <w:color w:val="FFFFFF"/>
                <w:sz w:val="20"/>
                <w:szCs w:val="20"/>
              </w:rPr>
            </w:pPr>
            <w:r w:rsidRPr="00ED1806">
              <w:rPr>
                <w:rFonts w:ascii="Calibri" w:hAnsi="Calibri"/>
                <w:b/>
                <w:bCs/>
                <w:color w:val="FFFFFF"/>
                <w:sz w:val="20"/>
                <w:szCs w:val="20"/>
              </w:rPr>
              <w:t>50%</w:t>
            </w:r>
          </w:p>
        </w:tc>
        <w:tc>
          <w:tcPr>
            <w:tcW w:w="963" w:type="pct"/>
            <w:tcBorders>
              <w:top w:val="single" w:sz="4" w:space="0" w:color="FFFFFF"/>
              <w:left w:val="single" w:sz="4" w:space="0" w:color="FFFFFF"/>
              <w:bottom w:val="single" w:sz="4" w:space="0" w:color="auto"/>
              <w:right w:val="nil"/>
            </w:tcBorders>
            <w:shd w:val="clear" w:color="000000" w:fill="0070C0"/>
            <w:noWrap/>
            <w:vAlign w:val="center"/>
            <w:hideMark/>
          </w:tcPr>
          <w:p w:rsidR="00F15656" w:rsidRPr="00ED1806" w:rsidRDefault="00F15656" w:rsidP="00324486">
            <w:pPr>
              <w:jc w:val="center"/>
              <w:rPr>
                <w:rFonts w:ascii="Calibri" w:hAnsi="Calibri"/>
                <w:b/>
                <w:bCs/>
                <w:color w:val="FFFFFF"/>
                <w:sz w:val="20"/>
                <w:szCs w:val="20"/>
              </w:rPr>
            </w:pPr>
            <w:r w:rsidRPr="00ED1806">
              <w:rPr>
                <w:rFonts w:ascii="Calibri" w:hAnsi="Calibri"/>
                <w:b/>
                <w:bCs/>
                <w:color w:val="FFFFFF"/>
                <w:sz w:val="20"/>
                <w:szCs w:val="20"/>
              </w:rPr>
              <w:t>100%</w:t>
            </w:r>
          </w:p>
        </w:tc>
        <w:tc>
          <w:tcPr>
            <w:tcW w:w="949" w:type="pct"/>
            <w:tcBorders>
              <w:top w:val="single" w:sz="4" w:space="0" w:color="FFFFFF"/>
              <w:left w:val="single" w:sz="4" w:space="0" w:color="FFFFFF"/>
              <w:bottom w:val="single" w:sz="4" w:space="0" w:color="auto"/>
              <w:right w:val="single" w:sz="4" w:space="0" w:color="auto"/>
            </w:tcBorders>
            <w:shd w:val="clear" w:color="000000" w:fill="0070C0"/>
            <w:noWrap/>
            <w:vAlign w:val="center"/>
            <w:hideMark/>
          </w:tcPr>
          <w:p w:rsidR="00F15656" w:rsidRPr="00ED1806" w:rsidRDefault="00F15656" w:rsidP="00324486">
            <w:pPr>
              <w:jc w:val="center"/>
              <w:rPr>
                <w:rFonts w:ascii="Calibri" w:hAnsi="Calibri"/>
                <w:b/>
                <w:bCs/>
                <w:color w:val="FFFFFF"/>
                <w:sz w:val="20"/>
                <w:szCs w:val="20"/>
              </w:rPr>
            </w:pPr>
            <w:r w:rsidRPr="00ED1806">
              <w:rPr>
                <w:rFonts w:ascii="Calibri" w:hAnsi="Calibri"/>
                <w:b/>
                <w:bCs/>
                <w:color w:val="FFFFFF"/>
                <w:sz w:val="20"/>
                <w:szCs w:val="20"/>
              </w:rPr>
              <w:t>50%</w:t>
            </w:r>
          </w:p>
        </w:tc>
      </w:tr>
      <w:tr w:rsidR="00F15656" w:rsidRPr="00ED1806" w:rsidTr="00324486">
        <w:trPr>
          <w:trHeight w:val="300"/>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5/14/2014</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0.45</w:t>
            </w:r>
          </w:p>
        </w:tc>
        <w:tc>
          <w:tcPr>
            <w:tcW w:w="964"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0.19</w:t>
            </w:r>
          </w:p>
        </w:tc>
        <w:tc>
          <w:tcPr>
            <w:tcW w:w="963"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4.8</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2.2</w:t>
            </w:r>
          </w:p>
        </w:tc>
      </w:tr>
      <w:tr w:rsidR="00F15656" w:rsidRPr="00ED1806" w:rsidTr="00324486">
        <w:trPr>
          <w:trHeight w:val="300"/>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5/15/2014</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0.58</w:t>
            </w:r>
          </w:p>
        </w:tc>
        <w:tc>
          <w:tcPr>
            <w:tcW w:w="964"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0.41</w:t>
            </w:r>
          </w:p>
        </w:tc>
        <w:tc>
          <w:tcPr>
            <w:tcW w:w="963"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6.1</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4.8</w:t>
            </w:r>
          </w:p>
        </w:tc>
      </w:tr>
      <w:tr w:rsidR="00F15656" w:rsidRPr="00ED1806" w:rsidTr="00324486">
        <w:trPr>
          <w:trHeight w:val="300"/>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5/16/2014</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0.43</w:t>
            </w:r>
          </w:p>
        </w:tc>
        <w:tc>
          <w:tcPr>
            <w:tcW w:w="964"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0.12</w:t>
            </w:r>
          </w:p>
        </w:tc>
        <w:tc>
          <w:tcPr>
            <w:tcW w:w="963"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4.5</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1.5</w:t>
            </w:r>
          </w:p>
        </w:tc>
      </w:tr>
      <w:tr w:rsidR="00F15656" w:rsidRPr="00ED1806" w:rsidTr="00324486">
        <w:trPr>
          <w:trHeight w:val="300"/>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7/29/2014</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0.56</w:t>
            </w:r>
          </w:p>
        </w:tc>
        <w:tc>
          <w:tcPr>
            <w:tcW w:w="964"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0.54</w:t>
            </w:r>
          </w:p>
        </w:tc>
        <w:tc>
          <w:tcPr>
            <w:tcW w:w="963"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5.9</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6.3</w:t>
            </w:r>
          </w:p>
        </w:tc>
      </w:tr>
      <w:tr w:rsidR="00F15656" w:rsidRPr="00ED1806" w:rsidTr="00324486">
        <w:trPr>
          <w:trHeight w:val="300"/>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8/27/2014</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0.44</w:t>
            </w:r>
          </w:p>
        </w:tc>
        <w:tc>
          <w:tcPr>
            <w:tcW w:w="964"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0.11</w:t>
            </w:r>
          </w:p>
        </w:tc>
        <w:tc>
          <w:tcPr>
            <w:tcW w:w="963"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4.6</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1.3</w:t>
            </w:r>
          </w:p>
        </w:tc>
      </w:tr>
      <w:tr w:rsidR="00F15656" w:rsidRPr="00ED1806" w:rsidTr="00324486">
        <w:trPr>
          <w:trHeight w:val="300"/>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9/15/2014</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0.80</w:t>
            </w:r>
          </w:p>
        </w:tc>
        <w:tc>
          <w:tcPr>
            <w:tcW w:w="964"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0.85</w:t>
            </w:r>
          </w:p>
        </w:tc>
        <w:tc>
          <w:tcPr>
            <w:tcW w:w="963"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8.5</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10.0</w:t>
            </w:r>
          </w:p>
        </w:tc>
      </w:tr>
      <w:tr w:rsidR="00F15656" w:rsidRPr="00ED1806" w:rsidTr="00324486">
        <w:trPr>
          <w:trHeight w:val="300"/>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9/16/2014</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1.05</w:t>
            </w:r>
          </w:p>
        </w:tc>
        <w:tc>
          <w:tcPr>
            <w:tcW w:w="964"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0.69</w:t>
            </w:r>
          </w:p>
        </w:tc>
        <w:tc>
          <w:tcPr>
            <w:tcW w:w="963"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11.2</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8.1</w:t>
            </w:r>
          </w:p>
        </w:tc>
      </w:tr>
      <w:tr w:rsidR="00F15656" w:rsidRPr="00ED1806" w:rsidTr="00324486">
        <w:trPr>
          <w:trHeight w:val="300"/>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lastRenderedPageBreak/>
              <w:t>9/17/2014</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0.68</w:t>
            </w:r>
          </w:p>
        </w:tc>
        <w:tc>
          <w:tcPr>
            <w:tcW w:w="964"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0.63</w:t>
            </w:r>
          </w:p>
        </w:tc>
        <w:tc>
          <w:tcPr>
            <w:tcW w:w="963"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7.3</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7.4</w:t>
            </w:r>
          </w:p>
        </w:tc>
      </w:tr>
      <w:tr w:rsidR="00F15656" w:rsidRPr="00ED1806" w:rsidTr="00324486">
        <w:trPr>
          <w:trHeight w:val="300"/>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Average*</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0.58</w:t>
            </w:r>
          </w:p>
        </w:tc>
        <w:tc>
          <w:tcPr>
            <w:tcW w:w="964"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0.43</w:t>
            </w:r>
          </w:p>
        </w:tc>
        <w:tc>
          <w:tcPr>
            <w:tcW w:w="963"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6.2</w:t>
            </w:r>
          </w:p>
        </w:tc>
        <w:tc>
          <w:tcPr>
            <w:tcW w:w="949" w:type="pct"/>
            <w:tcBorders>
              <w:top w:val="nil"/>
              <w:left w:val="nil"/>
              <w:bottom w:val="single" w:sz="4" w:space="0" w:color="auto"/>
              <w:right w:val="single" w:sz="4" w:space="0" w:color="auto"/>
            </w:tcBorders>
            <w:shd w:val="clear" w:color="auto" w:fill="auto"/>
            <w:noWrap/>
            <w:vAlign w:val="center"/>
            <w:hideMark/>
          </w:tcPr>
          <w:p w:rsidR="00F15656" w:rsidRPr="00ED1806" w:rsidRDefault="00F15656" w:rsidP="00324486">
            <w:pPr>
              <w:jc w:val="center"/>
              <w:rPr>
                <w:rFonts w:ascii="Calibri" w:hAnsi="Calibri"/>
                <w:color w:val="000000"/>
                <w:sz w:val="20"/>
                <w:szCs w:val="20"/>
              </w:rPr>
            </w:pPr>
            <w:r w:rsidRPr="00ED1806">
              <w:rPr>
                <w:rFonts w:ascii="Calibri" w:hAnsi="Calibri"/>
                <w:color w:val="000000"/>
                <w:sz w:val="20"/>
                <w:szCs w:val="20"/>
              </w:rPr>
              <w:t>5.0</w:t>
            </w:r>
          </w:p>
        </w:tc>
      </w:tr>
      <w:tr w:rsidR="00F15656" w:rsidRPr="00ED1806" w:rsidTr="00324486">
        <w:trPr>
          <w:trHeight w:val="300"/>
        </w:trPr>
        <w:tc>
          <w:tcPr>
            <w:tcW w:w="4051" w:type="pct"/>
            <w:gridSpan w:val="4"/>
            <w:tcBorders>
              <w:top w:val="nil"/>
              <w:left w:val="nil"/>
              <w:bottom w:val="nil"/>
              <w:right w:val="nil"/>
            </w:tcBorders>
            <w:shd w:val="clear" w:color="auto" w:fill="auto"/>
            <w:noWrap/>
            <w:vAlign w:val="bottom"/>
            <w:hideMark/>
          </w:tcPr>
          <w:p w:rsidR="00F15656" w:rsidRPr="00ED1806" w:rsidRDefault="00F15656" w:rsidP="00324486">
            <w:pPr>
              <w:rPr>
                <w:rFonts w:ascii="Calibri" w:hAnsi="Calibri"/>
                <w:color w:val="000000"/>
                <w:sz w:val="16"/>
                <w:szCs w:val="16"/>
              </w:rPr>
            </w:pPr>
            <w:r w:rsidRPr="00ED1806">
              <w:rPr>
                <w:rFonts w:ascii="Calibri" w:hAnsi="Calibri"/>
                <w:color w:val="000000"/>
                <w:sz w:val="16"/>
                <w:szCs w:val="16"/>
              </w:rPr>
              <w:t>*Reflects the average 2-6 PM 2014 Summer Saver event</w:t>
            </w:r>
          </w:p>
        </w:tc>
        <w:tc>
          <w:tcPr>
            <w:tcW w:w="949" w:type="pct"/>
            <w:tcBorders>
              <w:top w:val="nil"/>
              <w:left w:val="nil"/>
              <w:bottom w:val="nil"/>
              <w:right w:val="nil"/>
            </w:tcBorders>
            <w:shd w:val="clear" w:color="auto" w:fill="auto"/>
            <w:noWrap/>
            <w:vAlign w:val="bottom"/>
            <w:hideMark/>
          </w:tcPr>
          <w:p w:rsidR="00F15656" w:rsidRPr="00ED1806" w:rsidRDefault="00F15656" w:rsidP="00324486">
            <w:pPr>
              <w:rPr>
                <w:rFonts w:ascii="Calibri" w:hAnsi="Calibri"/>
                <w:color w:val="000000"/>
              </w:rPr>
            </w:pPr>
          </w:p>
        </w:tc>
      </w:tr>
    </w:tbl>
    <w:p w:rsidR="002C17DD" w:rsidRPr="00337C0A" w:rsidRDefault="002C17DD" w:rsidP="00337C0A">
      <w:pPr>
        <w:pStyle w:val="BodyParagraph"/>
        <w:spacing w:after="0" w:line="276" w:lineRule="auto"/>
        <w:ind w:firstLine="360"/>
        <w:rPr>
          <w:rFonts w:ascii="Times New Roman" w:hAnsi="Times New Roman"/>
          <w:color w:val="0000FF"/>
          <w:sz w:val="24"/>
          <w:szCs w:val="24"/>
        </w:rPr>
      </w:pPr>
    </w:p>
    <w:p w:rsidR="00DC24A2" w:rsidRPr="003B5EED" w:rsidRDefault="00DC24A2" w:rsidP="00337C0A">
      <w:pPr>
        <w:pStyle w:val="Heading3"/>
        <w:spacing w:after="0" w:line="276" w:lineRule="auto"/>
        <w:ind w:hanging="360"/>
        <w:rPr>
          <w:rFonts w:ascii="Times New Roman" w:hAnsi="Times New Roman" w:cs="Times New Roman"/>
          <w:color w:val="000000" w:themeColor="text1"/>
          <w:szCs w:val="24"/>
        </w:rPr>
      </w:pPr>
      <w:bookmarkStart w:id="184" w:name="_Toc415748996"/>
      <w:r w:rsidRPr="003B5EED">
        <w:rPr>
          <w:rFonts w:ascii="Times New Roman" w:hAnsi="Times New Roman" w:cs="Times New Roman"/>
          <w:color w:val="000000" w:themeColor="text1"/>
          <w:szCs w:val="24"/>
        </w:rPr>
        <w:t>Summer Saver Nonresidential Ex-Post Load Impact Estimates</w:t>
      </w:r>
      <w:bookmarkEnd w:id="184"/>
    </w:p>
    <w:p w:rsidR="00FE606C" w:rsidRDefault="00FE606C" w:rsidP="00FE606C">
      <w:pPr>
        <w:pStyle w:val="BodyParagraph"/>
      </w:pPr>
    </w:p>
    <w:p w:rsidR="00A0421C" w:rsidRPr="00A0421C" w:rsidRDefault="00A0421C" w:rsidP="00A0421C">
      <w:pPr>
        <w:pStyle w:val="BodyParagraph"/>
        <w:spacing w:after="0" w:line="276" w:lineRule="auto"/>
        <w:ind w:firstLine="360"/>
        <w:rPr>
          <w:rFonts w:ascii="Times New Roman" w:hAnsi="Times New Roman"/>
          <w:sz w:val="24"/>
          <w:szCs w:val="24"/>
        </w:rPr>
      </w:pPr>
      <w:r w:rsidRPr="00A0421C">
        <w:rPr>
          <w:rFonts w:ascii="Times New Roman" w:hAnsi="Times New Roman"/>
          <w:sz w:val="24"/>
          <w:szCs w:val="24"/>
        </w:rPr>
        <w:t>Table 6-3 presents ex post load impact estimates for nonresidential customers for each 2014 event day and on average across the three Summer Saver events in 2014 with common event hours from 2 to 6 PM, in addition to the 2013 ex post load impacts for comparison. Nonresidential customers represent 17% of total Summer Saver participants and 31% of enrolled CAC tonnage. Nonresidential aggregate impacts varied from a low of 0.5 MW on July 29 to a high of 4.0 MW on September 16. While both nonresidential and residential load impacts peaked on the same day, nonresidential and residential load impacts were at their lowest in 2014 on different days. Nonresidential load impacts were extremely low on July 29, but not unprecedentedly so. The average temperature observed on this day for nonresidential customers during the event was 78°F, which is the lowest observed average event temperature since the same average event temperature was observed during an event in 2012. Per premise load impacts for this event (on September 13, 2012) were estimated at 0.13 kW, similar to the 0.10 kW per premise estimated for July 29, 2014. Like the residential program segment, the nonresidential segment saw relatively low load impacts for the first event day during the May Santa Ana weather event, but unlike the residential segment, the nonresidential segment returned to the typical range of load impacts for nonresidential participants on hot summer days.</w:t>
      </w:r>
    </w:p>
    <w:p w:rsidR="00A0421C" w:rsidRPr="00A0421C" w:rsidRDefault="00A0421C" w:rsidP="00A0421C">
      <w:pPr>
        <w:pStyle w:val="TableFigureCaption"/>
        <w:rPr>
          <w:rFonts w:ascii="Times New Roman" w:hAnsi="Times New Roman"/>
          <w:sz w:val="20"/>
          <w:szCs w:val="20"/>
        </w:rPr>
      </w:pPr>
      <w:r w:rsidRPr="00A0421C">
        <w:rPr>
          <w:rFonts w:ascii="Times New Roman" w:hAnsi="Times New Roman"/>
          <w:sz w:val="20"/>
          <w:szCs w:val="20"/>
        </w:rPr>
        <w:t>Table 6-3: Summer Saver Nonresidential Ex Post Load Impact Estimates</w:t>
      </w:r>
    </w:p>
    <w:tbl>
      <w:tblPr>
        <w:tblW w:w="5000" w:type="pct"/>
        <w:tblLook w:val="04A0" w:firstRow="1" w:lastRow="0" w:firstColumn="1" w:lastColumn="0" w:noHBand="0" w:noVBand="1"/>
      </w:tblPr>
      <w:tblGrid>
        <w:gridCol w:w="95"/>
        <w:gridCol w:w="1011"/>
        <w:gridCol w:w="1243"/>
        <w:gridCol w:w="1994"/>
        <w:gridCol w:w="1911"/>
        <w:gridCol w:w="1823"/>
        <w:gridCol w:w="1304"/>
        <w:gridCol w:w="195"/>
      </w:tblGrid>
      <w:tr w:rsidR="00A0421C" w:rsidRPr="00FE15F9" w:rsidTr="0079525F">
        <w:trPr>
          <w:trHeight w:val="315"/>
        </w:trPr>
        <w:tc>
          <w:tcPr>
            <w:tcW w:w="577" w:type="pct"/>
            <w:gridSpan w:val="2"/>
            <w:vMerge w:val="restart"/>
            <w:tcBorders>
              <w:top w:val="single" w:sz="8" w:space="0" w:color="auto"/>
              <w:left w:val="single" w:sz="8" w:space="0" w:color="auto"/>
              <w:bottom w:val="single" w:sz="8" w:space="0" w:color="000000"/>
              <w:right w:val="single" w:sz="8" w:space="0" w:color="FFFFFF"/>
            </w:tcBorders>
            <w:shd w:val="clear" w:color="000000" w:fill="0070C0"/>
            <w:noWrap/>
            <w:vAlign w:val="center"/>
            <w:hideMark/>
          </w:tcPr>
          <w:p w:rsidR="00A0421C" w:rsidRPr="00BF5613" w:rsidRDefault="00A0421C" w:rsidP="0079525F">
            <w:pPr>
              <w:jc w:val="center"/>
              <w:rPr>
                <w:b/>
                <w:bCs/>
                <w:color w:val="FFFFFF"/>
                <w:sz w:val="20"/>
                <w:szCs w:val="20"/>
              </w:rPr>
            </w:pPr>
            <w:r w:rsidRPr="00BF5613">
              <w:rPr>
                <w:b/>
                <w:bCs/>
                <w:color w:val="FFFFFF"/>
                <w:sz w:val="20"/>
                <w:szCs w:val="20"/>
              </w:rPr>
              <w:t>Year</w:t>
            </w:r>
          </w:p>
        </w:tc>
        <w:tc>
          <w:tcPr>
            <w:tcW w:w="649" w:type="pct"/>
            <w:vMerge w:val="restart"/>
            <w:tcBorders>
              <w:top w:val="single" w:sz="8" w:space="0" w:color="auto"/>
              <w:left w:val="single" w:sz="8" w:space="0" w:color="FFFFFF"/>
              <w:bottom w:val="single" w:sz="8" w:space="0" w:color="000000"/>
              <w:right w:val="single" w:sz="8" w:space="0" w:color="FFFFFF"/>
            </w:tcBorders>
            <w:shd w:val="clear" w:color="000000" w:fill="0070C0"/>
            <w:noWrap/>
            <w:vAlign w:val="center"/>
            <w:hideMark/>
          </w:tcPr>
          <w:p w:rsidR="00A0421C" w:rsidRPr="00BF5613" w:rsidRDefault="00A0421C" w:rsidP="0079525F">
            <w:pPr>
              <w:jc w:val="center"/>
              <w:rPr>
                <w:b/>
                <w:bCs/>
                <w:color w:val="FFFFFF"/>
                <w:sz w:val="20"/>
                <w:szCs w:val="20"/>
              </w:rPr>
            </w:pPr>
            <w:r w:rsidRPr="00BF5613">
              <w:rPr>
                <w:b/>
                <w:bCs/>
                <w:color w:val="FFFFFF"/>
                <w:sz w:val="20"/>
                <w:szCs w:val="20"/>
              </w:rPr>
              <w:t>Date</w:t>
            </w:r>
          </w:p>
        </w:tc>
        <w:tc>
          <w:tcPr>
            <w:tcW w:w="2991" w:type="pct"/>
            <w:gridSpan w:val="3"/>
            <w:tcBorders>
              <w:top w:val="single" w:sz="8" w:space="0" w:color="auto"/>
              <w:left w:val="nil"/>
              <w:bottom w:val="single" w:sz="8" w:space="0" w:color="FFFFFF"/>
              <w:right w:val="single" w:sz="8" w:space="0" w:color="FFFFFF"/>
            </w:tcBorders>
            <w:shd w:val="clear" w:color="000000" w:fill="0070C0"/>
            <w:noWrap/>
            <w:vAlign w:val="center"/>
            <w:hideMark/>
          </w:tcPr>
          <w:p w:rsidR="00A0421C" w:rsidRPr="00BF5613" w:rsidRDefault="00A0421C" w:rsidP="0079525F">
            <w:pPr>
              <w:jc w:val="center"/>
              <w:rPr>
                <w:b/>
                <w:bCs/>
                <w:color w:val="FFFFFF"/>
                <w:sz w:val="20"/>
                <w:szCs w:val="20"/>
              </w:rPr>
            </w:pPr>
            <w:r w:rsidRPr="00BF5613">
              <w:rPr>
                <w:b/>
                <w:bCs/>
                <w:color w:val="FFFFFF"/>
                <w:sz w:val="20"/>
                <w:szCs w:val="20"/>
              </w:rPr>
              <w:t>Impact</w:t>
            </w:r>
          </w:p>
        </w:tc>
        <w:tc>
          <w:tcPr>
            <w:tcW w:w="783" w:type="pct"/>
            <w:gridSpan w:val="2"/>
            <w:vMerge w:val="restart"/>
            <w:tcBorders>
              <w:top w:val="single" w:sz="8" w:space="0" w:color="auto"/>
              <w:left w:val="single" w:sz="8" w:space="0" w:color="FFFFFF"/>
              <w:bottom w:val="single" w:sz="8" w:space="0" w:color="000000"/>
              <w:right w:val="single" w:sz="8" w:space="0" w:color="auto"/>
            </w:tcBorders>
            <w:shd w:val="clear" w:color="000000" w:fill="0070C0"/>
            <w:vAlign w:val="center"/>
            <w:hideMark/>
          </w:tcPr>
          <w:p w:rsidR="00A0421C" w:rsidRPr="00BF5613" w:rsidRDefault="00A0421C" w:rsidP="0079525F">
            <w:pPr>
              <w:jc w:val="center"/>
              <w:rPr>
                <w:b/>
                <w:bCs/>
                <w:color w:val="FFFFFF"/>
                <w:sz w:val="20"/>
                <w:szCs w:val="20"/>
              </w:rPr>
            </w:pPr>
            <w:r w:rsidRPr="00BF5613">
              <w:rPr>
                <w:b/>
                <w:bCs/>
                <w:color w:val="FFFFFF"/>
                <w:sz w:val="20"/>
                <w:szCs w:val="20"/>
                <w:lang w:eastAsia="zh-CN"/>
              </w:rPr>
              <w:t xml:space="preserve">Avg. Temperature During Event </w:t>
            </w:r>
            <w:r w:rsidRPr="00BF5613">
              <w:rPr>
                <w:b/>
                <w:bCs/>
                <w:color w:val="FFFFFF"/>
                <w:sz w:val="20"/>
                <w:szCs w:val="20"/>
              </w:rPr>
              <w:t>(°F)</w:t>
            </w:r>
          </w:p>
        </w:tc>
      </w:tr>
      <w:tr w:rsidR="00A0421C" w:rsidRPr="00FE15F9" w:rsidTr="0079525F">
        <w:trPr>
          <w:trHeight w:val="315"/>
        </w:trPr>
        <w:tc>
          <w:tcPr>
            <w:tcW w:w="577" w:type="pct"/>
            <w:gridSpan w:val="2"/>
            <w:vMerge/>
            <w:tcBorders>
              <w:top w:val="single" w:sz="8" w:space="0" w:color="auto"/>
              <w:left w:val="single" w:sz="8" w:space="0" w:color="auto"/>
              <w:bottom w:val="single" w:sz="8" w:space="0" w:color="000000"/>
              <w:right w:val="single" w:sz="8" w:space="0" w:color="FFFFFF"/>
            </w:tcBorders>
            <w:vAlign w:val="center"/>
            <w:hideMark/>
          </w:tcPr>
          <w:p w:rsidR="00A0421C" w:rsidRPr="00BF5613" w:rsidRDefault="00A0421C" w:rsidP="0079525F">
            <w:pPr>
              <w:rPr>
                <w:b/>
                <w:bCs/>
                <w:color w:val="FFFFFF"/>
                <w:sz w:val="20"/>
                <w:szCs w:val="20"/>
              </w:rPr>
            </w:pPr>
          </w:p>
        </w:tc>
        <w:tc>
          <w:tcPr>
            <w:tcW w:w="649" w:type="pct"/>
            <w:vMerge/>
            <w:tcBorders>
              <w:top w:val="single" w:sz="8" w:space="0" w:color="auto"/>
              <w:left w:val="single" w:sz="8" w:space="0" w:color="FFFFFF"/>
              <w:bottom w:val="single" w:sz="8" w:space="0" w:color="000000"/>
              <w:right w:val="single" w:sz="8" w:space="0" w:color="FFFFFF"/>
            </w:tcBorders>
            <w:vAlign w:val="center"/>
            <w:hideMark/>
          </w:tcPr>
          <w:p w:rsidR="00A0421C" w:rsidRPr="00BF5613" w:rsidRDefault="00A0421C" w:rsidP="0079525F">
            <w:pPr>
              <w:rPr>
                <w:b/>
                <w:bCs/>
                <w:color w:val="FFFFFF"/>
                <w:sz w:val="20"/>
                <w:szCs w:val="20"/>
              </w:rPr>
            </w:pPr>
          </w:p>
        </w:tc>
        <w:tc>
          <w:tcPr>
            <w:tcW w:w="1041" w:type="pct"/>
            <w:tcBorders>
              <w:top w:val="nil"/>
              <w:left w:val="nil"/>
              <w:bottom w:val="single" w:sz="8" w:space="0" w:color="auto"/>
              <w:right w:val="single" w:sz="8" w:space="0" w:color="FFFFFF"/>
            </w:tcBorders>
            <w:shd w:val="clear" w:color="000000" w:fill="0070C0"/>
            <w:noWrap/>
            <w:vAlign w:val="center"/>
            <w:hideMark/>
          </w:tcPr>
          <w:p w:rsidR="00A0421C" w:rsidRPr="00BF5613" w:rsidRDefault="00A0421C" w:rsidP="0079525F">
            <w:pPr>
              <w:jc w:val="center"/>
              <w:rPr>
                <w:b/>
                <w:bCs/>
                <w:color w:val="FFFFFF"/>
                <w:sz w:val="20"/>
                <w:szCs w:val="20"/>
              </w:rPr>
            </w:pPr>
            <w:r w:rsidRPr="00BF5613">
              <w:rPr>
                <w:b/>
                <w:bCs/>
                <w:color w:val="FFFFFF"/>
                <w:sz w:val="20"/>
                <w:szCs w:val="20"/>
              </w:rPr>
              <w:t>Per CAC Unit (kW)</w:t>
            </w:r>
          </w:p>
        </w:tc>
        <w:tc>
          <w:tcPr>
            <w:tcW w:w="998" w:type="pct"/>
            <w:tcBorders>
              <w:top w:val="nil"/>
              <w:left w:val="nil"/>
              <w:bottom w:val="single" w:sz="8" w:space="0" w:color="auto"/>
              <w:right w:val="single" w:sz="8" w:space="0" w:color="FFFFFF"/>
            </w:tcBorders>
            <w:shd w:val="clear" w:color="000000" w:fill="0070C0"/>
            <w:noWrap/>
            <w:vAlign w:val="center"/>
            <w:hideMark/>
          </w:tcPr>
          <w:p w:rsidR="00A0421C" w:rsidRPr="00BF5613" w:rsidRDefault="00A0421C" w:rsidP="0079525F">
            <w:pPr>
              <w:jc w:val="center"/>
              <w:rPr>
                <w:b/>
                <w:bCs/>
                <w:color w:val="FFFFFF"/>
                <w:sz w:val="20"/>
                <w:szCs w:val="20"/>
              </w:rPr>
            </w:pPr>
            <w:r w:rsidRPr="00BF5613">
              <w:rPr>
                <w:b/>
                <w:bCs/>
                <w:color w:val="FFFFFF"/>
                <w:sz w:val="20"/>
                <w:szCs w:val="20"/>
              </w:rPr>
              <w:t>Per Premise (kW)</w:t>
            </w:r>
          </w:p>
        </w:tc>
        <w:tc>
          <w:tcPr>
            <w:tcW w:w="952" w:type="pct"/>
            <w:tcBorders>
              <w:top w:val="nil"/>
              <w:left w:val="nil"/>
              <w:bottom w:val="single" w:sz="8" w:space="0" w:color="auto"/>
              <w:right w:val="single" w:sz="8" w:space="0" w:color="FFFFFF"/>
            </w:tcBorders>
            <w:shd w:val="clear" w:color="000000" w:fill="0070C0"/>
            <w:noWrap/>
            <w:vAlign w:val="center"/>
            <w:hideMark/>
          </w:tcPr>
          <w:p w:rsidR="00A0421C" w:rsidRPr="00BF5613" w:rsidRDefault="00A0421C" w:rsidP="0079525F">
            <w:pPr>
              <w:jc w:val="center"/>
              <w:rPr>
                <w:b/>
                <w:bCs/>
                <w:color w:val="FFFFFF"/>
                <w:sz w:val="20"/>
                <w:szCs w:val="20"/>
              </w:rPr>
            </w:pPr>
            <w:r w:rsidRPr="00BF5613">
              <w:rPr>
                <w:b/>
                <w:bCs/>
                <w:color w:val="FFFFFF"/>
                <w:sz w:val="20"/>
                <w:szCs w:val="20"/>
              </w:rPr>
              <w:t>Aggregate (MW)</w:t>
            </w:r>
          </w:p>
        </w:tc>
        <w:tc>
          <w:tcPr>
            <w:tcW w:w="783" w:type="pct"/>
            <w:gridSpan w:val="2"/>
            <w:vMerge/>
            <w:tcBorders>
              <w:top w:val="single" w:sz="8" w:space="0" w:color="auto"/>
              <w:left w:val="single" w:sz="8" w:space="0" w:color="FFFFFF"/>
              <w:bottom w:val="single" w:sz="8" w:space="0" w:color="000000"/>
              <w:right w:val="single" w:sz="8" w:space="0" w:color="auto"/>
            </w:tcBorders>
            <w:vAlign w:val="center"/>
            <w:hideMark/>
          </w:tcPr>
          <w:p w:rsidR="00A0421C" w:rsidRPr="00BF5613" w:rsidRDefault="00A0421C" w:rsidP="0079525F">
            <w:pPr>
              <w:rPr>
                <w:b/>
                <w:bCs/>
                <w:color w:val="FFFFFF"/>
                <w:sz w:val="20"/>
                <w:szCs w:val="20"/>
              </w:rPr>
            </w:pPr>
          </w:p>
        </w:tc>
      </w:tr>
      <w:tr w:rsidR="00A0421C" w:rsidRPr="00FE15F9" w:rsidTr="0079525F">
        <w:trPr>
          <w:trHeight w:val="315"/>
        </w:trPr>
        <w:tc>
          <w:tcPr>
            <w:tcW w:w="577"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2013</w:t>
            </w:r>
          </w:p>
        </w:tc>
        <w:tc>
          <w:tcPr>
            <w:tcW w:w="649" w:type="pct"/>
            <w:tcBorders>
              <w:top w:val="nil"/>
              <w:left w:val="nil"/>
              <w:bottom w:val="nil"/>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8/28/2013</w:t>
            </w:r>
          </w:p>
        </w:tc>
        <w:tc>
          <w:tcPr>
            <w:tcW w:w="1041"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0.20</w:t>
            </w:r>
          </w:p>
        </w:tc>
        <w:tc>
          <w:tcPr>
            <w:tcW w:w="998"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0.50</w:t>
            </w:r>
          </w:p>
        </w:tc>
        <w:tc>
          <w:tcPr>
            <w:tcW w:w="952"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2</w:t>
            </w:r>
          </w:p>
        </w:tc>
        <w:tc>
          <w:tcPr>
            <w:tcW w:w="783" w:type="pct"/>
            <w:gridSpan w:val="2"/>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82</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single" w:sz="8" w:space="0" w:color="auto"/>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8/29/2013</w:t>
            </w:r>
          </w:p>
        </w:tc>
        <w:tc>
          <w:tcPr>
            <w:tcW w:w="1041"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0.28</w:t>
            </w:r>
          </w:p>
        </w:tc>
        <w:tc>
          <w:tcPr>
            <w:tcW w:w="998"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0.69</w:t>
            </w:r>
          </w:p>
        </w:tc>
        <w:tc>
          <w:tcPr>
            <w:tcW w:w="952"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3</w:t>
            </w:r>
          </w:p>
        </w:tc>
        <w:tc>
          <w:tcPr>
            <w:tcW w:w="783" w:type="pct"/>
            <w:gridSpan w:val="2"/>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87</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8/30/2013</w:t>
            </w:r>
          </w:p>
        </w:tc>
        <w:tc>
          <w:tcPr>
            <w:tcW w:w="1041"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0.34</w:t>
            </w:r>
          </w:p>
        </w:tc>
        <w:tc>
          <w:tcPr>
            <w:tcW w:w="998"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0.83</w:t>
            </w:r>
          </w:p>
        </w:tc>
        <w:tc>
          <w:tcPr>
            <w:tcW w:w="952"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4</w:t>
            </w:r>
          </w:p>
        </w:tc>
        <w:tc>
          <w:tcPr>
            <w:tcW w:w="783" w:type="pct"/>
            <w:gridSpan w:val="2"/>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90</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9/3/2013</w:t>
            </w:r>
          </w:p>
        </w:tc>
        <w:tc>
          <w:tcPr>
            <w:tcW w:w="1041"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0.34</w:t>
            </w:r>
          </w:p>
        </w:tc>
        <w:tc>
          <w:tcPr>
            <w:tcW w:w="998"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0.84</w:t>
            </w:r>
          </w:p>
        </w:tc>
        <w:tc>
          <w:tcPr>
            <w:tcW w:w="952"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4</w:t>
            </w:r>
          </w:p>
        </w:tc>
        <w:tc>
          <w:tcPr>
            <w:tcW w:w="783" w:type="pct"/>
            <w:gridSpan w:val="2"/>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85</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9/5/2013</w:t>
            </w:r>
          </w:p>
        </w:tc>
        <w:tc>
          <w:tcPr>
            <w:tcW w:w="1041"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0.34</w:t>
            </w:r>
          </w:p>
        </w:tc>
        <w:tc>
          <w:tcPr>
            <w:tcW w:w="998"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0.83</w:t>
            </w:r>
          </w:p>
        </w:tc>
        <w:tc>
          <w:tcPr>
            <w:tcW w:w="952"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4</w:t>
            </w:r>
          </w:p>
        </w:tc>
        <w:tc>
          <w:tcPr>
            <w:tcW w:w="783" w:type="pct"/>
            <w:gridSpan w:val="2"/>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86</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9/6/2013</w:t>
            </w:r>
          </w:p>
        </w:tc>
        <w:tc>
          <w:tcPr>
            <w:tcW w:w="1041"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0.38</w:t>
            </w:r>
          </w:p>
        </w:tc>
        <w:tc>
          <w:tcPr>
            <w:tcW w:w="998"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0.94</w:t>
            </w:r>
          </w:p>
        </w:tc>
        <w:tc>
          <w:tcPr>
            <w:tcW w:w="952"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4</w:t>
            </w:r>
          </w:p>
        </w:tc>
        <w:tc>
          <w:tcPr>
            <w:tcW w:w="783" w:type="pct"/>
            <w:gridSpan w:val="2"/>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90</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Average*</w:t>
            </w:r>
          </w:p>
        </w:tc>
        <w:tc>
          <w:tcPr>
            <w:tcW w:w="1041"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0.35</w:t>
            </w:r>
          </w:p>
        </w:tc>
        <w:tc>
          <w:tcPr>
            <w:tcW w:w="998"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0.86</w:t>
            </w:r>
          </w:p>
        </w:tc>
        <w:tc>
          <w:tcPr>
            <w:tcW w:w="952"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4</w:t>
            </w:r>
          </w:p>
        </w:tc>
        <w:tc>
          <w:tcPr>
            <w:tcW w:w="783" w:type="pct"/>
            <w:gridSpan w:val="2"/>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88</w:t>
            </w:r>
          </w:p>
        </w:tc>
      </w:tr>
      <w:tr w:rsidR="00A0421C" w:rsidRPr="00FE15F9" w:rsidTr="0079525F">
        <w:trPr>
          <w:trHeight w:val="315"/>
        </w:trPr>
        <w:tc>
          <w:tcPr>
            <w:tcW w:w="577" w:type="pct"/>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2014</w:t>
            </w:r>
          </w:p>
        </w:tc>
        <w:tc>
          <w:tcPr>
            <w:tcW w:w="649" w:type="pct"/>
            <w:tcBorders>
              <w:top w:val="nil"/>
              <w:left w:val="nil"/>
              <w:bottom w:val="nil"/>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5/14/2014</w:t>
            </w:r>
          </w:p>
        </w:tc>
        <w:tc>
          <w:tcPr>
            <w:tcW w:w="1041" w:type="pct"/>
            <w:tcBorders>
              <w:top w:val="nil"/>
              <w:left w:val="single" w:sz="8" w:space="0" w:color="auto"/>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0.16</w:t>
            </w:r>
          </w:p>
        </w:tc>
        <w:tc>
          <w:tcPr>
            <w:tcW w:w="998" w:type="pct"/>
            <w:tcBorders>
              <w:top w:val="nil"/>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0.37</w:t>
            </w:r>
          </w:p>
        </w:tc>
        <w:tc>
          <w:tcPr>
            <w:tcW w:w="952" w:type="pct"/>
            <w:tcBorders>
              <w:top w:val="nil"/>
              <w:left w:val="single" w:sz="8" w:space="0" w:color="auto"/>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1.7</w:t>
            </w:r>
          </w:p>
        </w:tc>
        <w:tc>
          <w:tcPr>
            <w:tcW w:w="783" w:type="pct"/>
            <w:gridSpan w:val="2"/>
            <w:tcBorders>
              <w:top w:val="nil"/>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85</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single" w:sz="8" w:space="0" w:color="auto"/>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5/15/2014</w:t>
            </w:r>
          </w:p>
        </w:tc>
        <w:tc>
          <w:tcPr>
            <w:tcW w:w="1041" w:type="pct"/>
            <w:tcBorders>
              <w:top w:val="nil"/>
              <w:left w:val="single" w:sz="8" w:space="0" w:color="auto"/>
              <w:bottom w:val="nil"/>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0.25</w:t>
            </w:r>
          </w:p>
        </w:tc>
        <w:tc>
          <w:tcPr>
            <w:tcW w:w="998" w:type="pct"/>
            <w:tcBorders>
              <w:top w:val="nil"/>
              <w:left w:val="nil"/>
              <w:bottom w:val="nil"/>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0.60</w:t>
            </w:r>
          </w:p>
        </w:tc>
        <w:tc>
          <w:tcPr>
            <w:tcW w:w="952" w:type="pct"/>
            <w:tcBorders>
              <w:top w:val="nil"/>
              <w:left w:val="single" w:sz="8" w:space="0" w:color="auto"/>
              <w:bottom w:val="nil"/>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2.8</w:t>
            </w:r>
          </w:p>
        </w:tc>
        <w:tc>
          <w:tcPr>
            <w:tcW w:w="783" w:type="pct"/>
            <w:gridSpan w:val="2"/>
            <w:tcBorders>
              <w:top w:val="nil"/>
              <w:left w:val="nil"/>
              <w:bottom w:val="nil"/>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86</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5/16/2014</w:t>
            </w:r>
          </w:p>
        </w:tc>
        <w:tc>
          <w:tcPr>
            <w:tcW w:w="10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0.33</w:t>
            </w:r>
          </w:p>
        </w:tc>
        <w:tc>
          <w:tcPr>
            <w:tcW w:w="998" w:type="pct"/>
            <w:tcBorders>
              <w:top w:val="single" w:sz="8" w:space="0" w:color="auto"/>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0.79</w:t>
            </w:r>
          </w:p>
        </w:tc>
        <w:tc>
          <w:tcPr>
            <w:tcW w:w="95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3.7</w:t>
            </w:r>
          </w:p>
        </w:tc>
        <w:tc>
          <w:tcPr>
            <w:tcW w:w="783" w:type="pct"/>
            <w:gridSpan w:val="2"/>
            <w:tcBorders>
              <w:top w:val="single" w:sz="8" w:space="0" w:color="auto"/>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91</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7/29/2014</w:t>
            </w:r>
          </w:p>
        </w:tc>
        <w:tc>
          <w:tcPr>
            <w:tcW w:w="1041" w:type="pct"/>
            <w:tcBorders>
              <w:top w:val="nil"/>
              <w:left w:val="single" w:sz="8" w:space="0" w:color="auto"/>
              <w:bottom w:val="nil"/>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0.04</w:t>
            </w:r>
          </w:p>
        </w:tc>
        <w:tc>
          <w:tcPr>
            <w:tcW w:w="998" w:type="pct"/>
            <w:tcBorders>
              <w:top w:val="nil"/>
              <w:left w:val="nil"/>
              <w:bottom w:val="nil"/>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0.10</w:t>
            </w:r>
          </w:p>
        </w:tc>
        <w:tc>
          <w:tcPr>
            <w:tcW w:w="952" w:type="pct"/>
            <w:tcBorders>
              <w:top w:val="nil"/>
              <w:left w:val="single" w:sz="8" w:space="0" w:color="auto"/>
              <w:bottom w:val="nil"/>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0.5</w:t>
            </w:r>
          </w:p>
        </w:tc>
        <w:tc>
          <w:tcPr>
            <w:tcW w:w="783" w:type="pct"/>
            <w:gridSpan w:val="2"/>
            <w:tcBorders>
              <w:top w:val="nil"/>
              <w:left w:val="nil"/>
              <w:bottom w:val="nil"/>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78</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8/27/2014</w:t>
            </w:r>
          </w:p>
        </w:tc>
        <w:tc>
          <w:tcPr>
            <w:tcW w:w="10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0.31</w:t>
            </w:r>
          </w:p>
        </w:tc>
        <w:tc>
          <w:tcPr>
            <w:tcW w:w="998" w:type="pct"/>
            <w:tcBorders>
              <w:top w:val="single" w:sz="8" w:space="0" w:color="auto"/>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0.74</w:t>
            </w:r>
          </w:p>
        </w:tc>
        <w:tc>
          <w:tcPr>
            <w:tcW w:w="95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3.5</w:t>
            </w:r>
          </w:p>
        </w:tc>
        <w:tc>
          <w:tcPr>
            <w:tcW w:w="783" w:type="pct"/>
            <w:gridSpan w:val="2"/>
            <w:tcBorders>
              <w:top w:val="single" w:sz="8" w:space="0" w:color="auto"/>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84</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9/15/2014</w:t>
            </w:r>
          </w:p>
        </w:tc>
        <w:tc>
          <w:tcPr>
            <w:tcW w:w="1041" w:type="pct"/>
            <w:tcBorders>
              <w:top w:val="nil"/>
              <w:left w:val="nil"/>
              <w:bottom w:val="nil"/>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0.24</w:t>
            </w:r>
          </w:p>
        </w:tc>
        <w:tc>
          <w:tcPr>
            <w:tcW w:w="998" w:type="pct"/>
            <w:tcBorders>
              <w:top w:val="nil"/>
              <w:left w:val="nil"/>
              <w:bottom w:val="nil"/>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0.56</w:t>
            </w:r>
          </w:p>
        </w:tc>
        <w:tc>
          <w:tcPr>
            <w:tcW w:w="952" w:type="pct"/>
            <w:tcBorders>
              <w:top w:val="nil"/>
              <w:left w:val="single" w:sz="8" w:space="0" w:color="auto"/>
              <w:bottom w:val="nil"/>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2.6</w:t>
            </w:r>
          </w:p>
        </w:tc>
        <w:tc>
          <w:tcPr>
            <w:tcW w:w="783" w:type="pct"/>
            <w:gridSpan w:val="2"/>
            <w:tcBorders>
              <w:top w:val="nil"/>
              <w:left w:val="nil"/>
              <w:bottom w:val="nil"/>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86</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nil"/>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9/16/2014</w:t>
            </w:r>
          </w:p>
        </w:tc>
        <w:tc>
          <w:tcPr>
            <w:tcW w:w="104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0.36</w:t>
            </w:r>
          </w:p>
        </w:tc>
        <w:tc>
          <w:tcPr>
            <w:tcW w:w="998" w:type="pct"/>
            <w:tcBorders>
              <w:top w:val="single" w:sz="8" w:space="0" w:color="auto"/>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0.85</w:t>
            </w:r>
          </w:p>
        </w:tc>
        <w:tc>
          <w:tcPr>
            <w:tcW w:w="95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4.0</w:t>
            </w:r>
          </w:p>
        </w:tc>
        <w:tc>
          <w:tcPr>
            <w:tcW w:w="783" w:type="pct"/>
            <w:gridSpan w:val="2"/>
            <w:tcBorders>
              <w:top w:val="single" w:sz="8" w:space="0" w:color="auto"/>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89</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single" w:sz="8" w:space="0" w:color="auto"/>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9/17/2014</w:t>
            </w:r>
          </w:p>
        </w:tc>
        <w:tc>
          <w:tcPr>
            <w:tcW w:w="1041" w:type="pct"/>
            <w:tcBorders>
              <w:top w:val="nil"/>
              <w:left w:val="single" w:sz="8" w:space="0" w:color="auto"/>
              <w:bottom w:val="nil"/>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0.32</w:t>
            </w:r>
          </w:p>
        </w:tc>
        <w:tc>
          <w:tcPr>
            <w:tcW w:w="998" w:type="pct"/>
            <w:tcBorders>
              <w:top w:val="nil"/>
              <w:left w:val="nil"/>
              <w:bottom w:val="nil"/>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0.76</w:t>
            </w:r>
          </w:p>
        </w:tc>
        <w:tc>
          <w:tcPr>
            <w:tcW w:w="952" w:type="pct"/>
            <w:tcBorders>
              <w:top w:val="nil"/>
              <w:left w:val="single" w:sz="8" w:space="0" w:color="auto"/>
              <w:bottom w:val="nil"/>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3.5</w:t>
            </w:r>
          </w:p>
        </w:tc>
        <w:tc>
          <w:tcPr>
            <w:tcW w:w="783" w:type="pct"/>
            <w:gridSpan w:val="2"/>
            <w:tcBorders>
              <w:top w:val="nil"/>
              <w:left w:val="nil"/>
              <w:bottom w:val="nil"/>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82</w:t>
            </w:r>
          </w:p>
        </w:tc>
      </w:tr>
      <w:tr w:rsidR="00A0421C" w:rsidRPr="00FE15F9" w:rsidTr="0079525F">
        <w:trPr>
          <w:trHeight w:val="315"/>
        </w:trPr>
        <w:tc>
          <w:tcPr>
            <w:tcW w:w="577" w:type="pct"/>
            <w:gridSpan w:val="2"/>
            <w:vMerge/>
            <w:tcBorders>
              <w:top w:val="nil"/>
              <w:left w:val="single" w:sz="8" w:space="0" w:color="auto"/>
              <w:bottom w:val="single" w:sz="8" w:space="0" w:color="000000"/>
              <w:right w:val="single" w:sz="8" w:space="0" w:color="auto"/>
            </w:tcBorders>
            <w:vAlign w:val="center"/>
            <w:hideMark/>
          </w:tcPr>
          <w:p w:rsidR="00A0421C" w:rsidRPr="00BF5613" w:rsidRDefault="00A0421C" w:rsidP="0079525F">
            <w:pPr>
              <w:rPr>
                <w:color w:val="000000"/>
                <w:sz w:val="20"/>
                <w:szCs w:val="20"/>
              </w:rPr>
            </w:pPr>
          </w:p>
        </w:tc>
        <w:tc>
          <w:tcPr>
            <w:tcW w:w="649" w:type="pct"/>
            <w:tcBorders>
              <w:top w:val="nil"/>
              <w:left w:val="nil"/>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Average**</w:t>
            </w:r>
          </w:p>
        </w:tc>
        <w:tc>
          <w:tcPr>
            <w:tcW w:w="1041" w:type="pct"/>
            <w:tcBorders>
              <w:top w:val="single" w:sz="8" w:space="0" w:color="auto"/>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0.29</w:t>
            </w:r>
          </w:p>
        </w:tc>
        <w:tc>
          <w:tcPr>
            <w:tcW w:w="998" w:type="pct"/>
            <w:tcBorders>
              <w:top w:val="single" w:sz="8" w:space="0" w:color="auto"/>
              <w:left w:val="nil"/>
              <w:bottom w:val="single" w:sz="8" w:space="0" w:color="auto"/>
              <w:right w:val="nil"/>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0.69</w:t>
            </w:r>
          </w:p>
        </w:tc>
        <w:tc>
          <w:tcPr>
            <w:tcW w:w="95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421C" w:rsidRPr="00BF5613" w:rsidRDefault="00A0421C" w:rsidP="0079525F">
            <w:pPr>
              <w:jc w:val="center"/>
              <w:rPr>
                <w:color w:val="000000"/>
                <w:sz w:val="20"/>
                <w:szCs w:val="20"/>
              </w:rPr>
            </w:pPr>
            <w:r w:rsidRPr="00BF5613">
              <w:rPr>
                <w:color w:val="000000"/>
                <w:sz w:val="20"/>
                <w:szCs w:val="20"/>
              </w:rPr>
              <w:t>3.2</w:t>
            </w:r>
          </w:p>
        </w:tc>
        <w:tc>
          <w:tcPr>
            <w:tcW w:w="783" w:type="pct"/>
            <w:gridSpan w:val="2"/>
            <w:tcBorders>
              <w:top w:val="single" w:sz="8" w:space="0" w:color="auto"/>
              <w:left w:val="nil"/>
              <w:bottom w:val="single" w:sz="8" w:space="0" w:color="auto"/>
              <w:right w:val="single" w:sz="8" w:space="0" w:color="auto"/>
            </w:tcBorders>
            <w:shd w:val="clear" w:color="auto" w:fill="auto"/>
            <w:noWrap/>
            <w:vAlign w:val="bottom"/>
            <w:hideMark/>
          </w:tcPr>
          <w:p w:rsidR="00A0421C" w:rsidRPr="00BF5613" w:rsidRDefault="00A0421C" w:rsidP="0079525F">
            <w:pPr>
              <w:jc w:val="center"/>
              <w:rPr>
                <w:color w:val="000000"/>
                <w:sz w:val="20"/>
                <w:szCs w:val="20"/>
              </w:rPr>
            </w:pPr>
            <w:r w:rsidRPr="00BF5613">
              <w:rPr>
                <w:color w:val="000000"/>
                <w:sz w:val="20"/>
                <w:szCs w:val="20"/>
              </w:rPr>
              <w:t>84</w:t>
            </w:r>
          </w:p>
        </w:tc>
      </w:tr>
      <w:tr w:rsidR="00A0421C" w:rsidRPr="00612F61" w:rsidTr="0079525F">
        <w:trPr>
          <w:gridBefore w:val="1"/>
          <w:gridAfter w:val="1"/>
          <w:wBefore w:w="49" w:type="pct"/>
          <w:wAfter w:w="102" w:type="pct"/>
          <w:trHeight w:val="265"/>
        </w:trPr>
        <w:tc>
          <w:tcPr>
            <w:tcW w:w="4849" w:type="pct"/>
            <w:gridSpan w:val="6"/>
            <w:tcBorders>
              <w:top w:val="nil"/>
              <w:left w:val="nil"/>
              <w:bottom w:val="nil"/>
              <w:right w:val="nil"/>
            </w:tcBorders>
            <w:shd w:val="clear" w:color="auto" w:fill="auto"/>
            <w:noWrap/>
            <w:vAlign w:val="center"/>
            <w:hideMark/>
          </w:tcPr>
          <w:p w:rsidR="00A0421C" w:rsidRPr="00612F61" w:rsidRDefault="00A0421C" w:rsidP="0079525F">
            <w:pPr>
              <w:rPr>
                <w:rFonts w:ascii="Franklin Gothic Book" w:hAnsi="Franklin Gothic Book"/>
                <w:color w:val="000000"/>
                <w:sz w:val="18"/>
                <w:szCs w:val="18"/>
                <w:lang w:eastAsia="zh-CN"/>
              </w:rPr>
            </w:pPr>
            <w:r w:rsidRPr="00612F61">
              <w:rPr>
                <w:rFonts w:ascii="Franklin Gothic Book" w:hAnsi="Franklin Gothic Book"/>
                <w:color w:val="000000"/>
                <w:sz w:val="18"/>
                <w:szCs w:val="18"/>
                <w:lang w:eastAsia="zh-CN"/>
              </w:rPr>
              <w:t>*</w:t>
            </w:r>
            <w:r>
              <w:rPr>
                <w:rFonts w:ascii="Franklin Gothic Book" w:hAnsi="Franklin Gothic Book"/>
                <w:color w:val="000000"/>
                <w:sz w:val="18"/>
                <w:szCs w:val="18"/>
                <w:lang w:eastAsia="zh-CN"/>
              </w:rPr>
              <w:t>R</w:t>
            </w:r>
            <w:r w:rsidRPr="00612F61">
              <w:rPr>
                <w:rFonts w:ascii="Franklin Gothic Book" w:hAnsi="Franklin Gothic Book"/>
                <w:color w:val="000000"/>
                <w:sz w:val="18"/>
                <w:szCs w:val="18"/>
                <w:lang w:eastAsia="zh-CN"/>
              </w:rPr>
              <w:t xml:space="preserve">eflects the average </w:t>
            </w:r>
            <w:r>
              <w:rPr>
                <w:rFonts w:ascii="Franklin Gothic Book" w:hAnsi="Franklin Gothic Book"/>
                <w:color w:val="000000"/>
                <w:sz w:val="18"/>
                <w:szCs w:val="18"/>
                <w:lang w:eastAsia="zh-CN"/>
              </w:rPr>
              <w:t>1</w:t>
            </w:r>
            <w:r>
              <w:rPr>
                <w:rFonts w:ascii="Franklin Gothic Book" w:hAnsi="Franklin Gothic Book"/>
                <w:color w:val="000000"/>
                <w:sz w:val="18"/>
                <w:szCs w:val="18"/>
              </w:rPr>
              <w:t>–5</w:t>
            </w:r>
            <w:r w:rsidRPr="00BA0249">
              <w:rPr>
                <w:rFonts w:ascii="Franklin Gothic Book" w:hAnsi="Franklin Gothic Book"/>
                <w:color w:val="000000"/>
                <w:sz w:val="18"/>
                <w:szCs w:val="18"/>
              </w:rPr>
              <w:t xml:space="preserve"> </w:t>
            </w:r>
            <w:r>
              <w:rPr>
                <w:rFonts w:ascii="Franklin Gothic Book" w:hAnsi="Franklin Gothic Book"/>
                <w:color w:val="000000"/>
                <w:sz w:val="18"/>
                <w:szCs w:val="18"/>
              </w:rPr>
              <w:t>PM 2013 Summer Saver event</w:t>
            </w:r>
            <w:r w:rsidR="00BA4945">
              <w:rPr>
                <w:rFonts w:ascii="Franklin Gothic Book" w:hAnsi="Franklin Gothic Book"/>
                <w:color w:val="000000"/>
                <w:sz w:val="18"/>
                <w:szCs w:val="18"/>
              </w:rPr>
              <w:t xml:space="preserve">         </w:t>
            </w:r>
          </w:p>
        </w:tc>
      </w:tr>
      <w:tr w:rsidR="00A0421C" w:rsidRPr="00612F61" w:rsidTr="0079525F">
        <w:trPr>
          <w:gridBefore w:val="1"/>
          <w:gridAfter w:val="1"/>
          <w:wBefore w:w="49" w:type="pct"/>
          <w:wAfter w:w="102" w:type="pct"/>
          <w:trHeight w:val="265"/>
        </w:trPr>
        <w:tc>
          <w:tcPr>
            <w:tcW w:w="4849" w:type="pct"/>
            <w:gridSpan w:val="6"/>
            <w:tcBorders>
              <w:top w:val="nil"/>
              <w:left w:val="nil"/>
              <w:bottom w:val="nil"/>
              <w:right w:val="nil"/>
            </w:tcBorders>
            <w:shd w:val="clear" w:color="auto" w:fill="auto"/>
            <w:noWrap/>
            <w:vAlign w:val="center"/>
            <w:hideMark/>
          </w:tcPr>
          <w:p w:rsidR="00A0421C" w:rsidRPr="00612F61" w:rsidRDefault="00A0421C" w:rsidP="0079525F">
            <w:pPr>
              <w:rPr>
                <w:rFonts w:ascii="Franklin Gothic Book" w:hAnsi="Franklin Gothic Book"/>
                <w:color w:val="000000"/>
                <w:sz w:val="18"/>
                <w:szCs w:val="18"/>
                <w:lang w:eastAsia="zh-CN"/>
              </w:rPr>
            </w:pPr>
            <w:r>
              <w:rPr>
                <w:rFonts w:ascii="Franklin Gothic Book" w:hAnsi="Franklin Gothic Book"/>
                <w:color w:val="000000"/>
                <w:sz w:val="18"/>
                <w:szCs w:val="18"/>
                <w:lang w:eastAsia="zh-CN"/>
              </w:rPr>
              <w:t>*</w:t>
            </w:r>
            <w:r w:rsidRPr="00612F61">
              <w:rPr>
                <w:rFonts w:ascii="Franklin Gothic Book" w:hAnsi="Franklin Gothic Book"/>
                <w:color w:val="000000"/>
                <w:sz w:val="18"/>
                <w:szCs w:val="18"/>
                <w:lang w:eastAsia="zh-CN"/>
              </w:rPr>
              <w:t>*</w:t>
            </w:r>
            <w:r>
              <w:rPr>
                <w:rFonts w:ascii="Franklin Gothic Book" w:hAnsi="Franklin Gothic Book"/>
                <w:color w:val="000000"/>
                <w:sz w:val="18"/>
                <w:szCs w:val="18"/>
                <w:lang w:eastAsia="zh-CN"/>
              </w:rPr>
              <w:t>R</w:t>
            </w:r>
            <w:r w:rsidRPr="00612F61">
              <w:rPr>
                <w:rFonts w:ascii="Franklin Gothic Book" w:hAnsi="Franklin Gothic Book"/>
                <w:color w:val="000000"/>
                <w:sz w:val="18"/>
                <w:szCs w:val="18"/>
                <w:lang w:eastAsia="zh-CN"/>
              </w:rPr>
              <w:t xml:space="preserve">eflects the average </w:t>
            </w:r>
            <w:r w:rsidRPr="00BA0249">
              <w:rPr>
                <w:rFonts w:ascii="Franklin Gothic Book" w:hAnsi="Franklin Gothic Book"/>
                <w:color w:val="000000"/>
                <w:sz w:val="18"/>
                <w:szCs w:val="18"/>
              </w:rPr>
              <w:t>2</w:t>
            </w:r>
            <w:r>
              <w:rPr>
                <w:rFonts w:ascii="Franklin Gothic Book" w:hAnsi="Franklin Gothic Book"/>
                <w:color w:val="000000"/>
                <w:sz w:val="18"/>
                <w:szCs w:val="18"/>
              </w:rPr>
              <w:t>–</w:t>
            </w:r>
            <w:r w:rsidRPr="00BA0249">
              <w:rPr>
                <w:rFonts w:ascii="Franklin Gothic Book" w:hAnsi="Franklin Gothic Book"/>
                <w:color w:val="000000"/>
                <w:sz w:val="18"/>
                <w:szCs w:val="18"/>
              </w:rPr>
              <w:t xml:space="preserve">6 </w:t>
            </w:r>
            <w:r>
              <w:rPr>
                <w:rFonts w:ascii="Franklin Gothic Book" w:hAnsi="Franklin Gothic Book"/>
                <w:color w:val="000000"/>
                <w:sz w:val="18"/>
                <w:szCs w:val="18"/>
              </w:rPr>
              <w:t>PM 2014 Summer Saver event</w:t>
            </w:r>
          </w:p>
        </w:tc>
      </w:tr>
    </w:tbl>
    <w:p w:rsidR="00BA4945" w:rsidRDefault="00BA4945" w:rsidP="00BA4945">
      <w:pPr>
        <w:pStyle w:val="BodyParagraph"/>
        <w:spacing w:after="0" w:line="240" w:lineRule="auto"/>
        <w:ind w:firstLine="720"/>
        <w:rPr>
          <w:rFonts w:ascii="Times New Roman" w:hAnsi="Times New Roman"/>
          <w:color w:val="000000" w:themeColor="text1"/>
          <w:sz w:val="24"/>
          <w:szCs w:val="24"/>
        </w:rPr>
      </w:pPr>
    </w:p>
    <w:p w:rsidR="00FE606C" w:rsidRDefault="00FE606C" w:rsidP="00BA4945">
      <w:pPr>
        <w:pStyle w:val="BodyParagraph"/>
        <w:spacing w:after="0" w:line="276" w:lineRule="auto"/>
        <w:ind w:firstLine="720"/>
        <w:rPr>
          <w:rFonts w:ascii="Times New Roman" w:hAnsi="Times New Roman"/>
          <w:color w:val="000000" w:themeColor="text1"/>
          <w:sz w:val="24"/>
          <w:szCs w:val="24"/>
        </w:rPr>
      </w:pPr>
      <w:r w:rsidRPr="00FE606C">
        <w:rPr>
          <w:rFonts w:ascii="Times New Roman" w:hAnsi="Times New Roman"/>
          <w:color w:val="000000" w:themeColor="text1"/>
          <w:sz w:val="24"/>
          <w:szCs w:val="24"/>
        </w:rPr>
        <w:t xml:space="preserve">In 2014, the overall difference between load impacts per CAC unit is not as large, and no clear directional difference in load impacts is observed between residential and nonresidential 50% cycling, as shown in Table 6-4 below. </w:t>
      </w:r>
    </w:p>
    <w:p w:rsidR="00BA4945" w:rsidRPr="00FE606C" w:rsidRDefault="00BA4945" w:rsidP="00BA4945">
      <w:pPr>
        <w:pStyle w:val="BodyParagraph"/>
        <w:spacing w:after="0" w:line="240" w:lineRule="auto"/>
        <w:ind w:firstLine="720"/>
        <w:rPr>
          <w:rFonts w:ascii="Times New Roman" w:hAnsi="Times New Roman"/>
          <w:color w:val="000000" w:themeColor="text1"/>
          <w:sz w:val="24"/>
          <w:szCs w:val="24"/>
        </w:rPr>
      </w:pPr>
    </w:p>
    <w:p w:rsidR="00FE606C" w:rsidRPr="00B2669C" w:rsidRDefault="00FE606C" w:rsidP="00BA4945">
      <w:pPr>
        <w:pStyle w:val="TableFigureCaption"/>
        <w:spacing w:after="0"/>
        <w:rPr>
          <w:rFonts w:ascii="Times New Roman" w:hAnsi="Times New Roman"/>
          <w:sz w:val="20"/>
          <w:szCs w:val="20"/>
        </w:rPr>
      </w:pPr>
      <w:r w:rsidRPr="00B2669C">
        <w:rPr>
          <w:rFonts w:ascii="Times New Roman" w:hAnsi="Times New Roman"/>
          <w:sz w:val="20"/>
          <w:szCs w:val="20"/>
        </w:rPr>
        <w:t>Table 6-4:  Comparison of Residential and Nonresidential Summer Saver 50% Cycling Load Impacts</w:t>
      </w:r>
    </w:p>
    <w:tbl>
      <w:tblPr>
        <w:tblW w:w="4955" w:type="dxa"/>
        <w:jc w:val="center"/>
        <w:tblInd w:w="93" w:type="dxa"/>
        <w:tblLook w:val="04A0" w:firstRow="1" w:lastRow="0" w:firstColumn="1" w:lastColumn="0" w:noHBand="0" w:noVBand="1"/>
      </w:tblPr>
      <w:tblGrid>
        <w:gridCol w:w="1220"/>
        <w:gridCol w:w="1888"/>
        <w:gridCol w:w="1847"/>
      </w:tblGrid>
      <w:tr w:rsidR="00A0421C" w:rsidRPr="00BF5613" w:rsidTr="0079525F">
        <w:trPr>
          <w:trHeight w:val="615"/>
          <w:jc w:val="center"/>
        </w:trPr>
        <w:tc>
          <w:tcPr>
            <w:tcW w:w="1220" w:type="dxa"/>
            <w:vMerge w:val="restart"/>
            <w:tcBorders>
              <w:top w:val="single" w:sz="4" w:space="0" w:color="auto"/>
              <w:left w:val="single" w:sz="4" w:space="0" w:color="auto"/>
              <w:bottom w:val="single" w:sz="4" w:space="0" w:color="auto"/>
              <w:right w:val="single" w:sz="4" w:space="0" w:color="FFFFFF"/>
            </w:tcBorders>
            <w:shd w:val="clear" w:color="000000" w:fill="0070C0"/>
            <w:vAlign w:val="center"/>
            <w:hideMark/>
          </w:tcPr>
          <w:p w:rsidR="00A0421C" w:rsidRPr="00BF5613" w:rsidRDefault="00A0421C" w:rsidP="0079525F">
            <w:pPr>
              <w:pStyle w:val="TableHeader"/>
              <w:spacing w:before="0" w:after="0"/>
              <w:contextualSpacing/>
              <w:rPr>
                <w:rFonts w:asciiTheme="minorHAnsi" w:hAnsiTheme="minorHAnsi"/>
              </w:rPr>
            </w:pPr>
            <w:r w:rsidRPr="00BF5613">
              <w:rPr>
                <w:rFonts w:asciiTheme="minorHAnsi" w:hAnsiTheme="minorHAnsi"/>
              </w:rPr>
              <w:t>Event Date</w:t>
            </w:r>
          </w:p>
        </w:tc>
        <w:tc>
          <w:tcPr>
            <w:tcW w:w="3735" w:type="dxa"/>
            <w:gridSpan w:val="2"/>
            <w:tcBorders>
              <w:top w:val="single" w:sz="4" w:space="0" w:color="auto"/>
              <w:left w:val="nil"/>
              <w:bottom w:val="single" w:sz="4" w:space="0" w:color="FFFFFF"/>
              <w:right w:val="single" w:sz="4" w:space="0" w:color="auto"/>
            </w:tcBorders>
            <w:shd w:val="clear" w:color="000000" w:fill="0070C0"/>
            <w:vAlign w:val="center"/>
            <w:hideMark/>
          </w:tcPr>
          <w:p w:rsidR="00A0421C" w:rsidRPr="00BF5613" w:rsidRDefault="00A0421C" w:rsidP="0079525F">
            <w:pPr>
              <w:pStyle w:val="TableHeader"/>
              <w:spacing w:before="0" w:after="0"/>
              <w:contextualSpacing/>
              <w:rPr>
                <w:rFonts w:asciiTheme="minorHAnsi" w:hAnsiTheme="minorHAnsi"/>
              </w:rPr>
            </w:pPr>
            <w:r w:rsidRPr="00BF5613">
              <w:rPr>
                <w:rFonts w:asciiTheme="minorHAnsi" w:hAnsiTheme="minorHAnsi"/>
              </w:rPr>
              <w:t>Average Load Impact per CAC Unit (kW)</w:t>
            </w:r>
          </w:p>
        </w:tc>
      </w:tr>
      <w:tr w:rsidR="00A0421C" w:rsidRPr="00BF5613" w:rsidTr="0079525F">
        <w:trPr>
          <w:trHeight w:val="300"/>
          <w:jc w:val="center"/>
        </w:trPr>
        <w:tc>
          <w:tcPr>
            <w:tcW w:w="1220" w:type="dxa"/>
            <w:vMerge/>
            <w:tcBorders>
              <w:top w:val="single" w:sz="4" w:space="0" w:color="auto"/>
              <w:left w:val="single" w:sz="4" w:space="0" w:color="auto"/>
              <w:bottom w:val="single" w:sz="4" w:space="0" w:color="auto"/>
              <w:right w:val="single" w:sz="4" w:space="0" w:color="FFFFFF"/>
            </w:tcBorders>
            <w:vAlign w:val="center"/>
            <w:hideMark/>
          </w:tcPr>
          <w:p w:rsidR="00A0421C" w:rsidRPr="00BF5613" w:rsidRDefault="00A0421C" w:rsidP="0079525F">
            <w:pPr>
              <w:pStyle w:val="TableHeader"/>
              <w:spacing w:before="0" w:after="0"/>
              <w:contextualSpacing/>
              <w:rPr>
                <w:rFonts w:asciiTheme="minorHAnsi" w:hAnsiTheme="minorHAnsi"/>
              </w:rPr>
            </w:pPr>
          </w:p>
        </w:tc>
        <w:tc>
          <w:tcPr>
            <w:tcW w:w="1888" w:type="dxa"/>
            <w:tcBorders>
              <w:top w:val="nil"/>
              <w:left w:val="nil"/>
              <w:bottom w:val="single" w:sz="4" w:space="0" w:color="auto"/>
              <w:right w:val="nil"/>
            </w:tcBorders>
            <w:shd w:val="clear" w:color="000000" w:fill="0070C0"/>
            <w:noWrap/>
            <w:vAlign w:val="center"/>
            <w:hideMark/>
          </w:tcPr>
          <w:p w:rsidR="00A0421C" w:rsidRPr="00BF5613" w:rsidRDefault="00A0421C" w:rsidP="0079525F">
            <w:pPr>
              <w:pStyle w:val="TableHeader"/>
              <w:spacing w:before="0" w:after="0"/>
              <w:contextualSpacing/>
              <w:rPr>
                <w:rFonts w:asciiTheme="minorHAnsi" w:hAnsiTheme="minorHAnsi"/>
              </w:rPr>
            </w:pPr>
            <w:r>
              <w:rPr>
                <w:rFonts w:asciiTheme="minorHAnsi" w:hAnsiTheme="minorHAnsi"/>
              </w:rPr>
              <w:t xml:space="preserve">Residential </w:t>
            </w:r>
            <w:r w:rsidRPr="00BF5613">
              <w:rPr>
                <w:rFonts w:asciiTheme="minorHAnsi" w:hAnsiTheme="minorHAnsi"/>
              </w:rPr>
              <w:t>50%</w:t>
            </w:r>
          </w:p>
        </w:tc>
        <w:tc>
          <w:tcPr>
            <w:tcW w:w="1847" w:type="dxa"/>
            <w:tcBorders>
              <w:top w:val="nil"/>
              <w:left w:val="single" w:sz="4" w:space="0" w:color="FFFFFF"/>
              <w:bottom w:val="single" w:sz="4" w:space="0" w:color="auto"/>
              <w:right w:val="single" w:sz="4" w:space="0" w:color="auto"/>
            </w:tcBorders>
            <w:shd w:val="clear" w:color="000000" w:fill="0070C0"/>
            <w:noWrap/>
            <w:vAlign w:val="center"/>
            <w:hideMark/>
          </w:tcPr>
          <w:p w:rsidR="00A0421C" w:rsidRPr="00BF5613" w:rsidRDefault="00A0421C" w:rsidP="0079525F">
            <w:pPr>
              <w:pStyle w:val="TableHeader"/>
              <w:spacing w:before="0" w:after="0"/>
              <w:contextualSpacing/>
              <w:rPr>
                <w:rFonts w:asciiTheme="minorHAnsi" w:hAnsiTheme="minorHAnsi"/>
              </w:rPr>
            </w:pPr>
            <w:r>
              <w:rPr>
                <w:rFonts w:asciiTheme="minorHAnsi" w:hAnsiTheme="minorHAnsi"/>
              </w:rPr>
              <w:t>Nonresidential</w:t>
            </w:r>
            <w:r w:rsidRPr="00BF5613">
              <w:rPr>
                <w:rFonts w:asciiTheme="minorHAnsi" w:hAnsiTheme="minorHAnsi"/>
              </w:rPr>
              <w:t xml:space="preserve"> 50%</w:t>
            </w:r>
          </w:p>
        </w:tc>
      </w:tr>
      <w:tr w:rsidR="00A0421C" w:rsidRPr="00BF5613" w:rsidTr="0079525F">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0421C" w:rsidRPr="00BF5613" w:rsidRDefault="00A0421C" w:rsidP="0079525F">
            <w:pPr>
              <w:pStyle w:val="TableText"/>
              <w:spacing w:before="0" w:after="0"/>
              <w:contextualSpacing/>
              <w:rPr>
                <w:rFonts w:asciiTheme="minorHAnsi" w:hAnsiTheme="minorHAnsi"/>
              </w:rPr>
            </w:pPr>
            <w:r w:rsidRPr="00BF5613">
              <w:rPr>
                <w:rFonts w:asciiTheme="minorHAnsi" w:hAnsiTheme="minorHAnsi"/>
              </w:rPr>
              <w:t>5/14/2014</w:t>
            </w:r>
          </w:p>
        </w:tc>
        <w:tc>
          <w:tcPr>
            <w:tcW w:w="1888"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0.16</w:t>
            </w:r>
          </w:p>
        </w:tc>
        <w:tc>
          <w:tcPr>
            <w:tcW w:w="1847"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0.22</w:t>
            </w:r>
          </w:p>
        </w:tc>
      </w:tr>
      <w:tr w:rsidR="00A0421C" w:rsidRPr="00BF5613" w:rsidTr="0079525F">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0421C" w:rsidRPr="00BF5613" w:rsidRDefault="00A0421C" w:rsidP="0079525F">
            <w:pPr>
              <w:pStyle w:val="TableText"/>
              <w:spacing w:before="0" w:after="0"/>
              <w:contextualSpacing/>
              <w:rPr>
                <w:rFonts w:asciiTheme="minorHAnsi" w:hAnsiTheme="minorHAnsi"/>
              </w:rPr>
            </w:pPr>
            <w:r w:rsidRPr="00BF5613">
              <w:rPr>
                <w:rFonts w:asciiTheme="minorHAnsi" w:hAnsiTheme="minorHAnsi"/>
              </w:rPr>
              <w:t>5/15/2014</w:t>
            </w:r>
          </w:p>
        </w:tc>
        <w:tc>
          <w:tcPr>
            <w:tcW w:w="1888"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0.35</w:t>
            </w:r>
          </w:p>
        </w:tc>
        <w:tc>
          <w:tcPr>
            <w:tcW w:w="1847"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0.33</w:t>
            </w:r>
          </w:p>
        </w:tc>
      </w:tr>
      <w:tr w:rsidR="00A0421C" w:rsidRPr="00BF5613" w:rsidTr="0079525F">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0421C" w:rsidRPr="00BF5613" w:rsidRDefault="00A0421C" w:rsidP="0079525F">
            <w:pPr>
              <w:pStyle w:val="TableText"/>
              <w:spacing w:before="0" w:after="0"/>
              <w:contextualSpacing/>
              <w:rPr>
                <w:rFonts w:asciiTheme="minorHAnsi" w:hAnsiTheme="minorHAnsi"/>
              </w:rPr>
            </w:pPr>
            <w:r w:rsidRPr="00BF5613">
              <w:rPr>
                <w:rFonts w:asciiTheme="minorHAnsi" w:hAnsiTheme="minorHAnsi"/>
              </w:rPr>
              <w:t>5/16/2014</w:t>
            </w:r>
          </w:p>
        </w:tc>
        <w:tc>
          <w:tcPr>
            <w:tcW w:w="1888"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0.11</w:t>
            </w:r>
          </w:p>
        </w:tc>
        <w:tc>
          <w:tcPr>
            <w:tcW w:w="1847"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0.37</w:t>
            </w:r>
          </w:p>
        </w:tc>
      </w:tr>
      <w:tr w:rsidR="00A0421C" w:rsidRPr="00BF5613" w:rsidTr="0079525F">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0421C" w:rsidRPr="00BF5613" w:rsidRDefault="00A0421C" w:rsidP="0079525F">
            <w:pPr>
              <w:pStyle w:val="TableText"/>
              <w:spacing w:before="0" w:after="0"/>
              <w:contextualSpacing/>
              <w:rPr>
                <w:rFonts w:asciiTheme="minorHAnsi" w:hAnsiTheme="minorHAnsi"/>
              </w:rPr>
            </w:pPr>
            <w:r w:rsidRPr="00BF5613">
              <w:rPr>
                <w:rFonts w:asciiTheme="minorHAnsi" w:hAnsiTheme="minorHAnsi"/>
              </w:rPr>
              <w:t>7/29/2014</w:t>
            </w:r>
          </w:p>
        </w:tc>
        <w:tc>
          <w:tcPr>
            <w:tcW w:w="1888"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0.46</w:t>
            </w:r>
          </w:p>
        </w:tc>
        <w:tc>
          <w:tcPr>
            <w:tcW w:w="1847"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0.05</w:t>
            </w:r>
          </w:p>
        </w:tc>
      </w:tr>
      <w:tr w:rsidR="00A0421C" w:rsidRPr="00BF5613" w:rsidTr="0079525F">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0421C" w:rsidRPr="00BF5613" w:rsidRDefault="00A0421C" w:rsidP="0079525F">
            <w:pPr>
              <w:pStyle w:val="TableText"/>
              <w:spacing w:before="0" w:after="0"/>
              <w:contextualSpacing/>
              <w:rPr>
                <w:rFonts w:asciiTheme="minorHAnsi" w:hAnsiTheme="minorHAnsi"/>
              </w:rPr>
            </w:pPr>
            <w:r w:rsidRPr="00BF5613">
              <w:rPr>
                <w:rFonts w:asciiTheme="minorHAnsi" w:hAnsiTheme="minorHAnsi"/>
              </w:rPr>
              <w:t>8/27/2014</w:t>
            </w:r>
          </w:p>
        </w:tc>
        <w:tc>
          <w:tcPr>
            <w:tcW w:w="1888"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0.10</w:t>
            </w:r>
          </w:p>
        </w:tc>
        <w:tc>
          <w:tcPr>
            <w:tcW w:w="1847"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0.37</w:t>
            </w:r>
          </w:p>
        </w:tc>
      </w:tr>
      <w:tr w:rsidR="00A0421C" w:rsidRPr="00BF5613" w:rsidTr="0079525F">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0421C" w:rsidRPr="00BF5613" w:rsidRDefault="00A0421C" w:rsidP="0079525F">
            <w:pPr>
              <w:pStyle w:val="TableText"/>
              <w:spacing w:before="0" w:after="0"/>
              <w:contextualSpacing/>
              <w:rPr>
                <w:rFonts w:asciiTheme="minorHAnsi" w:hAnsiTheme="minorHAnsi"/>
              </w:rPr>
            </w:pPr>
            <w:r w:rsidRPr="00BF5613">
              <w:rPr>
                <w:rFonts w:asciiTheme="minorHAnsi" w:hAnsiTheme="minorHAnsi"/>
              </w:rPr>
              <w:t>9/15/2014</w:t>
            </w:r>
          </w:p>
        </w:tc>
        <w:tc>
          <w:tcPr>
            <w:tcW w:w="1888"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0.73</w:t>
            </w:r>
          </w:p>
        </w:tc>
        <w:tc>
          <w:tcPr>
            <w:tcW w:w="1847"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0.28</w:t>
            </w:r>
          </w:p>
        </w:tc>
      </w:tr>
      <w:tr w:rsidR="00A0421C" w:rsidRPr="00BF5613" w:rsidTr="0079525F">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0421C" w:rsidRPr="00BF5613" w:rsidRDefault="00A0421C" w:rsidP="0079525F">
            <w:pPr>
              <w:pStyle w:val="TableText"/>
              <w:spacing w:before="0" w:after="0"/>
              <w:contextualSpacing/>
              <w:rPr>
                <w:rFonts w:asciiTheme="minorHAnsi" w:hAnsiTheme="minorHAnsi"/>
              </w:rPr>
            </w:pPr>
            <w:r w:rsidRPr="00BF5613">
              <w:rPr>
                <w:rFonts w:asciiTheme="minorHAnsi" w:hAnsiTheme="minorHAnsi"/>
              </w:rPr>
              <w:t>9/16/2014</w:t>
            </w:r>
          </w:p>
        </w:tc>
        <w:tc>
          <w:tcPr>
            <w:tcW w:w="1888"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0.59</w:t>
            </w:r>
          </w:p>
        </w:tc>
        <w:tc>
          <w:tcPr>
            <w:tcW w:w="1847"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0.32</w:t>
            </w:r>
          </w:p>
        </w:tc>
      </w:tr>
      <w:tr w:rsidR="00A0421C" w:rsidRPr="00BF5613" w:rsidTr="0079525F">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0421C" w:rsidRPr="00BF5613" w:rsidRDefault="00A0421C" w:rsidP="0079525F">
            <w:pPr>
              <w:pStyle w:val="TableText"/>
              <w:spacing w:before="0" w:after="0"/>
              <w:contextualSpacing/>
              <w:rPr>
                <w:rFonts w:asciiTheme="minorHAnsi" w:hAnsiTheme="minorHAnsi"/>
              </w:rPr>
            </w:pPr>
            <w:r w:rsidRPr="00BF5613">
              <w:rPr>
                <w:rFonts w:asciiTheme="minorHAnsi" w:hAnsiTheme="minorHAnsi"/>
              </w:rPr>
              <w:t>9/17/2014</w:t>
            </w:r>
          </w:p>
        </w:tc>
        <w:tc>
          <w:tcPr>
            <w:tcW w:w="1888"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0.53</w:t>
            </w:r>
          </w:p>
        </w:tc>
        <w:tc>
          <w:tcPr>
            <w:tcW w:w="1847"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0.44</w:t>
            </w:r>
          </w:p>
        </w:tc>
      </w:tr>
      <w:tr w:rsidR="00A0421C" w:rsidRPr="00BF5613" w:rsidTr="0079525F">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A0421C" w:rsidRPr="00BF5613" w:rsidRDefault="00A0421C" w:rsidP="0079525F">
            <w:pPr>
              <w:pStyle w:val="TableText"/>
              <w:spacing w:before="0" w:after="0"/>
              <w:contextualSpacing/>
              <w:rPr>
                <w:rFonts w:asciiTheme="minorHAnsi" w:hAnsiTheme="minorHAnsi"/>
              </w:rPr>
            </w:pPr>
            <w:r w:rsidRPr="00BF5613">
              <w:rPr>
                <w:rFonts w:asciiTheme="minorHAnsi" w:hAnsiTheme="minorHAnsi"/>
              </w:rPr>
              <w:t>Average*</w:t>
            </w:r>
          </w:p>
        </w:tc>
        <w:tc>
          <w:tcPr>
            <w:tcW w:w="1888"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0.37</w:t>
            </w:r>
          </w:p>
        </w:tc>
        <w:tc>
          <w:tcPr>
            <w:tcW w:w="1847" w:type="dxa"/>
            <w:tcBorders>
              <w:top w:val="nil"/>
              <w:left w:val="nil"/>
              <w:bottom w:val="single" w:sz="4" w:space="0" w:color="auto"/>
              <w:right w:val="single" w:sz="4" w:space="0" w:color="auto"/>
            </w:tcBorders>
            <w:shd w:val="clear" w:color="auto" w:fill="auto"/>
            <w:noWrap/>
            <w:vAlign w:val="center"/>
            <w:hideMark/>
          </w:tcPr>
          <w:p w:rsidR="00A0421C" w:rsidRPr="00BF5613" w:rsidRDefault="00A0421C" w:rsidP="00A0421C">
            <w:pPr>
              <w:pStyle w:val="TableText"/>
              <w:spacing w:before="0" w:after="0"/>
              <w:contextualSpacing/>
              <w:jc w:val="center"/>
              <w:rPr>
                <w:rFonts w:asciiTheme="minorHAnsi" w:hAnsiTheme="minorHAnsi"/>
              </w:rPr>
            </w:pPr>
            <w:r w:rsidRPr="00BF5613">
              <w:rPr>
                <w:rFonts w:asciiTheme="minorHAnsi" w:hAnsiTheme="minorHAnsi"/>
              </w:rPr>
              <w:t>0.35</w:t>
            </w:r>
          </w:p>
        </w:tc>
      </w:tr>
    </w:tbl>
    <w:p w:rsidR="00A0421C" w:rsidRDefault="00A0421C" w:rsidP="00A40F5E">
      <w:pPr>
        <w:pStyle w:val="BodyParagraph"/>
        <w:spacing w:after="0" w:line="276" w:lineRule="auto"/>
        <w:ind w:firstLine="360"/>
        <w:rPr>
          <w:rFonts w:ascii="Times New Roman" w:hAnsi="Times New Roman"/>
          <w:sz w:val="24"/>
          <w:szCs w:val="24"/>
        </w:rPr>
      </w:pPr>
    </w:p>
    <w:p w:rsidR="002C17DD" w:rsidRPr="00A40F5E" w:rsidRDefault="002C17DD" w:rsidP="00A40F5E">
      <w:pPr>
        <w:pStyle w:val="Heading2"/>
        <w:spacing w:after="0" w:line="276" w:lineRule="auto"/>
        <w:rPr>
          <w:rFonts w:ascii="Times New Roman" w:hAnsi="Times New Roman" w:cs="Times New Roman"/>
        </w:rPr>
      </w:pPr>
      <w:bookmarkStart w:id="185" w:name="_Toc349548905"/>
      <w:bookmarkStart w:id="186" w:name="_Toc350953036"/>
      <w:r w:rsidRPr="00A40F5E">
        <w:rPr>
          <w:rFonts w:ascii="Times New Roman" w:hAnsi="Times New Roman" w:cs="Times New Roman"/>
          <w:lang w:val="fr-FR"/>
        </w:rPr>
        <w:t xml:space="preserve"> </w:t>
      </w:r>
      <w:bookmarkStart w:id="187" w:name="_Toc351990592"/>
      <w:bookmarkStart w:id="188" w:name="_Toc352084169"/>
      <w:bookmarkStart w:id="189" w:name="_Toc415748997"/>
      <w:r w:rsidR="002957BB" w:rsidRPr="00A40F5E">
        <w:rPr>
          <w:rFonts w:ascii="Times New Roman" w:hAnsi="Times New Roman" w:cs="Times New Roman"/>
        </w:rPr>
        <w:t xml:space="preserve">Summer Saver </w:t>
      </w:r>
      <w:r w:rsidR="0015465A" w:rsidRPr="00A40F5E">
        <w:rPr>
          <w:rFonts w:ascii="Times New Roman" w:hAnsi="Times New Roman" w:cs="Times New Roman"/>
        </w:rPr>
        <w:t>Ex-</w:t>
      </w:r>
      <w:r w:rsidR="009F363F">
        <w:rPr>
          <w:rFonts w:ascii="Times New Roman" w:hAnsi="Times New Roman" w:cs="Times New Roman"/>
        </w:rPr>
        <w:t>A</w:t>
      </w:r>
      <w:r w:rsidR="0015465A" w:rsidRPr="00A40F5E">
        <w:rPr>
          <w:rFonts w:ascii="Times New Roman" w:hAnsi="Times New Roman" w:cs="Times New Roman"/>
        </w:rPr>
        <w:t>nte</w:t>
      </w:r>
      <w:r w:rsidRPr="00A40F5E">
        <w:rPr>
          <w:rFonts w:ascii="Times New Roman" w:hAnsi="Times New Roman" w:cs="Times New Roman"/>
        </w:rPr>
        <w:t xml:space="preserve"> Impact Estimation Methodology</w:t>
      </w:r>
      <w:bookmarkEnd w:id="185"/>
      <w:bookmarkEnd w:id="186"/>
      <w:bookmarkEnd w:id="187"/>
      <w:bookmarkEnd w:id="188"/>
      <w:bookmarkEnd w:id="189"/>
    </w:p>
    <w:p w:rsidR="00547998" w:rsidRPr="00F8397C" w:rsidRDefault="00547998" w:rsidP="00547998">
      <w:pPr>
        <w:pStyle w:val="BodyBeforeBullet"/>
        <w:spacing w:after="0" w:line="276" w:lineRule="auto"/>
        <w:rPr>
          <w:rFonts w:ascii="Times New Roman" w:hAnsi="Times New Roman"/>
          <w:color w:val="000000" w:themeColor="text1"/>
          <w:sz w:val="24"/>
          <w:szCs w:val="24"/>
        </w:rPr>
      </w:pPr>
    </w:p>
    <w:p w:rsidR="00F8397C" w:rsidRPr="00F8397C" w:rsidRDefault="00F8397C" w:rsidP="00F8397C">
      <w:pPr>
        <w:pStyle w:val="BodyParagraph"/>
        <w:ind w:firstLine="576"/>
        <w:rPr>
          <w:rFonts w:ascii="Times New Roman" w:hAnsi="Times New Roman"/>
          <w:color w:val="000000" w:themeColor="text1"/>
          <w:sz w:val="24"/>
          <w:szCs w:val="24"/>
        </w:rPr>
      </w:pPr>
      <w:r w:rsidRPr="00F8397C">
        <w:rPr>
          <w:rFonts w:ascii="Times New Roman" w:hAnsi="Times New Roman"/>
          <w:color w:val="000000" w:themeColor="text1"/>
          <w:sz w:val="24"/>
          <w:szCs w:val="24"/>
        </w:rPr>
        <w:t>Ex ante load impacts were developed by using the available ex post data.  For both residential and nonresidential customers, load impacts for a common set of hours across all ex post events from 2010 through 2014 were used in the estimation database for developing the ex ante model.  Only the hours from 2 to 5 PM were used for the analysis because these hours were common across the greatest number of ex post event days.  Certain prior Summer Saver event days were not used in the ex ante regression analysis because of atypical circumstances surrounding the event. September 8 and 9, 2011 were excluded as they were associated with a regional system outage. September 15, 2012 was excluded because it is a Saturday. August 10, 2012 was excluded because the event only had one hour during the period 2 to 5 PM, and the May 2014 events were excluded because of the unusually high temperatures, attributable to Santa Ana wind conditions</w:t>
      </w:r>
      <w:r w:rsidR="00B41284">
        <w:rPr>
          <w:rFonts w:ascii="Times New Roman" w:hAnsi="Times New Roman"/>
          <w:color w:val="000000" w:themeColor="text1"/>
          <w:sz w:val="24"/>
          <w:szCs w:val="24"/>
        </w:rPr>
        <w:t xml:space="preserve"> and fires</w:t>
      </w:r>
      <w:r w:rsidRPr="00F8397C">
        <w:rPr>
          <w:rFonts w:ascii="Times New Roman" w:hAnsi="Times New Roman"/>
          <w:color w:val="000000" w:themeColor="text1"/>
          <w:sz w:val="24"/>
          <w:szCs w:val="24"/>
        </w:rPr>
        <w:t xml:space="preserve">, recorded during those events which were coupled with unusually low load impacts. </w:t>
      </w:r>
    </w:p>
    <w:p w:rsidR="00F8397C" w:rsidRPr="00F8397C" w:rsidRDefault="00F8397C" w:rsidP="00F8397C">
      <w:pPr>
        <w:pStyle w:val="BodyBeforeBullet"/>
        <w:ind w:firstLine="576"/>
        <w:rPr>
          <w:rFonts w:ascii="Times New Roman" w:hAnsi="Times New Roman"/>
          <w:color w:val="000000" w:themeColor="text1"/>
          <w:sz w:val="24"/>
          <w:szCs w:val="24"/>
        </w:rPr>
      </w:pPr>
      <w:r w:rsidRPr="00F8397C">
        <w:rPr>
          <w:rFonts w:ascii="Times New Roman" w:hAnsi="Times New Roman"/>
          <w:color w:val="000000" w:themeColor="text1"/>
          <w:sz w:val="24"/>
          <w:szCs w:val="24"/>
        </w:rPr>
        <w:lastRenderedPageBreak/>
        <w:t>The average load reduction from 2 to 5 PM was modeled as a function of the average temperature for the first 17 hours of each event day, midnight to 5 PM, (mean17).  This 17-hour average was used to capture the impact of heat buildup leading up to and including the event hours.  Per ton load impacts were used so that the load impacts would be scalable to ex ante scenarios where the tonnage and number of devices per premise may be different.  The models were run separately by customer type (residential and nonresidential) and cycling strategy.  The estimated parameters from the models were used to predict load impacts under 1-in-2 and 1-in-10 year ex ante weather conditions.  The final regressions only included one explanatory variable because more complicated models were not found to perform better in cross-validations done in previous Summer Saver evaluations.  The model that was used to predict average ex post impacts was:</w:t>
      </w:r>
    </w:p>
    <w:p w:rsidR="00F8397C" w:rsidRPr="0092018E" w:rsidRDefault="00947B52" w:rsidP="00F8397C">
      <w:pPr>
        <w:pStyle w:val="BodyParagraph"/>
        <w:rPr>
          <w:sz w:val="24"/>
          <w:szCs w:val="24"/>
        </w:rPr>
      </w:pPr>
      <m:oMathPara>
        <m:oMath>
          <m:sSub>
            <m:sSubPr>
              <m:ctrlPr>
                <w:rPr>
                  <w:rFonts w:ascii="Cambria Math" w:hAnsi="Cambria Math" w:cs="Arial"/>
                  <w:sz w:val="24"/>
                  <w:szCs w:val="24"/>
                </w:rPr>
              </m:ctrlPr>
            </m:sSubPr>
            <m:e>
              <m:r>
                <w:rPr>
                  <w:rFonts w:ascii="Cambria Math" w:hAnsi="Cambria Math" w:cs="Arial"/>
                </w:rPr>
                <m:t>impact</m:t>
              </m:r>
            </m:e>
            <m:sub>
              <m:r>
                <w:rPr>
                  <w:rFonts w:ascii="Cambria Math" w:hAnsi="Cambria Math" w:cs="Arial"/>
                </w:rPr>
                <m:t>d</m:t>
              </m:r>
            </m:sub>
          </m:sSub>
          <m:r>
            <w:rPr>
              <w:rFonts w:ascii="Cambria Math" w:cs="Arial"/>
            </w:rPr>
            <m:t>=</m:t>
          </m:r>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r>
            <w:rPr>
              <w:rFonts w:ascii="Cambria Math" w:cs="Arial"/>
            </w:rPr>
            <m:t>+</m:t>
          </m:r>
          <m:sSub>
            <m:sSubPr>
              <m:ctrlPr>
                <w:rPr>
                  <w:rFonts w:ascii="Cambria Math" w:hAnsi="Cambria Math" w:cs="Arial"/>
                  <w:i/>
                </w:rPr>
              </m:ctrlPr>
            </m:sSubPr>
            <m:e>
              <m:r>
                <w:rPr>
                  <w:rFonts w:ascii="Cambria Math" w:cs="Arial"/>
                </w:rPr>
                <m:t>b</m:t>
              </m:r>
            </m:e>
            <m:sub>
              <m:r>
                <w:rPr>
                  <w:rFonts w:ascii="Cambria Math" w:cs="Arial"/>
                </w:rPr>
                <m:t>1</m:t>
              </m:r>
            </m:sub>
          </m:sSub>
          <m:sSub>
            <m:sSubPr>
              <m:ctrlPr>
                <w:rPr>
                  <w:rFonts w:ascii="Cambria Math" w:hAnsi="Cambria Math" w:cs="Arial"/>
                  <w:sz w:val="24"/>
                  <w:szCs w:val="24"/>
                </w:rPr>
              </m:ctrlPr>
            </m:sSubPr>
            <m:e>
              <m:r>
                <w:rPr>
                  <w:rFonts w:ascii="Cambria Math" w:hAnsi="Cambria Math" w:cs="Arial"/>
                </w:rPr>
                <m:t>∙</m:t>
              </m:r>
              <m:r>
                <w:rPr>
                  <w:rFonts w:ascii="Cambria Math" w:cs="Arial"/>
                </w:rPr>
                <m:t>mean17</m:t>
              </m:r>
            </m:e>
            <m:sub>
              <m:r>
                <m:rPr>
                  <m:sty m:val="p"/>
                </m:rPr>
                <w:rPr>
                  <w:rFonts w:ascii="Cambria Math" w:hAnsi="Cambria Math" w:cs="Arial"/>
                  <w:sz w:val="24"/>
                  <w:szCs w:val="24"/>
                </w:rPr>
                <m:t xml:space="preserve">d </m:t>
              </m:r>
            </m:sub>
          </m:sSub>
          <m:r>
            <m:rPr>
              <m:sty m:val="b"/>
            </m:rPr>
            <w:rPr>
              <w:rFonts w:ascii="Cambria Math" w:hAnsi="Cambria Math"/>
            </w:rPr>
            <m:t>+</m:t>
          </m:r>
          <m:sSub>
            <m:sSubPr>
              <m:ctrlPr>
                <w:rPr>
                  <w:rFonts w:ascii="Cambria Math" w:hAnsi="Cambria Math"/>
                  <w:sz w:val="24"/>
                  <w:szCs w:val="24"/>
                </w:rPr>
              </m:ctrlPr>
            </m:sSubPr>
            <m:e>
              <m:r>
                <m:rPr>
                  <m:sty m:val="p"/>
                </m:rPr>
                <w:rPr>
                  <w:rFonts w:ascii="Cambria Math" w:hAnsi="Cambria Math"/>
                </w:rPr>
                <m:t>ε</m:t>
              </m:r>
            </m:e>
            <m:sub>
              <m:r>
                <w:rPr>
                  <w:rFonts w:ascii="Cambria Math" w:hAnsi="Cambria Math"/>
                </w:rPr>
                <m:t>d</m:t>
              </m:r>
            </m:sub>
          </m:sSub>
        </m:oMath>
      </m:oMathPara>
    </w:p>
    <w:p w:rsidR="00F8397C" w:rsidRPr="00B2669C" w:rsidRDefault="00F8397C" w:rsidP="00F8397C">
      <w:pPr>
        <w:pStyle w:val="TableFigureCaption"/>
        <w:rPr>
          <w:rFonts w:ascii="Times New Roman" w:hAnsi="Times New Roman"/>
          <w:sz w:val="20"/>
          <w:szCs w:val="20"/>
        </w:rPr>
      </w:pPr>
      <w:r w:rsidRPr="00B2669C">
        <w:rPr>
          <w:rFonts w:ascii="Times New Roman" w:hAnsi="Times New Roman"/>
          <w:sz w:val="20"/>
          <w:szCs w:val="20"/>
        </w:rPr>
        <w:t>Table 6</w:t>
      </w:r>
      <w:r w:rsidRPr="00B2669C">
        <w:rPr>
          <w:rFonts w:ascii="Times New Roman" w:hAnsi="Times New Roman"/>
          <w:sz w:val="20"/>
          <w:szCs w:val="20"/>
        </w:rPr>
        <w:noBreakHyphen/>
        <w:t>5: Ex Ante Regression Variables</w:t>
      </w: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142"/>
      </w:tblGrid>
      <w:tr w:rsidR="00F8397C" w:rsidRPr="0092018E" w:rsidTr="00324486">
        <w:trPr>
          <w:trHeight w:val="276"/>
          <w:tblHeader/>
          <w:jc w:val="center"/>
        </w:trPr>
        <w:tc>
          <w:tcPr>
            <w:tcW w:w="544" w:type="pct"/>
            <w:tcBorders>
              <w:top w:val="single" w:sz="4" w:space="0" w:color="auto"/>
              <w:left w:val="single" w:sz="4" w:space="0" w:color="auto"/>
              <w:bottom w:val="single" w:sz="4" w:space="0" w:color="auto"/>
              <w:right w:val="single" w:sz="8" w:space="0" w:color="FFFFFF"/>
            </w:tcBorders>
            <w:shd w:val="clear" w:color="auto" w:fill="0070CD"/>
            <w:hideMark/>
          </w:tcPr>
          <w:p w:rsidR="00F8397C" w:rsidRPr="0092018E" w:rsidRDefault="00F8397C" w:rsidP="00324486">
            <w:pPr>
              <w:pStyle w:val="TableHeader"/>
            </w:pPr>
            <w:r w:rsidRPr="0092018E">
              <w:t>Variable</w:t>
            </w:r>
          </w:p>
        </w:tc>
        <w:tc>
          <w:tcPr>
            <w:tcW w:w="4456" w:type="pct"/>
            <w:tcBorders>
              <w:top w:val="single" w:sz="4" w:space="0" w:color="auto"/>
              <w:left w:val="single" w:sz="8" w:space="0" w:color="FFFFFF"/>
              <w:bottom w:val="single" w:sz="4" w:space="0" w:color="auto"/>
              <w:right w:val="single" w:sz="4" w:space="0" w:color="auto"/>
            </w:tcBorders>
            <w:shd w:val="clear" w:color="auto" w:fill="0070CD"/>
            <w:hideMark/>
          </w:tcPr>
          <w:p w:rsidR="00F8397C" w:rsidRPr="0092018E" w:rsidRDefault="00F8397C" w:rsidP="00324486">
            <w:pPr>
              <w:pStyle w:val="TableHeader"/>
            </w:pPr>
            <w:r w:rsidRPr="0092018E">
              <w:t>Description</w:t>
            </w:r>
          </w:p>
        </w:tc>
      </w:tr>
      <w:tr w:rsidR="00F8397C" w:rsidRPr="0092018E" w:rsidTr="00324486">
        <w:trPr>
          <w:trHeight w:val="276"/>
          <w:jc w:val="center"/>
        </w:trPr>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97C" w:rsidRPr="0092018E" w:rsidRDefault="00F8397C" w:rsidP="00324486">
            <w:pPr>
              <w:pStyle w:val="TableText"/>
              <w:rPr>
                <w:i/>
              </w:rPr>
            </w:pPr>
            <w:r w:rsidRPr="0092018E">
              <w:rPr>
                <w:i/>
              </w:rPr>
              <w:t>Impact</w:t>
            </w:r>
            <w:r w:rsidRPr="0092018E">
              <w:rPr>
                <w:i/>
                <w:vertAlign w:val="subscript"/>
              </w:rPr>
              <w:t>d</w:t>
            </w:r>
          </w:p>
        </w:tc>
        <w:tc>
          <w:tcPr>
            <w:tcW w:w="4456" w:type="pct"/>
            <w:tcBorders>
              <w:top w:val="single" w:sz="4" w:space="0" w:color="auto"/>
              <w:left w:val="single" w:sz="4" w:space="0" w:color="auto"/>
              <w:bottom w:val="single" w:sz="4" w:space="0" w:color="auto"/>
              <w:right w:val="single" w:sz="4" w:space="0" w:color="auto"/>
            </w:tcBorders>
            <w:shd w:val="clear" w:color="auto" w:fill="FFFFFF"/>
            <w:hideMark/>
          </w:tcPr>
          <w:p w:rsidR="00F8397C" w:rsidRPr="0092018E" w:rsidRDefault="00F8397C" w:rsidP="00324486">
            <w:pPr>
              <w:pStyle w:val="TableText"/>
            </w:pPr>
            <w:r w:rsidRPr="0092018E">
              <w:t>Average per ton ex post load impac</w:t>
            </w:r>
            <w:r>
              <w:t>t for each event day from 2 to 5</w:t>
            </w:r>
            <w:r w:rsidRPr="0092018E">
              <w:t xml:space="preserve"> PM</w:t>
            </w:r>
          </w:p>
        </w:tc>
      </w:tr>
      <w:tr w:rsidR="00F8397C" w:rsidRPr="0092018E" w:rsidTr="00324486">
        <w:trPr>
          <w:trHeight w:val="276"/>
          <w:jc w:val="center"/>
        </w:trPr>
        <w:tc>
          <w:tcPr>
            <w:tcW w:w="5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8397C" w:rsidRPr="0092018E" w:rsidRDefault="00947B52" w:rsidP="00324486">
            <w:pPr>
              <w:pStyle w:val="TableText"/>
              <w:rPr>
                <w:szCs w:val="18"/>
              </w:rPr>
            </w:pPr>
            <m:oMathPara>
              <m:oMathParaPr>
                <m:jc m:val="left"/>
              </m:oMathParaPr>
              <m:oMath>
                <m:sSub>
                  <m:sSubPr>
                    <m:ctrlPr>
                      <w:rPr>
                        <w:rFonts w:ascii="Cambria Math" w:hAnsi="Cambria Math"/>
                        <w:i/>
                        <w:szCs w:val="18"/>
                      </w:rPr>
                    </m:ctrlPr>
                  </m:sSubPr>
                  <m:e>
                    <m:r>
                      <w:rPr>
                        <w:rFonts w:ascii="Cambria Math" w:hAnsi="Cambria Math"/>
                        <w:szCs w:val="18"/>
                      </w:rPr>
                      <m:t>b</m:t>
                    </m:r>
                  </m:e>
                  <m:sub>
                    <m:r>
                      <w:rPr>
                        <w:rFonts w:ascii="Cambria Math" w:hAnsi="Cambria Math"/>
                        <w:szCs w:val="18"/>
                      </w:rPr>
                      <m:t>0</m:t>
                    </m:r>
                  </m:sub>
                </m:sSub>
              </m:oMath>
            </m:oMathPara>
          </w:p>
        </w:tc>
        <w:tc>
          <w:tcPr>
            <w:tcW w:w="4456" w:type="pct"/>
            <w:tcBorders>
              <w:top w:val="single" w:sz="4" w:space="0" w:color="auto"/>
              <w:left w:val="single" w:sz="4" w:space="0" w:color="auto"/>
              <w:bottom w:val="single" w:sz="4" w:space="0" w:color="auto"/>
              <w:right w:val="single" w:sz="4" w:space="0" w:color="auto"/>
            </w:tcBorders>
            <w:shd w:val="clear" w:color="auto" w:fill="FFFFFF"/>
            <w:hideMark/>
          </w:tcPr>
          <w:p w:rsidR="00F8397C" w:rsidRPr="0092018E" w:rsidRDefault="00F8397C" w:rsidP="00324486">
            <w:pPr>
              <w:pStyle w:val="TableText"/>
            </w:pPr>
            <w:r w:rsidRPr="0092018E">
              <w:t>Estimated constant</w:t>
            </w:r>
          </w:p>
        </w:tc>
      </w:tr>
      <w:tr w:rsidR="00F8397C" w:rsidRPr="0092018E" w:rsidTr="00324486">
        <w:trPr>
          <w:trHeight w:val="276"/>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F8397C" w:rsidRPr="0092018E" w:rsidRDefault="00947B52" w:rsidP="00324486">
            <w:pPr>
              <w:pStyle w:val="TableText"/>
              <w:rPr>
                <w:szCs w:val="18"/>
              </w:rPr>
            </w:pPr>
            <m:oMathPara>
              <m:oMathParaPr>
                <m:jc m:val="left"/>
              </m:oMathParaPr>
              <m:oMath>
                <m:sSub>
                  <m:sSubPr>
                    <m:ctrlPr>
                      <w:rPr>
                        <w:rFonts w:ascii="Cambria Math" w:hAnsi="Cambria Math"/>
                        <w:i/>
                        <w:szCs w:val="18"/>
                      </w:rPr>
                    </m:ctrlPr>
                  </m:sSubPr>
                  <m:e>
                    <m:r>
                      <w:rPr>
                        <w:rFonts w:ascii="Cambria Math" w:hAnsi="Cambria Math"/>
                        <w:szCs w:val="18"/>
                      </w:rPr>
                      <m:t>b</m:t>
                    </m:r>
                  </m:e>
                  <m:sub>
                    <m:r>
                      <w:rPr>
                        <w:rFonts w:ascii="Cambria Math" w:hAnsi="Cambria Math"/>
                        <w:szCs w:val="18"/>
                      </w:rPr>
                      <m:t>1</m:t>
                    </m:r>
                  </m:sub>
                </m:sSub>
              </m:oMath>
            </m:oMathPara>
          </w:p>
        </w:tc>
        <w:tc>
          <w:tcPr>
            <w:tcW w:w="4456" w:type="pct"/>
            <w:tcBorders>
              <w:top w:val="single" w:sz="4" w:space="0" w:color="auto"/>
              <w:left w:val="single" w:sz="4" w:space="0" w:color="auto"/>
              <w:bottom w:val="single" w:sz="4" w:space="0" w:color="auto"/>
              <w:right w:val="single" w:sz="4" w:space="0" w:color="auto"/>
            </w:tcBorders>
            <w:hideMark/>
          </w:tcPr>
          <w:p w:rsidR="00F8397C" w:rsidRPr="0092018E" w:rsidRDefault="00F8397C" w:rsidP="00324486">
            <w:pPr>
              <w:pStyle w:val="TableText"/>
            </w:pPr>
            <w:r w:rsidRPr="0092018E">
              <w:t>Estimated parameter coefficient</w:t>
            </w:r>
          </w:p>
        </w:tc>
      </w:tr>
      <w:tr w:rsidR="00F8397C" w:rsidRPr="0092018E" w:rsidTr="00324486">
        <w:trPr>
          <w:trHeight w:val="276"/>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F8397C" w:rsidRPr="0092018E" w:rsidRDefault="00947B52" w:rsidP="00324486">
            <w:pPr>
              <w:pStyle w:val="TableText"/>
              <w:rPr>
                <w:i/>
              </w:rPr>
            </w:pPr>
            <m:oMathPara>
              <m:oMathParaPr>
                <m:jc m:val="left"/>
              </m:oMathParaPr>
              <m:oMath>
                <m:sSub>
                  <m:sSubPr>
                    <m:ctrlPr>
                      <w:rPr>
                        <w:rFonts w:ascii="Cambria Math" w:hAnsi="Cambria Math"/>
                        <w:i/>
                      </w:rPr>
                    </m:ctrlPr>
                  </m:sSubPr>
                  <m:e>
                    <m:r>
                      <w:rPr>
                        <w:rFonts w:ascii="Cambria Math" w:hAnsi="Cambria Math"/>
                      </w:rPr>
                      <m:t>mean17</m:t>
                    </m:r>
                  </m:e>
                  <m:sub>
                    <m:r>
                      <w:rPr>
                        <w:rFonts w:ascii="Cambria Math" w:hAnsi="Cambria Math"/>
                      </w:rPr>
                      <m:t>d</m:t>
                    </m:r>
                  </m:sub>
                </m:sSub>
              </m:oMath>
            </m:oMathPara>
          </w:p>
        </w:tc>
        <w:tc>
          <w:tcPr>
            <w:tcW w:w="4456" w:type="pct"/>
            <w:tcBorders>
              <w:top w:val="single" w:sz="4" w:space="0" w:color="auto"/>
              <w:left w:val="single" w:sz="4" w:space="0" w:color="auto"/>
              <w:bottom w:val="single" w:sz="4" w:space="0" w:color="auto"/>
              <w:right w:val="single" w:sz="4" w:space="0" w:color="auto"/>
            </w:tcBorders>
            <w:hideMark/>
          </w:tcPr>
          <w:p w:rsidR="00F8397C" w:rsidRPr="0092018E" w:rsidRDefault="00F8397C" w:rsidP="00324486">
            <w:pPr>
              <w:pStyle w:val="TableText"/>
            </w:pPr>
            <w:r w:rsidRPr="0092018E">
              <w:t>Average temperature over the 17 hours prior to the start of the event for each event day</w:t>
            </w:r>
          </w:p>
        </w:tc>
      </w:tr>
      <w:tr w:rsidR="00F8397C" w:rsidRPr="00E55F24" w:rsidTr="00324486">
        <w:trPr>
          <w:trHeight w:val="278"/>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F8397C" w:rsidRPr="0092018E" w:rsidRDefault="00947B52" w:rsidP="00324486">
            <w:pPr>
              <w:pStyle w:val="TableText"/>
            </w:pPr>
            <m:oMathPara>
              <m:oMathParaPr>
                <m:jc m:val="left"/>
              </m:oMathParaPr>
              <m:oMath>
                <m:sSub>
                  <m:sSubPr>
                    <m:ctrlPr>
                      <w:rPr>
                        <w:rFonts w:ascii="Cambria Math" w:hAnsi="Cambria Math"/>
                        <w:sz w:val="24"/>
                        <w:szCs w:val="24"/>
                      </w:rPr>
                    </m:ctrlPr>
                  </m:sSubPr>
                  <m:e>
                    <m:r>
                      <m:rPr>
                        <m:sty m:val="p"/>
                      </m:rPr>
                      <w:rPr>
                        <w:rFonts w:ascii="Cambria Math" w:hAnsi="Cambria Math"/>
                      </w:rPr>
                      <m:t>ε</m:t>
                    </m:r>
                  </m:e>
                  <m:sub>
                    <m:r>
                      <w:rPr>
                        <w:rFonts w:ascii="Cambria Math" w:hAnsi="Cambria Math"/>
                      </w:rPr>
                      <m:t>d</m:t>
                    </m:r>
                  </m:sub>
                </m:sSub>
              </m:oMath>
            </m:oMathPara>
          </w:p>
        </w:tc>
        <w:tc>
          <w:tcPr>
            <w:tcW w:w="4456" w:type="pct"/>
            <w:tcBorders>
              <w:top w:val="single" w:sz="4" w:space="0" w:color="auto"/>
              <w:left w:val="single" w:sz="4" w:space="0" w:color="auto"/>
              <w:bottom w:val="single" w:sz="4" w:space="0" w:color="auto"/>
              <w:right w:val="single" w:sz="4" w:space="0" w:color="auto"/>
            </w:tcBorders>
            <w:hideMark/>
          </w:tcPr>
          <w:p w:rsidR="00F8397C" w:rsidRPr="0092018E" w:rsidRDefault="00F8397C" w:rsidP="00324486">
            <w:pPr>
              <w:pStyle w:val="TableText"/>
            </w:pPr>
            <w:r>
              <w:t>The error term for each day</w:t>
            </w:r>
            <w:r w:rsidRPr="00F80BB0">
              <w:rPr>
                <w:rFonts w:ascii="Cambria Math" w:hAnsi="Cambria Math"/>
              </w:rPr>
              <w:t xml:space="preserve"> </w:t>
            </w:r>
            <w:r w:rsidRPr="00F80BB0">
              <w:rPr>
                <w:rFonts w:ascii="Cambria Math" w:hAnsi="Cambria Math"/>
                <w:i/>
              </w:rPr>
              <w:t>d</w:t>
            </w:r>
          </w:p>
        </w:tc>
      </w:tr>
    </w:tbl>
    <w:p w:rsidR="00F8397C" w:rsidRPr="00F8397C" w:rsidRDefault="00F8397C" w:rsidP="00F8397C">
      <w:pPr>
        <w:pStyle w:val="Bullets"/>
        <w:numPr>
          <w:ilvl w:val="0"/>
          <w:numId w:val="0"/>
        </w:numPr>
        <w:ind w:left="720"/>
      </w:pPr>
    </w:p>
    <w:p w:rsidR="006B51D2" w:rsidRPr="003B5EED" w:rsidRDefault="006B51D2" w:rsidP="00B11D5B">
      <w:pPr>
        <w:pStyle w:val="Heading2"/>
        <w:spacing w:after="0" w:line="276" w:lineRule="auto"/>
        <w:rPr>
          <w:rFonts w:ascii="Times New Roman" w:hAnsi="Times New Roman" w:cs="Times New Roman"/>
          <w:color w:val="000000" w:themeColor="text1"/>
          <w:szCs w:val="24"/>
        </w:rPr>
      </w:pPr>
      <w:bookmarkStart w:id="190" w:name="_Toc351990593"/>
      <w:bookmarkStart w:id="191" w:name="_Toc352084170"/>
      <w:bookmarkStart w:id="192" w:name="_Toc415748998"/>
      <w:r w:rsidRPr="003B5EED">
        <w:rPr>
          <w:rFonts w:ascii="Times New Roman" w:hAnsi="Times New Roman" w:cs="Times New Roman"/>
          <w:color w:val="000000" w:themeColor="text1"/>
          <w:szCs w:val="24"/>
        </w:rPr>
        <w:t xml:space="preserve">Summer Saver </w:t>
      </w:r>
      <w:r w:rsidR="0015465A" w:rsidRPr="003B5EED">
        <w:rPr>
          <w:rFonts w:ascii="Times New Roman" w:hAnsi="Times New Roman" w:cs="Times New Roman"/>
          <w:color w:val="000000" w:themeColor="text1"/>
          <w:szCs w:val="24"/>
        </w:rPr>
        <w:t>Ex-</w:t>
      </w:r>
      <w:r w:rsidR="000C4806" w:rsidRPr="003B5EED">
        <w:rPr>
          <w:rFonts w:ascii="Times New Roman" w:hAnsi="Times New Roman" w:cs="Times New Roman"/>
          <w:color w:val="000000" w:themeColor="text1"/>
          <w:szCs w:val="24"/>
        </w:rPr>
        <w:t>A</w:t>
      </w:r>
      <w:r w:rsidR="0015465A" w:rsidRPr="003B5EED">
        <w:rPr>
          <w:rFonts w:ascii="Times New Roman" w:hAnsi="Times New Roman" w:cs="Times New Roman"/>
          <w:color w:val="000000" w:themeColor="text1"/>
          <w:szCs w:val="24"/>
        </w:rPr>
        <w:t>nte</w:t>
      </w:r>
      <w:r w:rsidRPr="003B5EED">
        <w:rPr>
          <w:rFonts w:ascii="Times New Roman" w:hAnsi="Times New Roman" w:cs="Times New Roman"/>
          <w:color w:val="000000" w:themeColor="text1"/>
          <w:szCs w:val="24"/>
        </w:rPr>
        <w:t xml:space="preserve"> Load Impact Estimates</w:t>
      </w:r>
      <w:bookmarkEnd w:id="190"/>
      <w:bookmarkEnd w:id="191"/>
      <w:bookmarkEnd w:id="192"/>
    </w:p>
    <w:p w:rsidR="00112848" w:rsidRPr="003B5EED" w:rsidRDefault="00112848" w:rsidP="00B11D5B">
      <w:pPr>
        <w:pStyle w:val="BodyParagraph"/>
        <w:spacing w:after="0" w:line="276" w:lineRule="auto"/>
        <w:ind w:firstLine="360"/>
        <w:rPr>
          <w:rFonts w:ascii="Times New Roman" w:hAnsi="Times New Roman"/>
          <w:color w:val="000000" w:themeColor="text1"/>
          <w:sz w:val="24"/>
          <w:szCs w:val="24"/>
        </w:rPr>
      </w:pPr>
    </w:p>
    <w:p w:rsidR="00A308EF" w:rsidRPr="00B74F43" w:rsidRDefault="00A308EF" w:rsidP="00B74F43">
      <w:pPr>
        <w:pStyle w:val="BodyParagraph"/>
        <w:ind w:firstLine="576"/>
        <w:rPr>
          <w:rFonts w:ascii="Times New Roman" w:hAnsi="Times New Roman"/>
          <w:color w:val="000000" w:themeColor="text1"/>
          <w:sz w:val="24"/>
          <w:szCs w:val="24"/>
        </w:rPr>
      </w:pPr>
      <w:r w:rsidRPr="00B74F43">
        <w:rPr>
          <w:rFonts w:ascii="Times New Roman" w:hAnsi="Times New Roman"/>
          <w:color w:val="000000" w:themeColor="text1"/>
          <w:sz w:val="24"/>
          <w:szCs w:val="24"/>
        </w:rPr>
        <w:t xml:space="preserve">Enrollment in the Summer Saver program is not expected to change over the forecast horizon so the tables in this section represent predictions for the entire eleven-year period from 2015 to 2025. The Protocols require that ex ante load impacts be estimated assuming weather conditions associated with both normal and extreme utility operating conditions. Normal conditions are defined as those that would be expected to occur once every two years (1-in-2 conditions) and extreme conditions are those that would be expected to occur once every ten years (1-in-10 conditions). </w:t>
      </w:r>
      <w:r w:rsidR="00B74F43" w:rsidRPr="00B74F43">
        <w:rPr>
          <w:rFonts w:ascii="Times New Roman" w:hAnsi="Times New Roman"/>
          <w:color w:val="000000" w:themeColor="text1"/>
          <w:sz w:val="24"/>
          <w:szCs w:val="24"/>
        </w:rPr>
        <w:t>A</w:t>
      </w:r>
      <w:r w:rsidRPr="00B74F43">
        <w:rPr>
          <w:rFonts w:ascii="Times New Roman" w:hAnsi="Times New Roman"/>
          <w:color w:val="000000" w:themeColor="text1"/>
          <w:sz w:val="24"/>
          <w:szCs w:val="24"/>
        </w:rPr>
        <w:t xml:space="preserve"> letter from the CPUC Energy Division to the IOUs dated October 21, 2014 directed the utilities to provide impact estimates under two sets of operating conditions starting with the April 1, 2015 filings:  </w:t>
      </w:r>
      <w:r w:rsidR="00B74F43" w:rsidRPr="00B74F43">
        <w:rPr>
          <w:rFonts w:ascii="Times New Roman" w:hAnsi="Times New Roman"/>
          <w:color w:val="000000" w:themeColor="text1"/>
          <w:sz w:val="24"/>
          <w:szCs w:val="24"/>
        </w:rPr>
        <w:t xml:space="preserve">the first set </w:t>
      </w:r>
      <w:r w:rsidRPr="00B74F43">
        <w:rPr>
          <w:rFonts w:ascii="Times New Roman" w:hAnsi="Times New Roman"/>
          <w:color w:val="000000" w:themeColor="text1"/>
          <w:sz w:val="24"/>
          <w:szCs w:val="24"/>
        </w:rPr>
        <w:t>reflect</w:t>
      </w:r>
      <w:r w:rsidR="00B74F43" w:rsidRPr="00B74F43">
        <w:rPr>
          <w:rFonts w:ascii="Times New Roman" w:hAnsi="Times New Roman"/>
          <w:color w:val="000000" w:themeColor="text1"/>
          <w:sz w:val="24"/>
          <w:szCs w:val="24"/>
        </w:rPr>
        <w:t xml:space="preserve">s </w:t>
      </w:r>
      <w:r w:rsidRPr="00B74F43">
        <w:rPr>
          <w:rFonts w:ascii="Times New Roman" w:hAnsi="Times New Roman"/>
          <w:color w:val="000000" w:themeColor="text1"/>
          <w:sz w:val="24"/>
          <w:szCs w:val="24"/>
        </w:rPr>
        <w:t xml:space="preserve">operating conditions for each IOU and </w:t>
      </w:r>
      <w:r w:rsidR="00B74F43" w:rsidRPr="00B74F43">
        <w:rPr>
          <w:rFonts w:ascii="Times New Roman" w:hAnsi="Times New Roman"/>
          <w:color w:val="000000" w:themeColor="text1"/>
          <w:sz w:val="24"/>
          <w:szCs w:val="24"/>
        </w:rPr>
        <w:t xml:space="preserve">the second </w:t>
      </w:r>
      <w:r w:rsidRPr="00B74F43">
        <w:rPr>
          <w:rFonts w:ascii="Times New Roman" w:hAnsi="Times New Roman"/>
          <w:color w:val="000000" w:themeColor="text1"/>
          <w:sz w:val="24"/>
          <w:szCs w:val="24"/>
        </w:rPr>
        <w:t>reflect</w:t>
      </w:r>
      <w:r w:rsidR="00B74F43" w:rsidRPr="00B74F43">
        <w:rPr>
          <w:rFonts w:ascii="Times New Roman" w:hAnsi="Times New Roman"/>
          <w:color w:val="000000" w:themeColor="text1"/>
          <w:sz w:val="24"/>
          <w:szCs w:val="24"/>
        </w:rPr>
        <w:t xml:space="preserve">s </w:t>
      </w:r>
      <w:r w:rsidRPr="00B74F43">
        <w:rPr>
          <w:rFonts w:ascii="Times New Roman" w:hAnsi="Times New Roman"/>
          <w:color w:val="000000" w:themeColor="text1"/>
          <w:sz w:val="24"/>
          <w:szCs w:val="24"/>
        </w:rPr>
        <w:t xml:space="preserve">operating conditions for the CAISO system. </w:t>
      </w:r>
    </w:p>
    <w:p w:rsidR="00A308EF" w:rsidRPr="00B74F43" w:rsidRDefault="00A308EF" w:rsidP="00B74F43">
      <w:pPr>
        <w:pStyle w:val="BodyParagraph"/>
        <w:ind w:firstLine="576"/>
        <w:rPr>
          <w:rFonts w:ascii="Times New Roman" w:hAnsi="Times New Roman"/>
          <w:color w:val="000000" w:themeColor="text1"/>
          <w:sz w:val="24"/>
          <w:szCs w:val="24"/>
        </w:rPr>
      </w:pPr>
      <w:r w:rsidRPr="00B74F43">
        <w:rPr>
          <w:rFonts w:ascii="Times New Roman" w:hAnsi="Times New Roman"/>
          <w:color w:val="000000" w:themeColor="text1"/>
          <w:sz w:val="24"/>
          <w:szCs w:val="24"/>
        </w:rPr>
        <w:t xml:space="preserve">The extent to which utility-specific ex ante weather conditions differ from CAISO ex ante weather conditions largely depends on the correlation between individual utility and CAISO </w:t>
      </w:r>
      <w:r w:rsidRPr="00B74F43">
        <w:rPr>
          <w:rFonts w:ascii="Times New Roman" w:hAnsi="Times New Roman"/>
          <w:color w:val="000000" w:themeColor="text1"/>
          <w:sz w:val="24"/>
          <w:szCs w:val="24"/>
        </w:rPr>
        <w:lastRenderedPageBreak/>
        <w:t xml:space="preserve">peak loads. Based on CAISO and SDG&amp;E system peak loads for the top 25 CAISO system load days each year from 2006 to 2013, the correlation coefficient for SDG&amp;E is 0.56, indicating that there are many days on which the CAISO system loads are high while SDG&amp;E loads are more modest.  This correlation for SDG&amp;E tends to be weakest when CAISO loads have been below 46,000 MW.  CAISO loads often reach 43,000 MW when loads in the Los Angeles area are extreme but San Diego loads are moderate (or vice-versa). However, whenever CAISO loads have exceeded 45,000 MW, loads typically have been high across all three IOU’s.  </w:t>
      </w:r>
    </w:p>
    <w:p w:rsidR="00653FC5" w:rsidRDefault="00A308EF" w:rsidP="00A308EF">
      <w:pPr>
        <w:keepNext/>
        <w:spacing w:after="120"/>
        <w:jc w:val="center"/>
        <w:rPr>
          <w:b/>
          <w:sz w:val="20"/>
          <w:szCs w:val="20"/>
        </w:rPr>
      </w:pPr>
      <w:r w:rsidRPr="00B74F43">
        <w:rPr>
          <w:color w:val="000000" w:themeColor="text1"/>
        </w:rPr>
        <w:t xml:space="preserve">Table </w:t>
      </w:r>
      <w:r w:rsidR="00B74F43" w:rsidRPr="00B74F43">
        <w:rPr>
          <w:color w:val="000000" w:themeColor="text1"/>
        </w:rPr>
        <w:t>6</w:t>
      </w:r>
      <w:r w:rsidRPr="00B74F43">
        <w:rPr>
          <w:color w:val="000000" w:themeColor="text1"/>
        </w:rPr>
        <w:t>-</w:t>
      </w:r>
      <w:r w:rsidR="00B74F43" w:rsidRPr="00B74F43">
        <w:rPr>
          <w:color w:val="000000" w:themeColor="text1"/>
        </w:rPr>
        <w:t>6</w:t>
      </w:r>
      <w:r w:rsidRPr="00B74F43">
        <w:rPr>
          <w:color w:val="000000" w:themeColor="text1"/>
        </w:rPr>
        <w:t xml:space="preserve"> shows the Summer Saver enrollment-weighted average temperature from midnight to 5 PM (mean17) for the typical event day and the monthly system peak day under the four sets of weather conditions for which load impacts are estimated.  The differences in mean17 values based on SDG&amp;E peak conditions and CAISO peak conditions and based on normal and extreme weather can be quite large.  There are also large differences across months.  As seen later, even small differences in the value of mean17 can have large impacts on aggregate load impacts.  </w:t>
      </w:r>
    </w:p>
    <w:p w:rsidR="00653FC5" w:rsidRDefault="00653FC5">
      <w:pPr>
        <w:rPr>
          <w:b/>
          <w:sz w:val="20"/>
          <w:szCs w:val="20"/>
        </w:rPr>
      </w:pPr>
      <w:r>
        <w:rPr>
          <w:b/>
          <w:sz w:val="20"/>
          <w:szCs w:val="20"/>
        </w:rPr>
        <w:br w:type="page"/>
      </w:r>
    </w:p>
    <w:p w:rsidR="00A308EF" w:rsidRPr="00B2669C" w:rsidRDefault="00A308EF" w:rsidP="00A308EF">
      <w:pPr>
        <w:keepNext/>
        <w:spacing w:after="120"/>
        <w:jc w:val="center"/>
        <w:rPr>
          <w:b/>
          <w:sz w:val="20"/>
          <w:szCs w:val="20"/>
        </w:rPr>
      </w:pPr>
      <w:r w:rsidRPr="00B2669C">
        <w:rPr>
          <w:b/>
          <w:sz w:val="20"/>
          <w:szCs w:val="20"/>
        </w:rPr>
        <w:lastRenderedPageBreak/>
        <w:t xml:space="preserve">Table </w:t>
      </w:r>
      <w:r w:rsidR="00B74F43" w:rsidRPr="00B2669C">
        <w:rPr>
          <w:b/>
          <w:sz w:val="20"/>
          <w:szCs w:val="20"/>
        </w:rPr>
        <w:t>6-6</w:t>
      </w:r>
      <w:r w:rsidRPr="00B2669C">
        <w:rPr>
          <w:b/>
          <w:sz w:val="20"/>
          <w:szCs w:val="20"/>
        </w:rPr>
        <w:t>: Summer Saver Enrollment-weighted Ex Ante Weather Values (mean17)</w:t>
      </w:r>
    </w:p>
    <w:tbl>
      <w:tblPr>
        <w:tblW w:w="5000" w:type="pct"/>
        <w:tblLook w:val="04A0" w:firstRow="1" w:lastRow="0" w:firstColumn="1" w:lastColumn="0" w:noHBand="0" w:noVBand="1"/>
      </w:tblPr>
      <w:tblGrid>
        <w:gridCol w:w="1869"/>
        <w:gridCol w:w="711"/>
        <w:gridCol w:w="2028"/>
        <w:gridCol w:w="1163"/>
        <w:gridCol w:w="1283"/>
        <w:gridCol w:w="1153"/>
        <w:gridCol w:w="1369"/>
      </w:tblGrid>
      <w:tr w:rsidR="008B07CE" w:rsidRPr="00BF5613" w:rsidTr="0079525F">
        <w:trPr>
          <w:trHeight w:val="300"/>
        </w:trPr>
        <w:tc>
          <w:tcPr>
            <w:tcW w:w="976" w:type="pct"/>
            <w:vMerge w:val="restart"/>
            <w:tcBorders>
              <w:top w:val="single" w:sz="4" w:space="0" w:color="auto"/>
              <w:left w:val="single" w:sz="4" w:space="0" w:color="auto"/>
              <w:bottom w:val="single" w:sz="4" w:space="0" w:color="000000"/>
              <w:right w:val="single" w:sz="4" w:space="0" w:color="FFFFFF"/>
            </w:tcBorders>
            <w:shd w:val="clear" w:color="000000" w:fill="0070C0"/>
            <w:noWrap/>
            <w:vAlign w:val="center"/>
            <w:hideMark/>
          </w:tcPr>
          <w:p w:rsidR="008B07CE" w:rsidRPr="00BF5613" w:rsidRDefault="008B07CE" w:rsidP="0079525F">
            <w:pPr>
              <w:pStyle w:val="TableHeader"/>
              <w:spacing w:before="0" w:after="0"/>
              <w:contextualSpacing/>
              <w:rPr>
                <w:rFonts w:asciiTheme="minorHAnsi" w:hAnsiTheme="minorHAnsi"/>
                <w:sz w:val="18"/>
                <w:szCs w:val="18"/>
              </w:rPr>
            </w:pPr>
            <w:r w:rsidRPr="00BF5613">
              <w:rPr>
                <w:rFonts w:asciiTheme="minorHAnsi" w:hAnsiTheme="minorHAnsi"/>
                <w:sz w:val="18"/>
                <w:szCs w:val="18"/>
              </w:rPr>
              <w:t>Customer Type</w:t>
            </w:r>
          </w:p>
        </w:tc>
        <w:tc>
          <w:tcPr>
            <w:tcW w:w="371" w:type="pct"/>
            <w:vMerge w:val="restart"/>
            <w:tcBorders>
              <w:top w:val="single" w:sz="4" w:space="0" w:color="auto"/>
              <w:left w:val="single" w:sz="4" w:space="0" w:color="FFFFFF"/>
              <w:bottom w:val="single" w:sz="4" w:space="0" w:color="000000"/>
              <w:right w:val="single" w:sz="4" w:space="0" w:color="FFFFFF"/>
            </w:tcBorders>
            <w:shd w:val="clear" w:color="000000" w:fill="0070C0"/>
            <w:noWrap/>
            <w:vAlign w:val="center"/>
            <w:hideMark/>
          </w:tcPr>
          <w:p w:rsidR="008B07CE" w:rsidRPr="00BF5613" w:rsidRDefault="008B07CE" w:rsidP="0079525F">
            <w:pPr>
              <w:pStyle w:val="TableHeader"/>
              <w:spacing w:before="0" w:after="0"/>
              <w:contextualSpacing/>
              <w:rPr>
                <w:rFonts w:asciiTheme="minorHAnsi" w:hAnsiTheme="minorHAnsi"/>
                <w:sz w:val="18"/>
                <w:szCs w:val="18"/>
              </w:rPr>
            </w:pPr>
            <w:r w:rsidRPr="00BF5613">
              <w:rPr>
                <w:rFonts w:asciiTheme="minorHAnsi" w:hAnsiTheme="minorHAnsi"/>
                <w:sz w:val="18"/>
                <w:szCs w:val="18"/>
              </w:rPr>
              <w:t>Cycle</w:t>
            </w:r>
          </w:p>
        </w:tc>
        <w:tc>
          <w:tcPr>
            <w:tcW w:w="1059" w:type="pct"/>
            <w:vMerge w:val="restart"/>
            <w:tcBorders>
              <w:top w:val="single" w:sz="4" w:space="0" w:color="auto"/>
              <w:left w:val="single" w:sz="4" w:space="0" w:color="FFFFFF"/>
              <w:bottom w:val="single" w:sz="4" w:space="0" w:color="000000"/>
              <w:right w:val="single" w:sz="4" w:space="0" w:color="FFFFFF"/>
            </w:tcBorders>
            <w:shd w:val="clear" w:color="000000" w:fill="0070C0"/>
            <w:noWrap/>
            <w:vAlign w:val="center"/>
            <w:hideMark/>
          </w:tcPr>
          <w:p w:rsidR="008B07CE" w:rsidRPr="00BF5613" w:rsidRDefault="008B07CE" w:rsidP="0079525F">
            <w:pPr>
              <w:pStyle w:val="TableHeader"/>
              <w:spacing w:before="0" w:after="0"/>
              <w:contextualSpacing/>
              <w:rPr>
                <w:rFonts w:asciiTheme="minorHAnsi" w:hAnsiTheme="minorHAnsi"/>
                <w:sz w:val="18"/>
                <w:szCs w:val="18"/>
              </w:rPr>
            </w:pPr>
            <w:r w:rsidRPr="00BF5613">
              <w:rPr>
                <w:rFonts w:asciiTheme="minorHAnsi" w:hAnsiTheme="minorHAnsi"/>
                <w:sz w:val="18"/>
                <w:szCs w:val="18"/>
              </w:rPr>
              <w:t>Day Type</w:t>
            </w:r>
          </w:p>
        </w:tc>
        <w:tc>
          <w:tcPr>
            <w:tcW w:w="1277" w:type="pct"/>
            <w:gridSpan w:val="2"/>
            <w:tcBorders>
              <w:top w:val="single" w:sz="4" w:space="0" w:color="auto"/>
              <w:left w:val="nil"/>
              <w:bottom w:val="single" w:sz="4" w:space="0" w:color="FFFFFF"/>
              <w:right w:val="single" w:sz="4" w:space="0" w:color="FFFFFF"/>
            </w:tcBorders>
            <w:shd w:val="clear" w:color="000000" w:fill="0070C0"/>
            <w:vAlign w:val="center"/>
            <w:hideMark/>
          </w:tcPr>
          <w:p w:rsidR="008B07CE" w:rsidRPr="00BF5613" w:rsidRDefault="008B07CE" w:rsidP="0079525F">
            <w:pPr>
              <w:pStyle w:val="TableHeader"/>
              <w:spacing w:before="0" w:after="0"/>
              <w:contextualSpacing/>
              <w:rPr>
                <w:rFonts w:asciiTheme="minorHAnsi" w:hAnsiTheme="minorHAnsi"/>
                <w:bCs/>
                <w:sz w:val="18"/>
                <w:szCs w:val="18"/>
              </w:rPr>
            </w:pPr>
            <w:r w:rsidRPr="00BF5613">
              <w:rPr>
                <w:rFonts w:asciiTheme="minorHAnsi" w:hAnsiTheme="minorHAnsi"/>
                <w:bCs/>
                <w:sz w:val="18"/>
                <w:szCs w:val="18"/>
              </w:rPr>
              <w:t>CAISO-based Weather (°F)</w:t>
            </w:r>
          </w:p>
        </w:tc>
        <w:tc>
          <w:tcPr>
            <w:tcW w:w="1317" w:type="pct"/>
            <w:gridSpan w:val="2"/>
            <w:tcBorders>
              <w:top w:val="single" w:sz="4" w:space="0" w:color="auto"/>
              <w:left w:val="nil"/>
              <w:bottom w:val="single" w:sz="4" w:space="0" w:color="FFFFFF"/>
              <w:right w:val="single" w:sz="4" w:space="0" w:color="000000"/>
            </w:tcBorders>
            <w:shd w:val="clear" w:color="000000" w:fill="0070C0"/>
            <w:vAlign w:val="center"/>
            <w:hideMark/>
          </w:tcPr>
          <w:p w:rsidR="008B07CE" w:rsidRPr="00BF5613" w:rsidRDefault="008B07CE" w:rsidP="0079525F">
            <w:pPr>
              <w:pStyle w:val="TableHeader"/>
              <w:spacing w:before="0" w:after="0"/>
              <w:contextualSpacing/>
              <w:rPr>
                <w:rFonts w:asciiTheme="minorHAnsi" w:hAnsiTheme="minorHAnsi"/>
                <w:bCs/>
                <w:sz w:val="18"/>
                <w:szCs w:val="18"/>
              </w:rPr>
            </w:pPr>
            <w:r w:rsidRPr="00BF5613">
              <w:rPr>
                <w:rFonts w:asciiTheme="minorHAnsi" w:hAnsiTheme="minorHAnsi"/>
                <w:bCs/>
                <w:sz w:val="18"/>
                <w:szCs w:val="18"/>
              </w:rPr>
              <w:t>SDG&amp;E-based Weather (°F)</w:t>
            </w:r>
          </w:p>
        </w:tc>
      </w:tr>
      <w:tr w:rsidR="008B07CE" w:rsidRPr="00BF5613" w:rsidTr="0079525F">
        <w:trPr>
          <w:trHeight w:val="300"/>
        </w:trPr>
        <w:tc>
          <w:tcPr>
            <w:tcW w:w="976" w:type="pct"/>
            <w:vMerge/>
            <w:tcBorders>
              <w:top w:val="single" w:sz="4" w:space="0" w:color="auto"/>
              <w:left w:val="single" w:sz="4" w:space="0" w:color="auto"/>
              <w:bottom w:val="single" w:sz="4" w:space="0" w:color="000000"/>
              <w:right w:val="single" w:sz="4" w:space="0" w:color="FFFFFF"/>
            </w:tcBorders>
            <w:vAlign w:val="center"/>
            <w:hideMark/>
          </w:tcPr>
          <w:p w:rsidR="008B07CE" w:rsidRPr="00BF5613" w:rsidRDefault="008B07CE" w:rsidP="0079525F">
            <w:pPr>
              <w:pStyle w:val="TableHeader"/>
              <w:spacing w:before="0" w:after="0"/>
              <w:contextualSpacing/>
              <w:rPr>
                <w:rFonts w:asciiTheme="minorHAnsi" w:hAnsiTheme="minorHAnsi"/>
                <w:sz w:val="18"/>
                <w:szCs w:val="18"/>
              </w:rPr>
            </w:pPr>
          </w:p>
        </w:tc>
        <w:tc>
          <w:tcPr>
            <w:tcW w:w="371" w:type="pct"/>
            <w:vMerge/>
            <w:tcBorders>
              <w:top w:val="single" w:sz="4" w:space="0" w:color="auto"/>
              <w:left w:val="single" w:sz="4" w:space="0" w:color="FFFFFF"/>
              <w:bottom w:val="single" w:sz="4" w:space="0" w:color="000000"/>
              <w:right w:val="single" w:sz="4" w:space="0" w:color="FFFFFF"/>
            </w:tcBorders>
            <w:vAlign w:val="center"/>
            <w:hideMark/>
          </w:tcPr>
          <w:p w:rsidR="008B07CE" w:rsidRPr="00BF5613" w:rsidRDefault="008B07CE" w:rsidP="0079525F">
            <w:pPr>
              <w:pStyle w:val="TableHeader"/>
              <w:spacing w:before="0" w:after="0"/>
              <w:contextualSpacing/>
              <w:rPr>
                <w:rFonts w:asciiTheme="minorHAnsi" w:hAnsiTheme="minorHAnsi"/>
                <w:sz w:val="18"/>
                <w:szCs w:val="18"/>
              </w:rPr>
            </w:pPr>
          </w:p>
        </w:tc>
        <w:tc>
          <w:tcPr>
            <w:tcW w:w="1059" w:type="pct"/>
            <w:vMerge/>
            <w:tcBorders>
              <w:top w:val="single" w:sz="4" w:space="0" w:color="auto"/>
              <w:left w:val="single" w:sz="4" w:space="0" w:color="FFFFFF"/>
              <w:bottom w:val="single" w:sz="4" w:space="0" w:color="000000"/>
              <w:right w:val="single" w:sz="4" w:space="0" w:color="FFFFFF"/>
            </w:tcBorders>
            <w:vAlign w:val="center"/>
            <w:hideMark/>
          </w:tcPr>
          <w:p w:rsidR="008B07CE" w:rsidRPr="00BF5613" w:rsidRDefault="008B07CE" w:rsidP="0079525F">
            <w:pPr>
              <w:pStyle w:val="TableHeader"/>
              <w:spacing w:before="0" w:after="0"/>
              <w:contextualSpacing/>
              <w:rPr>
                <w:rFonts w:asciiTheme="minorHAnsi" w:hAnsiTheme="minorHAnsi"/>
                <w:sz w:val="18"/>
                <w:szCs w:val="18"/>
              </w:rPr>
            </w:pPr>
          </w:p>
        </w:tc>
        <w:tc>
          <w:tcPr>
            <w:tcW w:w="607" w:type="pct"/>
            <w:tcBorders>
              <w:top w:val="nil"/>
              <w:left w:val="nil"/>
              <w:bottom w:val="single" w:sz="4" w:space="0" w:color="auto"/>
              <w:right w:val="single" w:sz="4" w:space="0" w:color="FFFFFF"/>
            </w:tcBorders>
            <w:shd w:val="clear" w:color="000000" w:fill="0070C0"/>
            <w:vAlign w:val="center"/>
            <w:hideMark/>
          </w:tcPr>
          <w:p w:rsidR="008B07CE" w:rsidRPr="00BF5613" w:rsidRDefault="008B07CE" w:rsidP="0079525F">
            <w:pPr>
              <w:pStyle w:val="TableHeader"/>
              <w:spacing w:before="0" w:after="0"/>
              <w:contextualSpacing/>
              <w:rPr>
                <w:rFonts w:asciiTheme="minorHAnsi" w:hAnsiTheme="minorHAnsi"/>
                <w:bCs/>
                <w:sz w:val="18"/>
                <w:szCs w:val="18"/>
              </w:rPr>
            </w:pPr>
            <w:r w:rsidRPr="00BF5613">
              <w:rPr>
                <w:rFonts w:asciiTheme="minorHAnsi" w:hAnsiTheme="minorHAnsi"/>
                <w:bCs/>
                <w:sz w:val="18"/>
                <w:szCs w:val="18"/>
              </w:rPr>
              <w:t>1-in-2</w:t>
            </w:r>
          </w:p>
        </w:tc>
        <w:tc>
          <w:tcPr>
            <w:tcW w:w="670" w:type="pct"/>
            <w:tcBorders>
              <w:top w:val="nil"/>
              <w:left w:val="nil"/>
              <w:bottom w:val="single" w:sz="4" w:space="0" w:color="auto"/>
              <w:right w:val="single" w:sz="4" w:space="0" w:color="FFFFFF"/>
            </w:tcBorders>
            <w:shd w:val="clear" w:color="000000" w:fill="0070C0"/>
            <w:vAlign w:val="center"/>
            <w:hideMark/>
          </w:tcPr>
          <w:p w:rsidR="008B07CE" w:rsidRPr="00BF5613" w:rsidRDefault="008B07CE" w:rsidP="0079525F">
            <w:pPr>
              <w:pStyle w:val="TableHeader"/>
              <w:spacing w:before="0" w:after="0"/>
              <w:contextualSpacing/>
              <w:rPr>
                <w:rFonts w:asciiTheme="minorHAnsi" w:hAnsiTheme="minorHAnsi"/>
                <w:bCs/>
                <w:sz w:val="18"/>
                <w:szCs w:val="18"/>
              </w:rPr>
            </w:pPr>
            <w:r w:rsidRPr="00BF5613">
              <w:rPr>
                <w:rFonts w:asciiTheme="minorHAnsi" w:hAnsiTheme="minorHAnsi"/>
                <w:bCs/>
                <w:sz w:val="18"/>
                <w:szCs w:val="18"/>
              </w:rPr>
              <w:t>1-in-10</w:t>
            </w:r>
          </w:p>
        </w:tc>
        <w:tc>
          <w:tcPr>
            <w:tcW w:w="602" w:type="pct"/>
            <w:tcBorders>
              <w:top w:val="nil"/>
              <w:left w:val="nil"/>
              <w:bottom w:val="single" w:sz="4" w:space="0" w:color="auto"/>
              <w:right w:val="single" w:sz="4" w:space="0" w:color="FFFFFF"/>
            </w:tcBorders>
            <w:shd w:val="clear" w:color="000000" w:fill="0070C0"/>
            <w:vAlign w:val="center"/>
            <w:hideMark/>
          </w:tcPr>
          <w:p w:rsidR="008B07CE" w:rsidRPr="00BF5613" w:rsidRDefault="008B07CE" w:rsidP="0079525F">
            <w:pPr>
              <w:pStyle w:val="TableHeader"/>
              <w:spacing w:before="0" w:after="0"/>
              <w:contextualSpacing/>
              <w:rPr>
                <w:rFonts w:asciiTheme="minorHAnsi" w:hAnsiTheme="minorHAnsi"/>
                <w:bCs/>
                <w:sz w:val="18"/>
                <w:szCs w:val="18"/>
              </w:rPr>
            </w:pPr>
            <w:r w:rsidRPr="00BF5613">
              <w:rPr>
                <w:rFonts w:asciiTheme="minorHAnsi" w:hAnsiTheme="minorHAnsi"/>
                <w:bCs/>
                <w:sz w:val="18"/>
                <w:szCs w:val="18"/>
              </w:rPr>
              <w:t>1-in-2</w:t>
            </w:r>
          </w:p>
        </w:tc>
        <w:tc>
          <w:tcPr>
            <w:tcW w:w="715" w:type="pct"/>
            <w:tcBorders>
              <w:top w:val="nil"/>
              <w:left w:val="nil"/>
              <w:bottom w:val="single" w:sz="4" w:space="0" w:color="auto"/>
              <w:right w:val="single" w:sz="4" w:space="0" w:color="auto"/>
            </w:tcBorders>
            <w:shd w:val="clear" w:color="000000" w:fill="0070C0"/>
            <w:vAlign w:val="center"/>
            <w:hideMark/>
          </w:tcPr>
          <w:p w:rsidR="008B07CE" w:rsidRPr="00BF5613" w:rsidRDefault="008B07CE" w:rsidP="0079525F">
            <w:pPr>
              <w:pStyle w:val="TableHeader"/>
              <w:spacing w:before="0" w:after="0"/>
              <w:contextualSpacing/>
              <w:rPr>
                <w:rFonts w:asciiTheme="minorHAnsi" w:hAnsiTheme="minorHAnsi"/>
                <w:bCs/>
                <w:sz w:val="18"/>
                <w:szCs w:val="18"/>
              </w:rPr>
            </w:pPr>
            <w:r w:rsidRPr="00BF5613">
              <w:rPr>
                <w:rFonts w:asciiTheme="minorHAnsi" w:hAnsiTheme="minorHAnsi"/>
                <w:bCs/>
                <w:sz w:val="18"/>
                <w:szCs w:val="18"/>
              </w:rPr>
              <w:t>1-in-10</w:t>
            </w:r>
          </w:p>
        </w:tc>
      </w:tr>
      <w:tr w:rsidR="008B07CE" w:rsidRPr="00BF5613" w:rsidTr="0079525F">
        <w:trPr>
          <w:trHeight w:val="300"/>
        </w:trPr>
        <w:tc>
          <w:tcPr>
            <w:tcW w:w="9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Nonresidential</w:t>
            </w:r>
          </w:p>
        </w:tc>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30%</w:t>
            </w: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Typical Event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78</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May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65</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68</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June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69</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68</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July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72</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79</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August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79</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September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82</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76</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82</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October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68</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71</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50%</w:t>
            </w: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Typical Event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76</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78</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May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65</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68</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76</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June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69</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68</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July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72</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72</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78</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August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76</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79</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September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81</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81</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October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68</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71</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76</w:t>
            </w:r>
          </w:p>
        </w:tc>
      </w:tr>
      <w:tr w:rsidR="008B07CE" w:rsidRPr="00BF5613" w:rsidTr="0079525F">
        <w:trPr>
          <w:trHeight w:val="300"/>
        </w:trPr>
        <w:tc>
          <w:tcPr>
            <w:tcW w:w="9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Residential</w:t>
            </w:r>
          </w:p>
        </w:tc>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50%</w:t>
            </w: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Typical Event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78</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79</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May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65</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69</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June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69</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69</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July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72</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80</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August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78</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80</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September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78</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83</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83</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October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68</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76</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72</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78</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100%</w:t>
            </w: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Typical Event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79</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May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65</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69</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June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69</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68</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74</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July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72</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73</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79</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August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78</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80</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September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78</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83</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76</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83</w:t>
            </w:r>
          </w:p>
        </w:tc>
      </w:tr>
      <w:tr w:rsidR="008B07CE" w:rsidRPr="00BF5613" w:rsidTr="0079525F">
        <w:trPr>
          <w:trHeight w:val="300"/>
        </w:trPr>
        <w:tc>
          <w:tcPr>
            <w:tcW w:w="976"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371" w:type="pct"/>
            <w:vMerge/>
            <w:tcBorders>
              <w:top w:val="nil"/>
              <w:left w:val="single" w:sz="4" w:space="0" w:color="auto"/>
              <w:bottom w:val="single" w:sz="4" w:space="0" w:color="auto"/>
              <w:right w:val="single" w:sz="4" w:space="0" w:color="auto"/>
            </w:tcBorders>
            <w:vAlign w:val="center"/>
            <w:hideMark/>
          </w:tcPr>
          <w:p w:rsidR="008B07CE" w:rsidRPr="00BF5613" w:rsidRDefault="008B07CE" w:rsidP="0079525F">
            <w:pPr>
              <w:pStyle w:val="TableText"/>
              <w:spacing w:before="0" w:after="0"/>
              <w:contextualSpacing/>
              <w:rPr>
                <w:rFonts w:asciiTheme="minorHAnsi" w:hAnsiTheme="minorHAnsi"/>
                <w:szCs w:val="18"/>
              </w:rPr>
            </w:pPr>
          </w:p>
        </w:tc>
        <w:tc>
          <w:tcPr>
            <w:tcW w:w="1059" w:type="pct"/>
            <w:tcBorders>
              <w:top w:val="nil"/>
              <w:left w:val="nil"/>
              <w:bottom w:val="single" w:sz="4" w:space="0" w:color="auto"/>
              <w:right w:val="single" w:sz="4" w:space="0" w:color="auto"/>
            </w:tcBorders>
            <w:shd w:val="clear" w:color="auto" w:fill="auto"/>
            <w:vAlign w:val="center"/>
            <w:hideMark/>
          </w:tcPr>
          <w:p w:rsidR="008B07CE" w:rsidRPr="00BF5613" w:rsidRDefault="008B07CE" w:rsidP="0079525F">
            <w:pPr>
              <w:pStyle w:val="TableText"/>
              <w:spacing w:before="0" w:after="0"/>
              <w:contextualSpacing/>
              <w:rPr>
                <w:rFonts w:asciiTheme="minorHAnsi" w:hAnsiTheme="minorHAnsi"/>
                <w:szCs w:val="18"/>
              </w:rPr>
            </w:pPr>
            <w:r w:rsidRPr="00BF5613">
              <w:rPr>
                <w:rFonts w:asciiTheme="minorHAnsi" w:hAnsiTheme="minorHAnsi"/>
                <w:szCs w:val="18"/>
              </w:rPr>
              <w:t>October Peak Day</w:t>
            </w:r>
          </w:p>
        </w:tc>
        <w:tc>
          <w:tcPr>
            <w:tcW w:w="607"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68</w:t>
            </w:r>
          </w:p>
        </w:tc>
        <w:tc>
          <w:tcPr>
            <w:tcW w:w="670"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75</w:t>
            </w:r>
          </w:p>
        </w:tc>
        <w:tc>
          <w:tcPr>
            <w:tcW w:w="602"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72</w:t>
            </w:r>
          </w:p>
        </w:tc>
        <w:tc>
          <w:tcPr>
            <w:tcW w:w="715" w:type="pct"/>
            <w:tcBorders>
              <w:top w:val="nil"/>
              <w:left w:val="nil"/>
              <w:bottom w:val="single" w:sz="4" w:space="0" w:color="auto"/>
              <w:right w:val="single" w:sz="4" w:space="0" w:color="auto"/>
            </w:tcBorders>
            <w:shd w:val="clear" w:color="auto" w:fill="auto"/>
            <w:noWrap/>
            <w:vAlign w:val="center"/>
            <w:hideMark/>
          </w:tcPr>
          <w:p w:rsidR="008B07CE" w:rsidRPr="00BF5613" w:rsidRDefault="008B07CE" w:rsidP="008B07CE">
            <w:pPr>
              <w:pStyle w:val="TableText"/>
              <w:spacing w:before="0" w:after="0"/>
              <w:contextualSpacing/>
              <w:jc w:val="center"/>
              <w:rPr>
                <w:rFonts w:asciiTheme="minorHAnsi" w:hAnsiTheme="minorHAnsi"/>
                <w:szCs w:val="18"/>
              </w:rPr>
            </w:pPr>
            <w:r w:rsidRPr="00BF5613">
              <w:rPr>
                <w:rFonts w:asciiTheme="minorHAnsi" w:hAnsiTheme="minorHAnsi"/>
                <w:szCs w:val="18"/>
              </w:rPr>
              <w:t>77</w:t>
            </w:r>
          </w:p>
        </w:tc>
      </w:tr>
    </w:tbl>
    <w:p w:rsidR="00A308EF" w:rsidRDefault="00A308EF" w:rsidP="00A308EF">
      <w:pPr>
        <w:pStyle w:val="BodyParagraph"/>
        <w:rPr>
          <w:rFonts w:eastAsia="Calibri"/>
        </w:rPr>
      </w:pPr>
    </w:p>
    <w:p w:rsidR="00A308EF" w:rsidRPr="00F156EE" w:rsidRDefault="00A308EF" w:rsidP="00A308EF">
      <w:pPr>
        <w:pStyle w:val="BodyParaAfterTableFigure"/>
        <w:rPr>
          <w:rFonts w:eastAsia="Calibri"/>
        </w:rPr>
      </w:pPr>
      <w:r w:rsidRPr="003F2B0B">
        <w:rPr>
          <w:rFonts w:ascii="Times New Roman" w:hAnsi="Times New Roman"/>
          <w:color w:val="000000" w:themeColor="text1"/>
          <w:sz w:val="24"/>
          <w:szCs w:val="24"/>
        </w:rPr>
        <w:t>While Summer Saver events can be called any time between noon and 8 PM, ex ante load impacts reported here represent the average load impact across the hours from 1 to 6 PM, reflecting the peak period as defined by the CPUC for determining resource adequacy requirements</w:t>
      </w:r>
      <w:r w:rsidRPr="00F156EE">
        <w:rPr>
          <w:rFonts w:eastAsia="Calibri"/>
        </w:rPr>
        <w:t xml:space="preserve">.  </w:t>
      </w:r>
    </w:p>
    <w:p w:rsidR="00A308EF" w:rsidRPr="003F2B0B" w:rsidRDefault="003F2B0B" w:rsidP="003F2B0B">
      <w:pPr>
        <w:pStyle w:val="BodyParagraph"/>
        <w:ind w:firstLine="720"/>
        <w:rPr>
          <w:rFonts w:ascii="Times New Roman" w:hAnsi="Times New Roman"/>
          <w:color w:val="000000" w:themeColor="text1"/>
          <w:sz w:val="24"/>
          <w:szCs w:val="24"/>
        </w:rPr>
      </w:pPr>
      <w:r w:rsidRPr="003F2B0B">
        <w:rPr>
          <w:rFonts w:ascii="Times New Roman" w:hAnsi="Times New Roman"/>
          <w:color w:val="000000" w:themeColor="text1"/>
          <w:sz w:val="24"/>
          <w:szCs w:val="24"/>
        </w:rPr>
        <w:t xml:space="preserve">Tables 6-7 and 6-8 </w:t>
      </w:r>
      <w:r w:rsidR="00A308EF" w:rsidRPr="003F2B0B">
        <w:rPr>
          <w:rFonts w:ascii="Times New Roman" w:hAnsi="Times New Roman"/>
          <w:color w:val="000000" w:themeColor="text1"/>
          <w:sz w:val="24"/>
          <w:szCs w:val="24"/>
        </w:rPr>
        <w:t xml:space="preserve">summarize the average and aggregate load impact estimates per premise under SDG&amp;E-specific peaking conditions and CAISO peaking conditions, respectively.  </w:t>
      </w:r>
      <w:r w:rsidR="00A308EF" w:rsidRPr="003F2B0B">
        <w:rPr>
          <w:rFonts w:ascii="Times New Roman" w:hAnsi="Times New Roman"/>
          <w:color w:val="000000" w:themeColor="text1"/>
          <w:sz w:val="24"/>
          <w:szCs w:val="24"/>
        </w:rPr>
        <w:lastRenderedPageBreak/>
        <w:t xml:space="preserve">For a typical event day with 1-in-2 year, SDG&amp;E-specific weather conditions, the impact per premise is 0.41 kW for residential customers.  The 1-in-10 year typical event day estimate is 56% higher at 0.64 kW. Under 1-in-2 CAISO peak conditions, the typical event day residential load impact per premise is 0.44 kW; for the 1-in-10 scenario, it is 0.56 kW, or 27% higher.  These large differences are driven by the larger differences in mean17, which vary by 5 or 6 degrees across some of the above conditions.  A difference of 5 degrees on average over 17 hours represents a very large difference in temperature conditions and air conditioning requirements.  </w:t>
      </w:r>
    </w:p>
    <w:p w:rsidR="00A308EF" w:rsidRPr="00F36802" w:rsidRDefault="00A308EF" w:rsidP="00F36802">
      <w:pPr>
        <w:pStyle w:val="BodyParagraph"/>
        <w:ind w:firstLine="720"/>
        <w:rPr>
          <w:rFonts w:ascii="Times New Roman" w:hAnsi="Times New Roman"/>
          <w:color w:val="000000" w:themeColor="text1"/>
          <w:sz w:val="24"/>
          <w:szCs w:val="24"/>
        </w:rPr>
      </w:pPr>
      <w:r w:rsidRPr="00F36802">
        <w:rPr>
          <w:rFonts w:ascii="Times New Roman" w:hAnsi="Times New Roman"/>
          <w:color w:val="000000" w:themeColor="text1"/>
          <w:sz w:val="24"/>
          <w:szCs w:val="24"/>
        </w:rPr>
        <w:t>Nonresidential Summer Saver load impacts for the typical event day are 0.57 kW per premise under 1-in-2 SDG&amp;E-specific peak conditions, and 0.77 kW for 1-in-10. Under CAISO peak conditions, nonresidential typical event day load impacts are 0.59 kW per premise for 1-in-2 and 0.71 kW per premise for 1-in-10 weather. The 1-in-2 to 1-in-10 increase in load impacts is 35% for SDG&amp;E-specific peak conditions and 20% for CAISO peak conditions.</w:t>
      </w:r>
    </w:p>
    <w:p w:rsidR="00A308EF" w:rsidRDefault="00A308EF" w:rsidP="00B41973">
      <w:pPr>
        <w:pStyle w:val="BodyParagraph"/>
        <w:ind w:firstLine="720"/>
        <w:rPr>
          <w:rFonts w:ascii="Times New Roman" w:hAnsi="Times New Roman"/>
          <w:color w:val="000000" w:themeColor="text1"/>
          <w:sz w:val="24"/>
          <w:szCs w:val="24"/>
        </w:rPr>
      </w:pPr>
      <w:r w:rsidRPr="00F36802">
        <w:rPr>
          <w:rFonts w:ascii="Times New Roman" w:hAnsi="Times New Roman"/>
          <w:color w:val="000000" w:themeColor="text1"/>
          <w:sz w:val="24"/>
          <w:szCs w:val="24"/>
        </w:rPr>
        <w:t>The aggregate program load reduction potential for residential customers is 9.4 MW for a typical event day under SDG&amp;E-specific 1-in-2 year weather conditions and 14.6 MW under SDG&amp;E-specific 1-in-10 year weather conditions.  Residential aggregate load impacts for 1-in-2 CAISO peaking conditions are 10.0 MW and 13.0 MW for the 1-in-10 weather scenario. For SDG&amp;E peaking conditions, nonresidential aggregate program load reduction potential is 2.7 MW under the 1-in-2 scenario and 3.7 MW under the 1-in-10 scenario for the typical event day. For CAISO peaking conditions, the nonresidential typical event day load impacts for 1-in-2 and 1-in-10 conditions are similar: 2.8 MW and 3.4 MW, respectively.</w:t>
      </w:r>
    </w:p>
    <w:p w:rsidR="00B41973" w:rsidRPr="00B41973" w:rsidRDefault="00B41973" w:rsidP="00B41973">
      <w:pPr>
        <w:pStyle w:val="Heading3"/>
        <w:spacing w:before="100" w:beforeAutospacing="1" w:after="100" w:afterAutospacing="1" w:line="276" w:lineRule="auto"/>
        <w:ind w:hanging="360"/>
        <w:rPr>
          <w:rFonts w:ascii="Times New Roman" w:hAnsi="Times New Roman" w:cs="Times New Roman"/>
          <w:color w:val="000000" w:themeColor="text1"/>
          <w:szCs w:val="24"/>
        </w:rPr>
      </w:pPr>
      <w:bookmarkStart w:id="193" w:name="_Toc415748999"/>
      <w:r w:rsidRPr="00B41973">
        <w:rPr>
          <w:rFonts w:ascii="Times New Roman" w:hAnsi="Times New Roman" w:cs="Times New Roman"/>
          <w:color w:val="000000" w:themeColor="text1"/>
          <w:szCs w:val="24"/>
        </w:rPr>
        <w:t>Comparison of Ex-Ante results by Month</w:t>
      </w:r>
      <w:bookmarkEnd w:id="193"/>
    </w:p>
    <w:p w:rsidR="00A308EF" w:rsidRDefault="00A308EF" w:rsidP="00B41973">
      <w:pPr>
        <w:pStyle w:val="BodyParagraph"/>
        <w:spacing w:after="0" w:line="276" w:lineRule="auto"/>
        <w:ind w:firstLine="720"/>
        <w:rPr>
          <w:rFonts w:ascii="Times New Roman" w:hAnsi="Times New Roman"/>
          <w:color w:val="000000" w:themeColor="text1"/>
          <w:sz w:val="24"/>
          <w:szCs w:val="24"/>
        </w:rPr>
      </w:pPr>
      <w:r w:rsidRPr="00F36802">
        <w:rPr>
          <w:rFonts w:ascii="Times New Roman" w:hAnsi="Times New Roman"/>
          <w:color w:val="000000" w:themeColor="text1"/>
          <w:sz w:val="24"/>
          <w:szCs w:val="24"/>
        </w:rPr>
        <w:t xml:space="preserve">September ex ante conditions are much hotter than typical event day conditions.  The residential program is estimated to provide an average impact of 17.9 MW over the 5-hour event window from 1 to 6 PM on a 1-in-10 September monthly system peak day and 12.1 MW on the September monthly system peak day under 1-in-2 year weather conditions for SDG&amp;E-specific peaking conditions. Under CAISO peak conditions, residential aggregate load reduction on a September monthly system peak day is 13.5 MW for 1-in-2 and 18.1 MW for 1-in-10.  </w:t>
      </w:r>
    </w:p>
    <w:p w:rsidR="00B41973" w:rsidRPr="00F36802" w:rsidRDefault="00B41973" w:rsidP="00B41973">
      <w:pPr>
        <w:pStyle w:val="BodyParagraph"/>
        <w:spacing w:after="0" w:line="276" w:lineRule="auto"/>
        <w:ind w:firstLine="720"/>
        <w:rPr>
          <w:rFonts w:ascii="Times New Roman" w:hAnsi="Times New Roman"/>
          <w:color w:val="000000" w:themeColor="text1"/>
          <w:sz w:val="24"/>
          <w:szCs w:val="24"/>
        </w:rPr>
      </w:pPr>
    </w:p>
    <w:p w:rsidR="00A308EF" w:rsidRPr="00F36802" w:rsidRDefault="00A308EF" w:rsidP="00F36802">
      <w:pPr>
        <w:pStyle w:val="BodyParagraph"/>
        <w:ind w:firstLine="720"/>
        <w:rPr>
          <w:rFonts w:ascii="Times New Roman" w:hAnsi="Times New Roman"/>
          <w:color w:val="000000" w:themeColor="text1"/>
          <w:sz w:val="24"/>
          <w:szCs w:val="24"/>
        </w:rPr>
      </w:pPr>
      <w:r w:rsidRPr="00F36802">
        <w:rPr>
          <w:rFonts w:ascii="Times New Roman" w:hAnsi="Times New Roman"/>
          <w:color w:val="000000" w:themeColor="text1"/>
          <w:sz w:val="24"/>
          <w:szCs w:val="24"/>
        </w:rPr>
        <w:t xml:space="preserve">There is significant variation in load impacts across months and weather conditions.  Based on 1-in-2 year weather, the low temperatures in May and June typically experienced in San Diego result in small average and aggregate load impacts.  The May and June 1-in-2 year impacts for residential customers are only about 40% of the September estimate, which is the highest of any month under 1-in-2 year weather conditions.  For residential customers, the May </w:t>
      </w:r>
      <w:r w:rsidRPr="00F36802">
        <w:rPr>
          <w:rFonts w:ascii="Times New Roman" w:hAnsi="Times New Roman"/>
          <w:color w:val="000000" w:themeColor="text1"/>
          <w:sz w:val="24"/>
          <w:szCs w:val="24"/>
        </w:rPr>
        <w:lastRenderedPageBreak/>
        <w:t xml:space="preserve">and June 1-in-10 year estimates are 1.5 times greater than the 1-in-2 year estimates as a result of the 1-in-10 year temperatures being much warmer than the 1-in-2 year temperatures for May and June.  </w:t>
      </w:r>
    </w:p>
    <w:p w:rsidR="00A308EF" w:rsidRPr="00F36802" w:rsidRDefault="00A308EF" w:rsidP="00F36802">
      <w:pPr>
        <w:pStyle w:val="BodyParagraph"/>
        <w:ind w:firstLine="720"/>
        <w:rPr>
          <w:rFonts w:ascii="Times New Roman" w:hAnsi="Times New Roman"/>
          <w:color w:val="000000" w:themeColor="text1"/>
          <w:sz w:val="24"/>
          <w:szCs w:val="24"/>
        </w:rPr>
      </w:pPr>
      <w:r w:rsidRPr="00F36802">
        <w:rPr>
          <w:rFonts w:ascii="Times New Roman" w:hAnsi="Times New Roman"/>
          <w:color w:val="000000" w:themeColor="text1"/>
          <w:sz w:val="24"/>
          <w:szCs w:val="24"/>
        </w:rPr>
        <w:t xml:space="preserve">For the residential segment of Summer Saver, the May 2014 ex post load impacts are quite a bit larger than the 1-in-2 ex ante load impacts for May, attributable to the fact that the Santa Ana weather event created temperature conditions far from the norm for San Diego in May.  The two midsummer events’ ex post load impacts on average similar to 1-in-2 typical event day load impacts, while the three September events’ ex post load impacts are closer to the 1-in-10 September monthly peak day ex ante estimate than the 1-in-2.  </w:t>
      </w:r>
    </w:p>
    <w:p w:rsidR="00A308EF" w:rsidRPr="00F36802" w:rsidRDefault="00A308EF" w:rsidP="00F36802">
      <w:pPr>
        <w:pStyle w:val="BodyParagraph"/>
        <w:ind w:firstLine="720"/>
        <w:rPr>
          <w:rFonts w:ascii="Times New Roman" w:hAnsi="Times New Roman"/>
          <w:color w:val="000000" w:themeColor="text1"/>
          <w:sz w:val="24"/>
          <w:szCs w:val="24"/>
        </w:rPr>
      </w:pPr>
      <w:r w:rsidRPr="00F36802">
        <w:rPr>
          <w:rFonts w:ascii="Times New Roman" w:hAnsi="Times New Roman"/>
          <w:color w:val="000000" w:themeColor="text1"/>
          <w:sz w:val="24"/>
          <w:szCs w:val="24"/>
        </w:rPr>
        <w:t>The nonresidential segment’s ex post reflects the same general relationship with the ex ante load impacts: The May 2014 events’ ex post load impacts far exceed the May 1-in-2 ex ante estimate, most likely due to the Santa Anas. The midsummer events are on average lower than even the 1-in-2 ex ante estimate for the typical event day, and this outcome is strongly influenced by the very low load impacts observed on July 29, 2014 – one of the coolest Summer Saver events in recent years. The September 2014 events’ load impacts are generally in between the 1-in-2 and 1-in-10 ex ante load impacts.</w:t>
      </w:r>
    </w:p>
    <w:p w:rsidR="00A308EF" w:rsidRPr="00F36802" w:rsidRDefault="00A308EF" w:rsidP="00F36802">
      <w:pPr>
        <w:pStyle w:val="BodyParagraph"/>
        <w:ind w:firstLine="720"/>
        <w:rPr>
          <w:rFonts w:ascii="Times New Roman" w:hAnsi="Times New Roman"/>
          <w:color w:val="000000" w:themeColor="text1"/>
          <w:sz w:val="24"/>
          <w:szCs w:val="24"/>
        </w:rPr>
      </w:pPr>
      <w:r w:rsidRPr="00F36802">
        <w:rPr>
          <w:rFonts w:ascii="Times New Roman" w:hAnsi="Times New Roman"/>
          <w:color w:val="000000" w:themeColor="text1"/>
          <w:sz w:val="24"/>
          <w:szCs w:val="24"/>
        </w:rPr>
        <w:t xml:space="preserve">On a per premise basis, the nonresidential segment provides more load impacts than residential customers. But in aggregate, the residential segment provides far more MW of load reduction due the much greater numbers of residential participants than non-participants. </w:t>
      </w:r>
    </w:p>
    <w:p w:rsidR="00653FC5" w:rsidRDefault="00653FC5">
      <w:pPr>
        <w:rPr>
          <w:b/>
          <w:sz w:val="20"/>
          <w:szCs w:val="20"/>
        </w:rPr>
      </w:pPr>
      <w:r>
        <w:rPr>
          <w:sz w:val="20"/>
          <w:szCs w:val="20"/>
        </w:rPr>
        <w:br w:type="page"/>
      </w:r>
    </w:p>
    <w:p w:rsidR="00A308EF" w:rsidRPr="00B2669C" w:rsidRDefault="00A308EF" w:rsidP="00A308EF">
      <w:pPr>
        <w:pStyle w:val="TableFigureCaption"/>
        <w:rPr>
          <w:rFonts w:ascii="Times New Roman" w:hAnsi="Times New Roman"/>
          <w:sz w:val="20"/>
          <w:szCs w:val="20"/>
        </w:rPr>
      </w:pPr>
      <w:r w:rsidRPr="00B2669C">
        <w:rPr>
          <w:rFonts w:ascii="Times New Roman" w:hAnsi="Times New Roman"/>
          <w:sz w:val="20"/>
          <w:szCs w:val="20"/>
        </w:rPr>
        <w:lastRenderedPageBreak/>
        <w:t xml:space="preserve">Table </w:t>
      </w:r>
      <w:r w:rsidR="00F36802" w:rsidRPr="00B2669C">
        <w:rPr>
          <w:rFonts w:ascii="Times New Roman" w:hAnsi="Times New Roman"/>
          <w:sz w:val="20"/>
          <w:szCs w:val="20"/>
        </w:rPr>
        <w:t>6</w:t>
      </w:r>
      <w:r w:rsidRPr="00B2669C">
        <w:rPr>
          <w:rFonts w:ascii="Times New Roman" w:hAnsi="Times New Roman"/>
          <w:sz w:val="20"/>
          <w:szCs w:val="20"/>
        </w:rPr>
        <w:t>-</w:t>
      </w:r>
      <w:r w:rsidR="00F36802" w:rsidRPr="00B2669C">
        <w:rPr>
          <w:rFonts w:ascii="Times New Roman" w:hAnsi="Times New Roman"/>
          <w:sz w:val="20"/>
          <w:szCs w:val="20"/>
        </w:rPr>
        <w:t>7</w:t>
      </w:r>
      <w:r w:rsidRPr="00B2669C">
        <w:rPr>
          <w:rFonts w:ascii="Times New Roman" w:hAnsi="Times New Roman"/>
          <w:sz w:val="20"/>
          <w:szCs w:val="20"/>
        </w:rPr>
        <w:t xml:space="preserve">: </w:t>
      </w:r>
      <w:r w:rsidR="00EF682A" w:rsidRPr="00EF682A">
        <w:rPr>
          <w:rFonts w:ascii="Times New Roman" w:hAnsi="Times New Roman"/>
          <w:sz w:val="20"/>
          <w:szCs w:val="20"/>
        </w:rPr>
        <w:t>Summer Saver Ex Ante Load Impact Estimates by CAISO and SDG&amp;E-specific Weather and Day Type (1 to 6 PM, 1-in-10 Conditions)</w:t>
      </w:r>
    </w:p>
    <w:tbl>
      <w:tblPr>
        <w:tblW w:w="5000" w:type="pct"/>
        <w:jc w:val="center"/>
        <w:tblLook w:val="04A0" w:firstRow="1" w:lastRow="0" w:firstColumn="1" w:lastColumn="0" w:noHBand="0" w:noVBand="1"/>
      </w:tblPr>
      <w:tblGrid>
        <w:gridCol w:w="2368"/>
        <w:gridCol w:w="2476"/>
        <w:gridCol w:w="1306"/>
        <w:gridCol w:w="1149"/>
        <w:gridCol w:w="1212"/>
        <w:gridCol w:w="1065"/>
      </w:tblGrid>
      <w:tr w:rsidR="00EF682A" w:rsidTr="00EF682A">
        <w:trPr>
          <w:trHeight w:val="313"/>
          <w:jc w:val="center"/>
        </w:trPr>
        <w:tc>
          <w:tcPr>
            <w:tcW w:w="1236" w:type="pct"/>
            <w:vMerge w:val="restart"/>
            <w:tcBorders>
              <w:top w:val="single" w:sz="8" w:space="0" w:color="auto"/>
              <w:left w:val="single" w:sz="8" w:space="0" w:color="auto"/>
              <w:bottom w:val="single" w:sz="8" w:space="0" w:color="000000"/>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Customer Type</w:t>
            </w:r>
          </w:p>
        </w:tc>
        <w:tc>
          <w:tcPr>
            <w:tcW w:w="1293" w:type="pct"/>
            <w:vMerge w:val="restart"/>
            <w:tcBorders>
              <w:top w:val="single" w:sz="8" w:space="0" w:color="auto"/>
              <w:left w:val="single" w:sz="8" w:space="0" w:color="FFFFFF"/>
              <w:bottom w:val="single" w:sz="8" w:space="0" w:color="000000"/>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Day Type</w:t>
            </w:r>
          </w:p>
        </w:tc>
        <w:tc>
          <w:tcPr>
            <w:tcW w:w="1281" w:type="pct"/>
            <w:gridSpan w:val="2"/>
            <w:tcBorders>
              <w:top w:val="single" w:sz="8" w:space="0" w:color="auto"/>
              <w:left w:val="nil"/>
              <w:bottom w:val="single" w:sz="8" w:space="0" w:color="FFFFFF"/>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Per Premise Impact (kW)</w:t>
            </w:r>
          </w:p>
        </w:tc>
        <w:tc>
          <w:tcPr>
            <w:tcW w:w="1190" w:type="pct"/>
            <w:gridSpan w:val="2"/>
            <w:tcBorders>
              <w:top w:val="single" w:sz="8" w:space="0" w:color="auto"/>
              <w:left w:val="nil"/>
              <w:bottom w:val="single" w:sz="8" w:space="0" w:color="FFFFFF"/>
              <w:right w:val="single" w:sz="8" w:space="0" w:color="000000"/>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Aggregate Impact (MW)</w:t>
            </w:r>
          </w:p>
        </w:tc>
      </w:tr>
      <w:tr w:rsidR="00EF682A" w:rsidTr="00EF682A">
        <w:trPr>
          <w:trHeight w:val="313"/>
          <w:jc w:val="center"/>
        </w:trPr>
        <w:tc>
          <w:tcPr>
            <w:tcW w:w="0" w:type="auto"/>
            <w:vMerge/>
            <w:tcBorders>
              <w:top w:val="single" w:sz="8" w:space="0" w:color="auto"/>
              <w:left w:val="single" w:sz="8" w:space="0" w:color="auto"/>
              <w:bottom w:val="single" w:sz="8" w:space="0" w:color="000000"/>
              <w:right w:val="single" w:sz="8" w:space="0" w:color="FFFFFF"/>
            </w:tcBorders>
            <w:vAlign w:val="center"/>
            <w:hideMark/>
          </w:tcPr>
          <w:p w:rsidR="00EF682A" w:rsidRDefault="00EF682A">
            <w:pPr>
              <w:rPr>
                <w:rFonts w:ascii="Calibri" w:hAnsi="Calibri"/>
                <w:b/>
                <w:bCs/>
                <w:color w:val="FFFFFF"/>
                <w:sz w:val="20"/>
                <w:szCs w:val="20"/>
                <w:lang w:eastAsia="zh-CN"/>
              </w:rPr>
            </w:pPr>
          </w:p>
        </w:tc>
        <w:tc>
          <w:tcPr>
            <w:tcW w:w="0" w:type="auto"/>
            <w:vMerge/>
            <w:tcBorders>
              <w:top w:val="single" w:sz="8" w:space="0" w:color="auto"/>
              <w:left w:val="single" w:sz="8" w:space="0" w:color="FFFFFF"/>
              <w:bottom w:val="single" w:sz="8" w:space="0" w:color="000000"/>
              <w:right w:val="single" w:sz="8" w:space="0" w:color="FFFFFF"/>
            </w:tcBorders>
            <w:vAlign w:val="center"/>
            <w:hideMark/>
          </w:tcPr>
          <w:p w:rsidR="00EF682A" w:rsidRDefault="00EF682A">
            <w:pPr>
              <w:rPr>
                <w:rFonts w:ascii="Calibri" w:hAnsi="Calibri"/>
                <w:b/>
                <w:bCs/>
                <w:color w:val="FFFFFF"/>
                <w:sz w:val="20"/>
                <w:szCs w:val="20"/>
                <w:lang w:eastAsia="zh-CN"/>
              </w:rPr>
            </w:pPr>
          </w:p>
        </w:tc>
        <w:tc>
          <w:tcPr>
            <w:tcW w:w="682" w:type="pct"/>
            <w:tcBorders>
              <w:top w:val="nil"/>
              <w:left w:val="nil"/>
              <w:bottom w:val="single" w:sz="8" w:space="0" w:color="auto"/>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CAISO</w:t>
            </w:r>
          </w:p>
        </w:tc>
        <w:tc>
          <w:tcPr>
            <w:tcW w:w="600" w:type="pct"/>
            <w:tcBorders>
              <w:top w:val="nil"/>
              <w:left w:val="nil"/>
              <w:bottom w:val="single" w:sz="8" w:space="0" w:color="auto"/>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SDGE</w:t>
            </w:r>
          </w:p>
        </w:tc>
        <w:tc>
          <w:tcPr>
            <w:tcW w:w="633" w:type="pct"/>
            <w:tcBorders>
              <w:top w:val="nil"/>
              <w:left w:val="nil"/>
              <w:bottom w:val="single" w:sz="8" w:space="0" w:color="auto"/>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CAISO</w:t>
            </w:r>
          </w:p>
        </w:tc>
        <w:tc>
          <w:tcPr>
            <w:tcW w:w="558" w:type="pct"/>
            <w:tcBorders>
              <w:top w:val="nil"/>
              <w:left w:val="nil"/>
              <w:bottom w:val="single" w:sz="8" w:space="0" w:color="auto"/>
              <w:right w:val="single" w:sz="8" w:space="0" w:color="auto"/>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SDGE</w:t>
            </w:r>
          </w:p>
        </w:tc>
      </w:tr>
      <w:tr w:rsidR="00EF682A" w:rsidTr="00EF682A">
        <w:trPr>
          <w:trHeight w:val="313"/>
          <w:jc w:val="center"/>
        </w:trPr>
        <w:tc>
          <w:tcPr>
            <w:tcW w:w="1236" w:type="pct"/>
            <w:vMerge w:val="restart"/>
            <w:tcBorders>
              <w:top w:val="nil"/>
              <w:left w:val="single" w:sz="8" w:space="0" w:color="auto"/>
              <w:bottom w:val="single" w:sz="8" w:space="0" w:color="000000"/>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Residential</w:t>
            </w: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Typical Event Day</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0.56</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0.64</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13.0</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14.6</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May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0.44</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0.55</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10.0</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12.7</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June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0.43</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0.45</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9.9</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10.4</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July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0.46</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0.64</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10.5</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14.8</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August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0.58</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0.67</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13.4</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15.4</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September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0.79</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0.78</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18.1</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17.9</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October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0.49</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0.57</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11.3</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13.1</w:t>
            </w:r>
          </w:p>
        </w:tc>
      </w:tr>
      <w:tr w:rsidR="00EF682A" w:rsidTr="00EF682A">
        <w:trPr>
          <w:trHeight w:val="313"/>
          <w:jc w:val="center"/>
        </w:trPr>
        <w:tc>
          <w:tcPr>
            <w:tcW w:w="1236" w:type="pct"/>
            <w:vMerge w:val="restart"/>
            <w:tcBorders>
              <w:top w:val="nil"/>
              <w:left w:val="single" w:sz="8" w:space="0" w:color="auto"/>
              <w:bottom w:val="single" w:sz="8" w:space="0" w:color="000000"/>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Non-Residential</w:t>
            </w: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Typical Event Day</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0.71</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0.77</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3.4</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3.7</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May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0.58</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0.70</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2.8</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3.4</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June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0.59</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0.60</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2.8</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2.9</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July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0.61</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0.79</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2.9</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3.8</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August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0.73</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0.82</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3.5</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3.9</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September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0.91</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0.89</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4.3</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4.3</w:t>
            </w:r>
          </w:p>
        </w:tc>
      </w:tr>
      <w:tr w:rsidR="00EF682A" w:rsidTr="00EF682A">
        <w:trPr>
          <w:trHeight w:val="313"/>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October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0.65</w:t>
            </w:r>
          </w:p>
        </w:tc>
        <w:tc>
          <w:tcPr>
            <w:tcW w:w="600"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0.71</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3.1</w:t>
            </w:r>
          </w:p>
        </w:tc>
        <w:tc>
          <w:tcPr>
            <w:tcW w:w="558"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3.4</w:t>
            </w:r>
          </w:p>
        </w:tc>
      </w:tr>
    </w:tbl>
    <w:p w:rsidR="00A308EF" w:rsidRDefault="00A308EF" w:rsidP="00A308EF">
      <w:pPr>
        <w:rPr>
          <w:rFonts w:ascii="Arial" w:hAnsi="Arial"/>
          <w:b/>
          <w:highlight w:val="yellow"/>
        </w:rPr>
      </w:pPr>
    </w:p>
    <w:p w:rsidR="00A308EF" w:rsidRDefault="00A308EF" w:rsidP="00A308EF">
      <w:pPr>
        <w:rPr>
          <w:rFonts w:ascii="Arial" w:hAnsi="Arial"/>
          <w:b/>
          <w:highlight w:val="yellow"/>
        </w:rPr>
      </w:pPr>
    </w:p>
    <w:p w:rsidR="00A308EF" w:rsidRPr="00B2669C" w:rsidRDefault="00A308EF" w:rsidP="00A308EF">
      <w:pPr>
        <w:pStyle w:val="TableFigureCaption"/>
        <w:rPr>
          <w:rFonts w:ascii="Times New Roman" w:hAnsi="Times New Roman"/>
          <w:sz w:val="20"/>
          <w:szCs w:val="20"/>
        </w:rPr>
      </w:pPr>
      <w:r w:rsidRPr="00B2669C">
        <w:rPr>
          <w:rFonts w:ascii="Times New Roman" w:hAnsi="Times New Roman"/>
          <w:sz w:val="20"/>
          <w:szCs w:val="20"/>
        </w:rPr>
        <w:t xml:space="preserve">Table </w:t>
      </w:r>
      <w:r w:rsidR="00F36802" w:rsidRPr="00B2669C">
        <w:rPr>
          <w:rFonts w:ascii="Times New Roman" w:hAnsi="Times New Roman"/>
          <w:sz w:val="20"/>
          <w:szCs w:val="20"/>
        </w:rPr>
        <w:t>6-8</w:t>
      </w:r>
      <w:r w:rsidRPr="00B2669C">
        <w:rPr>
          <w:rFonts w:ascii="Times New Roman" w:hAnsi="Times New Roman"/>
          <w:sz w:val="20"/>
          <w:szCs w:val="20"/>
        </w:rPr>
        <w:t xml:space="preserve">: </w:t>
      </w:r>
      <w:r w:rsidR="00EF682A" w:rsidRPr="00EF682A">
        <w:rPr>
          <w:rFonts w:ascii="Times New Roman" w:hAnsi="Times New Roman"/>
          <w:sz w:val="20"/>
          <w:szCs w:val="20"/>
        </w:rPr>
        <w:t>Summer Saver Ex Ante Load Impact Estimates by CAISO and SDG&amp;E-specific Weather and Day Type (1 to 6 PM, 1-in-2 Conditions)</w:t>
      </w:r>
    </w:p>
    <w:tbl>
      <w:tblPr>
        <w:tblW w:w="5000" w:type="pct"/>
        <w:jc w:val="center"/>
        <w:tblLook w:val="04A0" w:firstRow="1" w:lastRow="0" w:firstColumn="1" w:lastColumn="0" w:noHBand="0" w:noVBand="1"/>
      </w:tblPr>
      <w:tblGrid>
        <w:gridCol w:w="2368"/>
        <w:gridCol w:w="2476"/>
        <w:gridCol w:w="1306"/>
        <w:gridCol w:w="1147"/>
        <w:gridCol w:w="1212"/>
        <w:gridCol w:w="1067"/>
      </w:tblGrid>
      <w:tr w:rsidR="00EF682A" w:rsidTr="00EF682A">
        <w:trPr>
          <w:trHeight w:val="311"/>
          <w:jc w:val="center"/>
        </w:trPr>
        <w:tc>
          <w:tcPr>
            <w:tcW w:w="1236" w:type="pct"/>
            <w:vMerge w:val="restart"/>
            <w:tcBorders>
              <w:top w:val="single" w:sz="8" w:space="0" w:color="auto"/>
              <w:left w:val="single" w:sz="8" w:space="0" w:color="auto"/>
              <w:bottom w:val="single" w:sz="8" w:space="0" w:color="000000"/>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bookmarkStart w:id="194" w:name="_Toc382300614"/>
            <w:bookmarkStart w:id="195" w:name="_Toc383585140"/>
            <w:r>
              <w:rPr>
                <w:rFonts w:ascii="Calibri" w:hAnsi="Calibri"/>
                <w:b/>
                <w:bCs/>
                <w:color w:val="FFFFFF"/>
                <w:sz w:val="20"/>
                <w:szCs w:val="20"/>
                <w:lang w:eastAsia="zh-CN"/>
              </w:rPr>
              <w:t>Customer Type</w:t>
            </w:r>
          </w:p>
        </w:tc>
        <w:tc>
          <w:tcPr>
            <w:tcW w:w="1293" w:type="pct"/>
            <w:vMerge w:val="restart"/>
            <w:tcBorders>
              <w:top w:val="single" w:sz="8" w:space="0" w:color="auto"/>
              <w:left w:val="single" w:sz="8" w:space="0" w:color="FFFFFF"/>
              <w:bottom w:val="single" w:sz="8" w:space="0" w:color="000000"/>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Day Type</w:t>
            </w:r>
          </w:p>
        </w:tc>
        <w:tc>
          <w:tcPr>
            <w:tcW w:w="1281" w:type="pct"/>
            <w:gridSpan w:val="2"/>
            <w:tcBorders>
              <w:top w:val="single" w:sz="8" w:space="0" w:color="auto"/>
              <w:left w:val="nil"/>
              <w:bottom w:val="single" w:sz="8" w:space="0" w:color="FFFFFF"/>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Per Premise Impact (kW)</w:t>
            </w:r>
          </w:p>
        </w:tc>
        <w:tc>
          <w:tcPr>
            <w:tcW w:w="1190" w:type="pct"/>
            <w:gridSpan w:val="2"/>
            <w:tcBorders>
              <w:top w:val="single" w:sz="8" w:space="0" w:color="auto"/>
              <w:left w:val="nil"/>
              <w:bottom w:val="single" w:sz="8" w:space="0" w:color="FFFFFF"/>
              <w:right w:val="single" w:sz="8" w:space="0" w:color="000000"/>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Aggregate Impact (MW)</w:t>
            </w:r>
          </w:p>
        </w:tc>
      </w:tr>
      <w:tr w:rsidR="00EF682A" w:rsidTr="00EF682A">
        <w:trPr>
          <w:trHeight w:val="311"/>
          <w:jc w:val="center"/>
        </w:trPr>
        <w:tc>
          <w:tcPr>
            <w:tcW w:w="0" w:type="auto"/>
            <w:vMerge/>
            <w:tcBorders>
              <w:top w:val="single" w:sz="8" w:space="0" w:color="auto"/>
              <w:left w:val="single" w:sz="8" w:space="0" w:color="auto"/>
              <w:bottom w:val="single" w:sz="8" w:space="0" w:color="000000"/>
              <w:right w:val="single" w:sz="8" w:space="0" w:color="FFFFFF"/>
            </w:tcBorders>
            <w:vAlign w:val="center"/>
            <w:hideMark/>
          </w:tcPr>
          <w:p w:rsidR="00EF682A" w:rsidRDefault="00EF682A">
            <w:pPr>
              <w:rPr>
                <w:rFonts w:ascii="Calibri" w:hAnsi="Calibri"/>
                <w:b/>
                <w:bCs/>
                <w:color w:val="FFFFFF"/>
                <w:sz w:val="20"/>
                <w:szCs w:val="20"/>
                <w:lang w:eastAsia="zh-CN"/>
              </w:rPr>
            </w:pPr>
          </w:p>
        </w:tc>
        <w:tc>
          <w:tcPr>
            <w:tcW w:w="0" w:type="auto"/>
            <w:vMerge/>
            <w:tcBorders>
              <w:top w:val="single" w:sz="8" w:space="0" w:color="auto"/>
              <w:left w:val="single" w:sz="8" w:space="0" w:color="FFFFFF"/>
              <w:bottom w:val="single" w:sz="8" w:space="0" w:color="000000"/>
              <w:right w:val="single" w:sz="8" w:space="0" w:color="FFFFFF"/>
            </w:tcBorders>
            <w:vAlign w:val="center"/>
            <w:hideMark/>
          </w:tcPr>
          <w:p w:rsidR="00EF682A" w:rsidRDefault="00EF682A">
            <w:pPr>
              <w:rPr>
                <w:rFonts w:ascii="Calibri" w:hAnsi="Calibri"/>
                <w:b/>
                <w:bCs/>
                <w:color w:val="FFFFFF"/>
                <w:sz w:val="20"/>
                <w:szCs w:val="20"/>
                <w:lang w:eastAsia="zh-CN"/>
              </w:rPr>
            </w:pPr>
          </w:p>
        </w:tc>
        <w:tc>
          <w:tcPr>
            <w:tcW w:w="682" w:type="pct"/>
            <w:tcBorders>
              <w:top w:val="nil"/>
              <w:left w:val="nil"/>
              <w:bottom w:val="single" w:sz="8" w:space="0" w:color="auto"/>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CAISO</w:t>
            </w:r>
          </w:p>
        </w:tc>
        <w:tc>
          <w:tcPr>
            <w:tcW w:w="599" w:type="pct"/>
            <w:tcBorders>
              <w:top w:val="nil"/>
              <w:left w:val="nil"/>
              <w:bottom w:val="single" w:sz="8" w:space="0" w:color="auto"/>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SDGE</w:t>
            </w:r>
          </w:p>
        </w:tc>
        <w:tc>
          <w:tcPr>
            <w:tcW w:w="633" w:type="pct"/>
            <w:tcBorders>
              <w:top w:val="nil"/>
              <w:left w:val="nil"/>
              <w:bottom w:val="single" w:sz="8" w:space="0" w:color="auto"/>
              <w:right w:val="single" w:sz="8" w:space="0" w:color="FFFFFF"/>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CAISO</w:t>
            </w:r>
          </w:p>
        </w:tc>
        <w:tc>
          <w:tcPr>
            <w:tcW w:w="557" w:type="pct"/>
            <w:tcBorders>
              <w:top w:val="nil"/>
              <w:left w:val="nil"/>
              <w:bottom w:val="single" w:sz="8" w:space="0" w:color="auto"/>
              <w:right w:val="single" w:sz="8" w:space="0" w:color="auto"/>
            </w:tcBorders>
            <w:shd w:val="clear" w:color="auto" w:fill="0070C0"/>
            <w:noWrap/>
            <w:vAlign w:val="center"/>
            <w:hideMark/>
          </w:tcPr>
          <w:p w:rsidR="00EF682A" w:rsidRDefault="00EF682A">
            <w:pPr>
              <w:jc w:val="center"/>
              <w:rPr>
                <w:rFonts w:ascii="Calibri" w:hAnsi="Calibri"/>
                <w:b/>
                <w:bCs/>
                <w:color w:val="FFFFFF"/>
                <w:sz w:val="20"/>
                <w:szCs w:val="20"/>
                <w:lang w:eastAsia="zh-CN"/>
              </w:rPr>
            </w:pPr>
            <w:r>
              <w:rPr>
                <w:rFonts w:ascii="Calibri" w:hAnsi="Calibri"/>
                <w:b/>
                <w:bCs/>
                <w:color w:val="FFFFFF"/>
                <w:sz w:val="20"/>
                <w:szCs w:val="20"/>
                <w:lang w:eastAsia="zh-CN"/>
              </w:rPr>
              <w:t>SDGE</w:t>
            </w:r>
          </w:p>
        </w:tc>
      </w:tr>
      <w:tr w:rsidR="00EF682A" w:rsidTr="00EF682A">
        <w:trPr>
          <w:trHeight w:val="311"/>
          <w:jc w:val="center"/>
        </w:trPr>
        <w:tc>
          <w:tcPr>
            <w:tcW w:w="1236" w:type="pct"/>
            <w:vMerge w:val="restart"/>
            <w:tcBorders>
              <w:top w:val="nil"/>
              <w:left w:val="single" w:sz="8" w:space="0" w:color="auto"/>
              <w:bottom w:val="single" w:sz="8" w:space="0" w:color="000000"/>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Residential</w:t>
            </w: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Typical Event Day</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0.44</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0.41</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10.0</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9.4</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May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0.09</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0.22</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2.0</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5.1</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June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0.24</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0.21</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5.6</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4.9</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July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0.36</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0.40</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8.2</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9.2</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August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0.56</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0.48</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12.8</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11.2</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September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0.59</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0.53</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13.5</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12.1</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October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0.20</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0.34</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4.7</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7.9</w:t>
            </w:r>
          </w:p>
        </w:tc>
      </w:tr>
      <w:tr w:rsidR="00EF682A" w:rsidTr="00EF682A">
        <w:trPr>
          <w:trHeight w:val="311"/>
          <w:jc w:val="center"/>
        </w:trPr>
        <w:tc>
          <w:tcPr>
            <w:tcW w:w="1236" w:type="pct"/>
            <w:vMerge w:val="restart"/>
            <w:tcBorders>
              <w:top w:val="nil"/>
              <w:left w:val="single" w:sz="8" w:space="0" w:color="auto"/>
              <w:bottom w:val="single" w:sz="8" w:space="0" w:color="000000"/>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Non-Residential</w:t>
            </w: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Typical Event Day</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0.59</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0.57</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2.8</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2.7</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May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0.25</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0.38</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1.2</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1.8</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June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0.41</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0.39</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2.0</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1.9</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July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0.53</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0.55</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2.5</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2.6</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August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0.71</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0.66</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3.4</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3.2</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September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0.73</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0.67</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3.5</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3.2</w:t>
            </w:r>
          </w:p>
        </w:tc>
      </w:tr>
      <w:tr w:rsidR="00EF682A" w:rsidTr="00EF682A">
        <w:trPr>
          <w:trHeight w:val="311"/>
          <w:jc w:val="center"/>
        </w:trPr>
        <w:tc>
          <w:tcPr>
            <w:tcW w:w="0" w:type="auto"/>
            <w:vMerge/>
            <w:tcBorders>
              <w:top w:val="nil"/>
              <w:left w:val="single" w:sz="8" w:space="0" w:color="auto"/>
              <w:bottom w:val="single" w:sz="8" w:space="0" w:color="000000"/>
              <w:right w:val="single" w:sz="8" w:space="0" w:color="auto"/>
            </w:tcBorders>
            <w:vAlign w:val="center"/>
            <w:hideMark/>
          </w:tcPr>
          <w:p w:rsidR="00EF682A" w:rsidRDefault="00EF682A">
            <w:pPr>
              <w:rPr>
                <w:rFonts w:ascii="Calibri" w:hAnsi="Calibri"/>
                <w:color w:val="000000"/>
                <w:sz w:val="20"/>
                <w:szCs w:val="20"/>
                <w:lang w:eastAsia="zh-CN"/>
              </w:rPr>
            </w:pPr>
          </w:p>
        </w:tc>
        <w:tc>
          <w:tcPr>
            <w:tcW w:w="129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October Monthly Peak</w:t>
            </w:r>
          </w:p>
        </w:tc>
        <w:tc>
          <w:tcPr>
            <w:tcW w:w="682"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0.39</w:t>
            </w:r>
          </w:p>
        </w:tc>
        <w:tc>
          <w:tcPr>
            <w:tcW w:w="599"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0.50</w:t>
            </w:r>
          </w:p>
        </w:tc>
        <w:tc>
          <w:tcPr>
            <w:tcW w:w="633"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1.9</w:t>
            </w:r>
          </w:p>
        </w:tc>
        <w:tc>
          <w:tcPr>
            <w:tcW w:w="557" w:type="pct"/>
            <w:tcBorders>
              <w:top w:val="nil"/>
              <w:left w:val="nil"/>
              <w:bottom w:val="single" w:sz="8" w:space="0" w:color="auto"/>
              <w:right w:val="single" w:sz="8" w:space="0" w:color="auto"/>
            </w:tcBorders>
            <w:noWrap/>
            <w:vAlign w:val="center"/>
            <w:hideMark/>
          </w:tcPr>
          <w:p w:rsidR="00EF682A" w:rsidRDefault="00EF682A">
            <w:pPr>
              <w:jc w:val="center"/>
              <w:rPr>
                <w:rFonts w:ascii="Calibri" w:hAnsi="Calibri"/>
                <w:color w:val="000000"/>
                <w:sz w:val="20"/>
                <w:szCs w:val="20"/>
                <w:lang w:eastAsia="zh-CN"/>
              </w:rPr>
            </w:pPr>
            <w:r>
              <w:rPr>
                <w:rFonts w:ascii="Calibri" w:hAnsi="Calibri"/>
                <w:color w:val="000000"/>
                <w:sz w:val="20"/>
                <w:szCs w:val="20"/>
                <w:lang w:eastAsia="zh-CN"/>
              </w:rPr>
              <w:t>2.4</w:t>
            </w:r>
          </w:p>
        </w:tc>
      </w:tr>
    </w:tbl>
    <w:p w:rsidR="0009032E" w:rsidRPr="0009032E" w:rsidRDefault="0009032E" w:rsidP="0009032E"/>
    <w:p w:rsidR="00945A72" w:rsidRPr="003B5EED" w:rsidRDefault="00945A72" w:rsidP="00945A72">
      <w:pPr>
        <w:pStyle w:val="Heading2"/>
        <w:spacing w:before="0" w:after="0" w:line="276" w:lineRule="auto"/>
        <w:ind w:left="540" w:hanging="540"/>
        <w:rPr>
          <w:rFonts w:ascii="Times New Roman" w:hAnsi="Times New Roman" w:cs="Times New Roman"/>
          <w:color w:val="000000" w:themeColor="text1"/>
        </w:rPr>
      </w:pPr>
      <w:bookmarkStart w:id="196" w:name="_Toc415749000"/>
      <w:r w:rsidRPr="003B5EED">
        <w:rPr>
          <w:rFonts w:ascii="Times New Roman" w:hAnsi="Times New Roman" w:cs="Times New Roman"/>
          <w:color w:val="000000" w:themeColor="text1"/>
        </w:rPr>
        <w:lastRenderedPageBreak/>
        <w:t>Relationship between Ex-Post and Ex-Ante Estimates</w:t>
      </w:r>
      <w:bookmarkEnd w:id="194"/>
      <w:bookmarkEnd w:id="195"/>
      <w:bookmarkEnd w:id="196"/>
    </w:p>
    <w:p w:rsidR="002362E9" w:rsidRDefault="002362E9" w:rsidP="00945A72">
      <w:pPr>
        <w:spacing w:line="276" w:lineRule="auto"/>
        <w:ind w:firstLine="540"/>
        <w:rPr>
          <w:color w:val="000000" w:themeColor="text1"/>
        </w:rPr>
      </w:pPr>
    </w:p>
    <w:p w:rsidR="00C62B00" w:rsidRPr="00C62B00" w:rsidRDefault="00C62B00" w:rsidP="00C62B00">
      <w:pPr>
        <w:pStyle w:val="BodyParagraph"/>
        <w:ind w:firstLine="540"/>
        <w:rPr>
          <w:rFonts w:ascii="Times New Roman" w:hAnsi="Times New Roman"/>
          <w:color w:val="000000" w:themeColor="text1"/>
          <w:sz w:val="24"/>
          <w:szCs w:val="24"/>
        </w:rPr>
      </w:pPr>
      <w:r w:rsidRPr="00C62B00">
        <w:rPr>
          <w:rFonts w:ascii="Times New Roman" w:hAnsi="Times New Roman"/>
          <w:color w:val="000000" w:themeColor="text1"/>
          <w:sz w:val="24"/>
          <w:szCs w:val="24"/>
        </w:rPr>
        <w:t>Table 6-9 presents enrollment-weighted, mean17 temperatures for the new CAISO and SDG&amp;E-weather and for the old ex ante weather file (which was SDGE-based only). As seen, the old and new SDG&amp;E-based weather differs in some important ways. First, for the average event day, while the 1-in-10 weather is relatively unchanged, the new SDG&amp;E based 1-in-2 weather is 3 degrees cooler than the old SDG&amp;E-based weather. For the September monthly system peak day, both 1-in-2 and 1-in10 weather year conditions showing as lower in the new weather file with the largest decreases occurring in the case of the 1-in-2 weather year. For September 1-in-10 weather, which is the month and weather year combination with the highest potential for Summer Saver load impacts, per premise load impacts would be 0.89 kW for the residential segment under the old weather conditions. Under the new weather conditions, the same estimate is 0.78 kW. A similar effect for the nonresidential segment is also present: 1.02 kW per premise with the old weather and 0.89 kW per premise with the new weather.</w:t>
      </w:r>
    </w:p>
    <w:p w:rsidR="00653FC5" w:rsidRDefault="00653FC5">
      <w:pPr>
        <w:rPr>
          <w:b/>
          <w:sz w:val="20"/>
          <w:szCs w:val="20"/>
        </w:rPr>
      </w:pPr>
      <w:r>
        <w:rPr>
          <w:sz w:val="20"/>
          <w:szCs w:val="20"/>
        </w:rPr>
        <w:br w:type="page"/>
      </w:r>
    </w:p>
    <w:p w:rsidR="00C62B00" w:rsidRPr="00B2669C" w:rsidRDefault="00C62B00" w:rsidP="00C62B00">
      <w:pPr>
        <w:pStyle w:val="TableFigureCaption"/>
        <w:rPr>
          <w:rFonts w:ascii="Times New Roman" w:hAnsi="Times New Roman"/>
          <w:sz w:val="20"/>
          <w:szCs w:val="20"/>
        </w:rPr>
      </w:pPr>
      <w:r w:rsidRPr="00B2669C">
        <w:rPr>
          <w:rFonts w:ascii="Times New Roman" w:hAnsi="Times New Roman"/>
          <w:sz w:val="20"/>
          <w:szCs w:val="20"/>
        </w:rPr>
        <w:lastRenderedPageBreak/>
        <w:t>Table 6-9: Comparison of Summer Saver Enrollment-weighted Temperatures (mean17) across Weather Scenarios</w:t>
      </w:r>
    </w:p>
    <w:tbl>
      <w:tblPr>
        <w:tblW w:w="5000" w:type="pct"/>
        <w:tblLayout w:type="fixed"/>
        <w:tblLook w:val="04A0" w:firstRow="1" w:lastRow="0" w:firstColumn="1" w:lastColumn="0" w:noHBand="0" w:noVBand="1"/>
      </w:tblPr>
      <w:tblGrid>
        <w:gridCol w:w="1548"/>
        <w:gridCol w:w="721"/>
        <w:gridCol w:w="1979"/>
        <w:gridCol w:w="810"/>
        <w:gridCol w:w="843"/>
        <w:gridCol w:w="965"/>
        <w:gridCol w:w="967"/>
        <w:gridCol w:w="873"/>
        <w:gridCol w:w="870"/>
      </w:tblGrid>
      <w:tr w:rsidR="00C62B00" w:rsidRPr="00B32624" w:rsidTr="00370ECC">
        <w:trPr>
          <w:trHeight w:val="570"/>
        </w:trPr>
        <w:tc>
          <w:tcPr>
            <w:tcW w:w="808" w:type="pct"/>
            <w:vMerge w:val="restart"/>
            <w:tcBorders>
              <w:top w:val="single" w:sz="4" w:space="0" w:color="auto"/>
              <w:left w:val="single" w:sz="4" w:space="0" w:color="auto"/>
              <w:bottom w:val="single" w:sz="4" w:space="0" w:color="000000"/>
              <w:right w:val="single" w:sz="4" w:space="0" w:color="FFFFFF"/>
            </w:tcBorders>
            <w:shd w:val="clear" w:color="000000" w:fill="0070C0"/>
            <w:noWrap/>
            <w:vAlign w:val="center"/>
            <w:hideMark/>
          </w:tcPr>
          <w:p w:rsidR="00C62B00" w:rsidRPr="00B32624" w:rsidRDefault="00C62B00" w:rsidP="00324486">
            <w:pPr>
              <w:jc w:val="center"/>
              <w:rPr>
                <w:rFonts w:ascii="Calibri" w:hAnsi="Calibri"/>
                <w:color w:val="FFFFFF"/>
              </w:rPr>
            </w:pPr>
            <w:r w:rsidRPr="00B32624">
              <w:rPr>
                <w:rFonts w:ascii="Calibri" w:hAnsi="Calibri"/>
                <w:color w:val="FFFFFF"/>
              </w:rPr>
              <w:t>Customer Type</w:t>
            </w:r>
          </w:p>
        </w:tc>
        <w:tc>
          <w:tcPr>
            <w:tcW w:w="376" w:type="pct"/>
            <w:vMerge w:val="restart"/>
            <w:tcBorders>
              <w:top w:val="single" w:sz="4" w:space="0" w:color="auto"/>
              <w:left w:val="single" w:sz="4" w:space="0" w:color="FFFFFF"/>
              <w:bottom w:val="single" w:sz="4" w:space="0" w:color="000000"/>
              <w:right w:val="single" w:sz="4" w:space="0" w:color="FFFFFF"/>
            </w:tcBorders>
            <w:shd w:val="clear" w:color="000000" w:fill="0070C0"/>
            <w:noWrap/>
            <w:vAlign w:val="center"/>
            <w:hideMark/>
          </w:tcPr>
          <w:p w:rsidR="00C62B00" w:rsidRPr="00B32624" w:rsidRDefault="00C62B00" w:rsidP="00324486">
            <w:pPr>
              <w:jc w:val="center"/>
              <w:rPr>
                <w:rFonts w:ascii="Calibri" w:hAnsi="Calibri"/>
                <w:color w:val="FFFFFF"/>
              </w:rPr>
            </w:pPr>
            <w:r w:rsidRPr="00B32624">
              <w:rPr>
                <w:rFonts w:ascii="Calibri" w:hAnsi="Calibri"/>
                <w:color w:val="FFFFFF"/>
              </w:rPr>
              <w:t>Cycle</w:t>
            </w:r>
          </w:p>
        </w:tc>
        <w:tc>
          <w:tcPr>
            <w:tcW w:w="1033" w:type="pct"/>
            <w:vMerge w:val="restart"/>
            <w:tcBorders>
              <w:top w:val="single" w:sz="4" w:space="0" w:color="auto"/>
              <w:left w:val="single" w:sz="4" w:space="0" w:color="FFFFFF"/>
              <w:bottom w:val="single" w:sz="4" w:space="0" w:color="000000"/>
              <w:right w:val="single" w:sz="4" w:space="0" w:color="FFFFFF"/>
            </w:tcBorders>
            <w:shd w:val="clear" w:color="000000" w:fill="0070C0"/>
            <w:noWrap/>
            <w:vAlign w:val="center"/>
            <w:hideMark/>
          </w:tcPr>
          <w:p w:rsidR="00C62B00" w:rsidRPr="00B32624" w:rsidRDefault="00C62B00" w:rsidP="00324486">
            <w:pPr>
              <w:jc w:val="center"/>
              <w:rPr>
                <w:rFonts w:ascii="Calibri" w:hAnsi="Calibri"/>
                <w:color w:val="FFFFFF"/>
              </w:rPr>
            </w:pPr>
            <w:r w:rsidRPr="00B32624">
              <w:rPr>
                <w:rFonts w:ascii="Calibri" w:hAnsi="Calibri"/>
                <w:color w:val="FFFFFF"/>
              </w:rPr>
              <w:t>Day Type</w:t>
            </w:r>
          </w:p>
        </w:tc>
        <w:tc>
          <w:tcPr>
            <w:tcW w:w="863" w:type="pct"/>
            <w:gridSpan w:val="2"/>
            <w:tcBorders>
              <w:top w:val="single" w:sz="4" w:space="0" w:color="auto"/>
              <w:left w:val="nil"/>
              <w:bottom w:val="single" w:sz="4" w:space="0" w:color="FFFFFF"/>
              <w:right w:val="single" w:sz="4" w:space="0" w:color="FFFFFF"/>
            </w:tcBorders>
            <w:shd w:val="clear" w:color="000000" w:fill="0070C0"/>
            <w:vAlign w:val="center"/>
            <w:hideMark/>
          </w:tcPr>
          <w:p w:rsidR="00C62B00" w:rsidRPr="00B32624" w:rsidRDefault="00C62B00" w:rsidP="00324486">
            <w:pPr>
              <w:jc w:val="center"/>
              <w:rPr>
                <w:rFonts w:ascii="Calibri" w:hAnsi="Calibri"/>
                <w:b/>
                <w:bCs/>
                <w:color w:val="FFFFFF"/>
                <w:sz w:val="20"/>
                <w:szCs w:val="20"/>
              </w:rPr>
            </w:pPr>
            <w:r w:rsidRPr="00B32624">
              <w:rPr>
                <w:rFonts w:ascii="Calibri" w:hAnsi="Calibri"/>
                <w:b/>
                <w:bCs/>
                <w:color w:val="FFFFFF"/>
                <w:sz w:val="20"/>
                <w:szCs w:val="20"/>
              </w:rPr>
              <w:t>CAISO-based Weather</w:t>
            </w:r>
          </w:p>
        </w:tc>
        <w:tc>
          <w:tcPr>
            <w:tcW w:w="1009" w:type="pct"/>
            <w:gridSpan w:val="2"/>
            <w:tcBorders>
              <w:top w:val="single" w:sz="4" w:space="0" w:color="auto"/>
              <w:left w:val="nil"/>
              <w:bottom w:val="single" w:sz="4" w:space="0" w:color="FFFFFF"/>
              <w:right w:val="single" w:sz="4" w:space="0" w:color="FFFFFF"/>
            </w:tcBorders>
            <w:shd w:val="clear" w:color="000000" w:fill="0070C0"/>
            <w:vAlign w:val="center"/>
            <w:hideMark/>
          </w:tcPr>
          <w:p w:rsidR="00C62B00" w:rsidRPr="00B32624" w:rsidRDefault="00C62B00" w:rsidP="00324486">
            <w:pPr>
              <w:jc w:val="center"/>
              <w:rPr>
                <w:rFonts w:ascii="Calibri" w:hAnsi="Calibri"/>
                <w:b/>
                <w:bCs/>
                <w:color w:val="FFFFFF"/>
                <w:sz w:val="20"/>
                <w:szCs w:val="20"/>
              </w:rPr>
            </w:pPr>
            <w:r w:rsidRPr="00B32624">
              <w:rPr>
                <w:rFonts w:ascii="Calibri" w:hAnsi="Calibri"/>
                <w:b/>
                <w:bCs/>
                <w:color w:val="FFFFFF"/>
                <w:sz w:val="20"/>
                <w:szCs w:val="20"/>
              </w:rPr>
              <w:t>SDG&amp;E-based Weather</w:t>
            </w:r>
          </w:p>
        </w:tc>
        <w:tc>
          <w:tcPr>
            <w:tcW w:w="910" w:type="pct"/>
            <w:gridSpan w:val="2"/>
            <w:tcBorders>
              <w:top w:val="single" w:sz="4" w:space="0" w:color="auto"/>
              <w:left w:val="nil"/>
              <w:bottom w:val="single" w:sz="4" w:space="0" w:color="FFFFFF"/>
              <w:right w:val="single" w:sz="4" w:space="0" w:color="000000"/>
            </w:tcBorders>
            <w:shd w:val="clear" w:color="000000" w:fill="0070C0"/>
            <w:vAlign w:val="center"/>
            <w:hideMark/>
          </w:tcPr>
          <w:p w:rsidR="00C62B00" w:rsidRPr="00B32624" w:rsidRDefault="00C62B00" w:rsidP="00324486">
            <w:pPr>
              <w:jc w:val="center"/>
              <w:rPr>
                <w:rFonts w:ascii="Calibri" w:hAnsi="Calibri"/>
                <w:b/>
                <w:bCs/>
                <w:color w:val="FFFFFF"/>
                <w:sz w:val="20"/>
                <w:szCs w:val="20"/>
              </w:rPr>
            </w:pPr>
            <w:r w:rsidRPr="00B32624">
              <w:rPr>
                <w:rFonts w:ascii="Calibri" w:hAnsi="Calibri"/>
                <w:b/>
                <w:bCs/>
                <w:color w:val="FFFFFF"/>
                <w:sz w:val="20"/>
                <w:szCs w:val="20"/>
              </w:rPr>
              <w:t>Old Weather</w:t>
            </w:r>
          </w:p>
        </w:tc>
      </w:tr>
      <w:tr w:rsidR="00370ECC" w:rsidRPr="00B32624" w:rsidTr="00370ECC">
        <w:trPr>
          <w:trHeight w:val="300"/>
        </w:trPr>
        <w:tc>
          <w:tcPr>
            <w:tcW w:w="808" w:type="pct"/>
            <w:vMerge/>
            <w:tcBorders>
              <w:top w:val="single" w:sz="4" w:space="0" w:color="auto"/>
              <w:left w:val="single" w:sz="4" w:space="0" w:color="auto"/>
              <w:bottom w:val="single" w:sz="4" w:space="0" w:color="000000"/>
              <w:right w:val="single" w:sz="4" w:space="0" w:color="FFFFFF"/>
            </w:tcBorders>
            <w:vAlign w:val="center"/>
            <w:hideMark/>
          </w:tcPr>
          <w:p w:rsidR="00C62B00" w:rsidRPr="00B32624" w:rsidRDefault="00C62B00" w:rsidP="00324486">
            <w:pPr>
              <w:rPr>
                <w:rFonts w:ascii="Calibri" w:hAnsi="Calibri"/>
                <w:color w:val="FFFFFF"/>
              </w:rPr>
            </w:pPr>
          </w:p>
        </w:tc>
        <w:tc>
          <w:tcPr>
            <w:tcW w:w="376" w:type="pct"/>
            <w:vMerge/>
            <w:tcBorders>
              <w:top w:val="single" w:sz="4" w:space="0" w:color="auto"/>
              <w:left w:val="single" w:sz="4" w:space="0" w:color="FFFFFF"/>
              <w:bottom w:val="single" w:sz="4" w:space="0" w:color="000000"/>
              <w:right w:val="single" w:sz="4" w:space="0" w:color="FFFFFF"/>
            </w:tcBorders>
            <w:vAlign w:val="center"/>
            <w:hideMark/>
          </w:tcPr>
          <w:p w:rsidR="00C62B00" w:rsidRPr="00B32624" w:rsidRDefault="00C62B00" w:rsidP="00324486">
            <w:pPr>
              <w:rPr>
                <w:rFonts w:ascii="Calibri" w:hAnsi="Calibri"/>
                <w:color w:val="FFFFFF"/>
              </w:rPr>
            </w:pPr>
          </w:p>
        </w:tc>
        <w:tc>
          <w:tcPr>
            <w:tcW w:w="1033" w:type="pct"/>
            <w:vMerge/>
            <w:tcBorders>
              <w:top w:val="single" w:sz="4" w:space="0" w:color="auto"/>
              <w:left w:val="single" w:sz="4" w:space="0" w:color="FFFFFF"/>
              <w:bottom w:val="single" w:sz="4" w:space="0" w:color="000000"/>
              <w:right w:val="single" w:sz="4" w:space="0" w:color="FFFFFF"/>
            </w:tcBorders>
            <w:vAlign w:val="center"/>
            <w:hideMark/>
          </w:tcPr>
          <w:p w:rsidR="00C62B00" w:rsidRPr="00B32624" w:rsidRDefault="00C62B00" w:rsidP="00324486">
            <w:pPr>
              <w:rPr>
                <w:rFonts w:ascii="Calibri" w:hAnsi="Calibri"/>
                <w:color w:val="FFFFFF"/>
              </w:rPr>
            </w:pPr>
          </w:p>
        </w:tc>
        <w:tc>
          <w:tcPr>
            <w:tcW w:w="423" w:type="pct"/>
            <w:tcBorders>
              <w:top w:val="nil"/>
              <w:left w:val="nil"/>
              <w:bottom w:val="single" w:sz="4" w:space="0" w:color="auto"/>
              <w:right w:val="single" w:sz="4" w:space="0" w:color="FFFFFF"/>
            </w:tcBorders>
            <w:shd w:val="clear" w:color="000000" w:fill="0070C0"/>
            <w:vAlign w:val="center"/>
            <w:hideMark/>
          </w:tcPr>
          <w:p w:rsidR="00C62B00" w:rsidRPr="00B32624" w:rsidRDefault="00C62B00" w:rsidP="00324486">
            <w:pPr>
              <w:jc w:val="center"/>
              <w:rPr>
                <w:rFonts w:ascii="Calibri" w:hAnsi="Calibri"/>
                <w:b/>
                <w:bCs/>
                <w:color w:val="FFFFFF"/>
                <w:sz w:val="20"/>
                <w:szCs w:val="20"/>
              </w:rPr>
            </w:pPr>
            <w:r w:rsidRPr="00B32624">
              <w:rPr>
                <w:rFonts w:ascii="Calibri" w:hAnsi="Calibri"/>
                <w:b/>
                <w:bCs/>
                <w:color w:val="FFFFFF"/>
                <w:sz w:val="20"/>
                <w:szCs w:val="20"/>
              </w:rPr>
              <w:t>1-in-2</w:t>
            </w:r>
          </w:p>
        </w:tc>
        <w:tc>
          <w:tcPr>
            <w:tcW w:w="440" w:type="pct"/>
            <w:tcBorders>
              <w:top w:val="nil"/>
              <w:left w:val="nil"/>
              <w:bottom w:val="single" w:sz="4" w:space="0" w:color="auto"/>
              <w:right w:val="single" w:sz="4" w:space="0" w:color="FFFFFF"/>
            </w:tcBorders>
            <w:shd w:val="clear" w:color="000000" w:fill="0070C0"/>
            <w:vAlign w:val="center"/>
            <w:hideMark/>
          </w:tcPr>
          <w:p w:rsidR="00C62B00" w:rsidRPr="00B32624" w:rsidRDefault="00C62B00" w:rsidP="00324486">
            <w:pPr>
              <w:jc w:val="center"/>
              <w:rPr>
                <w:rFonts w:ascii="Calibri" w:hAnsi="Calibri"/>
                <w:b/>
                <w:bCs/>
                <w:color w:val="FFFFFF"/>
                <w:sz w:val="20"/>
                <w:szCs w:val="20"/>
              </w:rPr>
            </w:pPr>
            <w:r w:rsidRPr="00B32624">
              <w:rPr>
                <w:rFonts w:ascii="Calibri" w:hAnsi="Calibri"/>
                <w:b/>
                <w:bCs/>
                <w:color w:val="FFFFFF"/>
                <w:sz w:val="20"/>
                <w:szCs w:val="20"/>
              </w:rPr>
              <w:t>1-in-10</w:t>
            </w:r>
          </w:p>
        </w:tc>
        <w:tc>
          <w:tcPr>
            <w:tcW w:w="504" w:type="pct"/>
            <w:tcBorders>
              <w:top w:val="nil"/>
              <w:left w:val="nil"/>
              <w:bottom w:val="single" w:sz="4" w:space="0" w:color="auto"/>
              <w:right w:val="single" w:sz="4" w:space="0" w:color="FFFFFF"/>
            </w:tcBorders>
            <w:shd w:val="clear" w:color="000000" w:fill="0070C0"/>
            <w:vAlign w:val="center"/>
            <w:hideMark/>
          </w:tcPr>
          <w:p w:rsidR="00C62B00" w:rsidRPr="00B32624" w:rsidRDefault="00C62B00" w:rsidP="00324486">
            <w:pPr>
              <w:jc w:val="center"/>
              <w:rPr>
                <w:rFonts w:ascii="Calibri" w:hAnsi="Calibri"/>
                <w:b/>
                <w:bCs/>
                <w:color w:val="FFFFFF"/>
                <w:sz w:val="20"/>
                <w:szCs w:val="20"/>
              </w:rPr>
            </w:pPr>
            <w:r w:rsidRPr="00B32624">
              <w:rPr>
                <w:rFonts w:ascii="Calibri" w:hAnsi="Calibri"/>
                <w:b/>
                <w:bCs/>
                <w:color w:val="FFFFFF"/>
                <w:sz w:val="20"/>
                <w:szCs w:val="20"/>
              </w:rPr>
              <w:t>1-in-2</w:t>
            </w:r>
          </w:p>
        </w:tc>
        <w:tc>
          <w:tcPr>
            <w:tcW w:w="505" w:type="pct"/>
            <w:tcBorders>
              <w:top w:val="nil"/>
              <w:left w:val="nil"/>
              <w:bottom w:val="single" w:sz="4" w:space="0" w:color="auto"/>
              <w:right w:val="single" w:sz="4" w:space="0" w:color="FFFFFF"/>
            </w:tcBorders>
            <w:shd w:val="clear" w:color="000000" w:fill="0070C0"/>
            <w:vAlign w:val="center"/>
            <w:hideMark/>
          </w:tcPr>
          <w:p w:rsidR="00C62B00" w:rsidRPr="00B32624" w:rsidRDefault="00C62B00" w:rsidP="00324486">
            <w:pPr>
              <w:jc w:val="center"/>
              <w:rPr>
                <w:rFonts w:ascii="Calibri" w:hAnsi="Calibri"/>
                <w:b/>
                <w:bCs/>
                <w:color w:val="FFFFFF"/>
                <w:sz w:val="20"/>
                <w:szCs w:val="20"/>
              </w:rPr>
            </w:pPr>
            <w:r w:rsidRPr="00B32624">
              <w:rPr>
                <w:rFonts w:ascii="Calibri" w:hAnsi="Calibri"/>
                <w:b/>
                <w:bCs/>
                <w:color w:val="FFFFFF"/>
                <w:sz w:val="20"/>
                <w:szCs w:val="20"/>
              </w:rPr>
              <w:t>1-in-10</w:t>
            </w:r>
          </w:p>
        </w:tc>
        <w:tc>
          <w:tcPr>
            <w:tcW w:w="456" w:type="pct"/>
            <w:tcBorders>
              <w:top w:val="nil"/>
              <w:left w:val="nil"/>
              <w:bottom w:val="single" w:sz="4" w:space="0" w:color="auto"/>
              <w:right w:val="single" w:sz="4" w:space="0" w:color="FFFFFF"/>
            </w:tcBorders>
            <w:shd w:val="clear" w:color="000000" w:fill="0070C0"/>
            <w:vAlign w:val="center"/>
            <w:hideMark/>
          </w:tcPr>
          <w:p w:rsidR="00C62B00" w:rsidRPr="00B32624" w:rsidRDefault="00C62B00" w:rsidP="00324486">
            <w:pPr>
              <w:jc w:val="center"/>
              <w:rPr>
                <w:rFonts w:ascii="Calibri" w:hAnsi="Calibri"/>
                <w:b/>
                <w:bCs/>
                <w:color w:val="FFFFFF"/>
                <w:sz w:val="20"/>
                <w:szCs w:val="20"/>
              </w:rPr>
            </w:pPr>
            <w:r w:rsidRPr="00B32624">
              <w:rPr>
                <w:rFonts w:ascii="Calibri" w:hAnsi="Calibri"/>
                <w:b/>
                <w:bCs/>
                <w:color w:val="FFFFFF"/>
                <w:sz w:val="20"/>
                <w:szCs w:val="20"/>
              </w:rPr>
              <w:t>1-in-2</w:t>
            </w:r>
          </w:p>
        </w:tc>
        <w:tc>
          <w:tcPr>
            <w:tcW w:w="454" w:type="pct"/>
            <w:tcBorders>
              <w:top w:val="nil"/>
              <w:left w:val="nil"/>
              <w:bottom w:val="single" w:sz="4" w:space="0" w:color="auto"/>
              <w:right w:val="single" w:sz="4" w:space="0" w:color="auto"/>
            </w:tcBorders>
            <w:shd w:val="clear" w:color="000000" w:fill="0070C0"/>
            <w:vAlign w:val="center"/>
            <w:hideMark/>
          </w:tcPr>
          <w:p w:rsidR="00C62B00" w:rsidRPr="00B32624" w:rsidRDefault="00C62B00" w:rsidP="00324486">
            <w:pPr>
              <w:jc w:val="center"/>
              <w:rPr>
                <w:rFonts w:ascii="Calibri" w:hAnsi="Calibri"/>
                <w:b/>
                <w:bCs/>
                <w:color w:val="FFFFFF"/>
                <w:sz w:val="20"/>
                <w:szCs w:val="20"/>
              </w:rPr>
            </w:pPr>
            <w:r w:rsidRPr="00B32624">
              <w:rPr>
                <w:rFonts w:ascii="Calibri" w:hAnsi="Calibri"/>
                <w:b/>
                <w:bCs/>
                <w:color w:val="FFFFFF"/>
                <w:sz w:val="20"/>
                <w:szCs w:val="20"/>
              </w:rPr>
              <w:t>1-in-10</w:t>
            </w:r>
          </w:p>
        </w:tc>
      </w:tr>
      <w:tr w:rsidR="00C62B00" w:rsidRPr="00B32624" w:rsidTr="00370ECC">
        <w:trPr>
          <w:trHeight w:val="300"/>
        </w:trPr>
        <w:tc>
          <w:tcPr>
            <w:tcW w:w="8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Nonresidential</w:t>
            </w:r>
          </w:p>
        </w:tc>
        <w:tc>
          <w:tcPr>
            <w:tcW w:w="3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30%</w:t>
            </w: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Typical Event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May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65</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June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69</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July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72</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August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September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82</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82</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81</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85</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October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71</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50%</w:t>
            </w: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Typical Event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May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65</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67</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June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69</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July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72</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72</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August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September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81</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81</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81</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84</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October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71</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72</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r>
      <w:tr w:rsidR="00C62B00" w:rsidRPr="00B32624" w:rsidTr="00370ECC">
        <w:trPr>
          <w:trHeight w:val="300"/>
        </w:trPr>
        <w:tc>
          <w:tcPr>
            <w:tcW w:w="8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Residential</w:t>
            </w:r>
          </w:p>
        </w:tc>
        <w:tc>
          <w:tcPr>
            <w:tcW w:w="3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50%</w:t>
            </w: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Typical Event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80</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May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65</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69</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June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69</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69</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July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72</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80</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80</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August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80</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September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83</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83</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82</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86</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October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72</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100%</w:t>
            </w: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Typical Event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May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65</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69</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June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69</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July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72</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73</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August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80</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79</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September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78</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83</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76</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83</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82</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85</w:t>
            </w:r>
          </w:p>
        </w:tc>
      </w:tr>
      <w:tr w:rsidR="00C62B00" w:rsidRPr="00B32624" w:rsidTr="00370ECC">
        <w:trPr>
          <w:trHeight w:val="300"/>
        </w:trPr>
        <w:tc>
          <w:tcPr>
            <w:tcW w:w="808"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376" w:type="pct"/>
            <w:vMerge/>
            <w:tcBorders>
              <w:top w:val="nil"/>
              <w:left w:val="single" w:sz="4" w:space="0" w:color="auto"/>
              <w:bottom w:val="single" w:sz="4" w:space="0" w:color="auto"/>
              <w:right w:val="single" w:sz="4" w:space="0" w:color="auto"/>
            </w:tcBorders>
            <w:vAlign w:val="center"/>
            <w:hideMark/>
          </w:tcPr>
          <w:p w:rsidR="00C62B00" w:rsidRPr="00B32624" w:rsidRDefault="00C62B00" w:rsidP="00324486">
            <w:pPr>
              <w:rPr>
                <w:rFonts w:ascii="Calibri" w:hAnsi="Calibri"/>
                <w:color w:val="000000"/>
              </w:rPr>
            </w:pPr>
          </w:p>
        </w:tc>
        <w:tc>
          <w:tcPr>
            <w:tcW w:w="1033" w:type="pct"/>
            <w:tcBorders>
              <w:top w:val="nil"/>
              <w:left w:val="nil"/>
              <w:bottom w:val="single" w:sz="4" w:space="0" w:color="auto"/>
              <w:right w:val="single" w:sz="4" w:space="0" w:color="auto"/>
            </w:tcBorders>
            <w:shd w:val="clear" w:color="auto" w:fill="auto"/>
            <w:vAlign w:val="center"/>
            <w:hideMark/>
          </w:tcPr>
          <w:p w:rsidR="00C62B00" w:rsidRPr="00B32624" w:rsidRDefault="00C62B00" w:rsidP="00324486">
            <w:pPr>
              <w:jc w:val="center"/>
              <w:rPr>
                <w:rFonts w:ascii="Calibri" w:hAnsi="Calibri"/>
                <w:color w:val="000000"/>
                <w:sz w:val="20"/>
                <w:szCs w:val="20"/>
              </w:rPr>
            </w:pPr>
            <w:r w:rsidRPr="00B32624">
              <w:rPr>
                <w:rFonts w:ascii="Calibri" w:hAnsi="Calibri"/>
                <w:color w:val="000000"/>
                <w:sz w:val="20"/>
                <w:szCs w:val="20"/>
              </w:rPr>
              <w:t>October Peak Day</w:t>
            </w:r>
          </w:p>
        </w:tc>
        <w:tc>
          <w:tcPr>
            <w:tcW w:w="423"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68</w:t>
            </w:r>
          </w:p>
        </w:tc>
        <w:tc>
          <w:tcPr>
            <w:tcW w:w="440"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75</w:t>
            </w:r>
          </w:p>
        </w:tc>
        <w:tc>
          <w:tcPr>
            <w:tcW w:w="504" w:type="pct"/>
            <w:tcBorders>
              <w:top w:val="nil"/>
              <w:left w:val="nil"/>
              <w:bottom w:val="single" w:sz="4" w:space="0" w:color="auto"/>
              <w:right w:val="single" w:sz="4" w:space="0" w:color="auto"/>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72</w:t>
            </w:r>
          </w:p>
        </w:tc>
        <w:tc>
          <w:tcPr>
            <w:tcW w:w="505" w:type="pct"/>
            <w:tcBorders>
              <w:top w:val="nil"/>
              <w:left w:val="nil"/>
              <w:bottom w:val="single" w:sz="4" w:space="0" w:color="auto"/>
              <w:right w:val="nil"/>
            </w:tcBorders>
            <w:shd w:val="clear" w:color="auto" w:fill="auto"/>
            <w:noWrap/>
            <w:vAlign w:val="center"/>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c>
          <w:tcPr>
            <w:tcW w:w="456" w:type="pct"/>
            <w:tcBorders>
              <w:top w:val="nil"/>
              <w:left w:val="single" w:sz="4" w:space="0" w:color="auto"/>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74</w:t>
            </w:r>
          </w:p>
        </w:tc>
        <w:tc>
          <w:tcPr>
            <w:tcW w:w="454" w:type="pct"/>
            <w:tcBorders>
              <w:top w:val="nil"/>
              <w:left w:val="nil"/>
              <w:bottom w:val="single" w:sz="4" w:space="0" w:color="auto"/>
              <w:right w:val="single" w:sz="4" w:space="0" w:color="auto"/>
            </w:tcBorders>
            <w:shd w:val="clear" w:color="auto" w:fill="auto"/>
            <w:noWrap/>
            <w:vAlign w:val="bottom"/>
            <w:hideMark/>
          </w:tcPr>
          <w:p w:rsidR="00C62B00" w:rsidRPr="00B32624" w:rsidRDefault="00C62B00" w:rsidP="00324486">
            <w:pPr>
              <w:jc w:val="center"/>
              <w:rPr>
                <w:rFonts w:ascii="Calibri" w:hAnsi="Calibri"/>
                <w:color w:val="000000"/>
              </w:rPr>
            </w:pPr>
            <w:r w:rsidRPr="00B32624">
              <w:rPr>
                <w:rFonts w:ascii="Calibri" w:hAnsi="Calibri"/>
                <w:color w:val="000000"/>
              </w:rPr>
              <w:t>77</w:t>
            </w:r>
          </w:p>
        </w:tc>
      </w:tr>
    </w:tbl>
    <w:p w:rsidR="00C62B00" w:rsidRDefault="00C62B00" w:rsidP="00C62B00">
      <w:pPr>
        <w:pStyle w:val="BodyParagraph"/>
      </w:pPr>
    </w:p>
    <w:p w:rsidR="00221278" w:rsidRDefault="00C66165" w:rsidP="00221278">
      <w:pPr>
        <w:pStyle w:val="BodyParagraph"/>
      </w:pPr>
      <w:r w:rsidRPr="004C7AD3">
        <w:t xml:space="preserve">.  </w:t>
      </w:r>
      <w:r w:rsidRPr="00221278">
        <w:rPr>
          <w:rFonts w:ascii="Times New Roman" w:hAnsi="Times New Roman"/>
          <w:color w:val="000000" w:themeColor="text1"/>
          <w:sz w:val="24"/>
          <w:szCs w:val="24"/>
        </w:rPr>
        <w:t xml:space="preserve">Tables 6-10 and 6-11 show how aggregate load impacts for residential participants change as a result of differences in the factors underlying ex post and ex ante estimates.  </w:t>
      </w:r>
      <w:r w:rsidR="00E4295F" w:rsidRPr="00221278">
        <w:rPr>
          <w:rFonts w:ascii="Times New Roman" w:hAnsi="Times New Roman"/>
          <w:color w:val="000000" w:themeColor="text1"/>
          <w:sz w:val="24"/>
          <w:szCs w:val="24"/>
        </w:rPr>
        <w:t>Table 6-12 pertains to residential customers in the 50% cycling option and Table 6-13 pertains to 100% cycling participants</w:t>
      </w:r>
      <w:r w:rsidR="00E4295F" w:rsidRPr="004C7AD3">
        <w:t>.</w:t>
      </w:r>
    </w:p>
    <w:p w:rsidR="000D06CB" w:rsidRPr="000D06CB" w:rsidRDefault="000D06CB" w:rsidP="000D06CB">
      <w:pPr>
        <w:pStyle w:val="BodyParagraph"/>
        <w:ind w:firstLine="720"/>
        <w:rPr>
          <w:rFonts w:ascii="Times New Roman" w:hAnsi="Times New Roman"/>
          <w:color w:val="000000" w:themeColor="text1"/>
          <w:sz w:val="24"/>
          <w:szCs w:val="24"/>
        </w:rPr>
      </w:pPr>
      <w:r w:rsidRPr="000D06CB">
        <w:rPr>
          <w:rFonts w:ascii="Times New Roman" w:hAnsi="Times New Roman"/>
          <w:color w:val="000000" w:themeColor="text1"/>
          <w:sz w:val="24"/>
          <w:szCs w:val="24"/>
        </w:rPr>
        <w:lastRenderedPageBreak/>
        <w:t xml:space="preserve">Columns A through D describe the particular circumstances of each 2014 Summer Saver load control event. Each event is denoted by its date, shown in Column A. Column B shows the time of the event window, and column C shows the temperature for each event day, as measured by mean17 (the enrollment-weighted temperature averaged across the hours midnight to 5 PM). Column C reflects the temperatures of this report and in the ex post table generators. </w:t>
      </w:r>
    </w:p>
    <w:p w:rsidR="000D06CB" w:rsidRPr="000D06CB" w:rsidRDefault="000D06CB" w:rsidP="000D06CB">
      <w:pPr>
        <w:pStyle w:val="BodyParagraph"/>
        <w:ind w:firstLine="720"/>
        <w:rPr>
          <w:rFonts w:ascii="Times New Roman" w:hAnsi="Times New Roman"/>
          <w:color w:val="000000" w:themeColor="text1"/>
          <w:sz w:val="24"/>
          <w:szCs w:val="24"/>
        </w:rPr>
      </w:pPr>
      <w:r w:rsidRPr="000D06CB">
        <w:rPr>
          <w:rFonts w:ascii="Times New Roman" w:hAnsi="Times New Roman"/>
          <w:color w:val="000000" w:themeColor="text1"/>
          <w:sz w:val="24"/>
          <w:szCs w:val="24"/>
        </w:rPr>
        <w:t>Column D reflects the mean17 temperature for each event using only two weather stations, San Diego International Airport (KSAN) and Miramar Marine Corps Air Station (KNKX). This is the first difference between the ex post and ex ante load impacts: ex ante load impacts are estimated  using weather conditions determined by only these two weather stations; so the first step in the comparison process is to translate the ex post temperatures using seven weather stations to ex post temperatures based on two weather stations. Column F then presents the load impacts that the ex ante model predicts for the ex post event window (Column B) and for the ex post weather conditions (Column E). Column G makes a final adjustment to the predicted load impacts shown in Column F by recalculating the predicted load impacts for the ex ante event window, which is always 1 to 6 PM.</w:t>
      </w:r>
    </w:p>
    <w:p w:rsidR="000D06CB" w:rsidRPr="000D06CB" w:rsidRDefault="000D06CB" w:rsidP="000D06CB">
      <w:pPr>
        <w:pStyle w:val="BodyParagraph"/>
        <w:ind w:firstLine="720"/>
        <w:rPr>
          <w:rFonts w:ascii="Times New Roman" w:hAnsi="Times New Roman"/>
          <w:color w:val="000000" w:themeColor="text1"/>
          <w:sz w:val="24"/>
          <w:szCs w:val="24"/>
        </w:rPr>
      </w:pPr>
      <w:r w:rsidRPr="000D06CB">
        <w:rPr>
          <w:rFonts w:ascii="Times New Roman" w:hAnsi="Times New Roman"/>
          <w:color w:val="000000" w:themeColor="text1"/>
          <w:sz w:val="24"/>
          <w:szCs w:val="24"/>
        </w:rPr>
        <w:t>Columns H and I compare Column G with the ex ante load impact estimate given the SDG&amp;E-specific ex ante weather conditions for 1-in-2 and 1-in-10 year system peaking scenarios. Columns H and I are divided into three rows, orange, blue, and purple. The orange rows represent the May monthly system peak day ex ante estimates, which is appropriate to use to compare with the values in Column G for the May events. The blue rows show the typical event day ex ante estimates, which are most representative of the July and August events. Finally the purple rows show the September monthly peak day ex ante estimates, for comparison with the September event load impacts shown in Column G.</w:t>
      </w:r>
    </w:p>
    <w:p w:rsidR="000D06CB" w:rsidRPr="000D06CB" w:rsidRDefault="000D06CB" w:rsidP="000D06CB">
      <w:pPr>
        <w:pStyle w:val="BodyParagraph"/>
        <w:ind w:firstLine="720"/>
        <w:rPr>
          <w:rFonts w:ascii="Times New Roman" w:hAnsi="Times New Roman"/>
          <w:color w:val="000000" w:themeColor="text1"/>
          <w:sz w:val="24"/>
          <w:szCs w:val="24"/>
        </w:rPr>
      </w:pPr>
      <w:r w:rsidRPr="000D06CB">
        <w:rPr>
          <w:rFonts w:ascii="Times New Roman" w:hAnsi="Times New Roman"/>
          <w:color w:val="000000" w:themeColor="text1"/>
          <w:sz w:val="24"/>
          <w:szCs w:val="24"/>
        </w:rPr>
        <w:t>Columns J through K, like Columns H and I, show ex ante load impacts for 1-in-2 and 1-in-10 year conditions, but for CAISO peaking conditions</w:t>
      </w:r>
    </w:p>
    <w:p w:rsidR="00653FC5" w:rsidRDefault="00653FC5">
      <w:pPr>
        <w:rPr>
          <w:b/>
          <w:sz w:val="20"/>
          <w:szCs w:val="20"/>
        </w:rPr>
      </w:pPr>
      <w:r>
        <w:rPr>
          <w:b/>
          <w:szCs w:val="20"/>
        </w:rPr>
        <w:br w:type="page"/>
      </w:r>
    </w:p>
    <w:p w:rsidR="0023090A" w:rsidRPr="00221278" w:rsidRDefault="0023090A" w:rsidP="00221278">
      <w:pPr>
        <w:pStyle w:val="BodyParagraph"/>
        <w:jc w:val="center"/>
        <w:rPr>
          <w:rFonts w:ascii="Times New Roman" w:hAnsi="Times New Roman"/>
          <w:b/>
          <w:szCs w:val="20"/>
        </w:rPr>
      </w:pPr>
      <w:r w:rsidRPr="00221278">
        <w:rPr>
          <w:rFonts w:ascii="Times New Roman" w:hAnsi="Times New Roman"/>
          <w:b/>
          <w:szCs w:val="20"/>
        </w:rPr>
        <w:lastRenderedPageBreak/>
        <w:t>Table 6-10: Differences in Ex Post and Ex Ante Load Impacts Due to Key Factors</w:t>
      </w:r>
      <w:r w:rsidRPr="00221278">
        <w:rPr>
          <w:rFonts w:ascii="Times New Roman" w:hAnsi="Times New Roman"/>
          <w:b/>
          <w:szCs w:val="20"/>
        </w:rPr>
        <w:br/>
        <w:t>Residential 50% Cycling</w:t>
      </w:r>
    </w:p>
    <w:tbl>
      <w:tblPr>
        <w:tblW w:w="5000" w:type="pct"/>
        <w:tblLook w:val="04A0" w:firstRow="1" w:lastRow="0" w:firstColumn="1" w:lastColumn="0" w:noHBand="0" w:noVBand="1"/>
      </w:tblPr>
      <w:tblGrid>
        <w:gridCol w:w="994"/>
        <w:gridCol w:w="848"/>
        <w:gridCol w:w="832"/>
        <w:gridCol w:w="978"/>
        <w:gridCol w:w="839"/>
        <w:gridCol w:w="1099"/>
        <w:gridCol w:w="1030"/>
        <w:gridCol w:w="744"/>
        <w:gridCol w:w="744"/>
        <w:gridCol w:w="734"/>
        <w:gridCol w:w="734"/>
      </w:tblGrid>
      <w:tr w:rsidR="009E43A3" w:rsidTr="009E43A3">
        <w:trPr>
          <w:trHeight w:val="313"/>
        </w:trPr>
        <w:tc>
          <w:tcPr>
            <w:tcW w:w="495" w:type="pct"/>
            <w:vMerge w:val="restart"/>
            <w:tcBorders>
              <w:top w:val="single" w:sz="8" w:space="0" w:color="auto"/>
              <w:left w:val="single" w:sz="8" w:space="0" w:color="auto"/>
              <w:bottom w:val="single" w:sz="8" w:space="0" w:color="000000"/>
              <w:right w:val="single" w:sz="8" w:space="0" w:color="FFFFFF"/>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Date</w:t>
            </w:r>
          </w:p>
        </w:tc>
        <w:tc>
          <w:tcPr>
            <w:tcW w:w="1826" w:type="pct"/>
            <w:gridSpan w:val="4"/>
            <w:tcBorders>
              <w:top w:val="single" w:sz="8" w:space="0" w:color="auto"/>
              <w:left w:val="nil"/>
              <w:bottom w:val="single" w:sz="8" w:space="0" w:color="FFFFFF"/>
              <w:right w:val="single" w:sz="8" w:space="0" w:color="FFFFFF"/>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2014 Ex Post</w:t>
            </w:r>
          </w:p>
        </w:tc>
        <w:tc>
          <w:tcPr>
            <w:tcW w:w="2679" w:type="pct"/>
            <w:gridSpan w:val="6"/>
            <w:tcBorders>
              <w:top w:val="single" w:sz="8" w:space="0" w:color="auto"/>
              <w:left w:val="nil"/>
              <w:bottom w:val="single" w:sz="8" w:space="0" w:color="FFFFFF"/>
              <w:right w:val="single" w:sz="8" w:space="0" w:color="000000"/>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2014 Ex Ante Model</w:t>
            </w:r>
          </w:p>
        </w:tc>
      </w:tr>
      <w:tr w:rsidR="009E43A3" w:rsidTr="009E43A3">
        <w:trPr>
          <w:trHeight w:val="637"/>
        </w:trPr>
        <w:tc>
          <w:tcPr>
            <w:tcW w:w="0" w:type="auto"/>
            <w:vMerge/>
            <w:tcBorders>
              <w:top w:val="single" w:sz="8" w:space="0" w:color="auto"/>
              <w:left w:val="single" w:sz="8" w:space="0" w:color="auto"/>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436"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Event Window</w:t>
            </w:r>
          </w:p>
        </w:tc>
        <w:tc>
          <w:tcPr>
            <w:tcW w:w="424"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Mean17 (</w:t>
            </w:r>
            <w:r>
              <w:rPr>
                <w:rFonts w:ascii="Calibri" w:hAnsi="Calibri"/>
                <w:color w:val="FFFFFF"/>
                <w:lang w:eastAsia="zh-CN"/>
              </w:rPr>
              <w:t>°F</w:t>
            </w:r>
            <w:r>
              <w:rPr>
                <w:rFonts w:ascii="Calibri" w:hAnsi="Calibri"/>
                <w:color w:val="000000"/>
                <w:sz w:val="16"/>
                <w:szCs w:val="16"/>
                <w:lang w:eastAsia="zh-CN"/>
              </w:rPr>
              <w:t> </w:t>
            </w:r>
            <w:r>
              <w:rPr>
                <w:rFonts w:ascii="Calibri" w:hAnsi="Calibri"/>
                <w:color w:val="FFFFFF"/>
                <w:lang w:eastAsia="zh-CN"/>
              </w:rPr>
              <w:t>)</w:t>
            </w:r>
          </w:p>
        </w:tc>
        <w:tc>
          <w:tcPr>
            <w:tcW w:w="487"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Post Aggregate Impact (MW)</w:t>
            </w:r>
          </w:p>
        </w:tc>
        <w:tc>
          <w:tcPr>
            <w:tcW w:w="478"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Mean17 using KSAN KNKX Only (°F)</w:t>
            </w:r>
          </w:p>
        </w:tc>
        <w:tc>
          <w:tcPr>
            <w:tcW w:w="614"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with Ex Post Event Window and Weather (MW)</w:t>
            </w:r>
          </w:p>
        </w:tc>
        <w:tc>
          <w:tcPr>
            <w:tcW w:w="578"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(1PM-6PM) using Ex Post Weather (MW)</w:t>
            </w:r>
          </w:p>
        </w:tc>
        <w:tc>
          <w:tcPr>
            <w:tcW w:w="370"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SDG&amp;E    1-in-2  (MW)</w:t>
            </w:r>
          </w:p>
        </w:tc>
        <w:tc>
          <w:tcPr>
            <w:tcW w:w="370"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SDG&amp;E    1-in-10 (MW)</w:t>
            </w:r>
          </w:p>
        </w:tc>
        <w:tc>
          <w:tcPr>
            <w:tcW w:w="377"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CAISO     1-in-2 (MW)</w:t>
            </w:r>
          </w:p>
        </w:tc>
        <w:tc>
          <w:tcPr>
            <w:tcW w:w="369" w:type="pct"/>
            <w:vMerge w:val="restart"/>
            <w:tcBorders>
              <w:top w:val="nil"/>
              <w:left w:val="single" w:sz="8" w:space="0" w:color="FFFFFF"/>
              <w:bottom w:val="single" w:sz="8" w:space="0" w:color="000000"/>
              <w:right w:val="single" w:sz="8" w:space="0" w:color="auto"/>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CAISO    1-in-10 (MW)</w:t>
            </w:r>
          </w:p>
        </w:tc>
      </w:tr>
      <w:tr w:rsidR="009E43A3" w:rsidTr="009E43A3">
        <w:trPr>
          <w:trHeight w:val="684"/>
        </w:trPr>
        <w:tc>
          <w:tcPr>
            <w:tcW w:w="0" w:type="auto"/>
            <w:vMerge/>
            <w:tcBorders>
              <w:top w:val="single" w:sz="8" w:space="0" w:color="auto"/>
              <w:left w:val="single" w:sz="8" w:space="0" w:color="auto"/>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auto"/>
            </w:tcBorders>
            <w:vAlign w:val="center"/>
            <w:hideMark/>
          </w:tcPr>
          <w:p w:rsidR="009E43A3" w:rsidRDefault="009E43A3">
            <w:pPr>
              <w:rPr>
                <w:rFonts w:ascii="Calibri" w:hAnsi="Calibri"/>
                <w:b/>
                <w:bCs/>
                <w:color w:val="FFFFFF"/>
                <w:sz w:val="18"/>
                <w:szCs w:val="18"/>
                <w:lang w:eastAsia="zh-CN"/>
              </w:rPr>
            </w:pPr>
          </w:p>
        </w:tc>
      </w:tr>
      <w:tr w:rsidR="009E43A3" w:rsidTr="009E43A3">
        <w:trPr>
          <w:trHeight w:val="313"/>
        </w:trPr>
        <w:tc>
          <w:tcPr>
            <w:tcW w:w="495"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A</w:t>
            </w:r>
          </w:p>
        </w:tc>
        <w:tc>
          <w:tcPr>
            <w:tcW w:w="43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B</w:t>
            </w:r>
          </w:p>
        </w:tc>
        <w:tc>
          <w:tcPr>
            <w:tcW w:w="42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C</w:t>
            </w:r>
          </w:p>
        </w:tc>
        <w:tc>
          <w:tcPr>
            <w:tcW w:w="487"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D</w:t>
            </w:r>
          </w:p>
        </w:tc>
        <w:tc>
          <w:tcPr>
            <w:tcW w:w="478"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 xml:space="preserve">E </w:t>
            </w:r>
          </w:p>
        </w:tc>
        <w:tc>
          <w:tcPr>
            <w:tcW w:w="61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F</w:t>
            </w:r>
          </w:p>
        </w:tc>
        <w:tc>
          <w:tcPr>
            <w:tcW w:w="578"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G</w:t>
            </w:r>
          </w:p>
        </w:tc>
        <w:tc>
          <w:tcPr>
            <w:tcW w:w="37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H</w:t>
            </w:r>
          </w:p>
        </w:tc>
        <w:tc>
          <w:tcPr>
            <w:tcW w:w="37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I</w:t>
            </w:r>
          </w:p>
        </w:tc>
        <w:tc>
          <w:tcPr>
            <w:tcW w:w="377"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J</w:t>
            </w:r>
          </w:p>
        </w:tc>
        <w:tc>
          <w:tcPr>
            <w:tcW w:w="369"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K</w:t>
            </w:r>
          </w:p>
        </w:tc>
      </w:tr>
      <w:tr w:rsidR="009E43A3" w:rsidTr="009E43A3">
        <w:trPr>
          <w:trHeight w:val="313"/>
        </w:trPr>
        <w:tc>
          <w:tcPr>
            <w:tcW w:w="495"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5/14/2014</w:t>
            </w:r>
          </w:p>
        </w:tc>
        <w:tc>
          <w:tcPr>
            <w:tcW w:w="43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 pm</w:t>
            </w:r>
          </w:p>
        </w:tc>
        <w:tc>
          <w:tcPr>
            <w:tcW w:w="42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487"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2.2</w:t>
            </w:r>
          </w:p>
        </w:tc>
        <w:tc>
          <w:tcPr>
            <w:tcW w:w="4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w:t>
            </w:r>
          </w:p>
        </w:tc>
        <w:tc>
          <w:tcPr>
            <w:tcW w:w="5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8.6</w:t>
            </w:r>
          </w:p>
        </w:tc>
        <w:tc>
          <w:tcPr>
            <w:tcW w:w="370"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 xml:space="preserve">3.0 </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(69°F)</w:t>
            </w:r>
          </w:p>
        </w:tc>
        <w:tc>
          <w:tcPr>
            <w:tcW w:w="370"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6.6</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(77°F)</w:t>
            </w:r>
          </w:p>
        </w:tc>
        <w:tc>
          <w:tcPr>
            <w:tcW w:w="377"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 xml:space="preserve">1.6 </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(65°F)</w:t>
            </w:r>
          </w:p>
        </w:tc>
        <w:tc>
          <w:tcPr>
            <w:tcW w:w="369"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5.3</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r>
      <w:tr w:rsidR="009E43A3" w:rsidTr="009E43A3">
        <w:trPr>
          <w:trHeight w:val="313"/>
        </w:trPr>
        <w:tc>
          <w:tcPr>
            <w:tcW w:w="495"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5/15/2014</w:t>
            </w:r>
          </w:p>
        </w:tc>
        <w:tc>
          <w:tcPr>
            <w:tcW w:w="43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 pm</w:t>
            </w:r>
          </w:p>
        </w:tc>
        <w:tc>
          <w:tcPr>
            <w:tcW w:w="42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84</w:t>
            </w:r>
          </w:p>
        </w:tc>
        <w:tc>
          <w:tcPr>
            <w:tcW w:w="487"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w:t>
            </w:r>
          </w:p>
        </w:tc>
        <w:tc>
          <w:tcPr>
            <w:tcW w:w="4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86</w:t>
            </w:r>
          </w:p>
        </w:tc>
        <w:tc>
          <w:tcPr>
            <w:tcW w:w="61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10.5</w:t>
            </w:r>
          </w:p>
        </w:tc>
        <w:tc>
          <w:tcPr>
            <w:tcW w:w="5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10.1</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3"/>
        </w:trPr>
        <w:tc>
          <w:tcPr>
            <w:tcW w:w="495"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5/16/2014</w:t>
            </w:r>
          </w:p>
        </w:tc>
        <w:tc>
          <w:tcPr>
            <w:tcW w:w="43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12-4 pm</w:t>
            </w:r>
          </w:p>
        </w:tc>
        <w:tc>
          <w:tcPr>
            <w:tcW w:w="42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487"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1.5</w:t>
            </w:r>
          </w:p>
        </w:tc>
        <w:tc>
          <w:tcPr>
            <w:tcW w:w="4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w:t>
            </w:r>
          </w:p>
        </w:tc>
        <w:tc>
          <w:tcPr>
            <w:tcW w:w="61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8.7</w:t>
            </w:r>
          </w:p>
        </w:tc>
        <w:tc>
          <w:tcPr>
            <w:tcW w:w="5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8.9</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3"/>
        </w:trPr>
        <w:tc>
          <w:tcPr>
            <w:tcW w:w="495"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7/29/2014</w:t>
            </w:r>
          </w:p>
        </w:tc>
        <w:tc>
          <w:tcPr>
            <w:tcW w:w="43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3-7 pm</w:t>
            </w:r>
          </w:p>
        </w:tc>
        <w:tc>
          <w:tcPr>
            <w:tcW w:w="42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80</w:t>
            </w:r>
          </w:p>
        </w:tc>
        <w:tc>
          <w:tcPr>
            <w:tcW w:w="487"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6.3</w:t>
            </w:r>
          </w:p>
        </w:tc>
        <w:tc>
          <w:tcPr>
            <w:tcW w:w="4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w:t>
            </w:r>
          </w:p>
        </w:tc>
        <w:tc>
          <w:tcPr>
            <w:tcW w:w="61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7.3</w:t>
            </w:r>
          </w:p>
        </w:tc>
        <w:tc>
          <w:tcPr>
            <w:tcW w:w="5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6.9</w:t>
            </w:r>
          </w:p>
        </w:tc>
        <w:tc>
          <w:tcPr>
            <w:tcW w:w="370"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 xml:space="preserve">5.0 </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c>
          <w:tcPr>
            <w:tcW w:w="370"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7.5</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(79°F)</w:t>
            </w:r>
          </w:p>
        </w:tc>
        <w:tc>
          <w:tcPr>
            <w:tcW w:w="377"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 xml:space="preserve">5.3    </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c>
          <w:tcPr>
            <w:tcW w:w="369"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6.7</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(78°F)</w:t>
            </w:r>
          </w:p>
        </w:tc>
      </w:tr>
      <w:tr w:rsidR="009E43A3" w:rsidTr="009E43A3">
        <w:trPr>
          <w:trHeight w:val="313"/>
        </w:trPr>
        <w:tc>
          <w:tcPr>
            <w:tcW w:w="495"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8/27/2014</w:t>
            </w:r>
          </w:p>
        </w:tc>
        <w:tc>
          <w:tcPr>
            <w:tcW w:w="43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2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79</w:t>
            </w:r>
          </w:p>
        </w:tc>
        <w:tc>
          <w:tcPr>
            <w:tcW w:w="487"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1.3</w:t>
            </w:r>
          </w:p>
        </w:tc>
        <w:tc>
          <w:tcPr>
            <w:tcW w:w="4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79</w:t>
            </w:r>
          </w:p>
        </w:tc>
        <w:tc>
          <w:tcPr>
            <w:tcW w:w="61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7.5</w:t>
            </w:r>
          </w:p>
        </w:tc>
        <w:tc>
          <w:tcPr>
            <w:tcW w:w="5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7.2</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3"/>
        </w:trPr>
        <w:tc>
          <w:tcPr>
            <w:tcW w:w="495"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9/15/2014</w:t>
            </w:r>
          </w:p>
        </w:tc>
        <w:tc>
          <w:tcPr>
            <w:tcW w:w="43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2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84</w:t>
            </w:r>
          </w:p>
        </w:tc>
        <w:tc>
          <w:tcPr>
            <w:tcW w:w="487"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10</w:t>
            </w:r>
          </w:p>
        </w:tc>
        <w:tc>
          <w:tcPr>
            <w:tcW w:w="4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w:t>
            </w:r>
          </w:p>
        </w:tc>
        <w:tc>
          <w:tcPr>
            <w:tcW w:w="5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8.7</w:t>
            </w:r>
          </w:p>
        </w:tc>
        <w:tc>
          <w:tcPr>
            <w:tcW w:w="370"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6.3</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(77°F)</w:t>
            </w:r>
          </w:p>
        </w:tc>
        <w:tc>
          <w:tcPr>
            <w:tcW w:w="370"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(83°F)</w:t>
            </w:r>
          </w:p>
        </w:tc>
        <w:tc>
          <w:tcPr>
            <w:tcW w:w="377"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7.0</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(78°F)</w:t>
            </w:r>
          </w:p>
        </w:tc>
        <w:tc>
          <w:tcPr>
            <w:tcW w:w="369"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(83°F)</w:t>
            </w:r>
          </w:p>
        </w:tc>
      </w:tr>
      <w:tr w:rsidR="009E43A3" w:rsidTr="009E43A3">
        <w:trPr>
          <w:trHeight w:val="313"/>
        </w:trPr>
        <w:tc>
          <w:tcPr>
            <w:tcW w:w="495"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9/16/2014</w:t>
            </w:r>
          </w:p>
        </w:tc>
        <w:tc>
          <w:tcPr>
            <w:tcW w:w="43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3-7 pm</w:t>
            </w:r>
          </w:p>
        </w:tc>
        <w:tc>
          <w:tcPr>
            <w:tcW w:w="42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86</w:t>
            </w:r>
          </w:p>
        </w:tc>
        <w:tc>
          <w:tcPr>
            <w:tcW w:w="487"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8.1</w:t>
            </w:r>
          </w:p>
        </w:tc>
        <w:tc>
          <w:tcPr>
            <w:tcW w:w="4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86</w:t>
            </w:r>
          </w:p>
        </w:tc>
        <w:tc>
          <w:tcPr>
            <w:tcW w:w="61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10.7</w:t>
            </w:r>
          </w:p>
        </w:tc>
        <w:tc>
          <w:tcPr>
            <w:tcW w:w="5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10.1</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3"/>
        </w:trPr>
        <w:tc>
          <w:tcPr>
            <w:tcW w:w="495"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9/17/2014</w:t>
            </w:r>
          </w:p>
        </w:tc>
        <w:tc>
          <w:tcPr>
            <w:tcW w:w="43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2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86</w:t>
            </w:r>
          </w:p>
        </w:tc>
        <w:tc>
          <w:tcPr>
            <w:tcW w:w="487"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w:t>
            </w:r>
          </w:p>
        </w:tc>
        <w:tc>
          <w:tcPr>
            <w:tcW w:w="4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84</w:t>
            </w:r>
          </w:p>
        </w:tc>
        <w:tc>
          <w:tcPr>
            <w:tcW w:w="61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9.6</w:t>
            </w:r>
          </w:p>
        </w:tc>
        <w:tc>
          <w:tcPr>
            <w:tcW w:w="578"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9.2</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bl>
    <w:p w:rsidR="009E43A3" w:rsidRDefault="009E43A3" w:rsidP="009E43A3">
      <w:pPr>
        <w:keepNext/>
        <w:spacing w:after="120"/>
        <w:jc w:val="center"/>
        <w:rPr>
          <w:rFonts w:ascii="Arial" w:hAnsi="Arial" w:cs="Arial"/>
          <w:b/>
          <w:sz w:val="22"/>
          <w:szCs w:val="22"/>
        </w:rPr>
      </w:pPr>
    </w:p>
    <w:p w:rsidR="0023090A" w:rsidRPr="00221278" w:rsidRDefault="009E43A3" w:rsidP="009E43A3">
      <w:pPr>
        <w:keepNext/>
        <w:spacing w:after="120"/>
        <w:contextualSpacing/>
        <w:jc w:val="center"/>
        <w:rPr>
          <w:b/>
          <w:sz w:val="20"/>
          <w:szCs w:val="20"/>
        </w:rPr>
      </w:pPr>
      <w:r w:rsidRPr="00221278">
        <w:rPr>
          <w:b/>
          <w:sz w:val="20"/>
          <w:szCs w:val="20"/>
        </w:rPr>
        <w:t xml:space="preserve"> </w:t>
      </w:r>
      <w:r w:rsidR="0023090A" w:rsidRPr="00221278">
        <w:rPr>
          <w:b/>
          <w:sz w:val="20"/>
          <w:szCs w:val="20"/>
        </w:rPr>
        <w:t>Table 6-11: Differences in Ex Post and Ex Ante Impacts Due to Key Factors</w:t>
      </w:r>
    </w:p>
    <w:p w:rsidR="0023090A" w:rsidRDefault="0023090A" w:rsidP="0023090A">
      <w:pPr>
        <w:keepNext/>
        <w:spacing w:after="120"/>
        <w:contextualSpacing/>
        <w:jc w:val="center"/>
        <w:rPr>
          <w:rFonts w:ascii="Arial" w:hAnsi="Arial" w:cs="Arial"/>
          <w:b/>
        </w:rPr>
      </w:pPr>
      <w:r w:rsidRPr="00221278">
        <w:rPr>
          <w:b/>
          <w:sz w:val="20"/>
          <w:szCs w:val="20"/>
        </w:rPr>
        <w:t>Residential 100% Cycling</w:t>
      </w:r>
    </w:p>
    <w:tbl>
      <w:tblPr>
        <w:tblW w:w="5000" w:type="pct"/>
        <w:tblLook w:val="04A0" w:firstRow="1" w:lastRow="0" w:firstColumn="1" w:lastColumn="0" w:noHBand="0" w:noVBand="1"/>
      </w:tblPr>
      <w:tblGrid>
        <w:gridCol w:w="994"/>
        <w:gridCol w:w="848"/>
        <w:gridCol w:w="832"/>
        <w:gridCol w:w="978"/>
        <w:gridCol w:w="832"/>
        <w:gridCol w:w="1104"/>
        <w:gridCol w:w="1032"/>
        <w:gridCol w:w="744"/>
        <w:gridCol w:w="744"/>
        <w:gridCol w:w="734"/>
        <w:gridCol w:w="734"/>
      </w:tblGrid>
      <w:tr w:rsidR="009E43A3" w:rsidTr="009E43A3">
        <w:trPr>
          <w:trHeight w:val="315"/>
        </w:trPr>
        <w:tc>
          <w:tcPr>
            <w:tcW w:w="506" w:type="pct"/>
            <w:vMerge w:val="restart"/>
            <w:tcBorders>
              <w:top w:val="single" w:sz="8" w:space="0" w:color="auto"/>
              <w:left w:val="single" w:sz="8" w:space="0" w:color="auto"/>
              <w:bottom w:val="single" w:sz="8" w:space="0" w:color="000000"/>
              <w:right w:val="single" w:sz="8" w:space="0" w:color="FFFFFF"/>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Date</w:t>
            </w:r>
          </w:p>
        </w:tc>
        <w:tc>
          <w:tcPr>
            <w:tcW w:w="1805" w:type="pct"/>
            <w:gridSpan w:val="4"/>
            <w:tcBorders>
              <w:top w:val="single" w:sz="8" w:space="0" w:color="auto"/>
              <w:left w:val="nil"/>
              <w:bottom w:val="single" w:sz="8" w:space="0" w:color="FFFFFF"/>
              <w:right w:val="single" w:sz="8" w:space="0" w:color="FFFFFF"/>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2014 Ex Post</w:t>
            </w:r>
          </w:p>
        </w:tc>
        <w:tc>
          <w:tcPr>
            <w:tcW w:w="2689" w:type="pct"/>
            <w:gridSpan w:val="6"/>
            <w:tcBorders>
              <w:top w:val="single" w:sz="8" w:space="0" w:color="auto"/>
              <w:left w:val="nil"/>
              <w:bottom w:val="single" w:sz="8" w:space="0" w:color="FFFFFF"/>
              <w:right w:val="single" w:sz="8" w:space="0" w:color="000000"/>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2014 Ex Ante Model</w:t>
            </w:r>
          </w:p>
        </w:tc>
      </w:tr>
      <w:tr w:rsidR="009E43A3" w:rsidTr="009E43A3">
        <w:trPr>
          <w:trHeight w:val="1455"/>
        </w:trPr>
        <w:tc>
          <w:tcPr>
            <w:tcW w:w="0" w:type="auto"/>
            <w:vMerge/>
            <w:tcBorders>
              <w:top w:val="single" w:sz="8" w:space="0" w:color="auto"/>
              <w:left w:val="single" w:sz="8" w:space="0" w:color="auto"/>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410" w:type="pct"/>
            <w:tcBorders>
              <w:top w:val="nil"/>
              <w:left w:val="nil"/>
              <w:bottom w:val="nil"/>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Event Window</w:t>
            </w:r>
          </w:p>
        </w:tc>
        <w:tc>
          <w:tcPr>
            <w:tcW w:w="402" w:type="pct"/>
            <w:tcBorders>
              <w:top w:val="nil"/>
              <w:left w:val="nil"/>
              <w:bottom w:val="nil"/>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Mean17 (</w:t>
            </w:r>
            <w:r>
              <w:rPr>
                <w:rFonts w:ascii="Calibri" w:hAnsi="Calibri"/>
                <w:color w:val="FFFFFF"/>
                <w:lang w:eastAsia="zh-CN"/>
              </w:rPr>
              <w:t>°F</w:t>
            </w:r>
            <w:r>
              <w:rPr>
                <w:rFonts w:ascii="Calibri" w:hAnsi="Calibri"/>
                <w:color w:val="000000"/>
                <w:sz w:val="16"/>
                <w:szCs w:val="16"/>
                <w:lang w:eastAsia="zh-CN"/>
              </w:rPr>
              <w:t> </w:t>
            </w:r>
            <w:r>
              <w:rPr>
                <w:rFonts w:ascii="Calibri" w:hAnsi="Calibri"/>
                <w:color w:val="FFFFFF"/>
                <w:lang w:eastAsia="zh-CN"/>
              </w:rPr>
              <w:t>)</w:t>
            </w:r>
          </w:p>
        </w:tc>
        <w:tc>
          <w:tcPr>
            <w:tcW w:w="533" w:type="pct"/>
            <w:tcBorders>
              <w:top w:val="nil"/>
              <w:left w:val="nil"/>
              <w:bottom w:val="nil"/>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Ex-Post Aggregate Impact (MW)</w:t>
            </w:r>
          </w:p>
        </w:tc>
        <w:tc>
          <w:tcPr>
            <w:tcW w:w="461" w:type="pct"/>
            <w:tcBorders>
              <w:top w:val="nil"/>
              <w:left w:val="nil"/>
              <w:bottom w:val="nil"/>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Mean17 using KSAN KNKX Only (°F)</w:t>
            </w:r>
          </w:p>
        </w:tc>
        <w:tc>
          <w:tcPr>
            <w:tcW w:w="615" w:type="pct"/>
            <w:tcBorders>
              <w:top w:val="nil"/>
              <w:left w:val="nil"/>
              <w:bottom w:val="nil"/>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with Ex Post Event Window and Weather (MW)</w:t>
            </w:r>
          </w:p>
        </w:tc>
        <w:tc>
          <w:tcPr>
            <w:tcW w:w="576" w:type="pct"/>
            <w:tcBorders>
              <w:top w:val="nil"/>
              <w:left w:val="nil"/>
              <w:bottom w:val="nil"/>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Ex-Ante Impact (1PM-6PM) using Ex Post Weather (MW)</w:t>
            </w:r>
          </w:p>
        </w:tc>
        <w:tc>
          <w:tcPr>
            <w:tcW w:w="384" w:type="pct"/>
            <w:tcBorders>
              <w:top w:val="nil"/>
              <w:left w:val="nil"/>
              <w:bottom w:val="nil"/>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SDG&amp;E    1-in-2  (MW)</w:t>
            </w:r>
          </w:p>
        </w:tc>
        <w:tc>
          <w:tcPr>
            <w:tcW w:w="346" w:type="pct"/>
            <w:tcBorders>
              <w:top w:val="nil"/>
              <w:left w:val="nil"/>
              <w:bottom w:val="nil"/>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SDG&amp;E    1-in-10 (MW)</w:t>
            </w:r>
          </w:p>
        </w:tc>
        <w:tc>
          <w:tcPr>
            <w:tcW w:w="384" w:type="pct"/>
            <w:tcBorders>
              <w:top w:val="nil"/>
              <w:left w:val="nil"/>
              <w:bottom w:val="nil"/>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CAISO</w:t>
            </w:r>
          </w:p>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1-in-2 (MW)</w:t>
            </w:r>
          </w:p>
        </w:tc>
        <w:tc>
          <w:tcPr>
            <w:tcW w:w="384" w:type="pct"/>
            <w:tcBorders>
              <w:top w:val="nil"/>
              <w:left w:val="nil"/>
              <w:bottom w:val="nil"/>
              <w:right w:val="single" w:sz="8" w:space="0" w:color="auto"/>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CAISO</w:t>
            </w:r>
          </w:p>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1-in-10 (MW)</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A</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B</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C</w:t>
            </w:r>
          </w:p>
        </w:tc>
        <w:tc>
          <w:tcPr>
            <w:tcW w:w="533"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D</w:t>
            </w:r>
          </w:p>
        </w:tc>
        <w:tc>
          <w:tcPr>
            <w:tcW w:w="461"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 xml:space="preserve">E </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F</w:t>
            </w:r>
          </w:p>
        </w:tc>
        <w:tc>
          <w:tcPr>
            <w:tcW w:w="57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G</w:t>
            </w:r>
          </w:p>
        </w:tc>
        <w:tc>
          <w:tcPr>
            <w:tcW w:w="38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H</w:t>
            </w:r>
          </w:p>
        </w:tc>
        <w:tc>
          <w:tcPr>
            <w:tcW w:w="34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I</w:t>
            </w:r>
          </w:p>
        </w:tc>
        <w:tc>
          <w:tcPr>
            <w:tcW w:w="38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J</w:t>
            </w:r>
          </w:p>
        </w:tc>
        <w:tc>
          <w:tcPr>
            <w:tcW w:w="38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K</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5/14/2014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9.9</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8.6</w:t>
            </w:r>
          </w:p>
        </w:tc>
        <w:tc>
          <w:tcPr>
            <w:tcW w:w="384"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2.0</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(69°F)</w:t>
            </w:r>
          </w:p>
        </w:tc>
        <w:tc>
          <w:tcPr>
            <w:tcW w:w="346"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6.1</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(77°F)</w:t>
            </w:r>
          </w:p>
        </w:tc>
        <w:tc>
          <w:tcPr>
            <w:tcW w:w="384"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0.3</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(65°F)</w:t>
            </w:r>
          </w:p>
        </w:tc>
        <w:tc>
          <w:tcPr>
            <w:tcW w:w="384"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4.7</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5/15/2014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84</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6.1</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11.8</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10.3</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5/16/2014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12-4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4.5</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8.1</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8.9</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7/29/2014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3-7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79</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5.9</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6.6</w:t>
            </w:r>
          </w:p>
        </w:tc>
        <w:tc>
          <w:tcPr>
            <w:tcW w:w="384"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4.3</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(73°F)</w:t>
            </w:r>
          </w:p>
        </w:tc>
        <w:tc>
          <w:tcPr>
            <w:tcW w:w="346"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7.1 (79°F)</w:t>
            </w:r>
          </w:p>
        </w:tc>
        <w:tc>
          <w:tcPr>
            <w:tcW w:w="384"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4.7</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c>
          <w:tcPr>
            <w:tcW w:w="384"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6.3</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(77°F)</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8/27/2014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79</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4.6</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79</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6.9</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9/15/2014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9.3</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8.7</w:t>
            </w:r>
          </w:p>
        </w:tc>
        <w:tc>
          <w:tcPr>
            <w:tcW w:w="384"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5.8</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(76°F)</w:t>
            </w:r>
          </w:p>
        </w:tc>
        <w:tc>
          <w:tcPr>
            <w:tcW w:w="346"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8.9</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(83°F)</w:t>
            </w:r>
          </w:p>
        </w:tc>
        <w:tc>
          <w:tcPr>
            <w:tcW w:w="384"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6.5</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(78°F)</w:t>
            </w:r>
          </w:p>
        </w:tc>
        <w:tc>
          <w:tcPr>
            <w:tcW w:w="384"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9.0</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(83°F)</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9/16/2014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3-7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11.2</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11.6</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10.3</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9/17/2014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7.3</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9.8</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9.2</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bl>
    <w:p w:rsidR="00653FC5" w:rsidRDefault="009E43A3">
      <w:pPr>
        <w:rPr>
          <w:b/>
          <w:sz w:val="20"/>
          <w:szCs w:val="20"/>
        </w:rPr>
      </w:pPr>
      <w:r>
        <w:rPr>
          <w:b/>
          <w:sz w:val="20"/>
          <w:szCs w:val="20"/>
        </w:rPr>
        <w:t xml:space="preserve"> </w:t>
      </w:r>
      <w:r w:rsidR="00653FC5">
        <w:rPr>
          <w:b/>
          <w:sz w:val="20"/>
          <w:szCs w:val="20"/>
        </w:rPr>
        <w:br w:type="page"/>
      </w:r>
    </w:p>
    <w:p w:rsidR="0023090A" w:rsidRPr="00221278" w:rsidRDefault="0023090A" w:rsidP="0023090A">
      <w:pPr>
        <w:keepNext/>
        <w:spacing w:after="120"/>
        <w:contextualSpacing/>
        <w:jc w:val="center"/>
        <w:rPr>
          <w:b/>
          <w:sz w:val="20"/>
          <w:szCs w:val="20"/>
        </w:rPr>
      </w:pPr>
      <w:r w:rsidRPr="00221278">
        <w:rPr>
          <w:b/>
          <w:sz w:val="20"/>
          <w:szCs w:val="20"/>
        </w:rPr>
        <w:lastRenderedPageBreak/>
        <w:t>Table 6-12:  Differences in Ex Post and Ex Ante Impacts Due to Key Factors</w:t>
      </w:r>
    </w:p>
    <w:p w:rsidR="0023090A" w:rsidRDefault="0023090A" w:rsidP="0023090A">
      <w:pPr>
        <w:keepNext/>
        <w:spacing w:after="120"/>
        <w:contextualSpacing/>
        <w:jc w:val="center"/>
        <w:rPr>
          <w:rFonts w:ascii="Arial" w:hAnsi="Arial" w:cs="Arial"/>
          <w:b/>
        </w:rPr>
      </w:pPr>
      <w:r w:rsidRPr="00221278">
        <w:rPr>
          <w:b/>
          <w:sz w:val="20"/>
          <w:szCs w:val="20"/>
        </w:rPr>
        <w:t>Nonresidential 30% Cycling</w:t>
      </w:r>
    </w:p>
    <w:tbl>
      <w:tblPr>
        <w:tblW w:w="5000" w:type="pct"/>
        <w:tblLook w:val="04A0" w:firstRow="1" w:lastRow="0" w:firstColumn="1" w:lastColumn="0" w:noHBand="0" w:noVBand="1"/>
      </w:tblPr>
      <w:tblGrid>
        <w:gridCol w:w="994"/>
        <w:gridCol w:w="848"/>
        <w:gridCol w:w="832"/>
        <w:gridCol w:w="978"/>
        <w:gridCol w:w="832"/>
        <w:gridCol w:w="1097"/>
        <w:gridCol w:w="1039"/>
        <w:gridCol w:w="744"/>
        <w:gridCol w:w="744"/>
        <w:gridCol w:w="734"/>
        <w:gridCol w:w="734"/>
      </w:tblGrid>
      <w:tr w:rsidR="009E43A3" w:rsidTr="009E43A3">
        <w:trPr>
          <w:trHeight w:val="315"/>
        </w:trPr>
        <w:tc>
          <w:tcPr>
            <w:tcW w:w="506" w:type="pct"/>
            <w:vMerge w:val="restart"/>
            <w:tcBorders>
              <w:top w:val="single" w:sz="8" w:space="0" w:color="auto"/>
              <w:left w:val="single" w:sz="8" w:space="0" w:color="auto"/>
              <w:bottom w:val="single" w:sz="8" w:space="0" w:color="000000"/>
              <w:right w:val="single" w:sz="8" w:space="0" w:color="FFFFFF"/>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Date</w:t>
            </w:r>
          </w:p>
        </w:tc>
        <w:tc>
          <w:tcPr>
            <w:tcW w:w="1805" w:type="pct"/>
            <w:gridSpan w:val="4"/>
            <w:tcBorders>
              <w:top w:val="single" w:sz="8" w:space="0" w:color="auto"/>
              <w:left w:val="nil"/>
              <w:bottom w:val="single" w:sz="8" w:space="0" w:color="FFFFFF"/>
              <w:right w:val="single" w:sz="8" w:space="0" w:color="FFFFFF"/>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2014 Ex Post</w:t>
            </w:r>
          </w:p>
        </w:tc>
        <w:tc>
          <w:tcPr>
            <w:tcW w:w="2689" w:type="pct"/>
            <w:gridSpan w:val="6"/>
            <w:tcBorders>
              <w:top w:val="single" w:sz="8" w:space="0" w:color="auto"/>
              <w:left w:val="nil"/>
              <w:bottom w:val="single" w:sz="8" w:space="0" w:color="FFFFFF"/>
              <w:right w:val="single" w:sz="8" w:space="0" w:color="000000"/>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2014 Ex Ante Model</w:t>
            </w:r>
          </w:p>
        </w:tc>
      </w:tr>
      <w:tr w:rsidR="009E43A3" w:rsidTr="009E43A3">
        <w:trPr>
          <w:trHeight w:val="945"/>
        </w:trPr>
        <w:tc>
          <w:tcPr>
            <w:tcW w:w="0" w:type="auto"/>
            <w:vMerge/>
            <w:tcBorders>
              <w:top w:val="single" w:sz="8" w:space="0" w:color="auto"/>
              <w:left w:val="single" w:sz="8" w:space="0" w:color="auto"/>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410"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Event Window</w:t>
            </w:r>
          </w:p>
        </w:tc>
        <w:tc>
          <w:tcPr>
            <w:tcW w:w="402"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Mean17 (</w:t>
            </w:r>
            <w:r>
              <w:rPr>
                <w:rFonts w:ascii="Calibri" w:hAnsi="Calibri"/>
                <w:color w:val="FFFFFF"/>
                <w:lang w:eastAsia="zh-CN"/>
              </w:rPr>
              <w:t>°F</w:t>
            </w:r>
            <w:r>
              <w:rPr>
                <w:rFonts w:ascii="Calibri" w:hAnsi="Calibri"/>
                <w:color w:val="000000"/>
                <w:sz w:val="16"/>
                <w:szCs w:val="16"/>
                <w:lang w:eastAsia="zh-CN"/>
              </w:rPr>
              <w:t> </w:t>
            </w:r>
            <w:r>
              <w:rPr>
                <w:rFonts w:ascii="Calibri" w:hAnsi="Calibri"/>
                <w:color w:val="FFFFFF"/>
                <w:lang w:eastAsia="zh-CN"/>
              </w:rPr>
              <w:t>)</w:t>
            </w:r>
          </w:p>
        </w:tc>
        <w:tc>
          <w:tcPr>
            <w:tcW w:w="533"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Ex-Post Aggregate Impact (MW)</w:t>
            </w:r>
          </w:p>
        </w:tc>
        <w:tc>
          <w:tcPr>
            <w:tcW w:w="461"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Mean17 using KSAN KNKX Only (°F)</w:t>
            </w:r>
          </w:p>
        </w:tc>
        <w:tc>
          <w:tcPr>
            <w:tcW w:w="615"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with Ex Post Event Window and Weather (MW)</w:t>
            </w:r>
          </w:p>
        </w:tc>
        <w:tc>
          <w:tcPr>
            <w:tcW w:w="576"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Ex-Ante Impact (1PM-6PM) using Ex Post Weather (MW)</w:t>
            </w:r>
          </w:p>
        </w:tc>
        <w:tc>
          <w:tcPr>
            <w:tcW w:w="384"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SDG&amp;E    1-in-2  (MW)</w:t>
            </w:r>
          </w:p>
        </w:tc>
        <w:tc>
          <w:tcPr>
            <w:tcW w:w="327"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SDG&amp;E    1-in-10 (MW)</w:t>
            </w:r>
          </w:p>
        </w:tc>
        <w:tc>
          <w:tcPr>
            <w:tcW w:w="402"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CAISO</w:t>
            </w:r>
          </w:p>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1-in-2 (MW)</w:t>
            </w:r>
          </w:p>
        </w:tc>
        <w:tc>
          <w:tcPr>
            <w:tcW w:w="384" w:type="pct"/>
            <w:vMerge w:val="restart"/>
            <w:tcBorders>
              <w:top w:val="nil"/>
              <w:left w:val="single" w:sz="8" w:space="0" w:color="FFFFFF"/>
              <w:bottom w:val="single" w:sz="8" w:space="0" w:color="000000"/>
              <w:right w:val="single" w:sz="8" w:space="0" w:color="auto"/>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CAISO</w:t>
            </w:r>
          </w:p>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1-in-10 (MW)</w:t>
            </w:r>
          </w:p>
        </w:tc>
      </w:tr>
      <w:tr w:rsidR="009E43A3" w:rsidTr="009E43A3">
        <w:trPr>
          <w:trHeight w:val="315"/>
        </w:trPr>
        <w:tc>
          <w:tcPr>
            <w:tcW w:w="0" w:type="auto"/>
            <w:vMerge/>
            <w:tcBorders>
              <w:top w:val="single" w:sz="8" w:space="0" w:color="auto"/>
              <w:left w:val="single" w:sz="8" w:space="0" w:color="auto"/>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auto"/>
            </w:tcBorders>
            <w:vAlign w:val="center"/>
            <w:hideMark/>
          </w:tcPr>
          <w:p w:rsidR="009E43A3" w:rsidRDefault="009E43A3">
            <w:pPr>
              <w:rPr>
                <w:rFonts w:ascii="Calibri" w:hAnsi="Calibri"/>
                <w:b/>
                <w:bCs/>
                <w:color w:val="FFFFFF"/>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A</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B</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C</w:t>
            </w:r>
          </w:p>
        </w:tc>
        <w:tc>
          <w:tcPr>
            <w:tcW w:w="533"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D</w:t>
            </w:r>
          </w:p>
        </w:tc>
        <w:tc>
          <w:tcPr>
            <w:tcW w:w="461"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 xml:space="preserve">E </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F</w:t>
            </w:r>
          </w:p>
        </w:tc>
        <w:tc>
          <w:tcPr>
            <w:tcW w:w="57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G</w:t>
            </w:r>
          </w:p>
        </w:tc>
        <w:tc>
          <w:tcPr>
            <w:tcW w:w="38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H</w:t>
            </w:r>
          </w:p>
        </w:tc>
        <w:tc>
          <w:tcPr>
            <w:tcW w:w="327"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I</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J</w:t>
            </w:r>
          </w:p>
        </w:tc>
        <w:tc>
          <w:tcPr>
            <w:tcW w:w="38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K</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5/14/2014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0.1</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w:t>
            </w:r>
          </w:p>
        </w:tc>
        <w:tc>
          <w:tcPr>
            <w:tcW w:w="384"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0.7</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(69°F)</w:t>
            </w:r>
          </w:p>
        </w:tc>
        <w:tc>
          <w:tcPr>
            <w:tcW w:w="327"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 (77°F)</w:t>
            </w:r>
          </w:p>
        </w:tc>
        <w:tc>
          <w:tcPr>
            <w:tcW w:w="402"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0.6</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(65°F)</w:t>
            </w:r>
          </w:p>
        </w:tc>
        <w:tc>
          <w:tcPr>
            <w:tcW w:w="384"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0.8</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5/15/2014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84</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0.4</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1.1</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5/16/2014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12-4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81</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1.1</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7/29/2014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3-7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79</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0.1</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w:t>
            </w:r>
          </w:p>
        </w:tc>
        <w:tc>
          <w:tcPr>
            <w:tcW w:w="384"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0.8</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c>
          <w:tcPr>
            <w:tcW w:w="327"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 (79°F)</w:t>
            </w:r>
          </w:p>
        </w:tc>
        <w:tc>
          <w:tcPr>
            <w:tcW w:w="402"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0.8</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c>
          <w:tcPr>
            <w:tcW w:w="384"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(78°F)</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8/27/2014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0.7</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9/15/2014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0.6</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w:t>
            </w:r>
          </w:p>
        </w:tc>
        <w:tc>
          <w:tcPr>
            <w:tcW w:w="384"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(77°F)</w:t>
            </w:r>
          </w:p>
        </w:tc>
        <w:tc>
          <w:tcPr>
            <w:tcW w:w="327"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1.0 (83°F)</w:t>
            </w:r>
          </w:p>
        </w:tc>
        <w:tc>
          <w:tcPr>
            <w:tcW w:w="402"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0.9</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 xml:space="preserve"> (78°F)</w:t>
            </w:r>
          </w:p>
        </w:tc>
        <w:tc>
          <w:tcPr>
            <w:tcW w:w="384"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1.0</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(83°F)</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9/16/2014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3-7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1.5</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1.1</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9/17/2014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84</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0.3</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bl>
    <w:p w:rsidR="009E43A3" w:rsidRDefault="009E43A3" w:rsidP="009E43A3">
      <w:pPr>
        <w:keepNext/>
        <w:spacing w:after="120"/>
        <w:contextualSpacing/>
        <w:jc w:val="center"/>
        <w:rPr>
          <w:rFonts w:ascii="Arial" w:hAnsi="Arial" w:cs="Arial"/>
          <w:b/>
          <w:sz w:val="22"/>
          <w:szCs w:val="22"/>
        </w:rPr>
      </w:pPr>
    </w:p>
    <w:p w:rsidR="0023090A" w:rsidRPr="00221278" w:rsidRDefault="009E43A3" w:rsidP="009E43A3">
      <w:pPr>
        <w:keepNext/>
        <w:spacing w:after="120"/>
        <w:contextualSpacing/>
        <w:jc w:val="center"/>
        <w:rPr>
          <w:b/>
          <w:sz w:val="20"/>
          <w:szCs w:val="20"/>
        </w:rPr>
      </w:pPr>
      <w:r w:rsidRPr="00221278">
        <w:rPr>
          <w:b/>
          <w:sz w:val="20"/>
          <w:szCs w:val="20"/>
        </w:rPr>
        <w:t xml:space="preserve"> </w:t>
      </w:r>
      <w:r w:rsidR="0023090A" w:rsidRPr="00221278">
        <w:rPr>
          <w:b/>
          <w:sz w:val="20"/>
          <w:szCs w:val="20"/>
        </w:rPr>
        <w:t>Table 6-13:  Differences in Ex Post and Ex Ante Impacts Due to Key Factors</w:t>
      </w:r>
    </w:p>
    <w:p w:rsidR="0023090A" w:rsidRDefault="0023090A" w:rsidP="0023090A">
      <w:pPr>
        <w:keepNext/>
        <w:spacing w:after="120"/>
        <w:contextualSpacing/>
        <w:jc w:val="center"/>
        <w:rPr>
          <w:rFonts w:ascii="Arial" w:hAnsi="Arial" w:cs="Arial"/>
          <w:b/>
        </w:rPr>
      </w:pPr>
      <w:r w:rsidRPr="00221278">
        <w:rPr>
          <w:b/>
          <w:sz w:val="20"/>
          <w:szCs w:val="20"/>
        </w:rPr>
        <w:t>Nonresidential 50% Cycling</w:t>
      </w:r>
    </w:p>
    <w:tbl>
      <w:tblPr>
        <w:tblW w:w="5000" w:type="pct"/>
        <w:tblLook w:val="04A0" w:firstRow="1" w:lastRow="0" w:firstColumn="1" w:lastColumn="0" w:noHBand="0" w:noVBand="1"/>
      </w:tblPr>
      <w:tblGrid>
        <w:gridCol w:w="994"/>
        <w:gridCol w:w="848"/>
        <w:gridCol w:w="832"/>
        <w:gridCol w:w="978"/>
        <w:gridCol w:w="832"/>
        <w:gridCol w:w="1097"/>
        <w:gridCol w:w="1039"/>
        <w:gridCol w:w="744"/>
        <w:gridCol w:w="744"/>
        <w:gridCol w:w="734"/>
        <w:gridCol w:w="734"/>
      </w:tblGrid>
      <w:tr w:rsidR="009E43A3" w:rsidTr="009E43A3">
        <w:trPr>
          <w:trHeight w:val="315"/>
        </w:trPr>
        <w:tc>
          <w:tcPr>
            <w:tcW w:w="506" w:type="pct"/>
            <w:vMerge w:val="restart"/>
            <w:tcBorders>
              <w:top w:val="single" w:sz="8" w:space="0" w:color="auto"/>
              <w:left w:val="single" w:sz="8" w:space="0" w:color="auto"/>
              <w:bottom w:val="single" w:sz="8" w:space="0" w:color="000000"/>
              <w:right w:val="single" w:sz="8" w:space="0" w:color="FFFFFF"/>
            </w:tcBorders>
            <w:shd w:val="clear" w:color="auto" w:fill="0070C0"/>
            <w:noWrap/>
            <w:vAlign w:val="center"/>
            <w:hideMark/>
          </w:tcPr>
          <w:p w:rsidR="009E43A3" w:rsidRDefault="009E43A3">
            <w:pPr>
              <w:jc w:val="center"/>
              <w:rPr>
                <w:rFonts w:ascii="Calibri" w:hAnsi="Calibri"/>
                <w:b/>
                <w:bCs/>
                <w:color w:val="FFFFFF"/>
                <w:sz w:val="18"/>
                <w:szCs w:val="18"/>
                <w:lang w:eastAsia="zh-CN"/>
              </w:rPr>
            </w:pPr>
            <w:bookmarkStart w:id="197" w:name="_Toc259624216"/>
            <w:bookmarkStart w:id="198" w:name="_Toc259628892"/>
            <w:bookmarkStart w:id="199" w:name="_Toc289248367"/>
            <w:bookmarkStart w:id="200" w:name="_Toc351990594"/>
            <w:bookmarkStart w:id="201" w:name="_Toc352084171"/>
            <w:r>
              <w:rPr>
                <w:rFonts w:ascii="Calibri" w:hAnsi="Calibri"/>
                <w:b/>
                <w:bCs/>
                <w:color w:val="FFFFFF"/>
                <w:sz w:val="18"/>
                <w:szCs w:val="18"/>
                <w:lang w:eastAsia="zh-CN"/>
              </w:rPr>
              <w:t>Date</w:t>
            </w:r>
          </w:p>
        </w:tc>
        <w:tc>
          <w:tcPr>
            <w:tcW w:w="1806" w:type="pct"/>
            <w:gridSpan w:val="4"/>
            <w:tcBorders>
              <w:top w:val="single" w:sz="8" w:space="0" w:color="auto"/>
              <w:left w:val="nil"/>
              <w:bottom w:val="single" w:sz="8" w:space="0" w:color="FFFFFF"/>
              <w:right w:val="single" w:sz="8" w:space="0" w:color="FFFFFF"/>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2014 Ex Post</w:t>
            </w:r>
          </w:p>
        </w:tc>
        <w:tc>
          <w:tcPr>
            <w:tcW w:w="2688" w:type="pct"/>
            <w:gridSpan w:val="6"/>
            <w:tcBorders>
              <w:top w:val="single" w:sz="8" w:space="0" w:color="auto"/>
              <w:left w:val="nil"/>
              <w:bottom w:val="single" w:sz="8" w:space="0" w:color="FFFFFF"/>
              <w:right w:val="single" w:sz="8" w:space="0" w:color="000000"/>
            </w:tcBorders>
            <w:shd w:val="clear" w:color="auto" w:fill="0070C0"/>
            <w:noWrap/>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2014 Ex Ante Model</w:t>
            </w:r>
          </w:p>
        </w:tc>
      </w:tr>
      <w:tr w:rsidR="009E43A3" w:rsidTr="009E43A3">
        <w:trPr>
          <w:trHeight w:val="945"/>
        </w:trPr>
        <w:tc>
          <w:tcPr>
            <w:tcW w:w="0" w:type="auto"/>
            <w:vMerge/>
            <w:tcBorders>
              <w:top w:val="single" w:sz="8" w:space="0" w:color="auto"/>
              <w:left w:val="single" w:sz="8" w:space="0" w:color="auto"/>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410"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Event Window</w:t>
            </w:r>
          </w:p>
        </w:tc>
        <w:tc>
          <w:tcPr>
            <w:tcW w:w="402"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Mean17 (</w:t>
            </w:r>
            <w:r>
              <w:rPr>
                <w:rFonts w:ascii="Calibri" w:hAnsi="Calibri"/>
                <w:color w:val="FFFFFF"/>
                <w:lang w:eastAsia="zh-CN"/>
              </w:rPr>
              <w:t>°F</w:t>
            </w:r>
            <w:r>
              <w:rPr>
                <w:rFonts w:ascii="Calibri" w:hAnsi="Calibri"/>
                <w:color w:val="000000"/>
                <w:sz w:val="16"/>
                <w:szCs w:val="16"/>
                <w:lang w:eastAsia="zh-CN"/>
              </w:rPr>
              <w:t> </w:t>
            </w:r>
            <w:r>
              <w:rPr>
                <w:rFonts w:ascii="Calibri" w:hAnsi="Calibri"/>
                <w:color w:val="FFFFFF"/>
                <w:lang w:eastAsia="zh-CN"/>
              </w:rPr>
              <w:t>)</w:t>
            </w:r>
          </w:p>
        </w:tc>
        <w:tc>
          <w:tcPr>
            <w:tcW w:w="533"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Post Aggregate Impact (MW)</w:t>
            </w:r>
          </w:p>
        </w:tc>
        <w:tc>
          <w:tcPr>
            <w:tcW w:w="461"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Mean17 using KSAN KNKX Only (°F)</w:t>
            </w:r>
          </w:p>
        </w:tc>
        <w:tc>
          <w:tcPr>
            <w:tcW w:w="615"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with Ex Post Event Window and Weather (MW)</w:t>
            </w:r>
          </w:p>
        </w:tc>
        <w:tc>
          <w:tcPr>
            <w:tcW w:w="576"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(1PM-6PM) using Ex Post Weather (MW)</w:t>
            </w:r>
          </w:p>
        </w:tc>
        <w:tc>
          <w:tcPr>
            <w:tcW w:w="384"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SDG&amp;E    1-in-2  (MW)</w:t>
            </w:r>
          </w:p>
        </w:tc>
        <w:tc>
          <w:tcPr>
            <w:tcW w:w="327"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SDG&amp;E    1-in-10 (MW)</w:t>
            </w:r>
          </w:p>
        </w:tc>
        <w:tc>
          <w:tcPr>
            <w:tcW w:w="402" w:type="pct"/>
            <w:vMerge w:val="restart"/>
            <w:tcBorders>
              <w:top w:val="nil"/>
              <w:left w:val="single" w:sz="8" w:space="0" w:color="FFFFFF"/>
              <w:bottom w:val="single" w:sz="8" w:space="0" w:color="000000"/>
              <w:right w:val="single" w:sz="8" w:space="0" w:color="FFFFFF"/>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CAISO</w:t>
            </w:r>
          </w:p>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1-in-2 (MW)</w:t>
            </w:r>
          </w:p>
        </w:tc>
        <w:tc>
          <w:tcPr>
            <w:tcW w:w="384" w:type="pct"/>
            <w:vMerge w:val="restart"/>
            <w:tcBorders>
              <w:top w:val="nil"/>
              <w:left w:val="single" w:sz="8" w:space="0" w:color="FFFFFF"/>
              <w:bottom w:val="single" w:sz="8" w:space="0" w:color="000000"/>
              <w:right w:val="single" w:sz="8" w:space="0" w:color="auto"/>
            </w:tcBorders>
            <w:shd w:val="clear" w:color="auto" w:fill="0070C0"/>
            <w:vAlign w:val="center"/>
            <w:hideMark/>
          </w:tcPr>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Ex Ante Impact CAISO</w:t>
            </w:r>
          </w:p>
          <w:p w:rsidR="009E43A3" w:rsidRDefault="009E43A3">
            <w:pPr>
              <w:jc w:val="center"/>
              <w:rPr>
                <w:rFonts w:ascii="Calibri" w:hAnsi="Calibri"/>
                <w:b/>
                <w:bCs/>
                <w:color w:val="FFFFFF"/>
                <w:sz w:val="18"/>
                <w:szCs w:val="18"/>
                <w:lang w:eastAsia="zh-CN"/>
              </w:rPr>
            </w:pPr>
            <w:r>
              <w:rPr>
                <w:rFonts w:ascii="Calibri" w:hAnsi="Calibri"/>
                <w:b/>
                <w:bCs/>
                <w:color w:val="FFFFFF"/>
                <w:sz w:val="18"/>
                <w:szCs w:val="18"/>
                <w:lang w:eastAsia="zh-CN"/>
              </w:rPr>
              <w:t>1-in-10 (MW)</w:t>
            </w:r>
          </w:p>
        </w:tc>
      </w:tr>
      <w:tr w:rsidR="009E43A3" w:rsidTr="009E43A3">
        <w:trPr>
          <w:trHeight w:val="315"/>
        </w:trPr>
        <w:tc>
          <w:tcPr>
            <w:tcW w:w="0" w:type="auto"/>
            <w:vMerge/>
            <w:tcBorders>
              <w:top w:val="single" w:sz="8" w:space="0" w:color="auto"/>
              <w:left w:val="single" w:sz="8" w:space="0" w:color="auto"/>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FFFFFF"/>
            </w:tcBorders>
            <w:vAlign w:val="center"/>
            <w:hideMark/>
          </w:tcPr>
          <w:p w:rsidR="009E43A3" w:rsidRDefault="009E43A3">
            <w:pPr>
              <w:rPr>
                <w:rFonts w:ascii="Calibri" w:hAnsi="Calibri"/>
                <w:b/>
                <w:bCs/>
                <w:color w:val="FFFFFF"/>
                <w:sz w:val="18"/>
                <w:szCs w:val="18"/>
                <w:lang w:eastAsia="zh-CN"/>
              </w:rPr>
            </w:pPr>
          </w:p>
        </w:tc>
        <w:tc>
          <w:tcPr>
            <w:tcW w:w="0" w:type="auto"/>
            <w:vMerge/>
            <w:tcBorders>
              <w:top w:val="nil"/>
              <w:left w:val="single" w:sz="8" w:space="0" w:color="FFFFFF"/>
              <w:bottom w:val="single" w:sz="8" w:space="0" w:color="000000"/>
              <w:right w:val="single" w:sz="8" w:space="0" w:color="auto"/>
            </w:tcBorders>
            <w:vAlign w:val="center"/>
            <w:hideMark/>
          </w:tcPr>
          <w:p w:rsidR="009E43A3" w:rsidRDefault="009E43A3">
            <w:pPr>
              <w:rPr>
                <w:rFonts w:ascii="Calibri" w:hAnsi="Calibri"/>
                <w:b/>
                <w:bCs/>
                <w:color w:val="FFFFFF"/>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A</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B</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C</w:t>
            </w:r>
          </w:p>
        </w:tc>
        <w:tc>
          <w:tcPr>
            <w:tcW w:w="533"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D</w:t>
            </w:r>
          </w:p>
        </w:tc>
        <w:tc>
          <w:tcPr>
            <w:tcW w:w="461"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 xml:space="preserve">E </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F</w:t>
            </w:r>
          </w:p>
        </w:tc>
        <w:tc>
          <w:tcPr>
            <w:tcW w:w="576"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G</w:t>
            </w:r>
          </w:p>
        </w:tc>
        <w:tc>
          <w:tcPr>
            <w:tcW w:w="38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H</w:t>
            </w:r>
          </w:p>
        </w:tc>
        <w:tc>
          <w:tcPr>
            <w:tcW w:w="327"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I</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J</w:t>
            </w:r>
          </w:p>
        </w:tc>
        <w:tc>
          <w:tcPr>
            <w:tcW w:w="384"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b/>
                <w:bCs/>
                <w:color w:val="000000"/>
                <w:sz w:val="18"/>
                <w:szCs w:val="18"/>
                <w:lang w:eastAsia="zh-CN"/>
              </w:rPr>
            </w:pPr>
            <w:r>
              <w:rPr>
                <w:rFonts w:ascii="Calibri" w:hAnsi="Calibri"/>
                <w:b/>
                <w:bCs/>
                <w:color w:val="000000"/>
                <w:sz w:val="18"/>
                <w:szCs w:val="18"/>
                <w:lang w:eastAsia="zh-CN"/>
              </w:rPr>
              <w:t>K</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5/14/2014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1.6</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3.1</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3.3</w:t>
            </w:r>
          </w:p>
        </w:tc>
        <w:tc>
          <w:tcPr>
            <w:tcW w:w="384"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1.1</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(69°F)</w:t>
            </w:r>
          </w:p>
        </w:tc>
        <w:tc>
          <w:tcPr>
            <w:tcW w:w="327"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2.5 (77°F)</w:t>
            </w:r>
          </w:p>
        </w:tc>
        <w:tc>
          <w:tcPr>
            <w:tcW w:w="402"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0.6</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(65°F)</w:t>
            </w:r>
          </w:p>
        </w:tc>
        <w:tc>
          <w:tcPr>
            <w:tcW w:w="384" w:type="pct"/>
            <w:vMerge w:val="restart"/>
            <w:tcBorders>
              <w:top w:val="nil"/>
              <w:left w:val="single" w:sz="8" w:space="0" w:color="auto"/>
              <w:bottom w:val="single" w:sz="8" w:space="0" w:color="000000"/>
              <w:right w:val="single" w:sz="8" w:space="0" w:color="auto"/>
            </w:tcBorders>
            <w:shd w:val="clear" w:color="auto" w:fill="FDE9D9"/>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2.0</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5/15/2014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4-8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84</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2.4</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3.5</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3.9</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5/16/2014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12-4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81</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2.8</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3.5</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3.3</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7/29/2014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3-7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0.4</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2.7</w:t>
            </w:r>
          </w:p>
        </w:tc>
        <w:tc>
          <w:tcPr>
            <w:tcW w:w="384"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1.9</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(73°F)</w:t>
            </w:r>
          </w:p>
        </w:tc>
        <w:tc>
          <w:tcPr>
            <w:tcW w:w="327"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2.7 (79°F)</w:t>
            </w:r>
          </w:p>
        </w:tc>
        <w:tc>
          <w:tcPr>
            <w:tcW w:w="402"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2.0</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(74°F)</w:t>
            </w:r>
          </w:p>
        </w:tc>
        <w:tc>
          <w:tcPr>
            <w:tcW w:w="384" w:type="pct"/>
            <w:vMerge w:val="restart"/>
            <w:tcBorders>
              <w:top w:val="nil"/>
              <w:left w:val="single" w:sz="8" w:space="0" w:color="auto"/>
              <w:bottom w:val="single" w:sz="8" w:space="0" w:color="000000"/>
              <w:right w:val="single" w:sz="8" w:space="0" w:color="auto"/>
            </w:tcBorders>
            <w:shd w:val="clear" w:color="auto" w:fill="DAEEF3"/>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2.5</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(77°F)</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8/27/2014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2.8</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2.7</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2.7</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9/15/2014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2.1</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81</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3.3</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3.3</w:t>
            </w:r>
          </w:p>
        </w:tc>
        <w:tc>
          <w:tcPr>
            <w:tcW w:w="384"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2.3</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(76°F)</w:t>
            </w:r>
          </w:p>
        </w:tc>
        <w:tc>
          <w:tcPr>
            <w:tcW w:w="327"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3.2 (83°F)</w:t>
            </w:r>
          </w:p>
        </w:tc>
        <w:tc>
          <w:tcPr>
            <w:tcW w:w="402"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2.5</w:t>
            </w:r>
          </w:p>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(78°F)</w:t>
            </w:r>
          </w:p>
        </w:tc>
        <w:tc>
          <w:tcPr>
            <w:tcW w:w="384" w:type="pct"/>
            <w:vMerge w:val="restart"/>
            <w:tcBorders>
              <w:top w:val="nil"/>
              <w:left w:val="single" w:sz="8" w:space="0" w:color="auto"/>
              <w:bottom w:val="single" w:sz="8" w:space="0" w:color="000000"/>
              <w:right w:val="single" w:sz="8" w:space="0" w:color="auto"/>
            </w:tcBorders>
            <w:shd w:val="clear" w:color="auto" w:fill="E4DFEC"/>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3.3 (83°F)</w:t>
            </w: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9/16/2014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3-7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84</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2.4</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85</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3.7</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3.8</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r w:rsidR="009E43A3" w:rsidTr="009E43A3">
        <w:trPr>
          <w:trHeight w:val="315"/>
        </w:trPr>
        <w:tc>
          <w:tcPr>
            <w:tcW w:w="506" w:type="pct"/>
            <w:tcBorders>
              <w:top w:val="nil"/>
              <w:left w:val="single" w:sz="8" w:space="0" w:color="auto"/>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9/17/2014</w:t>
            </w:r>
          </w:p>
        </w:tc>
        <w:tc>
          <w:tcPr>
            <w:tcW w:w="410"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2-6 pm</w:t>
            </w:r>
          </w:p>
        </w:tc>
        <w:tc>
          <w:tcPr>
            <w:tcW w:w="402"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83</w:t>
            </w:r>
          </w:p>
        </w:tc>
        <w:tc>
          <w:tcPr>
            <w:tcW w:w="533"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3.3</w:t>
            </w:r>
          </w:p>
        </w:tc>
        <w:tc>
          <w:tcPr>
            <w:tcW w:w="461"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82</w:t>
            </w:r>
          </w:p>
        </w:tc>
        <w:tc>
          <w:tcPr>
            <w:tcW w:w="615" w:type="pct"/>
            <w:tcBorders>
              <w:top w:val="nil"/>
              <w:left w:val="nil"/>
              <w:bottom w:val="single" w:sz="8" w:space="0" w:color="auto"/>
              <w:right w:val="single" w:sz="8" w:space="0" w:color="auto"/>
            </w:tcBorders>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3.4</w:t>
            </w:r>
          </w:p>
        </w:tc>
        <w:tc>
          <w:tcPr>
            <w:tcW w:w="576" w:type="pct"/>
            <w:tcBorders>
              <w:top w:val="nil"/>
              <w:left w:val="nil"/>
              <w:bottom w:val="single" w:sz="8" w:space="0" w:color="auto"/>
              <w:right w:val="single" w:sz="8" w:space="0" w:color="auto"/>
            </w:tcBorders>
            <w:noWrap/>
            <w:vAlign w:val="center"/>
            <w:hideMark/>
          </w:tcPr>
          <w:p w:rsidR="009E43A3" w:rsidRDefault="009E43A3">
            <w:pPr>
              <w:jc w:val="center"/>
              <w:rPr>
                <w:rFonts w:ascii="Calibri" w:hAnsi="Calibri"/>
                <w:color w:val="000000"/>
                <w:sz w:val="18"/>
                <w:szCs w:val="18"/>
                <w:lang w:eastAsia="zh-CN"/>
              </w:rPr>
            </w:pPr>
            <w:r>
              <w:rPr>
                <w:rFonts w:ascii="Calibri" w:hAnsi="Calibri"/>
                <w:color w:val="000000"/>
                <w:sz w:val="18"/>
                <w:szCs w:val="18"/>
                <w:lang w:eastAsia="zh-CN"/>
              </w:rPr>
              <w:t>3.4</w:t>
            </w: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c>
          <w:tcPr>
            <w:tcW w:w="0" w:type="auto"/>
            <w:vMerge/>
            <w:tcBorders>
              <w:top w:val="nil"/>
              <w:left w:val="single" w:sz="8" w:space="0" w:color="auto"/>
              <w:bottom w:val="single" w:sz="8" w:space="0" w:color="000000"/>
              <w:right w:val="single" w:sz="8" w:space="0" w:color="auto"/>
            </w:tcBorders>
            <w:vAlign w:val="center"/>
            <w:hideMark/>
          </w:tcPr>
          <w:p w:rsidR="009E43A3" w:rsidRDefault="009E43A3">
            <w:pPr>
              <w:rPr>
                <w:rFonts w:ascii="Calibri" w:hAnsi="Calibri"/>
                <w:color w:val="000000"/>
                <w:sz w:val="18"/>
                <w:szCs w:val="18"/>
                <w:lang w:eastAsia="zh-CN"/>
              </w:rPr>
            </w:pPr>
          </w:p>
        </w:tc>
      </w:tr>
    </w:tbl>
    <w:p w:rsidR="009E43A3" w:rsidRDefault="009E43A3" w:rsidP="009E43A3">
      <w:pPr>
        <w:spacing w:after="240" w:line="264" w:lineRule="auto"/>
        <w:rPr>
          <w:rFonts w:asciiTheme="minorHAnsi" w:hAnsiTheme="minorHAnsi" w:cstheme="minorBidi"/>
          <w:sz w:val="22"/>
          <w:szCs w:val="22"/>
        </w:rPr>
      </w:pPr>
    </w:p>
    <w:p w:rsidR="004C2D71" w:rsidRPr="00FB0844" w:rsidRDefault="009E43A3" w:rsidP="009E43A3">
      <w:pPr>
        <w:pStyle w:val="Heading1"/>
        <w:rPr>
          <w:rFonts w:ascii="Times New Roman" w:hAnsi="Times New Roman" w:cs="Times New Roman"/>
          <w:color w:val="000000" w:themeColor="text1"/>
        </w:rPr>
      </w:pPr>
      <w:r w:rsidRPr="00FB0844">
        <w:rPr>
          <w:rFonts w:ascii="Times New Roman" w:hAnsi="Times New Roman" w:cs="Times New Roman"/>
          <w:color w:val="000000" w:themeColor="text1"/>
        </w:rPr>
        <w:lastRenderedPageBreak/>
        <w:t xml:space="preserve"> </w:t>
      </w:r>
      <w:bookmarkStart w:id="202" w:name="_Toc415749001"/>
      <w:r w:rsidR="003A446A" w:rsidRPr="00FB0844">
        <w:rPr>
          <w:rFonts w:ascii="Times New Roman" w:hAnsi="Times New Roman" w:cs="Times New Roman"/>
          <w:color w:val="000000" w:themeColor="text1"/>
        </w:rPr>
        <w:t xml:space="preserve">Opt-in </w:t>
      </w:r>
      <w:r w:rsidR="00ED7741" w:rsidRPr="00FB0844">
        <w:rPr>
          <w:rFonts w:ascii="Times New Roman" w:hAnsi="Times New Roman" w:cs="Times New Roman"/>
          <w:color w:val="000000" w:themeColor="text1"/>
        </w:rPr>
        <w:t xml:space="preserve">Peak Time Rebate </w:t>
      </w:r>
      <w:bookmarkEnd w:id="197"/>
      <w:bookmarkEnd w:id="198"/>
      <w:bookmarkEnd w:id="199"/>
      <w:r w:rsidR="00ED7741" w:rsidRPr="00FB0844">
        <w:rPr>
          <w:rFonts w:ascii="Times New Roman" w:hAnsi="Times New Roman" w:cs="Times New Roman"/>
          <w:color w:val="000000" w:themeColor="text1"/>
        </w:rPr>
        <w:t>P</w:t>
      </w:r>
      <w:bookmarkEnd w:id="200"/>
      <w:r w:rsidR="00674C32" w:rsidRPr="00FB0844">
        <w:rPr>
          <w:rFonts w:ascii="Times New Roman" w:hAnsi="Times New Roman" w:cs="Times New Roman"/>
          <w:color w:val="000000" w:themeColor="text1"/>
        </w:rPr>
        <w:t>rogram</w:t>
      </w:r>
      <w:bookmarkEnd w:id="201"/>
      <w:r w:rsidR="00687DC6">
        <w:rPr>
          <w:rFonts w:ascii="Times New Roman" w:hAnsi="Times New Roman" w:cs="Times New Roman"/>
          <w:color w:val="000000" w:themeColor="text1"/>
        </w:rPr>
        <w:t xml:space="preserve"> (PTR) and </w:t>
      </w:r>
      <w:r w:rsidR="00687DC6" w:rsidRPr="00687DC6">
        <w:rPr>
          <w:rFonts w:ascii="Times New Roman" w:hAnsi="Times New Roman" w:cs="Times New Roman"/>
          <w:color w:val="000000" w:themeColor="text1"/>
        </w:rPr>
        <w:t>Small Customer Technology Deployment (SCTD) Program</w:t>
      </w:r>
      <w:bookmarkEnd w:id="202"/>
    </w:p>
    <w:p w:rsidR="0061368F" w:rsidRPr="00FB0844" w:rsidRDefault="0061368F" w:rsidP="00D14A70">
      <w:pPr>
        <w:pStyle w:val="Heading2"/>
        <w:numPr>
          <w:ilvl w:val="0"/>
          <w:numId w:val="0"/>
        </w:numPr>
        <w:spacing w:after="0" w:line="276" w:lineRule="auto"/>
        <w:ind w:left="576" w:hanging="576"/>
        <w:rPr>
          <w:rFonts w:ascii="Times New Roman" w:hAnsi="Times New Roman" w:cs="Times New Roman"/>
          <w:color w:val="000000" w:themeColor="text1"/>
        </w:rPr>
      </w:pPr>
      <w:bookmarkStart w:id="203" w:name="_Toc415749002"/>
      <w:r w:rsidRPr="00FB0844">
        <w:rPr>
          <w:rFonts w:ascii="Times New Roman" w:hAnsi="Times New Roman" w:cs="Times New Roman"/>
          <w:color w:val="000000" w:themeColor="text1"/>
        </w:rPr>
        <w:t xml:space="preserve">7.1 </w:t>
      </w:r>
      <w:r w:rsidR="00D174B4" w:rsidRPr="00FB0844">
        <w:rPr>
          <w:rFonts w:ascii="Times New Roman" w:hAnsi="Times New Roman" w:cs="Times New Roman"/>
          <w:bCs w:val="0"/>
          <w:iCs w:val="0"/>
          <w:color w:val="000000" w:themeColor="text1"/>
        </w:rPr>
        <w:t>Opt-in PTR</w:t>
      </w:r>
      <w:r w:rsidR="00D174B4" w:rsidRPr="00FB0844">
        <w:rPr>
          <w:rStyle w:val="Heading2Char"/>
          <w:rFonts w:ascii="Times New Roman" w:hAnsi="Times New Roman" w:cs="Times New Roman"/>
          <w:color w:val="000000" w:themeColor="text1"/>
        </w:rPr>
        <w:t xml:space="preserve"> </w:t>
      </w:r>
      <w:r w:rsidRPr="00FB0844">
        <w:rPr>
          <w:rFonts w:ascii="Times New Roman" w:hAnsi="Times New Roman" w:cs="Times New Roman"/>
          <w:color w:val="000000" w:themeColor="text1"/>
        </w:rPr>
        <w:t>Program Description</w:t>
      </w:r>
      <w:bookmarkEnd w:id="203"/>
    </w:p>
    <w:p w:rsidR="00ED7741" w:rsidRPr="00263F19" w:rsidRDefault="00ED7741" w:rsidP="00D14A70">
      <w:pPr>
        <w:keepNext/>
        <w:keepLines/>
        <w:spacing w:line="276" w:lineRule="auto"/>
        <w:rPr>
          <w:b/>
          <w:color w:val="FF0000"/>
        </w:rPr>
      </w:pPr>
    </w:p>
    <w:p w:rsidR="0091367A" w:rsidRPr="00FB0844" w:rsidRDefault="00FB0844" w:rsidP="00DB162E">
      <w:pPr>
        <w:pStyle w:val="BodyParagraph"/>
        <w:spacing w:after="0" w:line="276" w:lineRule="auto"/>
        <w:ind w:firstLine="360"/>
        <w:rPr>
          <w:rFonts w:ascii="Times New Roman" w:hAnsi="Times New Roman"/>
          <w:color w:val="000000" w:themeColor="text1"/>
          <w:sz w:val="24"/>
          <w:szCs w:val="24"/>
        </w:rPr>
      </w:pPr>
      <w:r w:rsidRPr="00FB0844">
        <w:rPr>
          <w:rFonts w:ascii="Times New Roman" w:hAnsi="Times New Roman"/>
          <w:color w:val="000000" w:themeColor="text1"/>
          <w:sz w:val="24"/>
          <w:szCs w:val="24"/>
        </w:rPr>
        <w:t>The program provides customers with notification on a day-ahead basis that a PTR event will occur on the following day.  In emergency situations, a PTR event can be called on a day-of basis to help address an emergency, but day-of events are not the primary design or intended use of the program.  PTR is a two-level incentive program, providing a basic incentive level ($0.75/kWh) to customers that reduce energy use through manual means and a premium incentive ($1.25/kWh) to customers that reduce energy use through automated demand response (DR) enabling technologies.  The PTR bill credit is calculated based on their event day reduction in electric usage below their established customer-specific reference level (CRL).  The program is marketed under the name Reduce Your Use (RYU) and is an opt-in program for residential customers.  CPUC Decision D-13-07-003 directed SDG&amp;E to require residential customers to enroll in PTR to receive a bill credit beginning in 2014.  Prior to 2014, the PTR program was a default program for all SDG&amp;E residential customers with an opt-in component whereby customers could receive notification of events.</w:t>
      </w:r>
    </w:p>
    <w:p w:rsidR="00FB0844" w:rsidRDefault="00FB0844" w:rsidP="00DB162E">
      <w:pPr>
        <w:pStyle w:val="BodyParagraph"/>
        <w:spacing w:after="0" w:line="276" w:lineRule="auto"/>
        <w:ind w:firstLine="360"/>
        <w:rPr>
          <w:rFonts w:ascii="Times New Roman" w:hAnsi="Times New Roman"/>
          <w:color w:val="FF0000"/>
          <w:sz w:val="24"/>
          <w:szCs w:val="24"/>
        </w:rPr>
      </w:pPr>
    </w:p>
    <w:p w:rsidR="002759D2" w:rsidRPr="002759D2" w:rsidRDefault="002759D2" w:rsidP="00FB0844">
      <w:pPr>
        <w:pStyle w:val="Heading2"/>
        <w:numPr>
          <w:ilvl w:val="1"/>
          <w:numId w:val="39"/>
        </w:numPr>
        <w:spacing w:after="0" w:line="276" w:lineRule="auto"/>
        <w:ind w:left="360" w:hanging="360"/>
        <w:rPr>
          <w:rStyle w:val="Heading2Char"/>
          <w:rFonts w:ascii="Times New Roman" w:hAnsi="Times New Roman" w:cs="Times New Roman"/>
          <w:b/>
          <w:i/>
          <w:color w:val="000000" w:themeColor="text1"/>
        </w:rPr>
      </w:pPr>
      <w:bookmarkStart w:id="204" w:name="_Toc415749003"/>
      <w:r w:rsidRPr="002759D2">
        <w:rPr>
          <w:rStyle w:val="Heading2Char"/>
          <w:rFonts w:ascii="Times New Roman" w:hAnsi="Times New Roman" w:cs="Times New Roman"/>
          <w:b/>
          <w:i/>
          <w:color w:val="000000" w:themeColor="text1"/>
        </w:rPr>
        <w:t>SCTD Program Description</w:t>
      </w:r>
      <w:bookmarkEnd w:id="204"/>
    </w:p>
    <w:p w:rsidR="002759D2" w:rsidRDefault="002759D2" w:rsidP="002759D2"/>
    <w:p w:rsidR="004F0F37" w:rsidRDefault="004F0F37" w:rsidP="004F0F37">
      <w:pPr>
        <w:spacing w:line="276" w:lineRule="auto"/>
        <w:ind w:firstLine="360"/>
      </w:pPr>
      <w:r>
        <w:t xml:space="preserve">The program provides demand response enabling technology to residential customers.  In 2014 the enabling technology was offered free of charge and customers received bill credits through the PTR program.  The enabling technology offered in 2014 was the Ecobee Smart Si thermostat These thermostats are signaled by SDG&amp;E through Wi-Fi.  Two cycling strategies were being tested.  The first strategy is a four degree thermostat setback and the other is a 50% AC cycling strategy.  Customer were randomly assigned to one of the two strategies.  Although PTR events are seven hours long SCTD participant’s thermostats were curtailed for 4 hours, typically from 2 p.m. – 6 p.m.  </w:t>
      </w:r>
    </w:p>
    <w:p w:rsidR="004F0F37" w:rsidRDefault="004F0F37" w:rsidP="004F0F37">
      <w:pPr>
        <w:spacing w:line="276" w:lineRule="auto"/>
      </w:pPr>
    </w:p>
    <w:p w:rsidR="004F0F37" w:rsidRDefault="004F0F37" w:rsidP="004F0F37">
      <w:pPr>
        <w:spacing w:line="276" w:lineRule="auto"/>
        <w:ind w:firstLine="360"/>
      </w:pPr>
      <w:r>
        <w:t xml:space="preserve">Since PTR is now opt-in a customer must enroll to receive a bill credit.  Not all SCTD customers enrolled themselves in PTR.  If the customers did not enroll in PTR their thermostat was curtailed but they did not receive a bill credit.  </w:t>
      </w:r>
    </w:p>
    <w:p w:rsidR="004F0F37" w:rsidRDefault="004F0F37" w:rsidP="004F0F37">
      <w:pPr>
        <w:spacing w:line="276" w:lineRule="auto"/>
      </w:pPr>
    </w:p>
    <w:p w:rsidR="002759D2" w:rsidRPr="002759D2" w:rsidRDefault="004F0F37" w:rsidP="004F0F37">
      <w:pPr>
        <w:spacing w:line="276" w:lineRule="auto"/>
        <w:ind w:firstLine="360"/>
      </w:pPr>
      <w:r>
        <w:t>SDG&amp;E also offers an air-conditioning cycling program called Summer Saver.  Residential customers are either enrolled on a 50% cycling option or a 100% cycling option.  Some of these customers are also enrolled in PTR and receive the higher bill credit of $1.25.  The Summer Saver program is run by a third party aggregator and the contract expires after summer of 2016.  This evaluation will be used to compare the SCTD participants with the 50% cycling option to those Summer Saver participants with 50% cycling.</w:t>
      </w:r>
    </w:p>
    <w:p w:rsidR="004F1D68" w:rsidRPr="002F05A7" w:rsidRDefault="004F1D68" w:rsidP="004F1D68">
      <w:pPr>
        <w:pStyle w:val="Heading2"/>
        <w:numPr>
          <w:ilvl w:val="1"/>
          <w:numId w:val="39"/>
        </w:numPr>
        <w:spacing w:after="0" w:line="276" w:lineRule="auto"/>
        <w:ind w:left="360" w:hanging="360"/>
        <w:rPr>
          <w:rStyle w:val="Heading2Char"/>
          <w:rFonts w:ascii="Times New Roman" w:hAnsi="Times New Roman" w:cs="Times New Roman"/>
          <w:b/>
          <w:i/>
          <w:color w:val="000000" w:themeColor="text1"/>
        </w:rPr>
      </w:pPr>
      <w:bookmarkStart w:id="205" w:name="_Toc415749004"/>
      <w:r w:rsidRPr="002F05A7">
        <w:rPr>
          <w:rStyle w:val="Heading2Char"/>
          <w:rFonts w:ascii="Times New Roman" w:hAnsi="Times New Roman" w:cs="Times New Roman"/>
          <w:b/>
          <w:i/>
          <w:color w:val="000000" w:themeColor="text1"/>
        </w:rPr>
        <w:lastRenderedPageBreak/>
        <w:t>Summary of 2014 PTR and SCTD Events</w:t>
      </w:r>
      <w:bookmarkEnd w:id="205"/>
    </w:p>
    <w:p w:rsidR="00C3765A" w:rsidRDefault="00C3765A" w:rsidP="00C3765A"/>
    <w:p w:rsidR="00C3765A" w:rsidRDefault="00C3765A" w:rsidP="00C3765A">
      <w:r>
        <w:t xml:space="preserve">The table 7.1 presents the summary </w:t>
      </w:r>
      <w:r w:rsidRPr="00C3765A">
        <w:t>of 2014 PTR and SCTD Events</w:t>
      </w:r>
      <w:r>
        <w:t>.</w:t>
      </w:r>
    </w:p>
    <w:p w:rsidR="00C3765A" w:rsidRDefault="00C3765A" w:rsidP="00C3765A"/>
    <w:p w:rsidR="00C3765A" w:rsidRPr="00C3765A" w:rsidRDefault="00C3765A" w:rsidP="00C3765A"/>
    <w:p w:rsidR="004F1D68" w:rsidRDefault="00C3765A" w:rsidP="00C3765A">
      <w:pPr>
        <w:jc w:val="center"/>
      </w:pPr>
      <w:r w:rsidRPr="00C3765A">
        <w:rPr>
          <w:b/>
          <w:sz w:val="20"/>
          <w:szCs w:val="20"/>
        </w:rPr>
        <w:t>Table 7.1 Summary of 2014 PTR and SCTD Events</w:t>
      </w:r>
    </w:p>
    <w:tbl>
      <w:tblPr>
        <w:tblStyle w:val="ItronBasic"/>
        <w:tblW w:w="9360" w:type="dxa"/>
        <w:tblInd w:w="0" w:type="dxa"/>
        <w:tblLayout w:type="fixed"/>
        <w:tblCellMar>
          <w:left w:w="115" w:type="dxa"/>
          <w:right w:w="115" w:type="dxa"/>
        </w:tblCellMar>
        <w:tblLook w:val="04A0" w:firstRow="1" w:lastRow="0" w:firstColumn="1" w:lastColumn="0" w:noHBand="0" w:noVBand="1"/>
      </w:tblPr>
      <w:tblGrid>
        <w:gridCol w:w="1105"/>
        <w:gridCol w:w="1350"/>
        <w:gridCol w:w="1350"/>
        <w:gridCol w:w="720"/>
        <w:gridCol w:w="720"/>
        <w:gridCol w:w="1350"/>
        <w:gridCol w:w="1350"/>
        <w:gridCol w:w="720"/>
        <w:gridCol w:w="695"/>
      </w:tblGrid>
      <w:tr w:rsidR="004F1D68" w:rsidTr="004F1D68">
        <w:trPr>
          <w:cnfStyle w:val="100000000000" w:firstRow="1" w:lastRow="0" w:firstColumn="0" w:lastColumn="0" w:oddVBand="0" w:evenVBand="0" w:oddHBand="0" w:evenHBand="0" w:firstRowFirstColumn="0" w:firstRowLastColumn="0" w:lastRowFirstColumn="0" w:lastRowLastColumn="0"/>
        </w:trPr>
        <w:tc>
          <w:tcPr>
            <w:tcW w:w="1105" w:type="dxa"/>
            <w:vMerge w:val="restart"/>
            <w:tcBorders>
              <w:bottom w:val="single" w:sz="4" w:space="0" w:color="auto"/>
              <w:right w:val="single" w:sz="12" w:space="0" w:color="000000"/>
            </w:tcBorders>
            <w:vAlign w:val="bottom"/>
            <w:hideMark/>
          </w:tcPr>
          <w:p w:rsidR="004F1D68" w:rsidRDefault="004F1D68">
            <w:pPr>
              <w:keepNext/>
              <w:keepLines/>
              <w:spacing w:before="40" w:after="40"/>
              <w:rPr>
                <w:rFonts w:ascii="Times New Roman" w:hAnsi="Times New Roman"/>
                <w:sz w:val="20"/>
                <w:szCs w:val="20"/>
              </w:rPr>
            </w:pPr>
            <w:r>
              <w:rPr>
                <w:sz w:val="20"/>
                <w:szCs w:val="20"/>
              </w:rPr>
              <w:t>Date</w:t>
            </w:r>
          </w:p>
        </w:tc>
        <w:tc>
          <w:tcPr>
            <w:tcW w:w="4140" w:type="dxa"/>
            <w:gridSpan w:val="4"/>
            <w:tcBorders>
              <w:left w:val="single" w:sz="4" w:space="0" w:color="auto"/>
              <w:right w:val="single" w:sz="12" w:space="0" w:color="000000"/>
            </w:tcBorders>
            <w:hideMark/>
          </w:tcPr>
          <w:p w:rsidR="004F1D68" w:rsidRDefault="004F1D68">
            <w:pPr>
              <w:keepNext/>
              <w:keepLines/>
              <w:spacing w:before="40" w:after="40"/>
              <w:jc w:val="center"/>
              <w:rPr>
                <w:rFonts w:ascii="Times New Roman" w:hAnsi="Times New Roman"/>
                <w:b w:val="0"/>
                <w:sz w:val="20"/>
                <w:szCs w:val="20"/>
              </w:rPr>
            </w:pPr>
            <w:r>
              <w:rPr>
                <w:sz w:val="20"/>
                <w:szCs w:val="20"/>
              </w:rPr>
              <w:t>PTR</w:t>
            </w:r>
          </w:p>
        </w:tc>
        <w:tc>
          <w:tcPr>
            <w:tcW w:w="4115" w:type="dxa"/>
            <w:gridSpan w:val="4"/>
            <w:tcBorders>
              <w:left w:val="single" w:sz="4" w:space="0" w:color="auto"/>
              <w:right w:val="single" w:sz="12" w:space="0" w:color="000000"/>
            </w:tcBorders>
            <w:hideMark/>
          </w:tcPr>
          <w:p w:rsidR="004F1D68" w:rsidRDefault="004F1D68">
            <w:pPr>
              <w:keepNext/>
              <w:keepLines/>
              <w:spacing w:before="40" w:after="40"/>
              <w:jc w:val="center"/>
              <w:rPr>
                <w:rFonts w:ascii="Times New Roman" w:hAnsi="Times New Roman"/>
                <w:sz w:val="20"/>
                <w:szCs w:val="20"/>
              </w:rPr>
            </w:pPr>
            <w:r>
              <w:rPr>
                <w:sz w:val="20"/>
                <w:szCs w:val="20"/>
              </w:rPr>
              <w:t>SCTD</w:t>
            </w:r>
          </w:p>
        </w:tc>
      </w:tr>
      <w:tr w:rsidR="004F1D68" w:rsidTr="004F1D68">
        <w:tc>
          <w:tcPr>
            <w:tcW w:w="1105" w:type="dxa"/>
            <w:vMerge/>
            <w:tcBorders>
              <w:top w:val="single" w:sz="12" w:space="0" w:color="auto"/>
              <w:left w:val="single" w:sz="12" w:space="0" w:color="auto"/>
              <w:bottom w:val="single" w:sz="4" w:space="0" w:color="auto"/>
              <w:right w:val="single" w:sz="12" w:space="0" w:color="000000"/>
            </w:tcBorders>
            <w:vAlign w:val="center"/>
            <w:hideMark/>
          </w:tcPr>
          <w:p w:rsidR="004F1D68" w:rsidRDefault="004F1D68">
            <w:pPr>
              <w:rPr>
                <w:rFonts w:ascii="Times New Roman" w:hAnsi="Times New Roman"/>
                <w:b/>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F1D68" w:rsidRDefault="004F1D68">
            <w:pPr>
              <w:keepNext/>
              <w:keepLines/>
              <w:spacing w:before="40" w:after="40"/>
              <w:jc w:val="center"/>
              <w:rPr>
                <w:rFonts w:ascii="Times New Roman" w:hAnsi="Times New Roman"/>
                <w:b/>
                <w:sz w:val="20"/>
                <w:szCs w:val="20"/>
              </w:rPr>
            </w:pPr>
            <w:r>
              <w:rPr>
                <w:b/>
                <w:sz w:val="20"/>
                <w:szCs w:val="20"/>
              </w:rPr>
              <w:t>Total Active Participants</w:t>
            </w:r>
          </w:p>
        </w:tc>
        <w:tc>
          <w:tcPr>
            <w:tcW w:w="13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4F1D68" w:rsidRDefault="004F1D68">
            <w:pPr>
              <w:keepNext/>
              <w:keepLines/>
              <w:spacing w:before="40" w:after="40"/>
              <w:jc w:val="center"/>
              <w:rPr>
                <w:rFonts w:ascii="Times New Roman" w:hAnsi="Times New Roman"/>
                <w:b/>
                <w:sz w:val="20"/>
                <w:szCs w:val="20"/>
                <w:vertAlign w:val="superscript"/>
              </w:rPr>
            </w:pPr>
            <w:r>
              <w:rPr>
                <w:b/>
                <w:sz w:val="20"/>
                <w:szCs w:val="20"/>
              </w:rPr>
              <w:t>Modeled Active Participants</w:t>
            </w:r>
            <w:r>
              <w:rPr>
                <w:b/>
                <w:sz w:val="20"/>
                <w:szCs w:val="20"/>
                <w:vertAlign w:val="superscript"/>
              </w:rPr>
              <w:t>*</w:t>
            </w:r>
          </w:p>
        </w:tc>
        <w:tc>
          <w:tcPr>
            <w:tcW w:w="72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4F1D68" w:rsidRDefault="004F1D68">
            <w:pPr>
              <w:keepNext/>
              <w:keepLines/>
              <w:spacing w:before="40" w:after="40"/>
              <w:jc w:val="center"/>
              <w:rPr>
                <w:rFonts w:ascii="Times New Roman" w:hAnsi="Times New Roman"/>
                <w:b/>
                <w:sz w:val="20"/>
                <w:szCs w:val="20"/>
              </w:rPr>
            </w:pPr>
            <w:r>
              <w:rPr>
                <w:b/>
                <w:sz w:val="20"/>
                <w:szCs w:val="20"/>
              </w:rPr>
              <w:t>Start Time</w:t>
            </w:r>
          </w:p>
        </w:tc>
        <w:tc>
          <w:tcPr>
            <w:tcW w:w="720" w:type="dxa"/>
            <w:tcBorders>
              <w:top w:val="single" w:sz="4" w:space="0" w:color="auto"/>
              <w:left w:val="single" w:sz="4" w:space="0" w:color="auto"/>
              <w:bottom w:val="single" w:sz="12" w:space="0" w:color="auto"/>
              <w:right w:val="single" w:sz="12" w:space="0" w:color="000000"/>
            </w:tcBorders>
            <w:shd w:val="clear" w:color="auto" w:fill="D9D9D9" w:themeFill="background1" w:themeFillShade="D9"/>
            <w:vAlign w:val="bottom"/>
            <w:hideMark/>
          </w:tcPr>
          <w:p w:rsidR="004F1D68" w:rsidRDefault="004F1D68">
            <w:pPr>
              <w:keepNext/>
              <w:keepLines/>
              <w:spacing w:before="40" w:after="40"/>
              <w:jc w:val="center"/>
              <w:rPr>
                <w:rFonts w:ascii="Times New Roman" w:hAnsi="Times New Roman"/>
                <w:b/>
                <w:sz w:val="20"/>
                <w:szCs w:val="20"/>
              </w:rPr>
            </w:pPr>
            <w:r>
              <w:rPr>
                <w:b/>
                <w:sz w:val="20"/>
                <w:szCs w:val="20"/>
              </w:rPr>
              <w:t>End Time</w:t>
            </w:r>
          </w:p>
        </w:tc>
        <w:tc>
          <w:tcPr>
            <w:tcW w:w="1350" w:type="dxa"/>
            <w:tcBorders>
              <w:top w:val="single" w:sz="4" w:space="0" w:color="auto"/>
              <w:left w:val="single" w:sz="12" w:space="0" w:color="000000"/>
              <w:bottom w:val="single" w:sz="12" w:space="0" w:color="auto"/>
              <w:right w:val="single" w:sz="12" w:space="0" w:color="000000"/>
            </w:tcBorders>
            <w:shd w:val="clear" w:color="auto" w:fill="D9D9D9" w:themeFill="background1" w:themeFillShade="D9"/>
            <w:vAlign w:val="bottom"/>
            <w:hideMark/>
          </w:tcPr>
          <w:p w:rsidR="004F1D68" w:rsidRDefault="004F1D68">
            <w:pPr>
              <w:keepNext/>
              <w:keepLines/>
              <w:spacing w:before="40" w:after="40"/>
              <w:jc w:val="center"/>
              <w:rPr>
                <w:rFonts w:ascii="Times New Roman" w:hAnsi="Times New Roman"/>
                <w:b/>
                <w:sz w:val="20"/>
                <w:szCs w:val="20"/>
              </w:rPr>
            </w:pPr>
            <w:r>
              <w:rPr>
                <w:b/>
                <w:sz w:val="20"/>
                <w:szCs w:val="20"/>
              </w:rPr>
              <w:t>Total Active Participants</w:t>
            </w:r>
          </w:p>
        </w:tc>
        <w:tc>
          <w:tcPr>
            <w:tcW w:w="1350" w:type="dxa"/>
            <w:tcBorders>
              <w:top w:val="single" w:sz="4" w:space="0" w:color="auto"/>
              <w:left w:val="single" w:sz="12" w:space="0" w:color="000000"/>
              <w:bottom w:val="single" w:sz="12" w:space="0" w:color="auto"/>
              <w:right w:val="single" w:sz="4" w:space="0" w:color="auto"/>
            </w:tcBorders>
            <w:shd w:val="clear" w:color="auto" w:fill="D9D9D9" w:themeFill="background1" w:themeFillShade="D9"/>
            <w:vAlign w:val="bottom"/>
            <w:hideMark/>
          </w:tcPr>
          <w:p w:rsidR="004F1D68" w:rsidRDefault="004F1D68">
            <w:pPr>
              <w:keepNext/>
              <w:keepLines/>
              <w:spacing w:before="40" w:after="40"/>
              <w:jc w:val="center"/>
              <w:rPr>
                <w:rFonts w:ascii="Times New Roman" w:hAnsi="Times New Roman"/>
                <w:b/>
                <w:sz w:val="20"/>
                <w:szCs w:val="20"/>
              </w:rPr>
            </w:pPr>
            <w:r>
              <w:rPr>
                <w:b/>
                <w:sz w:val="20"/>
                <w:szCs w:val="20"/>
              </w:rPr>
              <w:t>Modeled Active Participants</w:t>
            </w:r>
            <w:r>
              <w:rPr>
                <w:b/>
                <w:sz w:val="20"/>
                <w:szCs w:val="20"/>
                <w:vertAlign w:val="superscript"/>
              </w:rPr>
              <w:t>*</w:t>
            </w:r>
          </w:p>
        </w:tc>
        <w:tc>
          <w:tcPr>
            <w:tcW w:w="72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4F1D68" w:rsidRDefault="004F1D68">
            <w:pPr>
              <w:keepNext/>
              <w:keepLines/>
              <w:spacing w:before="40" w:after="40"/>
              <w:jc w:val="center"/>
              <w:rPr>
                <w:rFonts w:ascii="Times New Roman" w:hAnsi="Times New Roman"/>
                <w:b/>
                <w:sz w:val="20"/>
                <w:szCs w:val="20"/>
              </w:rPr>
            </w:pPr>
            <w:r>
              <w:rPr>
                <w:b/>
                <w:sz w:val="20"/>
                <w:szCs w:val="20"/>
              </w:rPr>
              <w:t>Start Time</w:t>
            </w:r>
          </w:p>
        </w:tc>
        <w:tc>
          <w:tcPr>
            <w:tcW w:w="695" w:type="dxa"/>
            <w:tcBorders>
              <w:top w:val="single" w:sz="4" w:space="0" w:color="auto"/>
              <w:left w:val="single" w:sz="4" w:space="0" w:color="auto"/>
              <w:bottom w:val="single" w:sz="12" w:space="0" w:color="auto"/>
              <w:right w:val="single" w:sz="12" w:space="0" w:color="000000"/>
            </w:tcBorders>
            <w:shd w:val="clear" w:color="auto" w:fill="D9D9D9" w:themeFill="background1" w:themeFillShade="D9"/>
            <w:vAlign w:val="bottom"/>
            <w:hideMark/>
          </w:tcPr>
          <w:p w:rsidR="004F1D68" w:rsidRDefault="004F1D68">
            <w:pPr>
              <w:keepNext/>
              <w:keepLines/>
              <w:spacing w:before="40" w:after="40"/>
              <w:jc w:val="center"/>
              <w:rPr>
                <w:rFonts w:ascii="Times New Roman" w:hAnsi="Times New Roman"/>
                <w:b/>
                <w:sz w:val="20"/>
                <w:szCs w:val="20"/>
              </w:rPr>
            </w:pPr>
            <w:r>
              <w:rPr>
                <w:b/>
                <w:sz w:val="20"/>
                <w:szCs w:val="20"/>
              </w:rPr>
              <w:t>End Time</w:t>
            </w:r>
          </w:p>
        </w:tc>
      </w:tr>
      <w:tr w:rsidR="004F1D68" w:rsidTr="004F1D68">
        <w:tc>
          <w:tcPr>
            <w:tcW w:w="1105" w:type="dxa"/>
            <w:tcBorders>
              <w:top w:val="single" w:sz="12" w:space="0" w:color="000000"/>
              <w:left w:val="single" w:sz="12" w:space="0" w:color="auto"/>
              <w:bottom w:val="single" w:sz="4" w:space="0" w:color="auto"/>
              <w:right w:val="single" w:sz="12" w:space="0" w:color="000000"/>
            </w:tcBorders>
            <w:vAlign w:val="center"/>
            <w:hideMark/>
          </w:tcPr>
          <w:p w:rsidR="004F1D68" w:rsidRDefault="004F1D68">
            <w:pPr>
              <w:keepNext/>
              <w:keepLines/>
              <w:spacing w:before="40" w:after="40"/>
              <w:rPr>
                <w:rFonts w:ascii="Times New Roman" w:hAnsi="Times New Roman"/>
                <w:sz w:val="20"/>
                <w:szCs w:val="20"/>
              </w:rPr>
            </w:pPr>
            <w:r>
              <w:rPr>
                <w:sz w:val="20"/>
                <w:szCs w:val="20"/>
              </w:rPr>
              <w:t>February 7</w:t>
            </w:r>
            <w:r>
              <w:rPr>
                <w:sz w:val="20"/>
                <w:szCs w:val="20"/>
                <w:vertAlign w:val="superscript"/>
              </w:rPr>
              <w:t>th</w:t>
            </w:r>
            <w:r>
              <w:rPr>
                <w:sz w:val="20"/>
                <w:szCs w:val="20"/>
              </w:rPr>
              <w:t>, 2014</w:t>
            </w:r>
          </w:p>
        </w:tc>
        <w:tc>
          <w:tcPr>
            <w:tcW w:w="1350" w:type="dxa"/>
            <w:tcBorders>
              <w:top w:val="single" w:sz="12"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36,894</w:t>
            </w:r>
          </w:p>
        </w:tc>
        <w:tc>
          <w:tcPr>
            <w:tcW w:w="1350" w:type="dxa"/>
            <w:tcBorders>
              <w:top w:val="single" w:sz="12"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33,103</w:t>
            </w:r>
          </w:p>
        </w:tc>
        <w:tc>
          <w:tcPr>
            <w:tcW w:w="720" w:type="dxa"/>
            <w:tcBorders>
              <w:top w:val="single" w:sz="12"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11 a.m.</w:t>
            </w:r>
          </w:p>
        </w:tc>
        <w:tc>
          <w:tcPr>
            <w:tcW w:w="720" w:type="dxa"/>
            <w:tcBorders>
              <w:top w:val="single" w:sz="12"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c>
          <w:tcPr>
            <w:tcW w:w="1350" w:type="dxa"/>
            <w:tcBorders>
              <w:top w:val="single" w:sz="12" w:space="0" w:color="auto"/>
              <w:left w:val="single" w:sz="12"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c>
          <w:tcPr>
            <w:tcW w:w="1350" w:type="dxa"/>
            <w:tcBorders>
              <w:top w:val="single" w:sz="12" w:space="0" w:color="auto"/>
              <w:left w:val="single" w:sz="12"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c>
          <w:tcPr>
            <w:tcW w:w="720" w:type="dxa"/>
            <w:tcBorders>
              <w:top w:val="single" w:sz="12"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c>
          <w:tcPr>
            <w:tcW w:w="695" w:type="dxa"/>
            <w:tcBorders>
              <w:top w:val="single" w:sz="12"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r>
      <w:tr w:rsidR="004F1D68" w:rsidTr="004F1D68">
        <w:tc>
          <w:tcPr>
            <w:tcW w:w="1105" w:type="dxa"/>
            <w:tcBorders>
              <w:top w:val="single" w:sz="4" w:space="0" w:color="auto"/>
              <w:left w:val="single" w:sz="12" w:space="0" w:color="auto"/>
              <w:bottom w:val="single" w:sz="4" w:space="0" w:color="auto"/>
              <w:right w:val="single" w:sz="12" w:space="0" w:color="000000"/>
            </w:tcBorders>
            <w:vAlign w:val="center"/>
            <w:hideMark/>
          </w:tcPr>
          <w:p w:rsidR="004F1D68" w:rsidRDefault="004F1D68">
            <w:pPr>
              <w:keepNext/>
              <w:keepLines/>
              <w:spacing w:before="40" w:after="40"/>
              <w:rPr>
                <w:rFonts w:ascii="Times New Roman" w:hAnsi="Times New Roman"/>
                <w:sz w:val="20"/>
                <w:szCs w:val="20"/>
              </w:rPr>
            </w:pPr>
            <w:r>
              <w:rPr>
                <w:sz w:val="20"/>
                <w:szCs w:val="20"/>
              </w:rPr>
              <w:t>May 14</w:t>
            </w:r>
            <w:r>
              <w:rPr>
                <w:sz w:val="20"/>
                <w:szCs w:val="20"/>
                <w:vertAlign w:val="superscript"/>
              </w:rPr>
              <w:t>th</w:t>
            </w:r>
            <w:r>
              <w:rPr>
                <w:sz w:val="20"/>
                <w:szCs w:val="20"/>
              </w:rPr>
              <w:t>, 2014</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39,974</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34,713</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11 a.m.</w:t>
            </w:r>
          </w:p>
        </w:tc>
        <w:tc>
          <w:tcPr>
            <w:tcW w:w="720"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c>
          <w:tcPr>
            <w:tcW w:w="1350" w:type="dxa"/>
            <w:tcBorders>
              <w:top w:val="single" w:sz="4" w:space="0" w:color="auto"/>
              <w:left w:val="single" w:sz="12"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c>
          <w:tcPr>
            <w:tcW w:w="1350" w:type="dxa"/>
            <w:tcBorders>
              <w:top w:val="single" w:sz="4" w:space="0" w:color="auto"/>
              <w:left w:val="single" w:sz="12"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c>
          <w:tcPr>
            <w:tcW w:w="695"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r>
      <w:tr w:rsidR="004F1D68" w:rsidTr="004F1D68">
        <w:tc>
          <w:tcPr>
            <w:tcW w:w="1105" w:type="dxa"/>
            <w:tcBorders>
              <w:top w:val="single" w:sz="4" w:space="0" w:color="auto"/>
              <w:left w:val="single" w:sz="12" w:space="0" w:color="auto"/>
              <w:bottom w:val="single" w:sz="4" w:space="0" w:color="auto"/>
              <w:right w:val="single" w:sz="12" w:space="0" w:color="000000"/>
            </w:tcBorders>
            <w:vAlign w:val="center"/>
            <w:hideMark/>
          </w:tcPr>
          <w:p w:rsidR="004F1D68" w:rsidRDefault="004F1D68">
            <w:pPr>
              <w:keepNext/>
              <w:keepLines/>
              <w:spacing w:before="40" w:after="40"/>
              <w:rPr>
                <w:rFonts w:ascii="Times New Roman" w:hAnsi="Times New Roman"/>
                <w:sz w:val="20"/>
                <w:szCs w:val="20"/>
              </w:rPr>
            </w:pPr>
            <w:r>
              <w:rPr>
                <w:sz w:val="20"/>
                <w:szCs w:val="20"/>
              </w:rPr>
              <w:t>May 15</w:t>
            </w:r>
            <w:r>
              <w:rPr>
                <w:sz w:val="20"/>
                <w:szCs w:val="20"/>
                <w:vertAlign w:val="superscript"/>
              </w:rPr>
              <w:t>th</w:t>
            </w:r>
            <w:r>
              <w:rPr>
                <w:sz w:val="20"/>
                <w:szCs w:val="20"/>
              </w:rPr>
              <w:t>, 2014</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40,076</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34,826</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11 a.m.</w:t>
            </w:r>
          </w:p>
        </w:tc>
        <w:tc>
          <w:tcPr>
            <w:tcW w:w="720"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c>
          <w:tcPr>
            <w:tcW w:w="1350" w:type="dxa"/>
            <w:tcBorders>
              <w:top w:val="single" w:sz="4" w:space="0" w:color="auto"/>
              <w:left w:val="single" w:sz="12"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c>
          <w:tcPr>
            <w:tcW w:w="1350" w:type="dxa"/>
            <w:tcBorders>
              <w:top w:val="single" w:sz="4" w:space="0" w:color="auto"/>
              <w:left w:val="single" w:sz="12"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c>
          <w:tcPr>
            <w:tcW w:w="695"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w:t>
            </w:r>
          </w:p>
        </w:tc>
      </w:tr>
      <w:tr w:rsidR="004F1D68" w:rsidTr="004F1D68">
        <w:tc>
          <w:tcPr>
            <w:tcW w:w="1105" w:type="dxa"/>
            <w:tcBorders>
              <w:top w:val="single" w:sz="4" w:space="0" w:color="auto"/>
              <w:left w:val="single" w:sz="12" w:space="0" w:color="auto"/>
              <w:bottom w:val="single" w:sz="4" w:space="0" w:color="auto"/>
              <w:right w:val="single" w:sz="12" w:space="0" w:color="000000"/>
            </w:tcBorders>
            <w:vAlign w:val="center"/>
            <w:hideMark/>
          </w:tcPr>
          <w:p w:rsidR="004F1D68" w:rsidRDefault="004F1D68">
            <w:pPr>
              <w:keepNext/>
              <w:keepLines/>
              <w:spacing w:before="40" w:after="40"/>
              <w:rPr>
                <w:rFonts w:ascii="Times New Roman" w:hAnsi="Times New Roman"/>
                <w:sz w:val="20"/>
                <w:szCs w:val="20"/>
              </w:rPr>
            </w:pPr>
            <w:r>
              <w:rPr>
                <w:sz w:val="20"/>
                <w:szCs w:val="20"/>
              </w:rPr>
              <w:t>July 31</w:t>
            </w:r>
            <w:r>
              <w:rPr>
                <w:sz w:val="20"/>
                <w:szCs w:val="20"/>
                <w:vertAlign w:val="superscript"/>
              </w:rPr>
              <w:t>st</w:t>
            </w:r>
            <w:r>
              <w:rPr>
                <w:sz w:val="20"/>
                <w:szCs w:val="20"/>
              </w:rPr>
              <w:t>, 2014</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56,002</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48,923</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11 a.m.</w:t>
            </w:r>
          </w:p>
        </w:tc>
        <w:tc>
          <w:tcPr>
            <w:tcW w:w="720"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c>
          <w:tcPr>
            <w:tcW w:w="1350" w:type="dxa"/>
            <w:tcBorders>
              <w:top w:val="single" w:sz="4" w:space="0" w:color="auto"/>
              <w:left w:val="single" w:sz="12"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1,285</w:t>
            </w:r>
          </w:p>
        </w:tc>
        <w:tc>
          <w:tcPr>
            <w:tcW w:w="1350" w:type="dxa"/>
            <w:tcBorders>
              <w:top w:val="single" w:sz="4" w:space="0" w:color="auto"/>
              <w:left w:val="single" w:sz="12"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558</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2 p.m.</w:t>
            </w:r>
          </w:p>
        </w:tc>
        <w:tc>
          <w:tcPr>
            <w:tcW w:w="695"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r>
      <w:tr w:rsidR="004F1D68" w:rsidTr="004F1D68">
        <w:tc>
          <w:tcPr>
            <w:tcW w:w="1105" w:type="dxa"/>
            <w:tcBorders>
              <w:top w:val="single" w:sz="4" w:space="0" w:color="auto"/>
              <w:left w:val="single" w:sz="12" w:space="0" w:color="auto"/>
              <w:bottom w:val="single" w:sz="4" w:space="0" w:color="auto"/>
              <w:right w:val="single" w:sz="12" w:space="0" w:color="000000"/>
            </w:tcBorders>
            <w:vAlign w:val="center"/>
            <w:hideMark/>
          </w:tcPr>
          <w:p w:rsidR="004F1D68" w:rsidRDefault="004F1D68">
            <w:pPr>
              <w:keepNext/>
              <w:keepLines/>
              <w:spacing w:before="40" w:after="40"/>
              <w:rPr>
                <w:rFonts w:ascii="Times New Roman" w:hAnsi="Times New Roman"/>
                <w:sz w:val="20"/>
                <w:szCs w:val="20"/>
              </w:rPr>
            </w:pPr>
            <w:r>
              <w:rPr>
                <w:sz w:val="20"/>
                <w:szCs w:val="20"/>
              </w:rPr>
              <w:t>September 15</w:t>
            </w:r>
            <w:r>
              <w:rPr>
                <w:sz w:val="20"/>
                <w:szCs w:val="20"/>
                <w:vertAlign w:val="superscript"/>
              </w:rPr>
              <w:t>th</w:t>
            </w:r>
            <w:r>
              <w:rPr>
                <w:sz w:val="20"/>
                <w:szCs w:val="20"/>
              </w:rPr>
              <w:t>, 2014</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67,189</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57,643</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11 a.m.</w:t>
            </w:r>
          </w:p>
        </w:tc>
        <w:tc>
          <w:tcPr>
            <w:tcW w:w="720"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c>
          <w:tcPr>
            <w:tcW w:w="1350" w:type="dxa"/>
            <w:tcBorders>
              <w:top w:val="single" w:sz="4" w:space="0" w:color="auto"/>
              <w:left w:val="single" w:sz="12"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2,455</w:t>
            </w:r>
          </w:p>
        </w:tc>
        <w:tc>
          <w:tcPr>
            <w:tcW w:w="1350" w:type="dxa"/>
            <w:tcBorders>
              <w:top w:val="single" w:sz="4" w:space="0" w:color="auto"/>
              <w:left w:val="single" w:sz="12"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1,028</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2 p.m.</w:t>
            </w:r>
          </w:p>
        </w:tc>
        <w:tc>
          <w:tcPr>
            <w:tcW w:w="695"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r>
      <w:tr w:rsidR="004F1D68" w:rsidTr="004F1D68">
        <w:tc>
          <w:tcPr>
            <w:tcW w:w="1105" w:type="dxa"/>
            <w:tcBorders>
              <w:top w:val="single" w:sz="4" w:space="0" w:color="auto"/>
              <w:left w:val="single" w:sz="12" w:space="0" w:color="auto"/>
              <w:bottom w:val="single" w:sz="4" w:space="0" w:color="auto"/>
              <w:right w:val="single" w:sz="12" w:space="0" w:color="000000"/>
            </w:tcBorders>
            <w:vAlign w:val="center"/>
            <w:hideMark/>
          </w:tcPr>
          <w:p w:rsidR="004F1D68" w:rsidRDefault="004F1D68">
            <w:pPr>
              <w:keepNext/>
              <w:keepLines/>
              <w:spacing w:before="40" w:after="40"/>
              <w:rPr>
                <w:rFonts w:ascii="Times New Roman" w:hAnsi="Times New Roman"/>
                <w:sz w:val="20"/>
                <w:szCs w:val="20"/>
              </w:rPr>
            </w:pPr>
            <w:r>
              <w:rPr>
                <w:sz w:val="20"/>
                <w:szCs w:val="20"/>
              </w:rPr>
              <w:t>September 16</w:t>
            </w:r>
            <w:r>
              <w:rPr>
                <w:sz w:val="20"/>
                <w:szCs w:val="20"/>
                <w:vertAlign w:val="superscript"/>
              </w:rPr>
              <w:t>th</w:t>
            </w:r>
            <w:r>
              <w:rPr>
                <w:sz w:val="20"/>
                <w:szCs w:val="20"/>
              </w:rPr>
              <w:t>, 2014</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67,189</w:t>
            </w:r>
          </w:p>
        </w:tc>
        <w:tc>
          <w:tcPr>
            <w:tcW w:w="135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58,140</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11 a.m.</w:t>
            </w:r>
          </w:p>
        </w:tc>
        <w:tc>
          <w:tcPr>
            <w:tcW w:w="720"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c>
          <w:tcPr>
            <w:tcW w:w="1350" w:type="dxa"/>
            <w:tcBorders>
              <w:top w:val="single" w:sz="4" w:space="0" w:color="auto"/>
              <w:left w:val="single" w:sz="12"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2,495</w:t>
            </w:r>
          </w:p>
        </w:tc>
        <w:tc>
          <w:tcPr>
            <w:tcW w:w="1350" w:type="dxa"/>
            <w:tcBorders>
              <w:top w:val="single" w:sz="4" w:space="0" w:color="auto"/>
              <w:left w:val="single" w:sz="12"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2,043</w:t>
            </w:r>
          </w:p>
        </w:tc>
        <w:tc>
          <w:tcPr>
            <w:tcW w:w="720" w:type="dxa"/>
            <w:tcBorders>
              <w:top w:val="single" w:sz="4" w:space="0" w:color="auto"/>
              <w:left w:val="single" w:sz="4" w:space="0" w:color="auto"/>
              <w:bottom w:val="single" w:sz="4"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2 p.m.</w:t>
            </w:r>
          </w:p>
        </w:tc>
        <w:tc>
          <w:tcPr>
            <w:tcW w:w="695" w:type="dxa"/>
            <w:tcBorders>
              <w:top w:val="single" w:sz="4" w:space="0" w:color="auto"/>
              <w:left w:val="single" w:sz="4" w:space="0" w:color="auto"/>
              <w:bottom w:val="single" w:sz="4"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r>
      <w:tr w:rsidR="004F1D68" w:rsidTr="004F1D68">
        <w:tc>
          <w:tcPr>
            <w:tcW w:w="1105" w:type="dxa"/>
            <w:tcBorders>
              <w:top w:val="single" w:sz="4" w:space="0" w:color="auto"/>
              <w:left w:val="single" w:sz="12" w:space="0" w:color="auto"/>
              <w:bottom w:val="single" w:sz="12" w:space="0" w:color="auto"/>
              <w:right w:val="single" w:sz="12" w:space="0" w:color="000000"/>
            </w:tcBorders>
            <w:vAlign w:val="center"/>
            <w:hideMark/>
          </w:tcPr>
          <w:p w:rsidR="004F1D68" w:rsidRDefault="004F1D68">
            <w:pPr>
              <w:keepNext/>
              <w:keepLines/>
              <w:spacing w:before="40" w:after="40"/>
              <w:rPr>
                <w:rFonts w:ascii="Times New Roman" w:hAnsi="Times New Roman"/>
                <w:sz w:val="20"/>
                <w:szCs w:val="20"/>
              </w:rPr>
            </w:pPr>
            <w:r>
              <w:rPr>
                <w:sz w:val="20"/>
                <w:szCs w:val="20"/>
              </w:rPr>
              <w:t>September 17</w:t>
            </w:r>
            <w:r>
              <w:rPr>
                <w:sz w:val="20"/>
                <w:szCs w:val="20"/>
                <w:vertAlign w:val="superscript"/>
              </w:rPr>
              <w:t>th</w:t>
            </w:r>
            <w:r>
              <w:rPr>
                <w:sz w:val="20"/>
                <w:szCs w:val="20"/>
              </w:rPr>
              <w:t>, 2014</w:t>
            </w:r>
          </w:p>
        </w:tc>
        <w:tc>
          <w:tcPr>
            <w:tcW w:w="1350" w:type="dxa"/>
            <w:tcBorders>
              <w:top w:val="single" w:sz="4" w:space="0" w:color="auto"/>
              <w:left w:val="single" w:sz="4" w:space="0" w:color="auto"/>
              <w:bottom w:val="single" w:sz="12"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67,189</w:t>
            </w:r>
          </w:p>
        </w:tc>
        <w:tc>
          <w:tcPr>
            <w:tcW w:w="1350" w:type="dxa"/>
            <w:tcBorders>
              <w:top w:val="single" w:sz="4" w:space="0" w:color="auto"/>
              <w:left w:val="single" w:sz="4" w:space="0" w:color="auto"/>
              <w:bottom w:val="single" w:sz="12"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58,139</w:t>
            </w:r>
          </w:p>
        </w:tc>
        <w:tc>
          <w:tcPr>
            <w:tcW w:w="720" w:type="dxa"/>
            <w:tcBorders>
              <w:top w:val="single" w:sz="4" w:space="0" w:color="auto"/>
              <w:left w:val="single" w:sz="4" w:space="0" w:color="auto"/>
              <w:bottom w:val="single" w:sz="12"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11 a.m.</w:t>
            </w:r>
          </w:p>
        </w:tc>
        <w:tc>
          <w:tcPr>
            <w:tcW w:w="720" w:type="dxa"/>
            <w:tcBorders>
              <w:top w:val="single" w:sz="4" w:space="0" w:color="auto"/>
              <w:left w:val="single" w:sz="4" w:space="0" w:color="auto"/>
              <w:bottom w:val="single" w:sz="12"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c>
          <w:tcPr>
            <w:tcW w:w="1350" w:type="dxa"/>
            <w:tcBorders>
              <w:top w:val="single" w:sz="4" w:space="0" w:color="auto"/>
              <w:left w:val="single" w:sz="12" w:space="0" w:color="auto"/>
              <w:bottom w:val="single" w:sz="12"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2,554</w:t>
            </w:r>
          </w:p>
        </w:tc>
        <w:tc>
          <w:tcPr>
            <w:tcW w:w="1350" w:type="dxa"/>
            <w:tcBorders>
              <w:top w:val="single" w:sz="4" w:space="0" w:color="auto"/>
              <w:left w:val="single" w:sz="12" w:space="0" w:color="auto"/>
              <w:bottom w:val="single" w:sz="12"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2,091</w:t>
            </w:r>
          </w:p>
        </w:tc>
        <w:tc>
          <w:tcPr>
            <w:tcW w:w="720" w:type="dxa"/>
            <w:tcBorders>
              <w:top w:val="single" w:sz="4" w:space="0" w:color="auto"/>
              <w:left w:val="single" w:sz="4" w:space="0" w:color="auto"/>
              <w:bottom w:val="single" w:sz="12" w:space="0" w:color="auto"/>
              <w:right w:val="single" w:sz="4"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2 p.m.</w:t>
            </w:r>
          </w:p>
        </w:tc>
        <w:tc>
          <w:tcPr>
            <w:tcW w:w="695" w:type="dxa"/>
            <w:tcBorders>
              <w:top w:val="single" w:sz="4" w:space="0" w:color="auto"/>
              <w:left w:val="single" w:sz="4" w:space="0" w:color="auto"/>
              <w:bottom w:val="single" w:sz="12" w:space="0" w:color="auto"/>
              <w:right w:val="single" w:sz="12" w:space="0" w:color="auto"/>
            </w:tcBorders>
            <w:vAlign w:val="center"/>
            <w:hideMark/>
          </w:tcPr>
          <w:p w:rsidR="004F1D68" w:rsidRDefault="004F1D68">
            <w:pPr>
              <w:autoSpaceDE w:val="0"/>
              <w:autoSpaceDN w:val="0"/>
              <w:adjustRightInd w:val="0"/>
              <w:jc w:val="center"/>
              <w:rPr>
                <w:rFonts w:ascii="Times New Roman" w:hAnsi="Times New Roman"/>
                <w:color w:val="000000"/>
                <w:sz w:val="20"/>
                <w:szCs w:val="20"/>
              </w:rPr>
            </w:pPr>
            <w:r>
              <w:rPr>
                <w:color w:val="000000"/>
                <w:sz w:val="20"/>
                <w:szCs w:val="20"/>
              </w:rPr>
              <w:t>6 p.m.</w:t>
            </w:r>
          </w:p>
        </w:tc>
      </w:tr>
    </w:tbl>
    <w:p w:rsidR="004F1D68" w:rsidRDefault="004F1D68" w:rsidP="004F1D68">
      <w:pPr>
        <w:pStyle w:val="tablefootnote"/>
      </w:pPr>
      <w:r>
        <w:t>* Participants included in the analysis that were not excluded due to data attrition</w:t>
      </w:r>
    </w:p>
    <w:p w:rsidR="004F1D68" w:rsidRPr="004F1D68" w:rsidRDefault="004F1D68" w:rsidP="004F1D68"/>
    <w:p w:rsidR="006A33F3" w:rsidRPr="002F05A7" w:rsidRDefault="002759D2" w:rsidP="00FB0844">
      <w:pPr>
        <w:pStyle w:val="Heading2"/>
        <w:numPr>
          <w:ilvl w:val="1"/>
          <w:numId w:val="39"/>
        </w:numPr>
        <w:spacing w:after="0" w:line="276" w:lineRule="auto"/>
        <w:ind w:left="360" w:hanging="360"/>
        <w:rPr>
          <w:rStyle w:val="Heading2Char"/>
          <w:rFonts w:ascii="Times New Roman" w:hAnsi="Times New Roman" w:cs="Times New Roman"/>
          <w:b/>
          <w:i/>
          <w:color w:val="000000" w:themeColor="text1"/>
        </w:rPr>
      </w:pPr>
      <w:bookmarkStart w:id="206" w:name="_Toc415749005"/>
      <w:r w:rsidRPr="002F05A7">
        <w:rPr>
          <w:rStyle w:val="Heading2Char"/>
          <w:rFonts w:ascii="Times New Roman" w:hAnsi="Times New Roman" w:cs="Times New Roman"/>
          <w:b/>
          <w:i/>
          <w:color w:val="000000" w:themeColor="text1"/>
        </w:rPr>
        <w:t xml:space="preserve">Opt-in </w:t>
      </w:r>
      <w:r w:rsidR="00BE4683" w:rsidRPr="002F05A7">
        <w:rPr>
          <w:rStyle w:val="Heading2Char"/>
          <w:rFonts w:ascii="Times New Roman" w:hAnsi="Times New Roman" w:cs="Times New Roman"/>
          <w:b/>
          <w:i/>
          <w:color w:val="000000" w:themeColor="text1"/>
        </w:rPr>
        <w:t xml:space="preserve">PTR </w:t>
      </w:r>
      <w:r w:rsidR="00F72ED9" w:rsidRPr="002F05A7">
        <w:rPr>
          <w:rStyle w:val="Heading2Char"/>
          <w:rFonts w:ascii="Times New Roman" w:hAnsi="Times New Roman" w:cs="Times New Roman"/>
          <w:b/>
          <w:i/>
          <w:color w:val="000000" w:themeColor="text1"/>
        </w:rPr>
        <w:t xml:space="preserve">Ex-Post </w:t>
      </w:r>
      <w:r w:rsidR="00BE4683" w:rsidRPr="002F05A7">
        <w:rPr>
          <w:rStyle w:val="Heading2Char"/>
          <w:rFonts w:ascii="Times New Roman" w:hAnsi="Times New Roman" w:cs="Times New Roman"/>
          <w:b/>
          <w:i/>
          <w:color w:val="000000" w:themeColor="text1"/>
        </w:rPr>
        <w:t>Evaluation Methodology</w:t>
      </w:r>
      <w:bookmarkEnd w:id="206"/>
    </w:p>
    <w:p w:rsidR="006A33F3" w:rsidRDefault="006A33F3" w:rsidP="00DB162E">
      <w:pPr>
        <w:pStyle w:val="BodyParagraph"/>
        <w:spacing w:after="0" w:line="276" w:lineRule="auto"/>
        <w:ind w:firstLine="360"/>
        <w:rPr>
          <w:rStyle w:val="Heading2Char"/>
          <w:rFonts w:ascii="Times New Roman" w:hAnsi="Times New Roman" w:cs="Times New Roman"/>
          <w:color w:val="FF0000"/>
        </w:rPr>
      </w:pPr>
    </w:p>
    <w:p w:rsidR="00FB0844" w:rsidRPr="00FB0844" w:rsidRDefault="00FB0844" w:rsidP="00FB0844">
      <w:pPr>
        <w:pStyle w:val="BodyParagraph"/>
        <w:spacing w:after="0" w:line="276" w:lineRule="auto"/>
        <w:ind w:firstLine="360"/>
        <w:rPr>
          <w:rFonts w:ascii="Times New Roman" w:hAnsi="Times New Roman"/>
          <w:color w:val="000000" w:themeColor="text1"/>
          <w:sz w:val="24"/>
          <w:szCs w:val="24"/>
        </w:rPr>
      </w:pPr>
      <w:r w:rsidRPr="00FB0844">
        <w:rPr>
          <w:rFonts w:ascii="Times New Roman" w:hAnsi="Times New Roman"/>
          <w:color w:val="000000" w:themeColor="text1"/>
          <w:sz w:val="24"/>
          <w:szCs w:val="24"/>
        </w:rPr>
        <w:t>To estimate ex post load impacts for the PTR opt-in and SCTD programs</w:t>
      </w:r>
      <w:r>
        <w:rPr>
          <w:rFonts w:ascii="Times New Roman" w:hAnsi="Times New Roman"/>
          <w:color w:val="000000" w:themeColor="text1"/>
          <w:sz w:val="24"/>
          <w:szCs w:val="24"/>
        </w:rPr>
        <w:t xml:space="preserve"> was </w:t>
      </w:r>
      <w:r w:rsidRPr="00FB0844">
        <w:rPr>
          <w:rFonts w:ascii="Times New Roman" w:hAnsi="Times New Roman"/>
          <w:color w:val="000000" w:themeColor="text1"/>
          <w:sz w:val="24"/>
          <w:szCs w:val="24"/>
        </w:rPr>
        <w:t>developed regression-based models using a difference in differences (DiD) format, comparing participant and reference aggregate hourly residential loads.  The reference loads for these models were calculated from matched control groups selected from SDG&amp;E’s population of non-program participants. The methods for the matching and ex post estimations are described in detail below.</w:t>
      </w:r>
    </w:p>
    <w:p w:rsidR="00FB0844" w:rsidRPr="001527F2" w:rsidRDefault="00FB0844" w:rsidP="00FB0844">
      <w:pPr>
        <w:pStyle w:val="Heading3"/>
        <w:rPr>
          <w:rFonts w:ascii="Times New Roman" w:hAnsi="Times New Roman" w:cs="Times New Roman"/>
        </w:rPr>
      </w:pPr>
      <w:bookmarkStart w:id="207" w:name="_Toc415749006"/>
      <w:r w:rsidRPr="001527F2">
        <w:rPr>
          <w:rFonts w:ascii="Times New Roman" w:hAnsi="Times New Roman" w:cs="Times New Roman"/>
        </w:rPr>
        <w:t>Control Group Selection</w:t>
      </w:r>
      <w:bookmarkEnd w:id="207"/>
    </w:p>
    <w:p w:rsidR="00C24FAB" w:rsidRPr="00263F19" w:rsidRDefault="00C24FAB" w:rsidP="00DB162E">
      <w:pPr>
        <w:pStyle w:val="BodyParagraph"/>
        <w:spacing w:after="0" w:line="276" w:lineRule="auto"/>
        <w:rPr>
          <w:rFonts w:ascii="Times New Roman" w:hAnsi="Times New Roman"/>
          <w:color w:val="FF0000"/>
          <w:sz w:val="24"/>
          <w:szCs w:val="24"/>
        </w:rPr>
      </w:pPr>
    </w:p>
    <w:p w:rsidR="00FB0844" w:rsidRPr="00FB0844" w:rsidRDefault="00FB0844" w:rsidP="001527F2">
      <w:pPr>
        <w:pStyle w:val="BodyParagraph"/>
        <w:spacing w:line="276" w:lineRule="auto"/>
        <w:ind w:firstLine="720"/>
        <w:rPr>
          <w:rFonts w:ascii="Times New Roman" w:hAnsi="Times New Roman"/>
          <w:color w:val="000000" w:themeColor="text1"/>
          <w:sz w:val="24"/>
          <w:szCs w:val="24"/>
        </w:rPr>
      </w:pPr>
      <w:r w:rsidRPr="00FB0844">
        <w:rPr>
          <w:rFonts w:ascii="Times New Roman" w:hAnsi="Times New Roman"/>
          <w:color w:val="000000" w:themeColor="text1"/>
          <w:sz w:val="24"/>
          <w:szCs w:val="24"/>
        </w:rPr>
        <w:t>Control groups were used to measure impacts from the PTR and SCTD programs due to the following conditions: a) few events, with the potential of these events being the hottest days during the summer, b) some events occurring during non-cooling months and/or months where hot weather is not typical, c) small average impacts relative to the overall size of the average participant load during the events, and d) a large population from which to develop a matched control group.  To develop control groups for this evaluation</w:t>
      </w:r>
      <w:r w:rsidR="001527F2">
        <w:rPr>
          <w:rFonts w:ascii="Times New Roman" w:hAnsi="Times New Roman"/>
          <w:color w:val="000000" w:themeColor="text1"/>
          <w:sz w:val="24"/>
          <w:szCs w:val="24"/>
        </w:rPr>
        <w:t xml:space="preserve"> was </w:t>
      </w:r>
      <w:r w:rsidRPr="00FB0844">
        <w:rPr>
          <w:rFonts w:ascii="Times New Roman" w:hAnsi="Times New Roman"/>
          <w:color w:val="000000" w:themeColor="text1"/>
          <w:sz w:val="24"/>
          <w:szCs w:val="24"/>
        </w:rPr>
        <w:t>used a Stratified Propensity Score Matching (SPSM) method.</w:t>
      </w:r>
    </w:p>
    <w:p w:rsidR="00FB0844" w:rsidRPr="001527F2" w:rsidRDefault="00FB0844" w:rsidP="001527F2">
      <w:pPr>
        <w:pStyle w:val="Heading3"/>
        <w:rPr>
          <w:rFonts w:ascii="Times New Roman" w:hAnsi="Times New Roman" w:cs="Times New Roman"/>
        </w:rPr>
      </w:pPr>
      <w:bookmarkStart w:id="208" w:name="_Toc415749007"/>
      <w:r w:rsidRPr="001527F2">
        <w:rPr>
          <w:rFonts w:ascii="Times New Roman" w:hAnsi="Times New Roman" w:cs="Times New Roman"/>
        </w:rPr>
        <w:lastRenderedPageBreak/>
        <w:t>Pre-Matching Stratification and Design</w:t>
      </w:r>
      <w:bookmarkEnd w:id="208"/>
    </w:p>
    <w:p w:rsidR="001527F2" w:rsidRDefault="001527F2" w:rsidP="00FB0844">
      <w:pPr>
        <w:pStyle w:val="BodyParagraph"/>
        <w:spacing w:line="276" w:lineRule="auto"/>
        <w:rPr>
          <w:rFonts w:ascii="Times New Roman" w:hAnsi="Times New Roman"/>
          <w:color w:val="000000" w:themeColor="text1"/>
          <w:sz w:val="24"/>
          <w:szCs w:val="24"/>
        </w:rPr>
      </w:pPr>
    </w:p>
    <w:p w:rsidR="00FB0844" w:rsidRPr="00FB0844" w:rsidRDefault="00FB0844" w:rsidP="001527F2">
      <w:pPr>
        <w:pStyle w:val="BodyParagraph"/>
        <w:spacing w:line="276" w:lineRule="auto"/>
        <w:ind w:firstLine="720"/>
        <w:rPr>
          <w:rFonts w:ascii="Times New Roman" w:hAnsi="Times New Roman"/>
          <w:color w:val="000000" w:themeColor="text1"/>
          <w:sz w:val="24"/>
          <w:szCs w:val="24"/>
        </w:rPr>
      </w:pPr>
      <w:r w:rsidRPr="00FB0844">
        <w:rPr>
          <w:rFonts w:ascii="Times New Roman" w:hAnsi="Times New Roman"/>
          <w:color w:val="000000" w:themeColor="text1"/>
          <w:sz w:val="24"/>
          <w:szCs w:val="24"/>
        </w:rPr>
        <w:t>Prior to generating propensity scores, the participant sites were stratified to control for variables that may observationally influence participation.  Strata were defined using a combination of climate zone (coastal and inland) and annual usage group (small, medium, large).  Net Energy Metering (NEM) customers were placed into their own respective strata, as there were too few premises to include as an additional stratification variable.  In total, this provided seven different strata from which to develop control groups.  Using these, the SPSM methodology used a logistic regression (logit) model to estimate the probability of participation within each stratum.   The matching routine paired each participant with a non-participant that had the most similar estimated probability of participation.</w:t>
      </w:r>
    </w:p>
    <w:p w:rsidR="00FB0844" w:rsidRPr="00FB0844" w:rsidRDefault="00FB0844" w:rsidP="00FB0844">
      <w:pPr>
        <w:pStyle w:val="BodyParagraph"/>
        <w:spacing w:line="276" w:lineRule="auto"/>
        <w:rPr>
          <w:rFonts w:ascii="Times New Roman" w:hAnsi="Times New Roman"/>
          <w:color w:val="000000" w:themeColor="text1"/>
          <w:sz w:val="24"/>
          <w:szCs w:val="24"/>
        </w:rPr>
      </w:pPr>
      <w:r w:rsidRPr="00FB0844">
        <w:rPr>
          <w:rFonts w:ascii="Times New Roman" w:hAnsi="Times New Roman"/>
          <w:color w:val="000000" w:themeColor="text1"/>
          <w:sz w:val="24"/>
          <w:szCs w:val="24"/>
        </w:rPr>
        <w:t>The control group selection was based on a two-stage approach. In the first stage, PSM was used to identify an initial set of five control group candidate premises for every participant based on variables calculated using 2013 monthly billing data. After requesting the hourly interval data for these candidate premises, a second stage of PSM selected the final control group using variables developed from interval data.  Second-stage matching was done separately for all PTR participants, as well as for the other various participant groups, namely, NEM, SCTD, Summer Saver, Low Income, and Summer Tier.</w:t>
      </w:r>
    </w:p>
    <w:p w:rsidR="00FB0844" w:rsidRPr="00FB0844" w:rsidRDefault="00FB0844" w:rsidP="00FB0844">
      <w:pPr>
        <w:pStyle w:val="BodyParagraph"/>
        <w:spacing w:line="276" w:lineRule="auto"/>
        <w:rPr>
          <w:rFonts w:ascii="Times New Roman" w:hAnsi="Times New Roman"/>
          <w:color w:val="000000" w:themeColor="text1"/>
          <w:sz w:val="24"/>
          <w:szCs w:val="24"/>
        </w:rPr>
      </w:pPr>
      <w:r w:rsidRPr="00FB0844">
        <w:rPr>
          <w:rFonts w:ascii="Times New Roman" w:hAnsi="Times New Roman"/>
          <w:color w:val="000000" w:themeColor="text1"/>
          <w:sz w:val="24"/>
          <w:szCs w:val="24"/>
        </w:rPr>
        <w:t>After experimenting with various combinations, the final set of variables chosen for the first stage’s logit model included: monthly kWh usage, average monthly kWh, correlation coefficients between monthly CDD65 and kWh usage for summer and winter months, coefficient of variation of kWh usage, ratio of average monthly usage between summer and winter months, ratio of summer kWh usage to total CDD65, and a dummy variable for Low Income customers.  The second stage of matching saw the inclusion of hourly kWh usage during the event hours for summer and hot days, as well as monthly event hour kWh usage.</w:t>
      </w:r>
    </w:p>
    <w:p w:rsidR="00FB0844" w:rsidRPr="001527F2" w:rsidRDefault="00FB0844" w:rsidP="001527F2">
      <w:pPr>
        <w:pStyle w:val="Heading3"/>
        <w:rPr>
          <w:rFonts w:ascii="Times New Roman" w:hAnsi="Times New Roman" w:cs="Times New Roman"/>
        </w:rPr>
      </w:pPr>
      <w:bookmarkStart w:id="209" w:name="_Toc415749008"/>
      <w:r w:rsidRPr="001527F2">
        <w:rPr>
          <w:rFonts w:ascii="Times New Roman" w:hAnsi="Times New Roman" w:cs="Times New Roman"/>
        </w:rPr>
        <w:t>Propensity Score Matching Results</w:t>
      </w:r>
      <w:bookmarkEnd w:id="209"/>
    </w:p>
    <w:p w:rsidR="001527F2" w:rsidRDefault="001527F2" w:rsidP="00FB0844">
      <w:pPr>
        <w:pStyle w:val="BodyParagraph"/>
        <w:spacing w:after="0" w:line="276" w:lineRule="auto"/>
        <w:rPr>
          <w:rFonts w:ascii="Times New Roman" w:hAnsi="Times New Roman"/>
          <w:color w:val="000000" w:themeColor="text1"/>
          <w:sz w:val="24"/>
          <w:szCs w:val="24"/>
        </w:rPr>
      </w:pPr>
    </w:p>
    <w:p w:rsidR="00FB0844" w:rsidRPr="00FB0844" w:rsidRDefault="00FB0844" w:rsidP="001527F2">
      <w:pPr>
        <w:pStyle w:val="BodyParagraph"/>
        <w:spacing w:after="0" w:line="276" w:lineRule="auto"/>
        <w:ind w:firstLine="720"/>
        <w:rPr>
          <w:rFonts w:ascii="Times New Roman" w:hAnsi="Times New Roman"/>
          <w:color w:val="000000" w:themeColor="text1"/>
          <w:sz w:val="24"/>
          <w:szCs w:val="24"/>
        </w:rPr>
      </w:pPr>
      <w:r w:rsidRPr="00FB0844">
        <w:rPr>
          <w:rFonts w:ascii="Times New Roman" w:hAnsi="Times New Roman"/>
          <w:color w:val="000000" w:themeColor="text1"/>
          <w:sz w:val="24"/>
          <w:szCs w:val="24"/>
        </w:rPr>
        <w:t xml:space="preserve">One of the key methods of assessing the effectiveness of the PSM is to conduct t-tests on the independent variables used in the logistic regression for the groups both before and after matching.  If the matching is successful, the participant and control groups should not be statistically significantly different for these variables.  The results of the t-tests for both stages of the PTR participant PSM matching show that none of the PSM variables had a statistically significant difference after selecting the control premise candidates.  A final assessment of the efficacy of the PSM is a graphical comparison of the annual load profiles of the participant premises with the control premises before and after matching. </w:t>
      </w:r>
    </w:p>
    <w:p w:rsidR="00FB0844" w:rsidRDefault="00FB0844" w:rsidP="00DB162E">
      <w:pPr>
        <w:pStyle w:val="BodyParagraph"/>
        <w:spacing w:after="0" w:line="276" w:lineRule="auto"/>
        <w:rPr>
          <w:rFonts w:ascii="Times New Roman" w:hAnsi="Times New Roman"/>
          <w:color w:val="FF0000"/>
          <w:sz w:val="24"/>
          <w:szCs w:val="24"/>
        </w:rPr>
      </w:pPr>
    </w:p>
    <w:p w:rsidR="00B03AB1" w:rsidRPr="001527F2" w:rsidRDefault="00687DC6" w:rsidP="00B03AB1">
      <w:pPr>
        <w:pStyle w:val="Heading3"/>
        <w:rPr>
          <w:rFonts w:ascii="Times New Roman" w:hAnsi="Times New Roman" w:cs="Times New Roman"/>
        </w:rPr>
      </w:pPr>
      <w:bookmarkStart w:id="210" w:name="_Toc415749009"/>
      <w:r>
        <w:rPr>
          <w:rFonts w:ascii="Times New Roman" w:hAnsi="Times New Roman" w:cs="Times New Roman"/>
        </w:rPr>
        <w:lastRenderedPageBreak/>
        <w:t xml:space="preserve">PTR </w:t>
      </w:r>
      <w:r w:rsidR="00B03AB1" w:rsidRPr="00B03AB1">
        <w:rPr>
          <w:rFonts w:ascii="Times New Roman" w:hAnsi="Times New Roman" w:cs="Times New Roman"/>
        </w:rPr>
        <w:t xml:space="preserve">Ex Post </w:t>
      </w:r>
      <w:r w:rsidR="002F2CEA">
        <w:rPr>
          <w:rFonts w:ascii="Times New Roman" w:hAnsi="Times New Roman" w:cs="Times New Roman"/>
        </w:rPr>
        <w:t>Estimation</w:t>
      </w:r>
      <w:bookmarkEnd w:id="210"/>
      <w:r w:rsidR="00B03AB1" w:rsidRPr="00B03AB1">
        <w:rPr>
          <w:rFonts w:ascii="Times New Roman" w:hAnsi="Times New Roman" w:cs="Times New Roman"/>
        </w:rPr>
        <w:t xml:space="preserve"> </w:t>
      </w:r>
    </w:p>
    <w:p w:rsidR="00B03AB1" w:rsidRDefault="00B03AB1" w:rsidP="00DB162E">
      <w:pPr>
        <w:pStyle w:val="BodyParagraph"/>
        <w:spacing w:after="0" w:line="276" w:lineRule="auto"/>
        <w:rPr>
          <w:rFonts w:ascii="Times New Roman" w:hAnsi="Times New Roman"/>
          <w:color w:val="FF0000"/>
          <w:sz w:val="24"/>
          <w:szCs w:val="24"/>
        </w:rPr>
      </w:pPr>
    </w:p>
    <w:p w:rsidR="00B03AB1" w:rsidRDefault="00B03AB1" w:rsidP="00B03AB1">
      <w:pPr>
        <w:spacing w:line="276" w:lineRule="auto"/>
        <w:ind w:firstLine="720"/>
      </w:pPr>
      <w:r>
        <w:t xml:space="preserve">A number of different combinations of specifications were tested in developing the aggregate </w:t>
      </w:r>
      <w:r>
        <w:rPr>
          <w:i/>
        </w:rPr>
        <w:t xml:space="preserve">ex post </w:t>
      </w:r>
      <w:r>
        <w:t xml:space="preserve">model.  The final model specifications used for the analysis included variables for hour, day of the week, month, cooling degree hours (CDH65), and event indicators.  Additionally, because enrollment increased during the summer, the model included a binary variable to indicate whether a participant was “active,” meaning that they had opted in to the program by the date in question. This means that for periods prior to enrollment, some participants were effectively part of the control group. </w:t>
      </w:r>
    </w:p>
    <w:p w:rsidR="00B03AB1" w:rsidRDefault="00B03AB1" w:rsidP="00B03AB1">
      <w:pPr>
        <w:spacing w:line="276" w:lineRule="auto"/>
      </w:pPr>
    </w:p>
    <w:p w:rsidR="00B03AB1" w:rsidRDefault="00B03AB1" w:rsidP="00B03AB1">
      <w:pPr>
        <w:spacing w:line="276" w:lineRule="auto"/>
      </w:pPr>
      <w:r>
        <w:t xml:space="preserve">Expressed symbolically, the model is as follows: </w:t>
      </w:r>
    </w:p>
    <w:p w:rsidR="00B03AB1" w:rsidRDefault="00B03AB1" w:rsidP="00B03AB1">
      <w:pPr>
        <w:rPr>
          <w:rFonts w:ascii="Calibri" w:hAnsi="Calibri"/>
          <w:color w:val="000000"/>
          <w:sz w:val="22"/>
          <w:szCs w:val="22"/>
        </w:rPr>
      </w:pPr>
    </w:p>
    <w:p w:rsidR="00B03AB1" w:rsidRDefault="00947B52" w:rsidP="00B03AB1">
      <m:oMathPara>
        <m:oMath>
          <m:sSub>
            <m:sSubPr>
              <m:ctrlPr>
                <w:rPr>
                  <w:rFonts w:ascii="Cambria Math" w:hAnsi="Cambria Math"/>
                  <w:i/>
                </w:rPr>
              </m:ctrlPr>
            </m:sSubPr>
            <m:e>
              <m:r>
                <w:rPr>
                  <w:rFonts w:ascii="Cambria Math" w:hAnsi="Cambria Math"/>
                </w:rPr>
                <m:t>kWh</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d</m:t>
              </m:r>
            </m:sub>
            <m:sup/>
            <m:e>
              <m:sSubSup>
                <m:sSubSupPr>
                  <m:ctrlPr>
                    <w:rPr>
                      <w:rFonts w:ascii="Cambria Math" w:hAnsi="Cambria Math"/>
                      <w:i/>
                    </w:rPr>
                  </m:ctrlPr>
                </m:sSubSupPr>
                <m:e>
                  <m:r>
                    <w:rPr>
                      <w:rFonts w:ascii="Cambria Math" w:hAnsi="Cambria Math"/>
                    </w:rPr>
                    <m:t>β</m:t>
                  </m:r>
                </m:e>
                <m:sub>
                  <m:r>
                    <w:rPr>
                      <w:rFonts w:ascii="Cambria Math" w:hAnsi="Cambria Math"/>
                    </w:rPr>
                    <m:t>1</m:t>
                  </m:r>
                </m:sub>
                <m:sup>
                  <m:r>
                    <w:rPr>
                      <w:rFonts w:ascii="Cambria Math" w:hAnsi="Cambria Math"/>
                    </w:rPr>
                    <m:t>d</m:t>
                  </m:r>
                </m:sup>
              </m:sSubSup>
              <m:r>
                <w:rPr>
                  <w:rFonts w:ascii="Cambria Math" w:hAnsi="Cambria Math"/>
                </w:rPr>
                <m:t>×</m:t>
              </m:r>
              <m:sSub>
                <m:sSubPr>
                  <m:ctrlPr>
                    <w:rPr>
                      <w:rFonts w:ascii="Cambria Math" w:hAnsi="Cambria Math"/>
                      <w:i/>
                    </w:rPr>
                  </m:ctrlPr>
                </m:sSubPr>
                <m:e>
                  <m:r>
                    <w:rPr>
                      <w:rFonts w:ascii="Cambria Math" w:hAnsi="Cambria Math"/>
                    </w:rPr>
                    <m:t>DOW</m:t>
                  </m:r>
                </m:e>
                <m:sub>
                  <m:r>
                    <w:rPr>
                      <w:rFonts w:ascii="Cambria Math" w:hAnsi="Cambria Math"/>
                    </w:rPr>
                    <m:t>d</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m</m:t>
              </m:r>
            </m:sub>
            <m:sup/>
            <m:e>
              <m:sSubSup>
                <m:sSubSupPr>
                  <m:ctrlPr>
                    <w:rPr>
                      <w:rFonts w:ascii="Cambria Math" w:hAnsi="Cambria Math"/>
                      <w:i/>
                    </w:rPr>
                  </m:ctrlPr>
                </m:sSubSupPr>
                <m:e>
                  <m:r>
                    <w:rPr>
                      <w:rFonts w:ascii="Cambria Math" w:hAnsi="Cambria Math"/>
                    </w:rPr>
                    <m:t>β</m:t>
                  </m:r>
                </m:e>
                <m:sub>
                  <m:r>
                    <w:rPr>
                      <w:rFonts w:ascii="Cambria Math" w:hAnsi="Cambria Math"/>
                    </w:rPr>
                    <m:t>2</m:t>
                  </m:r>
                </m:sub>
                <m:sup>
                  <m:r>
                    <w:rPr>
                      <w:rFonts w:ascii="Cambria Math" w:hAnsi="Cambria Math"/>
                    </w:rPr>
                    <m:t>m</m:t>
                  </m:r>
                </m:sup>
              </m:sSubSup>
              <m:r>
                <w:rPr>
                  <w:rFonts w:ascii="Cambria Math" w:hAnsi="Cambria Math"/>
                </w:rPr>
                <m:t>×</m:t>
              </m:r>
              <m:sSub>
                <m:sSubPr>
                  <m:ctrlPr>
                    <w:rPr>
                      <w:rFonts w:ascii="Cambria Math" w:hAnsi="Cambria Math"/>
                      <w:i/>
                    </w:rPr>
                  </m:ctrlPr>
                </m:sSubPr>
                <m:e>
                  <m:r>
                    <w:rPr>
                      <w:rFonts w:ascii="Cambria Math" w:hAnsi="Cambria Math"/>
                    </w:rPr>
                    <m:t>Month</m:t>
                  </m:r>
                </m:e>
                <m:sub>
                  <m:r>
                    <w:rPr>
                      <w:rFonts w:ascii="Cambria Math" w:hAnsi="Cambria Math"/>
                    </w:rPr>
                    <m:t>m</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h</m:t>
              </m:r>
            </m:sub>
            <m:sup/>
            <m:e>
              <m:sSubSup>
                <m:sSubSupPr>
                  <m:ctrlPr>
                    <w:rPr>
                      <w:rFonts w:ascii="Cambria Math" w:hAnsi="Cambria Math"/>
                      <w:i/>
                    </w:rPr>
                  </m:ctrlPr>
                </m:sSubSupPr>
                <m:e>
                  <m:r>
                    <w:rPr>
                      <w:rFonts w:ascii="Cambria Math" w:hAnsi="Cambria Math"/>
                    </w:rPr>
                    <m:t>β</m:t>
                  </m:r>
                </m:e>
                <m:sub>
                  <m:r>
                    <w:rPr>
                      <w:rFonts w:ascii="Cambria Math" w:hAnsi="Cambria Math"/>
                    </w:rPr>
                    <m:t>3</m:t>
                  </m:r>
                </m:sub>
                <m:sup>
                  <m:r>
                    <w:rPr>
                      <w:rFonts w:ascii="Cambria Math" w:hAnsi="Cambria Math"/>
                    </w:rPr>
                    <m:t>h</m:t>
                  </m:r>
                </m:sup>
              </m:sSubSup>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h</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d</m:t>
              </m:r>
            </m:sub>
            <m:sup/>
            <m:e>
              <m:nary>
                <m:naryPr>
                  <m:chr m:val="∑"/>
                  <m:limLoc m:val="subSup"/>
                  <m:supHide m:val="1"/>
                  <m:ctrlPr>
                    <w:rPr>
                      <w:rFonts w:ascii="Cambria Math" w:hAnsi="Cambria Math"/>
                      <w:i/>
                    </w:rPr>
                  </m:ctrlPr>
                </m:naryPr>
                <m:sub>
                  <m:r>
                    <w:rPr>
                      <w:rFonts w:ascii="Cambria Math" w:hAnsi="Cambria Math"/>
                    </w:rPr>
                    <m:t>h</m:t>
                  </m:r>
                </m:sub>
                <m:sup/>
                <m:e>
                  <m:sSubSup>
                    <m:sSubSupPr>
                      <m:ctrlPr>
                        <w:rPr>
                          <w:rFonts w:ascii="Cambria Math" w:hAnsi="Cambria Math"/>
                          <w:i/>
                        </w:rPr>
                      </m:ctrlPr>
                    </m:sSubSupPr>
                    <m:e>
                      <m:r>
                        <w:rPr>
                          <w:rFonts w:ascii="Cambria Math" w:hAnsi="Cambria Math"/>
                        </w:rPr>
                        <m:t>β</m:t>
                      </m:r>
                    </m:e>
                    <m:sub>
                      <m:r>
                        <w:rPr>
                          <w:rFonts w:ascii="Cambria Math" w:hAnsi="Cambria Math"/>
                        </w:rPr>
                        <m:t>4</m:t>
                      </m:r>
                    </m:sub>
                    <m:sup>
                      <m:r>
                        <w:rPr>
                          <w:rFonts w:ascii="Cambria Math" w:hAnsi="Cambria Math"/>
                        </w:rPr>
                        <m:t>h,d</m:t>
                      </m:r>
                    </m:sup>
                  </m:sSubSup>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DOW</m:t>
                      </m:r>
                    </m:e>
                    <m:sub>
                      <m:r>
                        <w:rPr>
                          <w:rFonts w:ascii="Cambria Math" w:hAnsi="Cambria Math"/>
                        </w:rPr>
                        <m:t>d</m:t>
                      </m:r>
                    </m:sub>
                  </m:sSub>
                </m:e>
              </m:nary>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m</m:t>
              </m:r>
            </m:sub>
            <m:sup/>
            <m:e>
              <m:nary>
                <m:naryPr>
                  <m:chr m:val="∑"/>
                  <m:limLoc m:val="subSup"/>
                  <m:supHide m:val="1"/>
                  <m:ctrlPr>
                    <w:rPr>
                      <w:rFonts w:ascii="Cambria Math" w:hAnsi="Cambria Math"/>
                      <w:i/>
                    </w:rPr>
                  </m:ctrlPr>
                </m:naryPr>
                <m:sub>
                  <m:r>
                    <w:rPr>
                      <w:rFonts w:ascii="Cambria Math" w:hAnsi="Cambria Math"/>
                    </w:rPr>
                    <m:t>h</m:t>
                  </m:r>
                </m:sub>
                <m:sup/>
                <m:e>
                  <m:sSubSup>
                    <m:sSubSupPr>
                      <m:ctrlPr>
                        <w:rPr>
                          <w:rFonts w:ascii="Cambria Math" w:hAnsi="Cambria Math"/>
                          <w:i/>
                        </w:rPr>
                      </m:ctrlPr>
                    </m:sSubSupPr>
                    <m:e>
                      <m:r>
                        <w:rPr>
                          <w:rFonts w:ascii="Cambria Math" w:hAnsi="Cambria Math"/>
                        </w:rPr>
                        <m:t>β</m:t>
                      </m:r>
                    </m:e>
                    <m:sub>
                      <m:r>
                        <w:rPr>
                          <w:rFonts w:ascii="Cambria Math" w:hAnsi="Cambria Math"/>
                        </w:rPr>
                        <m:t>5</m:t>
                      </m:r>
                    </m:sub>
                    <m:sup>
                      <m:r>
                        <w:rPr>
                          <w:rFonts w:ascii="Cambria Math" w:hAnsi="Cambria Math"/>
                        </w:rPr>
                        <m:t>h,m</m:t>
                      </m:r>
                    </m:sup>
                  </m:sSubSup>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Month</m:t>
                      </m:r>
                    </m:e>
                    <m:sub>
                      <m:r>
                        <w:rPr>
                          <w:rFonts w:ascii="Cambria Math" w:hAnsi="Cambria Math"/>
                        </w:rPr>
                        <m:t>m</m:t>
                      </m:r>
                    </m:sub>
                  </m:sSub>
                </m:e>
              </m:nary>
            </m:e>
          </m:nary>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6</m:t>
              </m:r>
            </m:sub>
          </m:sSub>
          <m:r>
            <w:rPr>
              <w:rFonts w:ascii="Cambria Math" w:hAnsi="Cambria Math"/>
            </w:rPr>
            <m:t>×CDH65+</m:t>
          </m:r>
          <m:nary>
            <m:naryPr>
              <m:chr m:val="∑"/>
              <m:limLoc m:val="subSup"/>
              <m:supHide m:val="1"/>
              <m:ctrlPr>
                <w:rPr>
                  <w:rFonts w:ascii="Cambria Math" w:hAnsi="Cambria Math"/>
                  <w:i/>
                </w:rPr>
              </m:ctrlPr>
            </m:naryPr>
            <m:sub>
              <m:r>
                <w:rPr>
                  <w:rFonts w:ascii="Cambria Math" w:hAnsi="Cambria Math"/>
                </w:rPr>
                <m:t>h</m:t>
              </m:r>
            </m:sub>
            <m:sup/>
            <m:e>
              <m:sSubSup>
                <m:sSubSupPr>
                  <m:ctrlPr>
                    <w:rPr>
                      <w:rFonts w:ascii="Cambria Math" w:hAnsi="Cambria Math"/>
                      <w:i/>
                    </w:rPr>
                  </m:ctrlPr>
                </m:sSubSupPr>
                <m:e>
                  <m:r>
                    <w:rPr>
                      <w:rFonts w:ascii="Cambria Math" w:hAnsi="Cambria Math"/>
                    </w:rPr>
                    <m:t>β</m:t>
                  </m:r>
                </m:e>
                <m:sub>
                  <m:r>
                    <w:rPr>
                      <w:rFonts w:ascii="Cambria Math" w:hAnsi="Cambria Math"/>
                    </w:rPr>
                    <m:t>7</m:t>
                  </m:r>
                </m:sub>
                <m:sup>
                  <m:r>
                    <w:rPr>
                      <w:rFonts w:ascii="Cambria Math" w:hAnsi="Cambria Math"/>
                    </w:rPr>
                    <m:t>h</m:t>
                  </m:r>
                </m:sup>
              </m:sSubSup>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CDH65</m:t>
                  </m:r>
                </m:e>
                <m:sub>
                  <m:r>
                    <w:rPr>
                      <w:rFonts w:ascii="Cambria Math" w:hAnsi="Cambria Math"/>
                    </w:rPr>
                    <m:t>h</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h</m:t>
              </m:r>
            </m:sub>
            <m:sup/>
            <m:e>
              <m:sSubSup>
                <m:sSubSupPr>
                  <m:ctrlPr>
                    <w:rPr>
                      <w:rFonts w:ascii="Cambria Math" w:hAnsi="Cambria Math"/>
                      <w:i/>
                    </w:rPr>
                  </m:ctrlPr>
                </m:sSubSupPr>
                <m:e>
                  <m:r>
                    <w:rPr>
                      <w:rFonts w:ascii="Cambria Math" w:hAnsi="Cambria Math"/>
                    </w:rPr>
                    <m:t>β</m:t>
                  </m:r>
                </m:e>
                <m:sub>
                  <m:r>
                    <w:rPr>
                      <w:rFonts w:ascii="Cambria Math" w:hAnsi="Cambria Math"/>
                    </w:rPr>
                    <m:t>8</m:t>
                  </m:r>
                </m:sub>
                <m:sup>
                  <m:r>
                    <w:rPr>
                      <w:rFonts w:ascii="Cambria Math" w:hAnsi="Cambria Math"/>
                    </w:rPr>
                    <m:t>h</m:t>
                  </m:r>
                </m:sup>
              </m:sSubSup>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CDH65</m:t>
                  </m:r>
                </m:e>
                <m:sub>
                  <m:r>
                    <w:rPr>
                      <w:rFonts w:ascii="Cambria Math" w:hAnsi="Cambria Math"/>
                    </w:rPr>
                    <m:t>h</m:t>
                  </m:r>
                </m:sub>
              </m:sSub>
              <m:r>
                <w:rPr>
                  <w:rFonts w:ascii="Cambria Math" w:hAnsi="Cambria Math"/>
                </w:rPr>
                <m:t>×Event</m:t>
              </m:r>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h</m:t>
              </m:r>
            </m:sub>
            <m:sup/>
            <m:e>
              <m:sSubSup>
                <m:sSubSupPr>
                  <m:ctrlPr>
                    <w:rPr>
                      <w:rFonts w:ascii="Cambria Math" w:hAnsi="Cambria Math"/>
                      <w:i/>
                    </w:rPr>
                  </m:ctrlPr>
                </m:sSubSupPr>
                <m:e>
                  <m:r>
                    <w:rPr>
                      <w:rFonts w:ascii="Cambria Math" w:hAnsi="Cambria Math"/>
                    </w:rPr>
                    <m:t>β</m:t>
                  </m:r>
                </m:e>
                <m:sub>
                  <m:r>
                    <w:rPr>
                      <w:rFonts w:ascii="Cambria Math" w:hAnsi="Cambria Math"/>
                    </w:rPr>
                    <m:t>9</m:t>
                  </m:r>
                </m:sub>
                <m:sup>
                  <m:r>
                    <w:rPr>
                      <w:rFonts w:ascii="Cambria Math" w:hAnsi="Cambria Math"/>
                    </w:rPr>
                    <m:t>h</m:t>
                  </m:r>
                </m:sup>
              </m:sSubSup>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CDH65</m:t>
                  </m:r>
                </m:e>
                <m:sub>
                  <m:r>
                    <w:rPr>
                      <w:rFonts w:ascii="Cambria Math" w:hAnsi="Cambria Math"/>
                    </w:rPr>
                    <m:t>h</m:t>
                  </m:r>
                </m:sub>
              </m:sSub>
              <m:r>
                <w:rPr>
                  <w:rFonts w:ascii="Cambria Math" w:hAnsi="Cambria Math"/>
                </w:rPr>
                <m:t>×Event×InactivePart</m:t>
              </m:r>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h</m:t>
              </m:r>
            </m:sub>
            <m:sup/>
            <m:e>
              <m:sSubSup>
                <m:sSubSupPr>
                  <m:ctrlPr>
                    <w:rPr>
                      <w:rFonts w:ascii="Cambria Math" w:hAnsi="Cambria Math"/>
                      <w:i/>
                    </w:rPr>
                  </m:ctrlPr>
                </m:sSubSupPr>
                <m:e>
                  <m:r>
                    <w:rPr>
                      <w:rFonts w:ascii="Cambria Math" w:hAnsi="Cambria Math"/>
                    </w:rPr>
                    <m:t>β</m:t>
                  </m:r>
                </m:e>
                <m:sub>
                  <m:r>
                    <w:rPr>
                      <w:rFonts w:ascii="Cambria Math" w:hAnsi="Cambria Math"/>
                    </w:rPr>
                    <m:t>10</m:t>
                  </m:r>
                </m:sub>
                <m:sup>
                  <m:r>
                    <w:rPr>
                      <w:rFonts w:ascii="Cambria Math" w:hAnsi="Cambria Math"/>
                    </w:rPr>
                    <m:t>h</m:t>
                  </m:r>
                </m:sup>
              </m:sSubSup>
              <m:r>
                <w:rPr>
                  <w:rFonts w:ascii="Cambria Math" w:hAnsi="Cambria Math"/>
                </w:rPr>
                <m:t>×</m:t>
              </m:r>
              <m:sSub>
                <m:sSubPr>
                  <m:ctrlPr>
                    <w:rPr>
                      <w:rFonts w:ascii="Cambria Math" w:hAnsi="Cambria Math"/>
                      <w:i/>
                    </w:rPr>
                  </m:ctrlPr>
                </m:sSubPr>
                <m:e>
                  <m:r>
                    <w:rPr>
                      <w:rFonts w:ascii="Cambria Math" w:hAnsi="Cambria Math"/>
                    </w:rPr>
                    <m:t>Hour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CDH65</m:t>
                  </m:r>
                </m:e>
                <m:sub>
                  <m:r>
                    <w:rPr>
                      <w:rFonts w:ascii="Cambria Math" w:hAnsi="Cambria Math"/>
                    </w:rPr>
                    <m:t>h</m:t>
                  </m:r>
                </m:sub>
              </m:sSub>
              <m:r>
                <w:rPr>
                  <w:rFonts w:ascii="Cambria Math" w:hAnsi="Cambria Math"/>
                </w:rPr>
                <m:t>×Event×ActivePart</m:t>
              </m:r>
            </m:e>
          </m:nary>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t</m:t>
              </m:r>
            </m:sub>
          </m:sSub>
        </m:oMath>
      </m:oMathPara>
    </w:p>
    <w:p w:rsidR="00B03AB1" w:rsidRDefault="00B03AB1" w:rsidP="00B03AB1">
      <w:r>
        <w:t>Where</w:t>
      </w:r>
    </w:p>
    <w:tbl>
      <w:tblPr>
        <w:tblStyle w:val="TableGrid"/>
        <w:tblW w:w="0" w:type="auto"/>
        <w:tblLook w:val="04A0" w:firstRow="1" w:lastRow="0" w:firstColumn="1" w:lastColumn="0" w:noHBand="0" w:noVBand="1"/>
      </w:tblPr>
      <w:tblGrid>
        <w:gridCol w:w="1188"/>
        <w:gridCol w:w="8388"/>
      </w:tblGrid>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vertAlign w:val="subscript"/>
              </w:rPr>
            </w:pPr>
            <m:oMathPara>
              <m:oMath>
                <m:sSub>
                  <m:sSubPr>
                    <m:ctrlPr>
                      <w:rPr>
                        <w:rFonts w:ascii="Cambria Math" w:hAnsi="Cambria Math"/>
                        <w:i/>
                        <w:vertAlign w:val="subscript"/>
                      </w:rPr>
                    </m:ctrlPr>
                  </m:sSubPr>
                  <m:e>
                    <m:r>
                      <w:rPr>
                        <w:rFonts w:ascii="Cambria Math" w:hAnsi="Cambria Math"/>
                        <w:vertAlign w:val="subscript"/>
                      </w:rPr>
                      <m:t>kWh</m:t>
                    </m:r>
                  </m:e>
                  <m:sub>
                    <m:r>
                      <w:rPr>
                        <w:rFonts w:ascii="Cambria Math" w:hAnsi="Cambria Math"/>
                        <w:vertAlign w:val="subscript"/>
                      </w:rPr>
                      <m:t>t</m:t>
                    </m:r>
                  </m:sub>
                </m:sSub>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kWh in hour t</w:t>
            </w:r>
          </w:p>
        </w:tc>
      </w:tr>
      <w:tr w:rsidR="00B03AB1" w:rsidTr="00B03AB1">
        <w:trPr>
          <w:trHeight w:val="64"/>
        </w:trPr>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
                  <m:sSubPr>
                    <m:ctrlPr>
                      <w:rPr>
                        <w:rFonts w:ascii="Cambria Math" w:hAnsi="Cambria Math"/>
                        <w:i/>
                        <w:sz w:val="22"/>
                        <w:szCs w:val="22"/>
                      </w:rPr>
                    </m:ctrlPr>
                  </m:sSubPr>
                  <m:e>
                    <m:r>
                      <w:rPr>
                        <w:rFonts w:ascii="Cambria Math" w:hAnsi="Cambria Math"/>
                        <w:sz w:val="22"/>
                        <w:szCs w:val="22"/>
                      </w:rPr>
                      <m:t>β</m:t>
                    </m:r>
                  </m:e>
                  <m:sub>
                    <m:r>
                      <w:rPr>
                        <w:rFonts w:ascii="Cambria Math" w:hAnsi="Cambria Math"/>
                        <w:sz w:val="22"/>
                        <w:szCs w:val="22"/>
                      </w:rPr>
                      <m:t>0</m:t>
                    </m:r>
                  </m:sub>
                </m:sSub>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intercept</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1</m:t>
                    </m:r>
                  </m:sub>
                  <m:sup>
                    <m:r>
                      <w:rPr>
                        <w:rFonts w:ascii="Cambria Math" w:hAnsi="Cambria Math"/>
                        <w:sz w:val="22"/>
                        <w:szCs w:val="22"/>
                      </w:rPr>
                      <m:t>d</m:t>
                    </m:r>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set coefficient for day of week (DOW) d</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2</m:t>
                    </m:r>
                  </m:sub>
                  <m:sup>
                    <m:r>
                      <w:rPr>
                        <w:rFonts w:ascii="Cambria Math" w:hAnsi="Cambria Math"/>
                        <w:sz w:val="22"/>
                        <w:szCs w:val="22"/>
                      </w:rPr>
                      <m:t>m</m:t>
                    </m:r>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set of coefficient for month m</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3</m:t>
                    </m:r>
                  </m:sub>
                  <m:sup>
                    <m:r>
                      <w:rPr>
                        <w:rFonts w:ascii="Cambria Math" w:hAnsi="Cambria Math"/>
                        <w:sz w:val="22"/>
                        <w:szCs w:val="22"/>
                      </w:rPr>
                      <m:t>h</m:t>
                    </m:r>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set of coefficients for hour h</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4</m:t>
                    </m:r>
                  </m:sub>
                  <m:sup>
                    <m:r>
                      <w:rPr>
                        <w:rFonts w:ascii="Cambria Math" w:hAnsi="Cambria Math"/>
                        <w:sz w:val="22"/>
                        <w:szCs w:val="22"/>
                      </w:rPr>
                      <m:t>h,d</m:t>
                    </m:r>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set of coefficients for the interaction of hour h and DOW d</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5</m:t>
                    </m:r>
                  </m:sub>
                  <m:sup>
                    <m:r>
                      <w:rPr>
                        <w:rFonts w:ascii="Cambria Math" w:hAnsi="Cambria Math"/>
                        <w:sz w:val="22"/>
                        <w:szCs w:val="22"/>
                      </w:rPr>
                      <m:t>h,m</m:t>
                    </m:r>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set of coefficients for the interaction of hour h and month m</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6</m:t>
                    </m:r>
                  </m:sub>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coefficient for cooling degree hours (CDH)</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7</m:t>
                    </m:r>
                  </m:sub>
                  <m:sup>
                    <m:r>
                      <w:rPr>
                        <w:rFonts w:ascii="Cambria Math" w:hAnsi="Cambria Math"/>
                        <w:sz w:val="22"/>
                        <w:szCs w:val="22"/>
                      </w:rPr>
                      <m:t>h</m:t>
                    </m:r>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set of coefficients for CDH interacted with hour h</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8</m:t>
                    </m:r>
                  </m:sub>
                  <m:sup>
                    <m:r>
                      <w:rPr>
                        <w:rFonts w:ascii="Cambria Math" w:hAnsi="Cambria Math"/>
                        <w:sz w:val="22"/>
                        <w:szCs w:val="22"/>
                      </w:rPr>
                      <m:t>h</m:t>
                    </m:r>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set of coefficients for the interaction of CDH with event days</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9</m:t>
                    </m:r>
                  </m:sub>
                  <m:sup>
                    <m:r>
                      <w:rPr>
                        <w:rFonts w:ascii="Cambria Math" w:hAnsi="Cambria Math"/>
                        <w:sz w:val="22"/>
                        <w:szCs w:val="22"/>
                      </w:rPr>
                      <m:t>h</m:t>
                    </m:r>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set of coefficients for interaction of CDH with hour h and event days for inactive participants</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Sup>
                  <m:sSubSupPr>
                    <m:ctrlPr>
                      <w:rPr>
                        <w:rFonts w:ascii="Cambria Math" w:hAnsi="Cambria Math"/>
                        <w:i/>
                        <w:sz w:val="22"/>
                        <w:szCs w:val="22"/>
                      </w:rPr>
                    </m:ctrlPr>
                  </m:sSubSupPr>
                  <m:e>
                    <m:r>
                      <w:rPr>
                        <w:rFonts w:ascii="Cambria Math" w:hAnsi="Cambria Math"/>
                        <w:sz w:val="22"/>
                        <w:szCs w:val="22"/>
                      </w:rPr>
                      <m:t>β</m:t>
                    </m:r>
                  </m:e>
                  <m:sub>
                    <m:r>
                      <w:rPr>
                        <w:rFonts w:ascii="Cambria Math" w:hAnsi="Cambria Math"/>
                        <w:sz w:val="22"/>
                        <w:szCs w:val="22"/>
                      </w:rPr>
                      <m:t>10</m:t>
                    </m:r>
                  </m:sub>
                  <m:sup>
                    <m:r>
                      <w:rPr>
                        <w:rFonts w:ascii="Cambria Math" w:hAnsi="Cambria Math"/>
                        <w:sz w:val="22"/>
                        <w:szCs w:val="22"/>
                      </w:rPr>
                      <m:t>h</m:t>
                    </m:r>
                  </m:sup>
                </m:sSubSup>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set of coefficients for interaction of CDH with hour h and event days for active participants</w:t>
            </w:r>
          </w:p>
        </w:tc>
      </w:tr>
      <w:tr w:rsidR="00B03AB1" w:rsidTr="00B03AB1">
        <w:tc>
          <w:tcPr>
            <w:tcW w:w="1188" w:type="dxa"/>
            <w:tcBorders>
              <w:top w:val="single" w:sz="4" w:space="0" w:color="auto"/>
              <w:left w:val="single" w:sz="4" w:space="0" w:color="auto"/>
              <w:bottom w:val="single" w:sz="4" w:space="0" w:color="auto"/>
              <w:right w:val="single" w:sz="4" w:space="0" w:color="auto"/>
            </w:tcBorders>
            <w:vAlign w:val="center"/>
            <w:hideMark/>
          </w:tcPr>
          <w:p w:rsidR="00B03AB1" w:rsidRDefault="00947B52">
            <w:pPr>
              <w:spacing w:line="320" w:lineRule="atLeast"/>
              <w:rPr>
                <w:sz w:val="22"/>
                <w:szCs w:val="22"/>
              </w:rPr>
            </w:pPr>
            <m:oMathPara>
              <m:oMath>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t</m:t>
                    </m:r>
                  </m:sub>
                </m:sSub>
              </m:oMath>
            </m:oMathPara>
          </w:p>
        </w:tc>
        <w:tc>
          <w:tcPr>
            <w:tcW w:w="8388" w:type="dxa"/>
            <w:tcBorders>
              <w:top w:val="single" w:sz="4" w:space="0" w:color="auto"/>
              <w:left w:val="single" w:sz="4" w:space="0" w:color="auto"/>
              <w:bottom w:val="single" w:sz="4" w:space="0" w:color="auto"/>
              <w:right w:val="single" w:sz="4" w:space="0" w:color="auto"/>
            </w:tcBorders>
            <w:vAlign w:val="center"/>
            <w:hideMark/>
          </w:tcPr>
          <w:p w:rsidR="00B03AB1" w:rsidRDefault="00B03AB1">
            <w:pPr>
              <w:spacing w:line="320" w:lineRule="atLeast"/>
              <w:rPr>
                <w:sz w:val="18"/>
                <w:szCs w:val="18"/>
              </w:rPr>
            </w:pPr>
            <w:r>
              <w:rPr>
                <w:sz w:val="18"/>
                <w:szCs w:val="18"/>
              </w:rPr>
              <w:t>Is the error</w:t>
            </w:r>
          </w:p>
        </w:tc>
      </w:tr>
    </w:tbl>
    <w:p w:rsidR="00B03AB1" w:rsidRDefault="00B03AB1" w:rsidP="00B03AB1">
      <w:pPr>
        <w:pStyle w:val="Halfline"/>
      </w:pPr>
    </w:p>
    <w:p w:rsidR="00B03AB1" w:rsidRDefault="00B03AB1" w:rsidP="00B03AB1">
      <w:pPr>
        <w:spacing w:line="276" w:lineRule="auto"/>
      </w:pPr>
      <w:r>
        <w:t xml:space="preserve">The program impacts were based on the interaction of four variables: the event day flag, the active participant flag, the hour, and the cooling degree hours (CDH). The interaction with CDH served two purposes. First, it allowed for the estimation of savings for individual events, since </w:t>
      </w:r>
      <w:r>
        <w:lastRenderedPageBreak/>
        <w:t>temperatures were obviously not the same. Second, it allows for the use of the results to develop ex ante impacts. The remainder of the variables allowed controlling for weather and other periodic factors that determine aggregate customer loads.</w:t>
      </w:r>
    </w:p>
    <w:p w:rsidR="002F2CEA" w:rsidRPr="001527F2" w:rsidRDefault="002F2CEA" w:rsidP="002F2CEA">
      <w:pPr>
        <w:pStyle w:val="Heading3"/>
        <w:rPr>
          <w:rFonts w:ascii="Times New Roman" w:hAnsi="Times New Roman" w:cs="Times New Roman"/>
        </w:rPr>
      </w:pPr>
      <w:bookmarkStart w:id="211" w:name="_Toc415749010"/>
      <w:r>
        <w:rPr>
          <w:rFonts w:ascii="Times New Roman" w:hAnsi="Times New Roman" w:cs="Times New Roman"/>
        </w:rPr>
        <w:t xml:space="preserve">SCTD </w:t>
      </w:r>
      <w:r w:rsidRPr="00B03AB1">
        <w:rPr>
          <w:rFonts w:ascii="Times New Roman" w:hAnsi="Times New Roman" w:cs="Times New Roman"/>
        </w:rPr>
        <w:t xml:space="preserve">Ex Post </w:t>
      </w:r>
      <w:r>
        <w:rPr>
          <w:rFonts w:ascii="Times New Roman" w:hAnsi="Times New Roman" w:cs="Times New Roman"/>
        </w:rPr>
        <w:t>Estimation</w:t>
      </w:r>
      <w:bookmarkEnd w:id="211"/>
      <w:r w:rsidRPr="00B03AB1">
        <w:rPr>
          <w:rFonts w:ascii="Times New Roman" w:hAnsi="Times New Roman" w:cs="Times New Roman"/>
        </w:rPr>
        <w:t xml:space="preserve"> </w:t>
      </w:r>
    </w:p>
    <w:p w:rsidR="002F2CEA" w:rsidRDefault="002F2CEA" w:rsidP="00DB162E">
      <w:pPr>
        <w:pStyle w:val="BodyParagraph"/>
        <w:spacing w:after="0" w:line="276" w:lineRule="auto"/>
        <w:rPr>
          <w:rFonts w:ascii="Times New Roman" w:hAnsi="Times New Roman"/>
          <w:color w:val="FF0000"/>
          <w:sz w:val="24"/>
          <w:szCs w:val="24"/>
        </w:rPr>
      </w:pPr>
    </w:p>
    <w:p w:rsidR="002F2CEA" w:rsidRDefault="002F2CEA" w:rsidP="002F2CEA">
      <w:pPr>
        <w:spacing w:line="276" w:lineRule="auto"/>
        <w:ind w:firstLine="360"/>
      </w:pPr>
      <w:r>
        <w:t xml:space="preserve">The model used to estimate savings for the SCTD participants was nearly identical to that applied to the PTR opt-in alert customers.  Using the population of SCTD participants and its associated matched control group, </w:t>
      </w:r>
      <w:r>
        <w:rPr>
          <w:i/>
        </w:rPr>
        <w:t xml:space="preserve">ex post </w:t>
      </w:r>
      <w:r>
        <w:t>impacts were estimated in an analogous fashion to the PTR groups.  Each set of estimated impacts were grouped by SCTD cycling strategy (4 degree setback or 50% cycling) as well as overall.</w:t>
      </w:r>
    </w:p>
    <w:p w:rsidR="002F2CEA" w:rsidRDefault="002F2CEA" w:rsidP="00DB162E">
      <w:pPr>
        <w:pStyle w:val="BodyParagraph"/>
        <w:spacing w:after="0" w:line="276" w:lineRule="auto"/>
        <w:rPr>
          <w:rFonts w:ascii="Times New Roman" w:hAnsi="Times New Roman"/>
          <w:color w:val="FF0000"/>
          <w:sz w:val="24"/>
          <w:szCs w:val="24"/>
        </w:rPr>
      </w:pPr>
    </w:p>
    <w:p w:rsidR="00BC7FEB" w:rsidRPr="00FB0844" w:rsidRDefault="00BC7FEB" w:rsidP="00BC7FEB">
      <w:pPr>
        <w:pStyle w:val="Heading2"/>
        <w:numPr>
          <w:ilvl w:val="1"/>
          <w:numId w:val="39"/>
        </w:numPr>
        <w:spacing w:after="0" w:line="276" w:lineRule="auto"/>
        <w:ind w:left="360" w:hanging="360"/>
        <w:rPr>
          <w:rStyle w:val="Heading2Char"/>
          <w:rFonts w:ascii="Times New Roman" w:hAnsi="Times New Roman" w:cs="Times New Roman"/>
          <w:b/>
          <w:color w:val="000000" w:themeColor="text1"/>
        </w:rPr>
      </w:pPr>
      <w:bookmarkStart w:id="212" w:name="_Toc415749011"/>
      <w:r w:rsidRPr="00FB0844">
        <w:rPr>
          <w:rStyle w:val="Heading2Char"/>
          <w:rFonts w:ascii="Times New Roman" w:hAnsi="Times New Roman" w:cs="Times New Roman"/>
          <w:b/>
          <w:color w:val="000000" w:themeColor="text1"/>
        </w:rPr>
        <w:t xml:space="preserve">PTR </w:t>
      </w:r>
      <w:r>
        <w:rPr>
          <w:rStyle w:val="Heading2Char"/>
          <w:rFonts w:ascii="Times New Roman" w:hAnsi="Times New Roman" w:cs="Times New Roman"/>
          <w:b/>
          <w:color w:val="000000" w:themeColor="text1"/>
        </w:rPr>
        <w:t xml:space="preserve">and SCTD </w:t>
      </w:r>
      <w:r w:rsidRPr="00FB0844">
        <w:rPr>
          <w:rStyle w:val="Heading2Char"/>
          <w:rFonts w:ascii="Times New Roman" w:hAnsi="Times New Roman" w:cs="Times New Roman"/>
          <w:b/>
          <w:color w:val="000000" w:themeColor="text1"/>
        </w:rPr>
        <w:t xml:space="preserve">Ex-Post </w:t>
      </w:r>
      <w:r>
        <w:rPr>
          <w:rStyle w:val="Heading2Char"/>
          <w:rFonts w:ascii="Times New Roman" w:hAnsi="Times New Roman" w:cs="Times New Roman"/>
          <w:b/>
          <w:color w:val="000000" w:themeColor="text1"/>
        </w:rPr>
        <w:t>Results</w:t>
      </w:r>
      <w:bookmarkEnd w:id="212"/>
      <w:r>
        <w:rPr>
          <w:rStyle w:val="Heading2Char"/>
          <w:rFonts w:ascii="Times New Roman" w:hAnsi="Times New Roman" w:cs="Times New Roman"/>
          <w:b/>
          <w:color w:val="000000" w:themeColor="text1"/>
        </w:rPr>
        <w:t xml:space="preserve"> </w:t>
      </w:r>
    </w:p>
    <w:p w:rsidR="00B108FE" w:rsidRDefault="00B108FE" w:rsidP="00DB162E">
      <w:pPr>
        <w:pStyle w:val="BodyParagraph"/>
        <w:spacing w:after="0" w:line="276" w:lineRule="auto"/>
        <w:rPr>
          <w:rFonts w:ascii="Times New Roman" w:hAnsi="Times New Roman"/>
          <w:color w:val="FF0000"/>
          <w:sz w:val="24"/>
          <w:szCs w:val="24"/>
        </w:rPr>
      </w:pPr>
    </w:p>
    <w:p w:rsidR="00B108FE" w:rsidRDefault="000952BB" w:rsidP="00DB162E">
      <w:pPr>
        <w:pStyle w:val="BodyParagraph"/>
        <w:spacing w:after="0" w:line="276" w:lineRule="auto"/>
        <w:rPr>
          <w:rFonts w:ascii="Times New Roman" w:hAnsi="Times New Roman"/>
          <w:sz w:val="24"/>
          <w:szCs w:val="24"/>
        </w:rPr>
      </w:pPr>
      <w:r w:rsidRPr="000952BB">
        <w:rPr>
          <w:rFonts w:ascii="Times New Roman" w:hAnsi="Times New Roman"/>
          <w:sz w:val="24"/>
          <w:szCs w:val="24"/>
        </w:rPr>
        <w:t xml:space="preserve">This section presents the </w:t>
      </w:r>
      <w:r w:rsidRPr="000952BB">
        <w:rPr>
          <w:rFonts w:ascii="Times New Roman" w:hAnsi="Times New Roman"/>
          <w:i/>
          <w:sz w:val="24"/>
          <w:szCs w:val="24"/>
        </w:rPr>
        <w:t>ex post</w:t>
      </w:r>
      <w:r w:rsidRPr="000952BB">
        <w:rPr>
          <w:rFonts w:ascii="Times New Roman" w:hAnsi="Times New Roman"/>
          <w:sz w:val="24"/>
          <w:szCs w:val="24"/>
        </w:rPr>
        <w:t xml:space="preserve"> load impact estimates </w:t>
      </w:r>
      <w:r w:rsidR="007B25A9">
        <w:rPr>
          <w:rFonts w:ascii="Times New Roman" w:hAnsi="Times New Roman"/>
          <w:sz w:val="24"/>
          <w:szCs w:val="24"/>
        </w:rPr>
        <w:t>by customer category.</w:t>
      </w:r>
    </w:p>
    <w:p w:rsidR="000952BB" w:rsidRDefault="000952BB" w:rsidP="00DB162E">
      <w:pPr>
        <w:pStyle w:val="BodyParagraph"/>
        <w:spacing w:after="0" w:line="276" w:lineRule="auto"/>
        <w:rPr>
          <w:rFonts w:ascii="Times New Roman" w:hAnsi="Times New Roman"/>
          <w:sz w:val="24"/>
          <w:szCs w:val="24"/>
        </w:rPr>
      </w:pPr>
    </w:p>
    <w:p w:rsidR="00653FC5" w:rsidRDefault="00653FC5">
      <w:pPr>
        <w:rPr>
          <w:b/>
          <w:bCs/>
          <w:sz w:val="20"/>
          <w:szCs w:val="20"/>
        </w:rPr>
      </w:pPr>
      <w:bookmarkStart w:id="213" w:name="_Ref414010301"/>
      <w:r>
        <w:br w:type="page"/>
      </w:r>
    </w:p>
    <w:p w:rsidR="00A111F9" w:rsidRDefault="00C3765A" w:rsidP="00A111F9">
      <w:pPr>
        <w:pStyle w:val="Caption"/>
        <w:jc w:val="center"/>
      </w:pPr>
      <w:r>
        <w:lastRenderedPageBreak/>
        <w:t xml:space="preserve">Table </w:t>
      </w:r>
      <w:r w:rsidR="00A111F9">
        <w:t>7</w:t>
      </w:r>
      <w:r>
        <w:noBreakHyphen/>
      </w:r>
      <w:r w:rsidR="00947B52">
        <w:fldChar w:fldCharType="begin"/>
      </w:r>
      <w:r w:rsidR="00947B52">
        <w:instrText xml:space="preserve"> SEQ Table \* ARABIC \s 1 </w:instrText>
      </w:r>
      <w:r w:rsidR="00947B52">
        <w:fldChar w:fldCharType="separate"/>
      </w:r>
      <w:r>
        <w:rPr>
          <w:noProof/>
        </w:rPr>
        <w:t>2</w:t>
      </w:r>
      <w:r w:rsidR="00947B52">
        <w:rPr>
          <w:noProof/>
        </w:rPr>
        <w:fldChar w:fldCharType="end"/>
      </w:r>
      <w:bookmarkEnd w:id="213"/>
      <w:r>
        <w:t xml:space="preserve">:  PTR Ex Post Load Impact Estimates by Customer Category </w:t>
      </w:r>
      <w:r w:rsidR="00A111F9">
        <w:t>–</w:t>
      </w:r>
      <w:r>
        <w:t xml:space="preserve"> </w:t>
      </w:r>
    </w:p>
    <w:p w:rsidR="00C3765A" w:rsidRDefault="00C3765A" w:rsidP="00A111F9">
      <w:pPr>
        <w:pStyle w:val="Caption"/>
        <w:jc w:val="center"/>
      </w:pPr>
      <w:r>
        <w:t>Average 2014 Event (11 a.m. to 6 p.m.)</w:t>
      </w:r>
    </w:p>
    <w:tbl>
      <w:tblPr>
        <w:tblStyle w:val="ItronBasic"/>
        <w:tblW w:w="9360" w:type="dxa"/>
        <w:tblInd w:w="0" w:type="dxa"/>
        <w:tblLayout w:type="fixed"/>
        <w:tblCellMar>
          <w:left w:w="115" w:type="dxa"/>
          <w:right w:w="115" w:type="dxa"/>
        </w:tblCellMar>
        <w:tblLook w:val="04A0" w:firstRow="1" w:lastRow="0" w:firstColumn="1" w:lastColumn="0" w:noHBand="0" w:noVBand="1"/>
      </w:tblPr>
      <w:tblGrid>
        <w:gridCol w:w="2275"/>
        <w:gridCol w:w="900"/>
        <w:gridCol w:w="1149"/>
        <w:gridCol w:w="1101"/>
        <w:gridCol w:w="900"/>
        <w:gridCol w:w="1170"/>
        <w:gridCol w:w="1135"/>
        <w:gridCol w:w="730"/>
      </w:tblGrid>
      <w:tr w:rsidR="00C3765A" w:rsidTr="00C3765A">
        <w:trPr>
          <w:cnfStyle w:val="100000000000" w:firstRow="1" w:lastRow="0" w:firstColumn="0" w:lastColumn="0" w:oddVBand="0" w:evenVBand="0" w:oddHBand="0" w:evenHBand="0" w:firstRowFirstColumn="0" w:firstRowLastColumn="0" w:lastRowFirstColumn="0" w:lastRowLastColumn="0"/>
        </w:trPr>
        <w:tc>
          <w:tcPr>
            <w:tcW w:w="2275" w:type="dxa"/>
            <w:tcBorders>
              <w:right w:val="single" w:sz="4" w:space="0" w:color="auto"/>
            </w:tcBorders>
            <w:shd w:val="pct20" w:color="auto" w:fill="auto"/>
            <w:vAlign w:val="bottom"/>
            <w:hideMark/>
          </w:tcPr>
          <w:p w:rsidR="00C3765A" w:rsidRDefault="00C3765A">
            <w:pPr>
              <w:keepNext/>
              <w:keepLines/>
              <w:spacing w:before="40" w:after="40"/>
              <w:rPr>
                <w:rFonts w:ascii="Times New Roman" w:hAnsi="Times New Roman"/>
                <w:sz w:val="20"/>
                <w:szCs w:val="20"/>
              </w:rPr>
            </w:pPr>
            <w:r>
              <w:rPr>
                <w:sz w:val="20"/>
                <w:szCs w:val="20"/>
              </w:rPr>
              <w:t>Customer Category</w:t>
            </w:r>
          </w:p>
        </w:tc>
        <w:tc>
          <w:tcPr>
            <w:tcW w:w="900" w:type="dxa"/>
            <w:tcBorders>
              <w:left w:val="single" w:sz="4" w:space="0" w:color="auto"/>
              <w:right w:val="single" w:sz="4" w:space="0" w:color="auto"/>
            </w:tcBorders>
            <w:shd w:val="pct20" w:color="auto" w:fill="auto"/>
            <w:vAlign w:val="bottom"/>
            <w:hideMark/>
          </w:tcPr>
          <w:p w:rsidR="00C3765A" w:rsidRDefault="00C3765A">
            <w:pPr>
              <w:keepNext/>
              <w:keepLines/>
              <w:adjustRightInd w:val="0"/>
              <w:spacing w:before="60" w:after="60"/>
              <w:jc w:val="center"/>
              <w:rPr>
                <w:rFonts w:ascii="Times New Roman" w:hAnsi="Times New Roman"/>
                <w:bCs/>
                <w:color w:val="000000"/>
                <w:sz w:val="20"/>
                <w:szCs w:val="20"/>
              </w:rPr>
            </w:pPr>
            <w:r>
              <w:rPr>
                <w:bCs/>
                <w:color w:val="000000"/>
                <w:sz w:val="20"/>
                <w:szCs w:val="20"/>
              </w:rPr>
              <w:t>Mean Active Partic-ipants</w:t>
            </w:r>
          </w:p>
        </w:tc>
        <w:tc>
          <w:tcPr>
            <w:tcW w:w="1149" w:type="dxa"/>
            <w:tcBorders>
              <w:left w:val="single" w:sz="4" w:space="0" w:color="auto"/>
              <w:right w:val="single" w:sz="4" w:space="0" w:color="auto"/>
            </w:tcBorders>
            <w:shd w:val="pct20" w:color="auto" w:fill="auto"/>
            <w:vAlign w:val="bottom"/>
            <w:hideMark/>
          </w:tcPr>
          <w:p w:rsidR="00C3765A" w:rsidRDefault="00C3765A">
            <w:pPr>
              <w:keepNext/>
              <w:keepLines/>
              <w:adjustRightInd w:val="0"/>
              <w:spacing w:before="60" w:after="60"/>
              <w:jc w:val="center"/>
              <w:rPr>
                <w:rFonts w:ascii="Times New Roman" w:hAnsi="Times New Roman"/>
                <w:bCs/>
                <w:color w:val="000000"/>
                <w:sz w:val="20"/>
                <w:szCs w:val="20"/>
              </w:rPr>
            </w:pPr>
            <w:r>
              <w:rPr>
                <w:bCs/>
                <w:color w:val="000000"/>
                <w:sz w:val="20"/>
                <w:szCs w:val="20"/>
              </w:rPr>
              <w:t>Mean  Reference Load (kW)</w:t>
            </w:r>
          </w:p>
        </w:tc>
        <w:tc>
          <w:tcPr>
            <w:tcW w:w="1101" w:type="dxa"/>
            <w:tcBorders>
              <w:left w:val="single" w:sz="4" w:space="0" w:color="auto"/>
              <w:right w:val="single" w:sz="4" w:space="0" w:color="auto"/>
            </w:tcBorders>
            <w:shd w:val="pct20" w:color="auto" w:fill="auto"/>
            <w:vAlign w:val="bottom"/>
            <w:hideMark/>
          </w:tcPr>
          <w:p w:rsidR="00C3765A" w:rsidRDefault="00C3765A">
            <w:pPr>
              <w:keepNext/>
              <w:keepLines/>
              <w:adjustRightInd w:val="0"/>
              <w:spacing w:before="60" w:after="60"/>
              <w:jc w:val="center"/>
              <w:rPr>
                <w:rFonts w:ascii="Times New Roman" w:hAnsi="Times New Roman"/>
                <w:bCs/>
                <w:color w:val="000000"/>
                <w:sz w:val="20"/>
                <w:szCs w:val="20"/>
              </w:rPr>
            </w:pPr>
            <w:r>
              <w:rPr>
                <w:bCs/>
                <w:color w:val="000000"/>
                <w:sz w:val="20"/>
                <w:szCs w:val="20"/>
              </w:rPr>
              <w:t>Mean  Observed Load (kW)</w:t>
            </w:r>
          </w:p>
        </w:tc>
        <w:tc>
          <w:tcPr>
            <w:tcW w:w="900" w:type="dxa"/>
            <w:tcBorders>
              <w:left w:val="single" w:sz="4" w:space="0" w:color="auto"/>
              <w:right w:val="single" w:sz="4" w:space="0" w:color="auto"/>
            </w:tcBorders>
            <w:shd w:val="pct20" w:color="auto" w:fill="auto"/>
            <w:vAlign w:val="bottom"/>
            <w:hideMark/>
          </w:tcPr>
          <w:p w:rsidR="00C3765A" w:rsidRDefault="00C3765A">
            <w:pPr>
              <w:keepNext/>
              <w:keepLines/>
              <w:adjustRightInd w:val="0"/>
              <w:spacing w:before="60" w:after="60"/>
              <w:jc w:val="center"/>
              <w:rPr>
                <w:rFonts w:ascii="Times New Roman" w:hAnsi="Times New Roman"/>
                <w:bCs/>
                <w:color w:val="000000"/>
                <w:sz w:val="20"/>
                <w:szCs w:val="20"/>
              </w:rPr>
            </w:pPr>
            <w:r>
              <w:rPr>
                <w:bCs/>
                <w:color w:val="000000"/>
                <w:sz w:val="20"/>
                <w:szCs w:val="20"/>
              </w:rPr>
              <w:t>Mean Impact (kW)</w:t>
            </w:r>
          </w:p>
        </w:tc>
        <w:tc>
          <w:tcPr>
            <w:tcW w:w="1170" w:type="dxa"/>
            <w:tcBorders>
              <w:left w:val="single" w:sz="4" w:space="0" w:color="auto"/>
              <w:right w:val="single" w:sz="4" w:space="0" w:color="auto"/>
            </w:tcBorders>
            <w:shd w:val="pct20" w:color="auto" w:fill="auto"/>
            <w:vAlign w:val="bottom"/>
            <w:hideMark/>
          </w:tcPr>
          <w:p w:rsidR="00C3765A" w:rsidRDefault="00C3765A">
            <w:pPr>
              <w:keepNext/>
              <w:keepLines/>
              <w:spacing w:before="40" w:after="40"/>
              <w:jc w:val="center"/>
              <w:rPr>
                <w:rFonts w:ascii="Times New Roman" w:hAnsi="Times New Roman"/>
                <w:sz w:val="20"/>
                <w:szCs w:val="20"/>
              </w:rPr>
            </w:pPr>
            <w:r>
              <w:rPr>
                <w:sz w:val="20"/>
                <w:szCs w:val="20"/>
              </w:rPr>
              <w:t>% Load Reduction</w:t>
            </w:r>
          </w:p>
        </w:tc>
        <w:tc>
          <w:tcPr>
            <w:tcW w:w="1135" w:type="dxa"/>
            <w:tcBorders>
              <w:left w:val="single" w:sz="4" w:space="0" w:color="auto"/>
              <w:right w:val="single" w:sz="4" w:space="0" w:color="auto"/>
            </w:tcBorders>
            <w:shd w:val="pct20" w:color="auto" w:fill="auto"/>
            <w:vAlign w:val="bottom"/>
            <w:hideMark/>
          </w:tcPr>
          <w:p w:rsidR="00C3765A" w:rsidRDefault="00C3765A">
            <w:pPr>
              <w:keepNext/>
              <w:keepLines/>
              <w:spacing w:before="40" w:after="40"/>
              <w:jc w:val="center"/>
              <w:rPr>
                <w:rFonts w:ascii="Times New Roman" w:hAnsi="Times New Roman"/>
                <w:sz w:val="20"/>
                <w:szCs w:val="20"/>
              </w:rPr>
            </w:pPr>
            <w:r>
              <w:rPr>
                <w:sz w:val="20"/>
                <w:szCs w:val="20"/>
              </w:rPr>
              <w:t>Aggregate Load Reduction (MW)</w:t>
            </w:r>
          </w:p>
        </w:tc>
        <w:tc>
          <w:tcPr>
            <w:tcW w:w="730" w:type="dxa"/>
            <w:tcBorders>
              <w:left w:val="single" w:sz="4" w:space="0" w:color="auto"/>
            </w:tcBorders>
            <w:shd w:val="pct20" w:color="auto" w:fill="auto"/>
            <w:vAlign w:val="bottom"/>
            <w:hideMark/>
          </w:tcPr>
          <w:p w:rsidR="00C3765A" w:rsidRDefault="00C3765A">
            <w:pPr>
              <w:keepNext/>
              <w:keepLines/>
              <w:adjustRightInd w:val="0"/>
              <w:spacing w:before="60" w:after="60"/>
              <w:jc w:val="center"/>
              <w:rPr>
                <w:rFonts w:ascii="Times New Roman" w:hAnsi="Times New Roman"/>
                <w:bCs/>
                <w:color w:val="000000"/>
                <w:sz w:val="20"/>
                <w:szCs w:val="20"/>
              </w:rPr>
            </w:pPr>
            <w:r>
              <w:rPr>
                <w:bCs/>
                <w:color w:val="000000"/>
                <w:sz w:val="20"/>
                <w:szCs w:val="20"/>
              </w:rPr>
              <w:t>Mean °F</w:t>
            </w:r>
          </w:p>
        </w:tc>
      </w:tr>
      <w:tr w:rsidR="00C3765A" w:rsidTr="00C3765A">
        <w:tc>
          <w:tcPr>
            <w:tcW w:w="2275" w:type="dxa"/>
            <w:tcBorders>
              <w:top w:val="single" w:sz="4" w:space="0" w:color="auto"/>
              <w:left w:val="single" w:sz="12" w:space="0" w:color="auto"/>
              <w:bottom w:val="single" w:sz="12" w:space="0" w:color="auto"/>
              <w:right w:val="single" w:sz="4" w:space="0" w:color="auto"/>
            </w:tcBorders>
            <w:vAlign w:val="center"/>
            <w:hideMark/>
          </w:tcPr>
          <w:p w:rsidR="00C3765A" w:rsidRDefault="00C3765A">
            <w:pPr>
              <w:keepNext/>
              <w:keepLines/>
              <w:spacing w:before="40" w:after="40"/>
              <w:rPr>
                <w:rFonts w:ascii="Times New Roman" w:hAnsi="Times New Roman"/>
                <w:sz w:val="22"/>
              </w:rPr>
            </w:pPr>
            <w:r>
              <w:rPr>
                <w:sz w:val="20"/>
              </w:rPr>
              <w:t>All</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56,270</w:t>
            </w:r>
          </w:p>
        </w:tc>
        <w:tc>
          <w:tcPr>
            <w:tcW w:w="1149"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1.52</w:t>
            </w:r>
          </w:p>
        </w:tc>
        <w:tc>
          <w:tcPr>
            <w:tcW w:w="1101"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1.42</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0.11</w:t>
            </w:r>
          </w:p>
        </w:tc>
        <w:tc>
          <w:tcPr>
            <w:tcW w:w="117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6.9%</w:t>
            </w:r>
          </w:p>
        </w:tc>
        <w:tc>
          <w:tcPr>
            <w:tcW w:w="1135"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5.92</w:t>
            </w:r>
          </w:p>
        </w:tc>
        <w:tc>
          <w:tcPr>
            <w:tcW w:w="730" w:type="dxa"/>
            <w:tcBorders>
              <w:top w:val="single" w:sz="4"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88.0</w:t>
            </w:r>
          </w:p>
        </w:tc>
      </w:tr>
      <w:tr w:rsidR="00C3765A" w:rsidTr="00C3765A">
        <w:tc>
          <w:tcPr>
            <w:tcW w:w="2275" w:type="dxa"/>
            <w:tcBorders>
              <w:top w:val="single" w:sz="12"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Large</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24,200</w:t>
            </w:r>
          </w:p>
        </w:tc>
        <w:tc>
          <w:tcPr>
            <w:tcW w:w="1149"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2.41</w:t>
            </w:r>
          </w:p>
        </w:tc>
        <w:tc>
          <w:tcPr>
            <w:tcW w:w="1101"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2.20</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0.21</w:t>
            </w:r>
          </w:p>
        </w:tc>
        <w:tc>
          <w:tcPr>
            <w:tcW w:w="117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w:t>
            </w:r>
          </w:p>
        </w:tc>
        <w:tc>
          <w:tcPr>
            <w:tcW w:w="1135"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5.10</w:t>
            </w:r>
          </w:p>
        </w:tc>
        <w:tc>
          <w:tcPr>
            <w:tcW w:w="730" w:type="dxa"/>
            <w:tcBorders>
              <w:top w:val="single" w:sz="12"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88.3</w:t>
            </w:r>
          </w:p>
        </w:tc>
      </w:tr>
      <w:tr w:rsidR="00C3765A" w:rsidTr="00C3765A">
        <w:tc>
          <w:tcPr>
            <w:tcW w:w="2275" w:type="dxa"/>
            <w:tcBorders>
              <w:top w:val="single" w:sz="4"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Medium</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19,765</w:t>
            </w:r>
          </w:p>
        </w:tc>
        <w:tc>
          <w:tcPr>
            <w:tcW w:w="1149"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1.07</w:t>
            </w:r>
          </w:p>
        </w:tc>
        <w:tc>
          <w:tcPr>
            <w:tcW w:w="1101"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1.01</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5.6%</w:t>
            </w:r>
          </w:p>
        </w:tc>
        <w:tc>
          <w:tcPr>
            <w:tcW w:w="1135"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1.20</w:t>
            </w:r>
          </w:p>
        </w:tc>
        <w:tc>
          <w:tcPr>
            <w:tcW w:w="730" w:type="dxa"/>
            <w:tcBorders>
              <w:top w:val="single" w:sz="4"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87.9</w:t>
            </w:r>
          </w:p>
        </w:tc>
      </w:tr>
      <w:tr w:rsidR="00C3765A" w:rsidTr="00C3765A">
        <w:tc>
          <w:tcPr>
            <w:tcW w:w="2275" w:type="dxa"/>
            <w:tcBorders>
              <w:top w:val="single" w:sz="4" w:space="0" w:color="auto"/>
              <w:left w:val="single" w:sz="12" w:space="0" w:color="auto"/>
              <w:bottom w:val="single" w:sz="12"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Small</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11,435</w:t>
            </w:r>
          </w:p>
        </w:tc>
        <w:tc>
          <w:tcPr>
            <w:tcW w:w="1149"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0.45</w:t>
            </w:r>
          </w:p>
        </w:tc>
        <w:tc>
          <w:tcPr>
            <w:tcW w:w="1101"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0.45</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0.00</w:t>
            </w:r>
          </w:p>
        </w:tc>
        <w:tc>
          <w:tcPr>
            <w:tcW w:w="117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1.1%</w:t>
            </w:r>
          </w:p>
        </w:tc>
        <w:tc>
          <w:tcPr>
            <w:tcW w:w="1135"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0.05</w:t>
            </w:r>
          </w:p>
        </w:tc>
        <w:tc>
          <w:tcPr>
            <w:tcW w:w="730" w:type="dxa"/>
            <w:tcBorders>
              <w:top w:val="single" w:sz="4"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87.5</w:t>
            </w:r>
          </w:p>
        </w:tc>
      </w:tr>
      <w:tr w:rsidR="00C3765A" w:rsidTr="00C3765A">
        <w:tc>
          <w:tcPr>
            <w:tcW w:w="2275" w:type="dxa"/>
            <w:tcBorders>
              <w:top w:val="single" w:sz="12"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Coastal</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30,599</w:t>
            </w:r>
          </w:p>
        </w:tc>
        <w:tc>
          <w:tcPr>
            <w:tcW w:w="1149"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1.38</w:t>
            </w:r>
          </w:p>
        </w:tc>
        <w:tc>
          <w:tcPr>
            <w:tcW w:w="1101"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1.29</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0.10</w:t>
            </w:r>
          </w:p>
        </w:tc>
        <w:tc>
          <w:tcPr>
            <w:tcW w:w="117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7.0%</w:t>
            </w:r>
          </w:p>
        </w:tc>
        <w:tc>
          <w:tcPr>
            <w:tcW w:w="1135"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2.95</w:t>
            </w:r>
          </w:p>
        </w:tc>
        <w:tc>
          <w:tcPr>
            <w:tcW w:w="730" w:type="dxa"/>
            <w:tcBorders>
              <w:top w:val="single" w:sz="12"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86.5</w:t>
            </w:r>
          </w:p>
        </w:tc>
      </w:tr>
      <w:tr w:rsidR="00C3765A" w:rsidTr="00C3765A">
        <w:tc>
          <w:tcPr>
            <w:tcW w:w="2275" w:type="dxa"/>
            <w:tcBorders>
              <w:top w:val="single" w:sz="4" w:space="0" w:color="auto"/>
              <w:left w:val="single" w:sz="12" w:space="0" w:color="auto"/>
              <w:bottom w:val="single" w:sz="12"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Inland</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24,801</w:t>
            </w:r>
          </w:p>
        </w:tc>
        <w:tc>
          <w:tcPr>
            <w:tcW w:w="1149"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1.70</w:t>
            </w:r>
          </w:p>
        </w:tc>
        <w:tc>
          <w:tcPr>
            <w:tcW w:w="1101"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1.58</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0.12</w:t>
            </w:r>
          </w:p>
        </w:tc>
        <w:tc>
          <w:tcPr>
            <w:tcW w:w="117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6.8%</w:t>
            </w:r>
          </w:p>
        </w:tc>
        <w:tc>
          <w:tcPr>
            <w:tcW w:w="1135"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2.88</w:t>
            </w:r>
          </w:p>
        </w:tc>
        <w:tc>
          <w:tcPr>
            <w:tcW w:w="730" w:type="dxa"/>
            <w:tcBorders>
              <w:top w:val="single" w:sz="4"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89.8</w:t>
            </w:r>
          </w:p>
        </w:tc>
      </w:tr>
      <w:tr w:rsidR="00C3765A" w:rsidTr="00C3765A">
        <w:tc>
          <w:tcPr>
            <w:tcW w:w="2275" w:type="dxa"/>
            <w:tcBorders>
              <w:top w:val="single" w:sz="12"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No SCTD</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54,757</w:t>
            </w:r>
          </w:p>
        </w:tc>
        <w:tc>
          <w:tcPr>
            <w:tcW w:w="1149"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1.51</w:t>
            </w:r>
          </w:p>
        </w:tc>
        <w:tc>
          <w:tcPr>
            <w:tcW w:w="1101"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1.41</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0.11</w:t>
            </w:r>
          </w:p>
        </w:tc>
        <w:tc>
          <w:tcPr>
            <w:tcW w:w="117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7.2%</w:t>
            </w:r>
          </w:p>
        </w:tc>
        <w:tc>
          <w:tcPr>
            <w:tcW w:w="1135"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5.95</w:t>
            </w:r>
          </w:p>
        </w:tc>
        <w:tc>
          <w:tcPr>
            <w:tcW w:w="730" w:type="dxa"/>
            <w:tcBorders>
              <w:top w:val="single" w:sz="12"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88.0</w:t>
            </w:r>
          </w:p>
        </w:tc>
      </w:tr>
      <w:tr w:rsidR="00C3765A" w:rsidTr="00C3765A">
        <w:tc>
          <w:tcPr>
            <w:tcW w:w="2275" w:type="dxa"/>
            <w:tcBorders>
              <w:top w:val="single" w:sz="4" w:space="0" w:color="auto"/>
              <w:left w:val="single" w:sz="12" w:space="0" w:color="auto"/>
              <w:bottom w:val="single" w:sz="12"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No Load Control (SCTD or Summer Saver)</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51,855</w:t>
            </w:r>
          </w:p>
        </w:tc>
        <w:tc>
          <w:tcPr>
            <w:tcW w:w="1149"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1.50</w:t>
            </w:r>
          </w:p>
        </w:tc>
        <w:tc>
          <w:tcPr>
            <w:tcW w:w="1101"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1.40</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0.10</w:t>
            </w:r>
          </w:p>
        </w:tc>
        <w:tc>
          <w:tcPr>
            <w:tcW w:w="117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6.7%</w:t>
            </w:r>
          </w:p>
        </w:tc>
        <w:tc>
          <w:tcPr>
            <w:tcW w:w="1135"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5.14</w:t>
            </w:r>
          </w:p>
        </w:tc>
        <w:tc>
          <w:tcPr>
            <w:tcW w:w="730" w:type="dxa"/>
            <w:tcBorders>
              <w:top w:val="single" w:sz="4"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88.0</w:t>
            </w:r>
          </w:p>
        </w:tc>
      </w:tr>
      <w:tr w:rsidR="00C3765A" w:rsidTr="00C3765A">
        <w:tc>
          <w:tcPr>
            <w:tcW w:w="2275" w:type="dxa"/>
            <w:tcBorders>
              <w:top w:val="single" w:sz="12"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Summer Saver – 50% Cycling</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871</w:t>
            </w:r>
          </w:p>
        </w:tc>
        <w:tc>
          <w:tcPr>
            <w:tcW w:w="1149"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2.29</w:t>
            </w:r>
          </w:p>
        </w:tc>
        <w:tc>
          <w:tcPr>
            <w:tcW w:w="1101"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2.11</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0.18</w:t>
            </w:r>
          </w:p>
        </w:tc>
        <w:tc>
          <w:tcPr>
            <w:tcW w:w="117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7.3%</w:t>
            </w:r>
          </w:p>
        </w:tc>
        <w:tc>
          <w:tcPr>
            <w:tcW w:w="1135"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0.16</w:t>
            </w:r>
          </w:p>
        </w:tc>
        <w:tc>
          <w:tcPr>
            <w:tcW w:w="730" w:type="dxa"/>
            <w:tcBorders>
              <w:top w:val="single" w:sz="12"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87.3</w:t>
            </w:r>
          </w:p>
        </w:tc>
      </w:tr>
      <w:tr w:rsidR="00C3765A" w:rsidTr="00C3765A">
        <w:tc>
          <w:tcPr>
            <w:tcW w:w="2275" w:type="dxa"/>
            <w:tcBorders>
              <w:top w:val="single" w:sz="4" w:space="0" w:color="auto"/>
              <w:left w:val="single" w:sz="12" w:space="0" w:color="auto"/>
              <w:bottom w:val="single" w:sz="12"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Summer Saver – 100% Cycling</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2,028</w:t>
            </w:r>
          </w:p>
        </w:tc>
        <w:tc>
          <w:tcPr>
            <w:tcW w:w="1149"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2.02</w:t>
            </w:r>
          </w:p>
        </w:tc>
        <w:tc>
          <w:tcPr>
            <w:tcW w:w="1101"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1.43</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0.59</w:t>
            </w:r>
          </w:p>
        </w:tc>
        <w:tc>
          <w:tcPr>
            <w:tcW w:w="117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28.1%</w:t>
            </w:r>
          </w:p>
        </w:tc>
        <w:tc>
          <w:tcPr>
            <w:tcW w:w="1135"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1.20</w:t>
            </w:r>
          </w:p>
        </w:tc>
        <w:tc>
          <w:tcPr>
            <w:tcW w:w="730" w:type="dxa"/>
            <w:tcBorders>
              <w:top w:val="single" w:sz="4"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87.0</w:t>
            </w:r>
          </w:p>
        </w:tc>
      </w:tr>
      <w:tr w:rsidR="00C3765A" w:rsidTr="00C3765A">
        <w:tc>
          <w:tcPr>
            <w:tcW w:w="2275" w:type="dxa"/>
            <w:tcBorders>
              <w:top w:val="single" w:sz="12"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Low Income</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16,199</w:t>
            </w:r>
          </w:p>
        </w:tc>
        <w:tc>
          <w:tcPr>
            <w:tcW w:w="1149"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1.35</w:t>
            </w:r>
          </w:p>
        </w:tc>
        <w:tc>
          <w:tcPr>
            <w:tcW w:w="1101"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1.31</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0.04</w:t>
            </w:r>
          </w:p>
        </w:tc>
        <w:tc>
          <w:tcPr>
            <w:tcW w:w="117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2.8%</w:t>
            </w:r>
          </w:p>
        </w:tc>
        <w:tc>
          <w:tcPr>
            <w:tcW w:w="1135"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0.60</w:t>
            </w:r>
          </w:p>
        </w:tc>
        <w:tc>
          <w:tcPr>
            <w:tcW w:w="730" w:type="dxa"/>
            <w:tcBorders>
              <w:top w:val="single" w:sz="12"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87.8</w:t>
            </w:r>
          </w:p>
        </w:tc>
      </w:tr>
      <w:tr w:rsidR="00C3765A" w:rsidTr="00C3765A">
        <w:tc>
          <w:tcPr>
            <w:tcW w:w="2275" w:type="dxa"/>
            <w:tcBorders>
              <w:top w:val="single" w:sz="4" w:space="0" w:color="auto"/>
              <w:left w:val="single" w:sz="12" w:space="0" w:color="auto"/>
              <w:bottom w:val="single" w:sz="12"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Non-Low Income</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35,656</w:t>
            </w:r>
          </w:p>
        </w:tc>
        <w:tc>
          <w:tcPr>
            <w:tcW w:w="1149"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1.55</w:t>
            </w:r>
          </w:p>
        </w:tc>
        <w:tc>
          <w:tcPr>
            <w:tcW w:w="1101"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1.44</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0.11</w:t>
            </w:r>
          </w:p>
        </w:tc>
        <w:tc>
          <w:tcPr>
            <w:tcW w:w="117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7.1%</w:t>
            </w:r>
          </w:p>
        </w:tc>
        <w:tc>
          <w:tcPr>
            <w:tcW w:w="1135"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3.85</w:t>
            </w:r>
          </w:p>
        </w:tc>
        <w:tc>
          <w:tcPr>
            <w:tcW w:w="730" w:type="dxa"/>
            <w:tcBorders>
              <w:top w:val="single" w:sz="4"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88.1</w:t>
            </w:r>
          </w:p>
        </w:tc>
      </w:tr>
      <w:tr w:rsidR="00C3765A" w:rsidTr="00C3765A">
        <w:tc>
          <w:tcPr>
            <w:tcW w:w="2275" w:type="dxa"/>
            <w:tcBorders>
              <w:top w:val="single" w:sz="12"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Enroll. Year – 2012</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24,224</w:t>
            </w:r>
          </w:p>
        </w:tc>
        <w:tc>
          <w:tcPr>
            <w:tcW w:w="1149"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1.53</w:t>
            </w:r>
          </w:p>
        </w:tc>
        <w:tc>
          <w:tcPr>
            <w:tcW w:w="1101"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1.40</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0.13</w:t>
            </w:r>
          </w:p>
        </w:tc>
        <w:tc>
          <w:tcPr>
            <w:tcW w:w="117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8.4%</w:t>
            </w:r>
          </w:p>
        </w:tc>
        <w:tc>
          <w:tcPr>
            <w:tcW w:w="1135"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3.08</w:t>
            </w:r>
          </w:p>
        </w:tc>
        <w:tc>
          <w:tcPr>
            <w:tcW w:w="730" w:type="dxa"/>
            <w:tcBorders>
              <w:top w:val="single" w:sz="12"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88.5</w:t>
            </w:r>
          </w:p>
        </w:tc>
      </w:tr>
      <w:tr w:rsidR="00C3765A" w:rsidTr="00C3765A">
        <w:tc>
          <w:tcPr>
            <w:tcW w:w="2275" w:type="dxa"/>
            <w:tcBorders>
              <w:top w:val="single" w:sz="4"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Enroll. Year – 2013</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8,086</w:t>
            </w:r>
          </w:p>
        </w:tc>
        <w:tc>
          <w:tcPr>
            <w:tcW w:w="1149"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1.51</w:t>
            </w:r>
          </w:p>
        </w:tc>
        <w:tc>
          <w:tcPr>
            <w:tcW w:w="1101"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1.39</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0.12</w:t>
            </w:r>
          </w:p>
        </w:tc>
        <w:tc>
          <w:tcPr>
            <w:tcW w:w="117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8.0%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0.96</w:t>
            </w:r>
          </w:p>
        </w:tc>
        <w:tc>
          <w:tcPr>
            <w:tcW w:w="730" w:type="dxa"/>
            <w:tcBorders>
              <w:top w:val="single" w:sz="4"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88.5</w:t>
            </w:r>
          </w:p>
        </w:tc>
      </w:tr>
      <w:tr w:rsidR="00C3765A" w:rsidTr="00C3765A">
        <w:trPr>
          <w:trHeight w:val="340"/>
        </w:trPr>
        <w:tc>
          <w:tcPr>
            <w:tcW w:w="2275" w:type="dxa"/>
            <w:tcBorders>
              <w:top w:val="single" w:sz="4" w:space="0" w:color="auto"/>
              <w:left w:val="single" w:sz="12" w:space="0" w:color="auto"/>
              <w:bottom w:val="single" w:sz="12"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Enroll. Year – 2014</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19,545</w:t>
            </w:r>
          </w:p>
        </w:tc>
        <w:tc>
          <w:tcPr>
            <w:tcW w:w="1149"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1.47</w:t>
            </w:r>
          </w:p>
        </w:tc>
        <w:tc>
          <w:tcPr>
            <w:tcW w:w="1101"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1.40</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0.07</w:t>
            </w:r>
          </w:p>
        </w:tc>
        <w:tc>
          <w:tcPr>
            <w:tcW w:w="117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4.5%</w:t>
            </w:r>
          </w:p>
        </w:tc>
        <w:tc>
          <w:tcPr>
            <w:tcW w:w="1135"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1.30</w:t>
            </w:r>
          </w:p>
        </w:tc>
        <w:tc>
          <w:tcPr>
            <w:tcW w:w="730" w:type="dxa"/>
            <w:tcBorders>
              <w:top w:val="single" w:sz="4"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87.0</w:t>
            </w:r>
          </w:p>
        </w:tc>
      </w:tr>
      <w:tr w:rsidR="00C3765A" w:rsidTr="00C3765A">
        <w:tc>
          <w:tcPr>
            <w:tcW w:w="2275" w:type="dxa"/>
            <w:tcBorders>
              <w:top w:val="single" w:sz="12"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Notification – Email</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35,765</w:t>
            </w:r>
          </w:p>
        </w:tc>
        <w:tc>
          <w:tcPr>
            <w:tcW w:w="1149"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1.52</w:t>
            </w:r>
          </w:p>
        </w:tc>
        <w:tc>
          <w:tcPr>
            <w:tcW w:w="1101"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1.41</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0.10</w:t>
            </w:r>
          </w:p>
        </w:tc>
        <w:tc>
          <w:tcPr>
            <w:tcW w:w="117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7.0%</w:t>
            </w:r>
          </w:p>
        </w:tc>
        <w:tc>
          <w:tcPr>
            <w:tcW w:w="1135"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3.74</w:t>
            </w:r>
          </w:p>
        </w:tc>
        <w:tc>
          <w:tcPr>
            <w:tcW w:w="730" w:type="dxa"/>
            <w:tcBorders>
              <w:top w:val="single" w:sz="12"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88.0</w:t>
            </w:r>
          </w:p>
        </w:tc>
      </w:tr>
      <w:tr w:rsidR="00C3765A" w:rsidTr="00C3765A">
        <w:tc>
          <w:tcPr>
            <w:tcW w:w="2275" w:type="dxa"/>
            <w:tcBorders>
              <w:top w:val="single" w:sz="4"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Notification – Text</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8,049</w:t>
            </w:r>
          </w:p>
        </w:tc>
        <w:tc>
          <w:tcPr>
            <w:tcW w:w="1149"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1.40</w:t>
            </w:r>
          </w:p>
        </w:tc>
        <w:tc>
          <w:tcPr>
            <w:tcW w:w="1101"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1.34</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4.4%</w:t>
            </w:r>
          </w:p>
        </w:tc>
        <w:tc>
          <w:tcPr>
            <w:tcW w:w="1135"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0.49</w:t>
            </w:r>
          </w:p>
        </w:tc>
        <w:tc>
          <w:tcPr>
            <w:tcW w:w="730" w:type="dxa"/>
            <w:tcBorders>
              <w:top w:val="single" w:sz="4"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88.0</w:t>
            </w:r>
          </w:p>
        </w:tc>
      </w:tr>
      <w:tr w:rsidR="00C3765A" w:rsidTr="00C3765A">
        <w:tc>
          <w:tcPr>
            <w:tcW w:w="2275" w:type="dxa"/>
            <w:tcBorders>
              <w:top w:val="single" w:sz="4" w:space="0" w:color="auto"/>
              <w:left w:val="single" w:sz="12" w:space="0" w:color="auto"/>
              <w:bottom w:val="single" w:sz="12"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Notification – Both</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7,251</w:t>
            </w:r>
          </w:p>
        </w:tc>
        <w:tc>
          <w:tcPr>
            <w:tcW w:w="1149"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1.54</w:t>
            </w:r>
          </w:p>
        </w:tc>
        <w:tc>
          <w:tcPr>
            <w:tcW w:w="1101"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1.41</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0.13</w:t>
            </w:r>
          </w:p>
        </w:tc>
        <w:tc>
          <w:tcPr>
            <w:tcW w:w="117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8.7%</w:t>
            </w:r>
          </w:p>
        </w:tc>
        <w:tc>
          <w:tcPr>
            <w:tcW w:w="1135"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0.96</w:t>
            </w:r>
          </w:p>
        </w:tc>
        <w:tc>
          <w:tcPr>
            <w:tcW w:w="730" w:type="dxa"/>
            <w:tcBorders>
              <w:top w:val="single" w:sz="4"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88.1</w:t>
            </w:r>
          </w:p>
        </w:tc>
      </w:tr>
      <w:tr w:rsidR="00C3765A" w:rsidTr="00C3765A">
        <w:tc>
          <w:tcPr>
            <w:tcW w:w="2275" w:type="dxa"/>
            <w:tcBorders>
              <w:top w:val="single" w:sz="12"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Summer Billing Tier 1</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20,499</w:t>
            </w:r>
          </w:p>
        </w:tc>
        <w:tc>
          <w:tcPr>
            <w:tcW w:w="1149"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1.45</w:t>
            </w:r>
          </w:p>
        </w:tc>
        <w:tc>
          <w:tcPr>
            <w:tcW w:w="1101"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1.35</w:t>
            </w:r>
          </w:p>
        </w:tc>
        <w:tc>
          <w:tcPr>
            <w:tcW w:w="90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0.10</w:t>
            </w:r>
          </w:p>
        </w:tc>
        <w:tc>
          <w:tcPr>
            <w:tcW w:w="1170"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6.8%</w:t>
            </w:r>
          </w:p>
        </w:tc>
        <w:tc>
          <w:tcPr>
            <w:tcW w:w="1135" w:type="dxa"/>
            <w:tcBorders>
              <w:top w:val="single" w:sz="12"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2.01</w:t>
            </w:r>
          </w:p>
        </w:tc>
        <w:tc>
          <w:tcPr>
            <w:tcW w:w="730" w:type="dxa"/>
            <w:tcBorders>
              <w:top w:val="single" w:sz="12"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87.7</w:t>
            </w:r>
          </w:p>
        </w:tc>
      </w:tr>
      <w:tr w:rsidR="00C3765A" w:rsidTr="00C3765A">
        <w:tc>
          <w:tcPr>
            <w:tcW w:w="2275" w:type="dxa"/>
            <w:tcBorders>
              <w:top w:val="single" w:sz="4"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Summer Billing Tier 2</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4,673</w:t>
            </w:r>
          </w:p>
        </w:tc>
        <w:tc>
          <w:tcPr>
            <w:tcW w:w="1149"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1.42</w:t>
            </w:r>
          </w:p>
        </w:tc>
        <w:tc>
          <w:tcPr>
            <w:tcW w:w="1101"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1.35</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0.07</w:t>
            </w:r>
          </w:p>
        </w:tc>
        <w:tc>
          <w:tcPr>
            <w:tcW w:w="117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0.32</w:t>
            </w:r>
          </w:p>
        </w:tc>
        <w:tc>
          <w:tcPr>
            <w:tcW w:w="730" w:type="dxa"/>
            <w:tcBorders>
              <w:top w:val="single" w:sz="4"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87.5</w:t>
            </w:r>
          </w:p>
        </w:tc>
      </w:tr>
      <w:tr w:rsidR="00C3765A" w:rsidTr="00C3765A">
        <w:tc>
          <w:tcPr>
            <w:tcW w:w="2275" w:type="dxa"/>
            <w:tcBorders>
              <w:top w:val="single" w:sz="4"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Summer Billing Tier 3</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9,391</w:t>
            </w:r>
          </w:p>
        </w:tc>
        <w:tc>
          <w:tcPr>
            <w:tcW w:w="1149"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1.49</w:t>
            </w:r>
          </w:p>
        </w:tc>
        <w:tc>
          <w:tcPr>
            <w:tcW w:w="1101"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1.38</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7.0%</w:t>
            </w:r>
          </w:p>
        </w:tc>
        <w:tc>
          <w:tcPr>
            <w:tcW w:w="1135"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0.97</w:t>
            </w:r>
          </w:p>
        </w:tc>
        <w:tc>
          <w:tcPr>
            <w:tcW w:w="730" w:type="dxa"/>
            <w:tcBorders>
              <w:top w:val="single" w:sz="4"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87.8</w:t>
            </w:r>
          </w:p>
        </w:tc>
      </w:tr>
      <w:tr w:rsidR="00C3765A" w:rsidTr="00C3765A">
        <w:tc>
          <w:tcPr>
            <w:tcW w:w="2275" w:type="dxa"/>
            <w:tcBorders>
              <w:top w:val="single" w:sz="4" w:space="0" w:color="auto"/>
              <w:left w:val="single" w:sz="12" w:space="0" w:color="auto"/>
              <w:bottom w:val="single" w:sz="4"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Summer Billing Tier 4</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8,700</w:t>
            </w:r>
          </w:p>
        </w:tc>
        <w:tc>
          <w:tcPr>
            <w:tcW w:w="1149"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1.53</w:t>
            </w:r>
          </w:p>
        </w:tc>
        <w:tc>
          <w:tcPr>
            <w:tcW w:w="1101"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1.47</w:t>
            </w:r>
          </w:p>
        </w:tc>
        <w:tc>
          <w:tcPr>
            <w:tcW w:w="90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0.06</w:t>
            </w:r>
          </w:p>
        </w:tc>
        <w:tc>
          <w:tcPr>
            <w:tcW w:w="1170"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4.1%</w:t>
            </w:r>
          </w:p>
        </w:tc>
        <w:tc>
          <w:tcPr>
            <w:tcW w:w="1135" w:type="dxa"/>
            <w:tcBorders>
              <w:top w:val="single" w:sz="4" w:space="0" w:color="auto"/>
              <w:left w:val="single" w:sz="4" w:space="0" w:color="auto"/>
              <w:bottom w:val="single" w:sz="4"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0.53</w:t>
            </w:r>
          </w:p>
        </w:tc>
        <w:tc>
          <w:tcPr>
            <w:tcW w:w="730" w:type="dxa"/>
            <w:tcBorders>
              <w:top w:val="single" w:sz="4" w:space="0" w:color="auto"/>
              <w:left w:val="single" w:sz="4" w:space="0" w:color="auto"/>
              <w:bottom w:val="single" w:sz="4"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88.3</w:t>
            </w:r>
          </w:p>
        </w:tc>
      </w:tr>
      <w:tr w:rsidR="00C3765A" w:rsidTr="00C3765A">
        <w:tc>
          <w:tcPr>
            <w:tcW w:w="2275" w:type="dxa"/>
            <w:tcBorders>
              <w:top w:val="single" w:sz="4" w:space="0" w:color="auto"/>
              <w:left w:val="single" w:sz="12" w:space="0" w:color="auto"/>
              <w:bottom w:val="single" w:sz="12"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Summer Billing Tier 5</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8,542</w:t>
            </w:r>
          </w:p>
        </w:tc>
        <w:tc>
          <w:tcPr>
            <w:tcW w:w="1149"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1.64</w:t>
            </w:r>
          </w:p>
        </w:tc>
        <w:tc>
          <w:tcPr>
            <w:tcW w:w="1101"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1.51</w:t>
            </w:r>
          </w:p>
        </w:tc>
        <w:tc>
          <w:tcPr>
            <w:tcW w:w="90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0.12</w:t>
            </w:r>
          </w:p>
        </w:tc>
        <w:tc>
          <w:tcPr>
            <w:tcW w:w="1170"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7.6%</w:t>
            </w:r>
          </w:p>
        </w:tc>
        <w:tc>
          <w:tcPr>
            <w:tcW w:w="1135" w:type="dxa"/>
            <w:tcBorders>
              <w:top w:val="single" w:sz="4"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sz w:val="20"/>
                <w:szCs w:val="20"/>
              </w:rPr>
              <w:t>1.05</w:t>
            </w:r>
          </w:p>
        </w:tc>
        <w:tc>
          <w:tcPr>
            <w:tcW w:w="730" w:type="dxa"/>
            <w:tcBorders>
              <w:top w:val="single" w:sz="4"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88.6</w:t>
            </w:r>
          </w:p>
        </w:tc>
      </w:tr>
      <w:tr w:rsidR="00C3765A" w:rsidTr="00C3765A">
        <w:tc>
          <w:tcPr>
            <w:tcW w:w="2275" w:type="dxa"/>
            <w:tcBorders>
              <w:top w:val="single" w:sz="12" w:space="0" w:color="auto"/>
              <w:left w:val="single" w:sz="12" w:space="0" w:color="auto"/>
              <w:bottom w:val="single" w:sz="12" w:space="0" w:color="auto"/>
              <w:right w:val="single" w:sz="4" w:space="0" w:color="auto"/>
            </w:tcBorders>
            <w:hideMark/>
          </w:tcPr>
          <w:p w:rsidR="00C3765A" w:rsidRDefault="00C3765A">
            <w:pPr>
              <w:keepNext/>
              <w:keepLines/>
              <w:spacing w:before="40" w:after="40"/>
              <w:rPr>
                <w:rFonts w:ascii="Times New Roman" w:hAnsi="Times New Roman"/>
                <w:sz w:val="20"/>
              </w:rPr>
            </w:pPr>
            <w:r>
              <w:rPr>
                <w:sz w:val="20"/>
              </w:rPr>
              <w:t>Net Energy Metered</w:t>
            </w:r>
          </w:p>
        </w:tc>
        <w:tc>
          <w:tcPr>
            <w:tcW w:w="900" w:type="dxa"/>
            <w:tcBorders>
              <w:top w:val="single" w:sz="12"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2,864</w:t>
            </w:r>
          </w:p>
        </w:tc>
        <w:tc>
          <w:tcPr>
            <w:tcW w:w="1149" w:type="dxa"/>
            <w:tcBorders>
              <w:top w:val="single" w:sz="12"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0.57</w:t>
            </w:r>
          </w:p>
        </w:tc>
        <w:tc>
          <w:tcPr>
            <w:tcW w:w="1101" w:type="dxa"/>
            <w:tcBorders>
              <w:top w:val="single" w:sz="12"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0.14</w:t>
            </w:r>
          </w:p>
        </w:tc>
        <w:tc>
          <w:tcPr>
            <w:tcW w:w="900" w:type="dxa"/>
            <w:tcBorders>
              <w:top w:val="single" w:sz="12"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0.43</w:t>
            </w:r>
          </w:p>
        </w:tc>
        <w:tc>
          <w:tcPr>
            <w:tcW w:w="1170" w:type="dxa"/>
            <w:tcBorders>
              <w:top w:val="single" w:sz="12"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-21.3%</w:t>
            </w:r>
            <w:r>
              <w:rPr>
                <w:rStyle w:val="FootnoteReference"/>
                <w:color w:val="000000"/>
              </w:rPr>
              <w:footnoteReference w:id="10"/>
            </w:r>
          </w:p>
        </w:tc>
        <w:tc>
          <w:tcPr>
            <w:tcW w:w="1135" w:type="dxa"/>
            <w:tcBorders>
              <w:top w:val="single" w:sz="12" w:space="0" w:color="auto"/>
              <w:left w:val="single" w:sz="4" w:space="0" w:color="auto"/>
              <w:bottom w:val="single" w:sz="12" w:space="0" w:color="auto"/>
              <w:right w:val="single" w:sz="4"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1.23</w:t>
            </w:r>
          </w:p>
        </w:tc>
        <w:tc>
          <w:tcPr>
            <w:tcW w:w="730" w:type="dxa"/>
            <w:tcBorders>
              <w:top w:val="single" w:sz="12" w:space="0" w:color="auto"/>
              <w:left w:val="single" w:sz="4" w:space="0" w:color="auto"/>
              <w:bottom w:val="single" w:sz="12" w:space="0" w:color="auto"/>
              <w:right w:val="single" w:sz="12" w:space="0" w:color="auto"/>
            </w:tcBorders>
            <w:vAlign w:val="center"/>
            <w:hideMark/>
          </w:tcPr>
          <w:p w:rsidR="00C3765A" w:rsidRDefault="00C3765A">
            <w:pPr>
              <w:autoSpaceDE w:val="0"/>
              <w:autoSpaceDN w:val="0"/>
              <w:adjustRightInd w:val="0"/>
              <w:jc w:val="center"/>
              <w:rPr>
                <w:rFonts w:ascii="Times New Roman" w:hAnsi="Times New Roman"/>
                <w:color w:val="000000"/>
                <w:sz w:val="20"/>
                <w:szCs w:val="20"/>
              </w:rPr>
            </w:pPr>
            <w:r>
              <w:rPr>
                <w:color w:val="000000"/>
                <w:sz w:val="20"/>
                <w:szCs w:val="20"/>
              </w:rPr>
              <w:t>88.4</w:t>
            </w:r>
          </w:p>
        </w:tc>
      </w:tr>
    </w:tbl>
    <w:p w:rsidR="000952BB" w:rsidRDefault="000952BB" w:rsidP="00DB162E">
      <w:pPr>
        <w:pStyle w:val="BodyParagraph"/>
        <w:spacing w:after="0" w:line="276" w:lineRule="auto"/>
        <w:rPr>
          <w:rFonts w:ascii="Times New Roman" w:hAnsi="Times New Roman"/>
          <w:sz w:val="24"/>
          <w:szCs w:val="24"/>
        </w:rPr>
      </w:pPr>
    </w:p>
    <w:p w:rsidR="00653FC5" w:rsidRDefault="00653FC5">
      <w:pPr>
        <w:rPr>
          <w:b/>
          <w:bCs/>
          <w:sz w:val="20"/>
          <w:szCs w:val="20"/>
        </w:rPr>
      </w:pPr>
      <w:bookmarkStart w:id="214" w:name="_Ref414021791"/>
      <w:r>
        <w:br w:type="page"/>
      </w:r>
    </w:p>
    <w:p w:rsidR="00E129FD" w:rsidRDefault="00E129FD" w:rsidP="00E129FD">
      <w:pPr>
        <w:pStyle w:val="Caption"/>
        <w:jc w:val="center"/>
      </w:pPr>
      <w:r>
        <w:lastRenderedPageBreak/>
        <w:t>Table 7</w:t>
      </w:r>
      <w:r>
        <w:noBreakHyphen/>
      </w:r>
      <w:r w:rsidR="00947B52">
        <w:fldChar w:fldCharType="begin"/>
      </w:r>
      <w:r w:rsidR="00947B52">
        <w:instrText xml:space="preserve"> SEQ Table \* ARABIC \s 1 </w:instrText>
      </w:r>
      <w:r w:rsidR="00947B52">
        <w:fldChar w:fldCharType="separate"/>
      </w:r>
      <w:r>
        <w:rPr>
          <w:noProof/>
        </w:rPr>
        <w:t>3</w:t>
      </w:r>
      <w:r w:rsidR="00947B52">
        <w:rPr>
          <w:noProof/>
        </w:rPr>
        <w:fldChar w:fldCharType="end"/>
      </w:r>
      <w:bookmarkEnd w:id="214"/>
      <w:r>
        <w:t>:  SCTD Ex Post Load Impact Estimates by Customer Category –</w:t>
      </w:r>
    </w:p>
    <w:p w:rsidR="00E129FD" w:rsidRDefault="00E129FD" w:rsidP="00E129FD">
      <w:pPr>
        <w:pStyle w:val="Caption"/>
        <w:jc w:val="center"/>
      </w:pPr>
      <w:r>
        <w:t>Average 2014 Event (2 p.m. to 6 p.m.)</w:t>
      </w:r>
    </w:p>
    <w:tbl>
      <w:tblPr>
        <w:tblStyle w:val="ItronBasic"/>
        <w:tblW w:w="9360" w:type="dxa"/>
        <w:tblInd w:w="0" w:type="dxa"/>
        <w:tblLayout w:type="fixed"/>
        <w:tblCellMar>
          <w:left w:w="115" w:type="dxa"/>
          <w:right w:w="115" w:type="dxa"/>
        </w:tblCellMar>
        <w:tblLook w:val="04A0" w:firstRow="1" w:lastRow="0" w:firstColumn="1" w:lastColumn="0" w:noHBand="0" w:noVBand="1"/>
      </w:tblPr>
      <w:tblGrid>
        <w:gridCol w:w="2275"/>
        <w:gridCol w:w="900"/>
        <w:gridCol w:w="1149"/>
        <w:gridCol w:w="1055"/>
        <w:gridCol w:w="880"/>
        <w:gridCol w:w="1142"/>
        <w:gridCol w:w="1229"/>
        <w:gridCol w:w="730"/>
      </w:tblGrid>
      <w:tr w:rsidR="00E129FD" w:rsidTr="00E129FD">
        <w:trPr>
          <w:cnfStyle w:val="100000000000" w:firstRow="1" w:lastRow="0" w:firstColumn="0" w:lastColumn="0" w:oddVBand="0" w:evenVBand="0" w:oddHBand="0" w:evenHBand="0" w:firstRowFirstColumn="0" w:firstRowLastColumn="0" w:lastRowFirstColumn="0" w:lastRowLastColumn="0"/>
        </w:trPr>
        <w:tc>
          <w:tcPr>
            <w:tcW w:w="2275" w:type="dxa"/>
            <w:tcBorders>
              <w:right w:val="single" w:sz="4" w:space="0" w:color="auto"/>
            </w:tcBorders>
            <w:shd w:val="pct20" w:color="auto" w:fill="auto"/>
            <w:vAlign w:val="bottom"/>
            <w:hideMark/>
          </w:tcPr>
          <w:p w:rsidR="00E129FD" w:rsidRDefault="00E129FD">
            <w:pPr>
              <w:keepNext/>
              <w:keepLines/>
              <w:spacing w:before="40" w:after="40"/>
              <w:rPr>
                <w:rFonts w:ascii="Times New Roman" w:hAnsi="Times New Roman"/>
                <w:sz w:val="20"/>
                <w:szCs w:val="20"/>
              </w:rPr>
            </w:pPr>
            <w:r>
              <w:rPr>
                <w:sz w:val="20"/>
                <w:szCs w:val="20"/>
              </w:rPr>
              <w:t>Customer Category</w:t>
            </w:r>
          </w:p>
        </w:tc>
        <w:tc>
          <w:tcPr>
            <w:tcW w:w="900" w:type="dxa"/>
            <w:tcBorders>
              <w:left w:val="single" w:sz="4" w:space="0" w:color="auto"/>
              <w:right w:val="single" w:sz="4" w:space="0" w:color="auto"/>
            </w:tcBorders>
            <w:shd w:val="pct20" w:color="auto" w:fill="auto"/>
            <w:vAlign w:val="bottom"/>
            <w:hideMark/>
          </w:tcPr>
          <w:p w:rsidR="00E129FD" w:rsidRDefault="00E129FD">
            <w:pPr>
              <w:keepNext/>
              <w:keepLines/>
              <w:adjustRightInd w:val="0"/>
              <w:spacing w:before="60" w:after="60"/>
              <w:jc w:val="center"/>
              <w:rPr>
                <w:rFonts w:ascii="Times New Roman" w:hAnsi="Times New Roman"/>
                <w:bCs/>
                <w:color w:val="000000"/>
                <w:sz w:val="20"/>
                <w:szCs w:val="20"/>
              </w:rPr>
            </w:pPr>
            <w:r>
              <w:rPr>
                <w:bCs/>
                <w:color w:val="000000"/>
                <w:sz w:val="20"/>
                <w:szCs w:val="20"/>
              </w:rPr>
              <w:t>Mean Active Partic-ipants</w:t>
            </w:r>
          </w:p>
        </w:tc>
        <w:tc>
          <w:tcPr>
            <w:tcW w:w="1149" w:type="dxa"/>
            <w:tcBorders>
              <w:left w:val="single" w:sz="4" w:space="0" w:color="auto"/>
              <w:right w:val="single" w:sz="4" w:space="0" w:color="auto"/>
            </w:tcBorders>
            <w:shd w:val="pct20" w:color="auto" w:fill="auto"/>
            <w:vAlign w:val="bottom"/>
            <w:hideMark/>
          </w:tcPr>
          <w:p w:rsidR="00E129FD" w:rsidRDefault="00E129FD">
            <w:pPr>
              <w:keepNext/>
              <w:keepLines/>
              <w:adjustRightInd w:val="0"/>
              <w:spacing w:before="60" w:after="60"/>
              <w:jc w:val="center"/>
              <w:rPr>
                <w:rFonts w:ascii="Times New Roman" w:hAnsi="Times New Roman"/>
                <w:bCs/>
                <w:color w:val="000000"/>
                <w:sz w:val="20"/>
                <w:szCs w:val="20"/>
              </w:rPr>
            </w:pPr>
            <w:r>
              <w:rPr>
                <w:bCs/>
                <w:color w:val="000000"/>
                <w:sz w:val="20"/>
                <w:szCs w:val="20"/>
              </w:rPr>
              <w:t>Mean  Reference Load (kW)</w:t>
            </w:r>
          </w:p>
        </w:tc>
        <w:tc>
          <w:tcPr>
            <w:tcW w:w="1055" w:type="dxa"/>
            <w:tcBorders>
              <w:left w:val="single" w:sz="4" w:space="0" w:color="auto"/>
              <w:right w:val="single" w:sz="4" w:space="0" w:color="auto"/>
            </w:tcBorders>
            <w:shd w:val="pct20" w:color="auto" w:fill="auto"/>
            <w:vAlign w:val="bottom"/>
            <w:hideMark/>
          </w:tcPr>
          <w:p w:rsidR="00E129FD" w:rsidRDefault="00E129FD">
            <w:pPr>
              <w:keepNext/>
              <w:keepLines/>
              <w:adjustRightInd w:val="0"/>
              <w:spacing w:before="60" w:after="60"/>
              <w:jc w:val="center"/>
              <w:rPr>
                <w:rFonts w:ascii="Times New Roman" w:hAnsi="Times New Roman"/>
                <w:bCs/>
                <w:color w:val="000000"/>
                <w:sz w:val="20"/>
                <w:szCs w:val="20"/>
              </w:rPr>
            </w:pPr>
            <w:r>
              <w:rPr>
                <w:bCs/>
                <w:color w:val="000000"/>
                <w:sz w:val="20"/>
                <w:szCs w:val="20"/>
              </w:rPr>
              <w:t>Mean  Observed Load (kW)</w:t>
            </w:r>
          </w:p>
        </w:tc>
        <w:tc>
          <w:tcPr>
            <w:tcW w:w="880" w:type="dxa"/>
            <w:tcBorders>
              <w:left w:val="single" w:sz="4" w:space="0" w:color="auto"/>
              <w:right w:val="single" w:sz="4" w:space="0" w:color="auto"/>
            </w:tcBorders>
            <w:shd w:val="pct20" w:color="auto" w:fill="auto"/>
            <w:vAlign w:val="bottom"/>
            <w:hideMark/>
          </w:tcPr>
          <w:p w:rsidR="00E129FD" w:rsidRDefault="00E129FD">
            <w:pPr>
              <w:keepNext/>
              <w:keepLines/>
              <w:adjustRightInd w:val="0"/>
              <w:spacing w:before="60" w:after="60"/>
              <w:jc w:val="center"/>
              <w:rPr>
                <w:rFonts w:ascii="Times New Roman" w:hAnsi="Times New Roman"/>
                <w:bCs/>
                <w:color w:val="000000"/>
                <w:sz w:val="20"/>
                <w:szCs w:val="20"/>
              </w:rPr>
            </w:pPr>
            <w:r>
              <w:rPr>
                <w:bCs/>
                <w:color w:val="000000"/>
                <w:sz w:val="20"/>
                <w:szCs w:val="20"/>
              </w:rPr>
              <w:t>Mean Impact (kW)</w:t>
            </w:r>
          </w:p>
        </w:tc>
        <w:tc>
          <w:tcPr>
            <w:tcW w:w="1142" w:type="dxa"/>
            <w:tcBorders>
              <w:left w:val="single" w:sz="4" w:space="0" w:color="auto"/>
              <w:right w:val="single" w:sz="4" w:space="0" w:color="auto"/>
            </w:tcBorders>
            <w:shd w:val="pct20" w:color="auto" w:fill="auto"/>
            <w:vAlign w:val="bottom"/>
            <w:hideMark/>
          </w:tcPr>
          <w:p w:rsidR="00E129FD" w:rsidRDefault="00E129FD">
            <w:pPr>
              <w:keepNext/>
              <w:keepLines/>
              <w:spacing w:before="40" w:after="40"/>
              <w:jc w:val="center"/>
              <w:rPr>
                <w:rFonts w:ascii="Times New Roman" w:hAnsi="Times New Roman"/>
                <w:sz w:val="20"/>
                <w:szCs w:val="20"/>
              </w:rPr>
            </w:pPr>
            <w:r>
              <w:rPr>
                <w:sz w:val="20"/>
                <w:szCs w:val="20"/>
              </w:rPr>
              <w:t>% Load Reduction</w:t>
            </w:r>
          </w:p>
        </w:tc>
        <w:tc>
          <w:tcPr>
            <w:tcW w:w="1229" w:type="dxa"/>
            <w:tcBorders>
              <w:left w:val="single" w:sz="4" w:space="0" w:color="auto"/>
              <w:right w:val="single" w:sz="4" w:space="0" w:color="auto"/>
            </w:tcBorders>
            <w:shd w:val="pct20" w:color="auto" w:fill="auto"/>
            <w:vAlign w:val="bottom"/>
            <w:hideMark/>
          </w:tcPr>
          <w:p w:rsidR="00E129FD" w:rsidRDefault="00E129FD">
            <w:pPr>
              <w:keepNext/>
              <w:keepLines/>
              <w:spacing w:before="40" w:after="40"/>
              <w:jc w:val="center"/>
              <w:rPr>
                <w:rFonts w:ascii="Times New Roman" w:hAnsi="Times New Roman"/>
                <w:sz w:val="20"/>
                <w:szCs w:val="20"/>
              </w:rPr>
            </w:pPr>
            <w:r>
              <w:rPr>
                <w:sz w:val="20"/>
                <w:szCs w:val="20"/>
              </w:rPr>
              <w:t>Aggregate Load Reduction (MW)</w:t>
            </w:r>
          </w:p>
        </w:tc>
        <w:tc>
          <w:tcPr>
            <w:tcW w:w="730" w:type="dxa"/>
            <w:tcBorders>
              <w:left w:val="single" w:sz="4" w:space="0" w:color="auto"/>
            </w:tcBorders>
            <w:shd w:val="pct20" w:color="auto" w:fill="auto"/>
            <w:vAlign w:val="bottom"/>
            <w:hideMark/>
          </w:tcPr>
          <w:p w:rsidR="00E129FD" w:rsidRDefault="00E129FD">
            <w:pPr>
              <w:keepNext/>
              <w:keepLines/>
              <w:adjustRightInd w:val="0"/>
              <w:spacing w:before="60" w:after="60"/>
              <w:jc w:val="center"/>
              <w:rPr>
                <w:rFonts w:ascii="Times New Roman" w:hAnsi="Times New Roman"/>
                <w:bCs/>
                <w:color w:val="000000"/>
                <w:sz w:val="20"/>
                <w:szCs w:val="20"/>
              </w:rPr>
            </w:pPr>
            <w:r>
              <w:rPr>
                <w:bCs/>
                <w:color w:val="000000"/>
                <w:sz w:val="20"/>
                <w:szCs w:val="20"/>
              </w:rPr>
              <w:t>Mean °F</w:t>
            </w:r>
          </w:p>
        </w:tc>
      </w:tr>
      <w:tr w:rsidR="00E129FD" w:rsidTr="00E129FD">
        <w:tc>
          <w:tcPr>
            <w:tcW w:w="2275" w:type="dxa"/>
            <w:tcBorders>
              <w:top w:val="single" w:sz="12" w:space="0" w:color="auto"/>
              <w:left w:val="single" w:sz="12" w:space="0" w:color="auto"/>
              <w:bottom w:val="single" w:sz="4" w:space="0" w:color="auto"/>
              <w:right w:val="single" w:sz="4" w:space="0" w:color="auto"/>
            </w:tcBorders>
            <w:vAlign w:val="center"/>
            <w:hideMark/>
          </w:tcPr>
          <w:p w:rsidR="00E129FD" w:rsidRDefault="00E129FD">
            <w:pPr>
              <w:keepNext/>
              <w:keepLines/>
              <w:spacing w:before="40" w:after="40"/>
              <w:rPr>
                <w:rFonts w:ascii="Times New Roman" w:hAnsi="Times New Roman"/>
                <w:sz w:val="20"/>
                <w:szCs w:val="20"/>
              </w:rPr>
            </w:pPr>
            <w:r>
              <w:rPr>
                <w:sz w:val="20"/>
                <w:szCs w:val="20"/>
              </w:rPr>
              <w:t>All</w:t>
            </w:r>
          </w:p>
        </w:tc>
        <w:tc>
          <w:tcPr>
            <w:tcW w:w="900"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1,887</w:t>
            </w:r>
          </w:p>
        </w:tc>
        <w:tc>
          <w:tcPr>
            <w:tcW w:w="1149"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2.70</w:t>
            </w:r>
          </w:p>
        </w:tc>
        <w:tc>
          <w:tcPr>
            <w:tcW w:w="1055"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2.09</w:t>
            </w:r>
          </w:p>
        </w:tc>
        <w:tc>
          <w:tcPr>
            <w:tcW w:w="880"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0.61</w:t>
            </w:r>
          </w:p>
        </w:tc>
        <w:tc>
          <w:tcPr>
            <w:tcW w:w="1142"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22.9%</w:t>
            </w:r>
          </w:p>
        </w:tc>
        <w:tc>
          <w:tcPr>
            <w:tcW w:w="1229"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1.16</w:t>
            </w:r>
          </w:p>
        </w:tc>
        <w:tc>
          <w:tcPr>
            <w:tcW w:w="730" w:type="dxa"/>
            <w:tcBorders>
              <w:top w:val="single" w:sz="12" w:space="0" w:color="auto"/>
              <w:left w:val="single" w:sz="4" w:space="0" w:color="auto"/>
              <w:bottom w:val="single" w:sz="4" w:space="0" w:color="auto"/>
              <w:right w:val="single" w:sz="12"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color w:val="000000"/>
                <w:sz w:val="20"/>
                <w:szCs w:val="20"/>
              </w:rPr>
              <w:t>87.0</w:t>
            </w:r>
          </w:p>
        </w:tc>
      </w:tr>
      <w:tr w:rsidR="00E129FD" w:rsidTr="00E129FD">
        <w:tc>
          <w:tcPr>
            <w:tcW w:w="2275" w:type="dxa"/>
            <w:tcBorders>
              <w:top w:val="single" w:sz="4" w:space="0" w:color="auto"/>
              <w:left w:val="single" w:sz="12" w:space="0" w:color="auto"/>
              <w:bottom w:val="single" w:sz="4" w:space="0" w:color="auto"/>
              <w:right w:val="single" w:sz="4" w:space="0" w:color="auto"/>
            </w:tcBorders>
            <w:hideMark/>
          </w:tcPr>
          <w:p w:rsidR="00E129FD" w:rsidRDefault="00E129FD">
            <w:pPr>
              <w:keepNext/>
              <w:keepLines/>
              <w:spacing w:before="40" w:after="40"/>
              <w:rPr>
                <w:rFonts w:ascii="Times New Roman" w:hAnsi="Times New Roman"/>
                <w:sz w:val="20"/>
                <w:szCs w:val="20"/>
              </w:rPr>
            </w:pPr>
            <w:r>
              <w:rPr>
                <w:sz w:val="20"/>
                <w:szCs w:val="20"/>
              </w:rPr>
              <w:t>4 Degree Setback</w:t>
            </w:r>
          </w:p>
        </w:tc>
        <w:tc>
          <w:tcPr>
            <w:tcW w:w="900"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923</w:t>
            </w:r>
          </w:p>
        </w:tc>
        <w:tc>
          <w:tcPr>
            <w:tcW w:w="1149"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2.58</w:t>
            </w:r>
          </w:p>
        </w:tc>
        <w:tc>
          <w:tcPr>
            <w:tcW w:w="1055"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1.93</w:t>
            </w:r>
          </w:p>
        </w:tc>
        <w:tc>
          <w:tcPr>
            <w:tcW w:w="880"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0.65</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25.6%</w:t>
            </w:r>
          </w:p>
        </w:tc>
        <w:tc>
          <w:tcPr>
            <w:tcW w:w="1229"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0.60</w:t>
            </w:r>
          </w:p>
        </w:tc>
        <w:tc>
          <w:tcPr>
            <w:tcW w:w="730" w:type="dxa"/>
            <w:tcBorders>
              <w:top w:val="single" w:sz="4" w:space="0" w:color="auto"/>
              <w:left w:val="single" w:sz="4" w:space="0" w:color="auto"/>
              <w:bottom w:val="single" w:sz="4" w:space="0" w:color="auto"/>
              <w:right w:val="single" w:sz="12"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color w:val="000000"/>
                <w:sz w:val="20"/>
                <w:szCs w:val="20"/>
              </w:rPr>
              <w:t>86.2</w:t>
            </w:r>
          </w:p>
        </w:tc>
      </w:tr>
      <w:tr w:rsidR="00E129FD" w:rsidTr="00E129FD">
        <w:tc>
          <w:tcPr>
            <w:tcW w:w="2275" w:type="dxa"/>
            <w:tcBorders>
              <w:top w:val="single" w:sz="4" w:space="0" w:color="auto"/>
              <w:left w:val="single" w:sz="12" w:space="0" w:color="auto"/>
              <w:bottom w:val="single" w:sz="12" w:space="0" w:color="auto"/>
              <w:right w:val="single" w:sz="4" w:space="0" w:color="auto"/>
            </w:tcBorders>
            <w:hideMark/>
          </w:tcPr>
          <w:p w:rsidR="00E129FD" w:rsidRDefault="00E129FD">
            <w:pPr>
              <w:keepNext/>
              <w:keepLines/>
              <w:spacing w:before="40" w:after="40"/>
              <w:rPr>
                <w:rFonts w:ascii="Times New Roman" w:hAnsi="Times New Roman"/>
                <w:sz w:val="20"/>
                <w:szCs w:val="20"/>
              </w:rPr>
            </w:pPr>
            <w:r>
              <w:rPr>
                <w:sz w:val="20"/>
                <w:szCs w:val="20"/>
              </w:rPr>
              <w:t>50% Cycling</w:t>
            </w:r>
          </w:p>
        </w:tc>
        <w:tc>
          <w:tcPr>
            <w:tcW w:w="900"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964</w:t>
            </w:r>
          </w:p>
        </w:tc>
        <w:tc>
          <w:tcPr>
            <w:tcW w:w="1149"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2.80</w:t>
            </w:r>
          </w:p>
        </w:tc>
        <w:tc>
          <w:tcPr>
            <w:tcW w:w="1055"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2.21</w:t>
            </w:r>
          </w:p>
        </w:tc>
        <w:tc>
          <w:tcPr>
            <w:tcW w:w="880"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0.58</w:t>
            </w:r>
          </w:p>
        </w:tc>
        <w:tc>
          <w:tcPr>
            <w:tcW w:w="1142"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20.9%</w:t>
            </w:r>
          </w:p>
        </w:tc>
        <w:tc>
          <w:tcPr>
            <w:tcW w:w="1229"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0.56</w:t>
            </w:r>
          </w:p>
        </w:tc>
        <w:tc>
          <w:tcPr>
            <w:tcW w:w="730" w:type="dxa"/>
            <w:tcBorders>
              <w:top w:val="single" w:sz="4" w:space="0" w:color="auto"/>
              <w:left w:val="single" w:sz="4" w:space="0" w:color="auto"/>
              <w:bottom w:val="single" w:sz="12" w:space="0" w:color="auto"/>
              <w:right w:val="single" w:sz="12"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color w:val="000000"/>
                <w:sz w:val="20"/>
                <w:szCs w:val="20"/>
              </w:rPr>
              <w:t>87.7</w:t>
            </w:r>
          </w:p>
        </w:tc>
      </w:tr>
      <w:tr w:rsidR="00E129FD" w:rsidTr="00E129FD">
        <w:tc>
          <w:tcPr>
            <w:tcW w:w="2275" w:type="dxa"/>
            <w:tcBorders>
              <w:top w:val="single" w:sz="12" w:space="0" w:color="auto"/>
              <w:left w:val="single" w:sz="12" w:space="0" w:color="auto"/>
              <w:bottom w:val="single" w:sz="4" w:space="0" w:color="auto"/>
              <w:right w:val="single" w:sz="4" w:space="0" w:color="auto"/>
            </w:tcBorders>
            <w:hideMark/>
          </w:tcPr>
          <w:p w:rsidR="00E129FD" w:rsidRDefault="00E129FD">
            <w:pPr>
              <w:keepNext/>
              <w:keepLines/>
              <w:spacing w:before="40" w:after="40"/>
              <w:rPr>
                <w:rFonts w:ascii="Times New Roman" w:hAnsi="Times New Roman"/>
                <w:sz w:val="20"/>
                <w:szCs w:val="20"/>
              </w:rPr>
            </w:pPr>
            <w:r>
              <w:rPr>
                <w:sz w:val="20"/>
                <w:szCs w:val="20"/>
              </w:rPr>
              <w:t>PTR</w:t>
            </w:r>
          </w:p>
        </w:tc>
        <w:tc>
          <w:tcPr>
            <w:tcW w:w="900"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1,162</w:t>
            </w:r>
          </w:p>
        </w:tc>
        <w:tc>
          <w:tcPr>
            <w:tcW w:w="1149"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2.66</w:t>
            </w:r>
          </w:p>
        </w:tc>
        <w:tc>
          <w:tcPr>
            <w:tcW w:w="1055"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2.00</w:t>
            </w:r>
          </w:p>
        </w:tc>
        <w:tc>
          <w:tcPr>
            <w:tcW w:w="880"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0.66</w:t>
            </w:r>
          </w:p>
        </w:tc>
        <w:tc>
          <w:tcPr>
            <w:tcW w:w="1142"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24.9%</w:t>
            </w:r>
          </w:p>
        </w:tc>
        <w:tc>
          <w:tcPr>
            <w:tcW w:w="1229"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0.77</w:t>
            </w:r>
          </w:p>
        </w:tc>
        <w:tc>
          <w:tcPr>
            <w:tcW w:w="730" w:type="dxa"/>
            <w:tcBorders>
              <w:top w:val="single" w:sz="12" w:space="0" w:color="auto"/>
              <w:left w:val="single" w:sz="4" w:space="0" w:color="auto"/>
              <w:bottom w:val="single" w:sz="4" w:space="0" w:color="auto"/>
              <w:right w:val="single" w:sz="12"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color w:val="000000"/>
                <w:sz w:val="20"/>
                <w:szCs w:val="20"/>
              </w:rPr>
              <w:t>87.1</w:t>
            </w:r>
          </w:p>
        </w:tc>
      </w:tr>
      <w:tr w:rsidR="00E129FD" w:rsidTr="00E129FD">
        <w:tc>
          <w:tcPr>
            <w:tcW w:w="2275" w:type="dxa"/>
            <w:tcBorders>
              <w:top w:val="single" w:sz="4" w:space="0" w:color="auto"/>
              <w:left w:val="single" w:sz="12" w:space="0" w:color="auto"/>
              <w:bottom w:val="single" w:sz="4" w:space="0" w:color="auto"/>
              <w:right w:val="single" w:sz="4" w:space="0" w:color="auto"/>
            </w:tcBorders>
            <w:hideMark/>
          </w:tcPr>
          <w:p w:rsidR="00E129FD" w:rsidRDefault="00E129FD">
            <w:pPr>
              <w:keepNext/>
              <w:keepLines/>
              <w:spacing w:before="40" w:after="40"/>
              <w:rPr>
                <w:rFonts w:ascii="Times New Roman" w:hAnsi="Times New Roman"/>
                <w:sz w:val="20"/>
                <w:szCs w:val="20"/>
              </w:rPr>
            </w:pPr>
            <w:r>
              <w:rPr>
                <w:sz w:val="20"/>
                <w:szCs w:val="20"/>
              </w:rPr>
              <w:t>PTR – 4 Deg. Setback</w:t>
            </w:r>
          </w:p>
        </w:tc>
        <w:tc>
          <w:tcPr>
            <w:tcW w:w="900"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556</w:t>
            </w:r>
          </w:p>
        </w:tc>
        <w:tc>
          <w:tcPr>
            <w:tcW w:w="1149"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2.55</w:t>
            </w:r>
          </w:p>
        </w:tc>
        <w:tc>
          <w:tcPr>
            <w:tcW w:w="1055"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1.83</w:t>
            </w:r>
          </w:p>
        </w:tc>
        <w:tc>
          <w:tcPr>
            <w:tcW w:w="880"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0.72</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28.3%</w:t>
            </w:r>
          </w:p>
        </w:tc>
        <w:tc>
          <w:tcPr>
            <w:tcW w:w="1229"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0.40</w:t>
            </w:r>
          </w:p>
        </w:tc>
        <w:tc>
          <w:tcPr>
            <w:tcW w:w="730" w:type="dxa"/>
            <w:tcBorders>
              <w:top w:val="single" w:sz="4" w:space="0" w:color="auto"/>
              <w:left w:val="single" w:sz="4" w:space="0" w:color="auto"/>
              <w:bottom w:val="single" w:sz="4" w:space="0" w:color="auto"/>
              <w:right w:val="single" w:sz="12"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color w:val="000000"/>
                <w:sz w:val="20"/>
                <w:szCs w:val="20"/>
              </w:rPr>
              <w:t>86.1</w:t>
            </w:r>
          </w:p>
        </w:tc>
      </w:tr>
      <w:tr w:rsidR="00E129FD" w:rsidTr="00E129FD">
        <w:tc>
          <w:tcPr>
            <w:tcW w:w="2275" w:type="dxa"/>
            <w:tcBorders>
              <w:top w:val="single" w:sz="4" w:space="0" w:color="auto"/>
              <w:left w:val="single" w:sz="12" w:space="0" w:color="auto"/>
              <w:bottom w:val="single" w:sz="12" w:space="0" w:color="auto"/>
              <w:right w:val="single" w:sz="4" w:space="0" w:color="auto"/>
            </w:tcBorders>
            <w:hideMark/>
          </w:tcPr>
          <w:p w:rsidR="00E129FD" w:rsidRDefault="00E129FD">
            <w:pPr>
              <w:keepNext/>
              <w:keepLines/>
              <w:spacing w:before="40" w:after="40"/>
              <w:rPr>
                <w:rFonts w:ascii="Times New Roman" w:hAnsi="Times New Roman"/>
                <w:sz w:val="20"/>
                <w:szCs w:val="20"/>
              </w:rPr>
            </w:pPr>
            <w:r>
              <w:rPr>
                <w:sz w:val="20"/>
                <w:szCs w:val="20"/>
              </w:rPr>
              <w:t>PTR – 50% Cycling</w:t>
            </w:r>
          </w:p>
        </w:tc>
        <w:tc>
          <w:tcPr>
            <w:tcW w:w="900"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606</w:t>
            </w:r>
          </w:p>
        </w:tc>
        <w:tc>
          <w:tcPr>
            <w:tcW w:w="1149"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2.76</w:t>
            </w:r>
          </w:p>
        </w:tc>
        <w:tc>
          <w:tcPr>
            <w:tcW w:w="1055"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2.14</w:t>
            </w:r>
          </w:p>
        </w:tc>
        <w:tc>
          <w:tcPr>
            <w:tcW w:w="880"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0.62</w:t>
            </w:r>
          </w:p>
        </w:tc>
        <w:tc>
          <w:tcPr>
            <w:tcW w:w="1142"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22.5%</w:t>
            </w:r>
          </w:p>
        </w:tc>
        <w:tc>
          <w:tcPr>
            <w:tcW w:w="1229"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0.37</w:t>
            </w:r>
          </w:p>
        </w:tc>
        <w:tc>
          <w:tcPr>
            <w:tcW w:w="730" w:type="dxa"/>
            <w:tcBorders>
              <w:top w:val="single" w:sz="4" w:space="0" w:color="auto"/>
              <w:left w:val="single" w:sz="4" w:space="0" w:color="auto"/>
              <w:bottom w:val="single" w:sz="12" w:space="0" w:color="auto"/>
              <w:right w:val="single" w:sz="12"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color w:val="000000"/>
                <w:sz w:val="20"/>
                <w:szCs w:val="20"/>
              </w:rPr>
              <w:t>87.8</w:t>
            </w:r>
          </w:p>
        </w:tc>
      </w:tr>
      <w:tr w:rsidR="00E129FD" w:rsidTr="00E129FD">
        <w:tc>
          <w:tcPr>
            <w:tcW w:w="2275" w:type="dxa"/>
            <w:tcBorders>
              <w:top w:val="single" w:sz="12" w:space="0" w:color="auto"/>
              <w:left w:val="single" w:sz="12" w:space="0" w:color="auto"/>
              <w:bottom w:val="single" w:sz="4" w:space="0" w:color="auto"/>
              <w:right w:val="single" w:sz="4" w:space="0" w:color="auto"/>
            </w:tcBorders>
            <w:hideMark/>
          </w:tcPr>
          <w:p w:rsidR="00E129FD" w:rsidRDefault="00E129FD">
            <w:pPr>
              <w:keepNext/>
              <w:keepLines/>
              <w:spacing w:before="40" w:after="40"/>
              <w:rPr>
                <w:rFonts w:ascii="Times New Roman" w:hAnsi="Times New Roman"/>
                <w:sz w:val="20"/>
                <w:szCs w:val="20"/>
              </w:rPr>
            </w:pPr>
            <w:r>
              <w:rPr>
                <w:sz w:val="20"/>
                <w:szCs w:val="20"/>
              </w:rPr>
              <w:t>SCTD Only</w:t>
            </w:r>
          </w:p>
        </w:tc>
        <w:tc>
          <w:tcPr>
            <w:tcW w:w="900"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725</w:t>
            </w:r>
          </w:p>
        </w:tc>
        <w:tc>
          <w:tcPr>
            <w:tcW w:w="1149"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2.76</w:t>
            </w:r>
          </w:p>
        </w:tc>
        <w:tc>
          <w:tcPr>
            <w:tcW w:w="1055"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2.22</w:t>
            </w:r>
          </w:p>
        </w:tc>
        <w:tc>
          <w:tcPr>
            <w:tcW w:w="880"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0.55</w:t>
            </w:r>
          </w:p>
        </w:tc>
        <w:tc>
          <w:tcPr>
            <w:tcW w:w="1142"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20.0%</w:t>
            </w:r>
          </w:p>
        </w:tc>
        <w:tc>
          <w:tcPr>
            <w:tcW w:w="1229" w:type="dxa"/>
            <w:tcBorders>
              <w:top w:val="single" w:sz="12"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0.40</w:t>
            </w:r>
          </w:p>
        </w:tc>
        <w:tc>
          <w:tcPr>
            <w:tcW w:w="730" w:type="dxa"/>
            <w:tcBorders>
              <w:top w:val="single" w:sz="12" w:space="0" w:color="auto"/>
              <w:left w:val="single" w:sz="4" w:space="0" w:color="auto"/>
              <w:bottom w:val="single" w:sz="4" w:space="0" w:color="auto"/>
              <w:right w:val="single" w:sz="12"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color w:val="000000"/>
                <w:sz w:val="20"/>
                <w:szCs w:val="20"/>
              </w:rPr>
              <w:t>87.0</w:t>
            </w:r>
          </w:p>
        </w:tc>
      </w:tr>
      <w:tr w:rsidR="00E129FD" w:rsidTr="00E129FD">
        <w:tc>
          <w:tcPr>
            <w:tcW w:w="2275" w:type="dxa"/>
            <w:tcBorders>
              <w:top w:val="single" w:sz="4" w:space="0" w:color="auto"/>
              <w:left w:val="single" w:sz="12" w:space="0" w:color="auto"/>
              <w:bottom w:val="single" w:sz="4" w:space="0" w:color="auto"/>
              <w:right w:val="single" w:sz="4" w:space="0" w:color="auto"/>
            </w:tcBorders>
            <w:hideMark/>
          </w:tcPr>
          <w:p w:rsidR="00E129FD" w:rsidRDefault="00E129FD">
            <w:pPr>
              <w:keepNext/>
              <w:keepLines/>
              <w:spacing w:before="40" w:after="40"/>
              <w:rPr>
                <w:rFonts w:ascii="Times New Roman" w:hAnsi="Times New Roman"/>
                <w:sz w:val="20"/>
                <w:szCs w:val="20"/>
              </w:rPr>
            </w:pPr>
            <w:r>
              <w:rPr>
                <w:sz w:val="20"/>
                <w:szCs w:val="20"/>
              </w:rPr>
              <w:t>SCTD Only – 4 Degree Setback</w:t>
            </w:r>
          </w:p>
        </w:tc>
        <w:tc>
          <w:tcPr>
            <w:tcW w:w="900"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366</w:t>
            </w:r>
          </w:p>
        </w:tc>
        <w:tc>
          <w:tcPr>
            <w:tcW w:w="1149"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2.64</w:t>
            </w:r>
          </w:p>
        </w:tc>
        <w:tc>
          <w:tcPr>
            <w:tcW w:w="1055"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2.07</w:t>
            </w:r>
          </w:p>
        </w:tc>
        <w:tc>
          <w:tcPr>
            <w:tcW w:w="880"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0.57</w:t>
            </w:r>
          </w:p>
        </w:tc>
        <w:tc>
          <w:tcPr>
            <w:tcW w:w="1142"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21.8%</w:t>
            </w:r>
          </w:p>
        </w:tc>
        <w:tc>
          <w:tcPr>
            <w:tcW w:w="1229" w:type="dxa"/>
            <w:tcBorders>
              <w:top w:val="single" w:sz="4" w:space="0" w:color="auto"/>
              <w:left w:val="single" w:sz="4" w:space="0" w:color="auto"/>
              <w:bottom w:val="single" w:sz="4"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0.21</w:t>
            </w:r>
          </w:p>
        </w:tc>
        <w:tc>
          <w:tcPr>
            <w:tcW w:w="730" w:type="dxa"/>
            <w:tcBorders>
              <w:top w:val="single" w:sz="4" w:space="0" w:color="auto"/>
              <w:left w:val="single" w:sz="4" w:space="0" w:color="auto"/>
              <w:bottom w:val="single" w:sz="4" w:space="0" w:color="auto"/>
              <w:right w:val="single" w:sz="12"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color w:val="000000"/>
                <w:sz w:val="20"/>
                <w:szCs w:val="20"/>
              </w:rPr>
              <w:t>86.3</w:t>
            </w:r>
          </w:p>
        </w:tc>
      </w:tr>
      <w:tr w:rsidR="00E129FD" w:rsidTr="00E129FD">
        <w:tc>
          <w:tcPr>
            <w:tcW w:w="2275" w:type="dxa"/>
            <w:tcBorders>
              <w:top w:val="single" w:sz="4" w:space="0" w:color="auto"/>
              <w:left w:val="single" w:sz="12" w:space="0" w:color="auto"/>
              <w:bottom w:val="single" w:sz="12" w:space="0" w:color="auto"/>
              <w:right w:val="single" w:sz="4" w:space="0" w:color="auto"/>
            </w:tcBorders>
            <w:hideMark/>
          </w:tcPr>
          <w:p w:rsidR="00E129FD" w:rsidRDefault="00E129FD">
            <w:pPr>
              <w:keepNext/>
              <w:keepLines/>
              <w:spacing w:before="40" w:after="40"/>
              <w:rPr>
                <w:rFonts w:ascii="Times New Roman" w:hAnsi="Times New Roman"/>
                <w:sz w:val="20"/>
                <w:szCs w:val="20"/>
              </w:rPr>
            </w:pPr>
            <w:r>
              <w:rPr>
                <w:sz w:val="20"/>
                <w:szCs w:val="20"/>
              </w:rPr>
              <w:t>SCTD Only – 50% Cycling</w:t>
            </w:r>
          </w:p>
        </w:tc>
        <w:tc>
          <w:tcPr>
            <w:tcW w:w="900"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359</w:t>
            </w:r>
          </w:p>
        </w:tc>
        <w:tc>
          <w:tcPr>
            <w:tcW w:w="1149"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2.87</w:t>
            </w:r>
          </w:p>
        </w:tc>
        <w:tc>
          <w:tcPr>
            <w:tcW w:w="1055"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2.34</w:t>
            </w:r>
          </w:p>
        </w:tc>
        <w:tc>
          <w:tcPr>
            <w:tcW w:w="880"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0.53</w:t>
            </w:r>
          </w:p>
        </w:tc>
        <w:tc>
          <w:tcPr>
            <w:tcW w:w="1142"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18.6%</w:t>
            </w:r>
          </w:p>
        </w:tc>
        <w:tc>
          <w:tcPr>
            <w:tcW w:w="1229" w:type="dxa"/>
            <w:tcBorders>
              <w:top w:val="single" w:sz="4" w:space="0" w:color="auto"/>
              <w:left w:val="single" w:sz="4" w:space="0" w:color="auto"/>
              <w:bottom w:val="single" w:sz="12" w:space="0" w:color="auto"/>
              <w:right w:val="single" w:sz="4"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sz w:val="20"/>
                <w:szCs w:val="20"/>
              </w:rPr>
              <w:t>0.19</w:t>
            </w:r>
          </w:p>
        </w:tc>
        <w:tc>
          <w:tcPr>
            <w:tcW w:w="730" w:type="dxa"/>
            <w:tcBorders>
              <w:top w:val="single" w:sz="4" w:space="0" w:color="auto"/>
              <w:left w:val="single" w:sz="4" w:space="0" w:color="auto"/>
              <w:bottom w:val="single" w:sz="12" w:space="0" w:color="auto"/>
              <w:right w:val="single" w:sz="12" w:space="0" w:color="auto"/>
            </w:tcBorders>
            <w:vAlign w:val="center"/>
            <w:hideMark/>
          </w:tcPr>
          <w:p w:rsidR="00E129FD" w:rsidRDefault="00E129FD">
            <w:pPr>
              <w:autoSpaceDE w:val="0"/>
              <w:autoSpaceDN w:val="0"/>
              <w:adjustRightInd w:val="0"/>
              <w:jc w:val="center"/>
              <w:rPr>
                <w:rFonts w:ascii="Times New Roman" w:hAnsi="Times New Roman"/>
                <w:color w:val="000000"/>
                <w:sz w:val="20"/>
                <w:szCs w:val="20"/>
              </w:rPr>
            </w:pPr>
            <w:r>
              <w:rPr>
                <w:color w:val="000000"/>
                <w:sz w:val="20"/>
                <w:szCs w:val="20"/>
              </w:rPr>
              <w:t>87.5</w:t>
            </w:r>
          </w:p>
        </w:tc>
      </w:tr>
    </w:tbl>
    <w:p w:rsidR="00E129FD" w:rsidRDefault="00E129FD" w:rsidP="00E129FD"/>
    <w:p w:rsidR="000952BB" w:rsidRPr="000952BB" w:rsidRDefault="000952BB" w:rsidP="00DB162E">
      <w:pPr>
        <w:pStyle w:val="BodyParagraph"/>
        <w:spacing w:after="0" w:line="276" w:lineRule="auto"/>
        <w:rPr>
          <w:rFonts w:ascii="Times New Roman" w:hAnsi="Times New Roman"/>
          <w:color w:val="FF0000"/>
          <w:sz w:val="24"/>
          <w:szCs w:val="24"/>
        </w:rPr>
      </w:pPr>
    </w:p>
    <w:p w:rsidR="00030ACA" w:rsidRDefault="00030ACA" w:rsidP="00030ACA">
      <w:pPr>
        <w:pStyle w:val="BodyParagraph"/>
        <w:spacing w:after="0" w:line="276" w:lineRule="auto"/>
        <w:rPr>
          <w:rStyle w:val="Heading2Char"/>
          <w:rFonts w:ascii="Times New Roman" w:hAnsi="Times New Roman" w:cs="Times New Roman"/>
          <w:color w:val="000000" w:themeColor="text1"/>
        </w:rPr>
      </w:pPr>
      <w:bookmarkStart w:id="215" w:name="_Toc415749012"/>
      <w:r w:rsidRPr="00FC5EF1">
        <w:rPr>
          <w:rStyle w:val="Heading2Char"/>
          <w:rFonts w:ascii="Times New Roman" w:hAnsi="Times New Roman" w:cs="Times New Roman"/>
          <w:color w:val="000000" w:themeColor="text1"/>
        </w:rPr>
        <w:t>7.</w:t>
      </w:r>
      <w:r w:rsidR="00B554EB">
        <w:rPr>
          <w:rStyle w:val="Heading2Char"/>
          <w:rFonts w:ascii="Times New Roman" w:hAnsi="Times New Roman" w:cs="Times New Roman"/>
          <w:color w:val="000000" w:themeColor="text1"/>
        </w:rPr>
        <w:t>6</w:t>
      </w:r>
      <w:r w:rsidRPr="00FC5EF1">
        <w:rPr>
          <w:rStyle w:val="Heading2Char"/>
          <w:rFonts w:ascii="Times New Roman" w:hAnsi="Times New Roman" w:cs="Times New Roman"/>
          <w:color w:val="000000" w:themeColor="text1"/>
        </w:rPr>
        <w:t xml:space="preserve"> </w:t>
      </w:r>
      <w:r w:rsidR="00E46994" w:rsidRPr="00FC5EF1">
        <w:rPr>
          <w:rStyle w:val="Heading2Char"/>
          <w:rFonts w:ascii="Times New Roman" w:hAnsi="Times New Roman" w:cs="Times New Roman"/>
          <w:color w:val="000000" w:themeColor="text1"/>
        </w:rPr>
        <w:t>Ex-</w:t>
      </w:r>
      <w:r w:rsidR="00EA6613" w:rsidRPr="00FC5EF1">
        <w:rPr>
          <w:rStyle w:val="Heading2Char"/>
          <w:rFonts w:ascii="Times New Roman" w:hAnsi="Times New Roman" w:cs="Times New Roman"/>
          <w:color w:val="000000" w:themeColor="text1"/>
        </w:rPr>
        <w:t>Ante Load Impact Methodology</w:t>
      </w:r>
      <w:bookmarkEnd w:id="215"/>
    </w:p>
    <w:p w:rsidR="00030ACA" w:rsidRDefault="00030ACA" w:rsidP="00030ACA">
      <w:pPr>
        <w:pStyle w:val="BodyParagraph"/>
        <w:spacing w:after="0" w:line="276" w:lineRule="auto"/>
        <w:ind w:firstLine="360"/>
        <w:rPr>
          <w:rFonts w:ascii="Times New Roman" w:hAnsi="Times New Roman"/>
          <w:color w:val="FF0000"/>
          <w:sz w:val="24"/>
          <w:szCs w:val="24"/>
        </w:rPr>
      </w:pPr>
    </w:p>
    <w:p w:rsidR="00DF2580" w:rsidRDefault="00DF2580" w:rsidP="00DF2580">
      <w:pPr>
        <w:spacing w:line="276" w:lineRule="auto"/>
        <w:ind w:firstLine="720"/>
      </w:pPr>
      <w:r w:rsidRPr="00DF2580">
        <w:t>Ex ante</w:t>
      </w:r>
      <w:r>
        <w:t xml:space="preserve"> impacts for the PTR program for four participant segments (Opt-In PTR-Only, PTR Dually Enrolled in Summer Saver, PTR Dually Enrolled in SCTD, and SCTD-Only) were estimated by combining the regression model results from the ex post impacts with two other sources of data.  The first data source was a 20-year forecast of enrollment for four separate participant segments.  The second data source was two separate versions of weather scenarios containing hourly weather for different types of weather years and day types for each month of the year.  The results presented in this section use the weather conditions based on SDG&amp;E estimates.</w:t>
      </w:r>
    </w:p>
    <w:p w:rsidR="00DF2580" w:rsidRDefault="00DF2580" w:rsidP="00DF2580">
      <w:pPr>
        <w:spacing w:line="276" w:lineRule="auto"/>
      </w:pPr>
    </w:p>
    <w:p w:rsidR="00DF2580" w:rsidRDefault="00DF2580" w:rsidP="00DF2580">
      <w:pPr>
        <w:spacing w:line="276" w:lineRule="auto"/>
      </w:pPr>
      <w:r>
        <w:t xml:space="preserve">The </w:t>
      </w:r>
      <w:r w:rsidRPr="00DF2580">
        <w:t>ex ante</w:t>
      </w:r>
      <w:r>
        <w:t xml:space="preserve"> estimation process was relatively straightforward, involving two main steps.  The first step required taking the model parameters from the </w:t>
      </w:r>
      <w:r>
        <w:rPr>
          <w:i/>
        </w:rPr>
        <w:t>ex post</w:t>
      </w:r>
      <w:r>
        <w:t xml:space="preserve"> regression model and combining them with the weather scenarios to calculate per participant average reference loads, observed loads, and load impacts.  Because the impacts were based on variables that were interacted with temperature variables, they can be applied to the weather data from the various year and day types to generated estimated savings for those scenarios.  The standard errors from the impact variable parameters from the ex post model were used to calculate the uncertainty estimates.  The second step was to combine estimated per-participant impacts for the different weather scenarios and multiply them by the forecast of enrolled participants to generate the total program impacts.  SDG&amp;E forecasts that the PTR, Summer Saver, and SCTD programs will continue to grow.  By the end of 2016, the PTR program is expected to grow to over 73,000 participants (including dual enrollments in the other programs), while the SCTD program is expected to grow to over </w:t>
      </w:r>
      <w:r>
        <w:lastRenderedPageBreak/>
        <w:t xml:space="preserve">8,000 participants.  These projections are then expected to remain constant throughout the remainder of the </w:t>
      </w:r>
      <w:r w:rsidRPr="00DF2580">
        <w:t>ex ante</w:t>
      </w:r>
      <w:r>
        <w:t xml:space="preserve"> forecast period.</w:t>
      </w:r>
    </w:p>
    <w:p w:rsidR="00DF2580" w:rsidRDefault="00DF2580" w:rsidP="00DF2580">
      <w:pPr>
        <w:spacing w:line="276" w:lineRule="auto"/>
      </w:pPr>
    </w:p>
    <w:p w:rsidR="00DF2580" w:rsidRDefault="00DF2580" w:rsidP="00DF2580">
      <w:pPr>
        <w:spacing w:line="276" w:lineRule="auto"/>
      </w:pPr>
      <w:r>
        <w:t xml:space="preserve">While this process was straightforward, there were some nuances to the data that call for additional discussion.  First, the enrollment forecasts were based on total participants by participant segment, whereas the weather scenarios and estimated impacts have more detailed information.  Consequently, the alignment of these data sources called for making certain assumptions about the allocation of program participants.  Total participants from the forecast were allocated to climate zones and, for the SCTD and Summer Saver groups, to the cycling strategies based on the relative shares as of the last event day from 2014.  Additionally, since the weather scenarios were provided by climate zone, an average weather scenario was created using an average where the same participant shares were used as weights.  Note that this weighting was program segment specific.  For example, the overall weather for the SCTD 100% cycling participants was based on the shares by climate zone for that particular group.  The shares used for the allocation of the enrollment forecast are presented in </w:t>
      </w:r>
      <w:r>
        <w:fldChar w:fldCharType="begin"/>
      </w:r>
      <w:r>
        <w:instrText xml:space="preserve"> REF _Ref414102748 \h </w:instrText>
      </w:r>
      <w:r>
        <w:fldChar w:fldCharType="separate"/>
      </w:r>
      <w:r>
        <w:t xml:space="preserve">Table </w:t>
      </w:r>
      <w:r w:rsidR="00E743E9">
        <w:t>7-4</w:t>
      </w:r>
      <w:r>
        <w:fldChar w:fldCharType="end"/>
      </w:r>
      <w:r>
        <w:t>.</w:t>
      </w:r>
    </w:p>
    <w:p w:rsidR="00DF2580" w:rsidRDefault="00DF2580" w:rsidP="00DF2580">
      <w:pPr>
        <w:pStyle w:val="BodyParagraph"/>
        <w:spacing w:after="0" w:line="276" w:lineRule="auto"/>
        <w:ind w:firstLine="360"/>
        <w:rPr>
          <w:rFonts w:ascii="Times New Roman" w:hAnsi="Times New Roman"/>
          <w:color w:val="FF0000"/>
          <w:sz w:val="24"/>
          <w:szCs w:val="24"/>
        </w:rPr>
      </w:pPr>
    </w:p>
    <w:p w:rsidR="00AB6592" w:rsidRDefault="00AB6592" w:rsidP="00AB6592">
      <w:pPr>
        <w:pStyle w:val="Caption"/>
        <w:jc w:val="center"/>
      </w:pPr>
      <w:bookmarkStart w:id="216" w:name="_Ref414102748"/>
      <w:r>
        <w:t>Table 7-4</w:t>
      </w:r>
      <w:bookmarkEnd w:id="216"/>
      <w:r>
        <w:t>: Shares for Allocation of Enrollment Forecast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754"/>
        <w:gridCol w:w="1980"/>
        <w:gridCol w:w="1620"/>
        <w:gridCol w:w="1530"/>
        <w:gridCol w:w="1404"/>
      </w:tblGrid>
      <w:tr w:rsidR="00AB6592" w:rsidTr="00AB6592">
        <w:trPr>
          <w:cantSplit/>
          <w:trHeight w:val="438"/>
          <w:tblHeader/>
          <w:jc w:val="center"/>
        </w:trPr>
        <w:tc>
          <w:tcPr>
            <w:tcW w:w="4734" w:type="dxa"/>
            <w:gridSpan w:val="2"/>
            <w:tcBorders>
              <w:top w:val="single" w:sz="12" w:space="0" w:color="000000"/>
              <w:left w:val="single" w:sz="12" w:space="0" w:color="000000"/>
              <w:bottom w:val="single" w:sz="12" w:space="0" w:color="000000"/>
              <w:right w:val="single" w:sz="12" w:space="0" w:color="auto"/>
            </w:tcBorders>
            <w:shd w:val="clear" w:color="auto" w:fill="D9D9D9" w:themeFill="background1" w:themeFillShade="D9"/>
            <w:tcMar>
              <w:top w:w="0" w:type="dxa"/>
              <w:left w:w="60" w:type="dxa"/>
              <w:bottom w:w="0" w:type="dxa"/>
              <w:right w:w="60" w:type="dxa"/>
            </w:tcMar>
            <w:vAlign w:val="bottom"/>
            <w:hideMark/>
          </w:tcPr>
          <w:p w:rsidR="00AB6592" w:rsidRDefault="00AB6592" w:rsidP="00AB6592">
            <w:pPr>
              <w:keepNext/>
              <w:adjustRightInd w:val="0"/>
              <w:spacing w:before="60" w:after="60"/>
              <w:ind w:hanging="6"/>
              <w:jc w:val="both"/>
              <w:rPr>
                <w:b/>
                <w:bCs/>
                <w:color w:val="000000"/>
                <w:sz w:val="20"/>
                <w:szCs w:val="20"/>
              </w:rPr>
            </w:pPr>
            <w:r>
              <w:rPr>
                <w:b/>
                <w:bCs/>
                <w:color w:val="000000"/>
                <w:sz w:val="20"/>
                <w:szCs w:val="20"/>
              </w:rPr>
              <w:t>Participant Segment</w:t>
            </w:r>
          </w:p>
        </w:tc>
        <w:tc>
          <w:tcPr>
            <w:tcW w:w="1620" w:type="dxa"/>
            <w:tcBorders>
              <w:top w:val="single" w:sz="12" w:space="0" w:color="000000"/>
              <w:left w:val="single" w:sz="12" w:space="0" w:color="auto"/>
              <w:bottom w:val="single" w:sz="12" w:space="0" w:color="000000"/>
              <w:right w:val="single" w:sz="6" w:space="0" w:color="000000"/>
            </w:tcBorders>
            <w:shd w:val="clear" w:color="auto" w:fill="D9D9D9" w:themeFill="background1" w:themeFillShade="D9"/>
            <w:tcMar>
              <w:top w:w="0" w:type="dxa"/>
              <w:left w:w="60" w:type="dxa"/>
              <w:bottom w:w="0" w:type="dxa"/>
              <w:right w:w="60" w:type="dxa"/>
            </w:tcMar>
            <w:vAlign w:val="bottom"/>
            <w:hideMark/>
          </w:tcPr>
          <w:p w:rsidR="00AB6592" w:rsidRDefault="00AB6592">
            <w:pPr>
              <w:keepNext/>
              <w:adjustRightInd w:val="0"/>
              <w:spacing w:before="60" w:after="60"/>
              <w:ind w:hanging="432"/>
              <w:jc w:val="center"/>
              <w:rPr>
                <w:b/>
                <w:bCs/>
                <w:color w:val="000000"/>
                <w:sz w:val="20"/>
                <w:szCs w:val="20"/>
              </w:rPr>
            </w:pPr>
            <w:r>
              <w:rPr>
                <w:b/>
                <w:bCs/>
                <w:color w:val="000000"/>
                <w:sz w:val="20"/>
                <w:szCs w:val="20"/>
              </w:rPr>
              <w:t>Coastal</w:t>
            </w:r>
          </w:p>
        </w:tc>
        <w:tc>
          <w:tcPr>
            <w:tcW w:w="1530" w:type="dxa"/>
            <w:tcBorders>
              <w:top w:val="single" w:sz="12" w:space="0" w:color="000000"/>
              <w:left w:val="single" w:sz="6" w:space="0" w:color="000000"/>
              <w:bottom w:val="single" w:sz="12" w:space="0" w:color="000000"/>
              <w:right w:val="single" w:sz="6" w:space="0" w:color="000000"/>
            </w:tcBorders>
            <w:shd w:val="clear" w:color="auto" w:fill="D9D9D9" w:themeFill="background1" w:themeFillShade="D9"/>
            <w:tcMar>
              <w:top w:w="0" w:type="dxa"/>
              <w:left w:w="60" w:type="dxa"/>
              <w:bottom w:w="0" w:type="dxa"/>
              <w:right w:w="60" w:type="dxa"/>
            </w:tcMar>
            <w:vAlign w:val="bottom"/>
            <w:hideMark/>
          </w:tcPr>
          <w:p w:rsidR="00AB6592" w:rsidRDefault="00AB6592">
            <w:pPr>
              <w:keepNext/>
              <w:adjustRightInd w:val="0"/>
              <w:spacing w:before="60" w:after="60"/>
              <w:ind w:hanging="432"/>
              <w:jc w:val="center"/>
              <w:rPr>
                <w:b/>
                <w:bCs/>
                <w:color w:val="000000"/>
                <w:sz w:val="20"/>
                <w:szCs w:val="20"/>
              </w:rPr>
            </w:pPr>
            <w:r>
              <w:rPr>
                <w:b/>
                <w:bCs/>
                <w:color w:val="000000"/>
                <w:sz w:val="20"/>
                <w:szCs w:val="20"/>
              </w:rPr>
              <w:t>Inland</w:t>
            </w:r>
          </w:p>
        </w:tc>
        <w:tc>
          <w:tcPr>
            <w:tcW w:w="1404" w:type="dxa"/>
            <w:tcBorders>
              <w:top w:val="single" w:sz="12" w:space="0" w:color="000000"/>
              <w:left w:val="single" w:sz="6" w:space="0" w:color="000000"/>
              <w:bottom w:val="single" w:sz="12" w:space="0" w:color="000000"/>
              <w:right w:val="single" w:sz="12" w:space="0" w:color="000000"/>
            </w:tcBorders>
            <w:shd w:val="clear" w:color="auto" w:fill="D9D9D9" w:themeFill="background1" w:themeFillShade="D9"/>
            <w:tcMar>
              <w:top w:w="0" w:type="dxa"/>
              <w:left w:w="60" w:type="dxa"/>
              <w:bottom w:w="0" w:type="dxa"/>
              <w:right w:w="60" w:type="dxa"/>
            </w:tcMar>
            <w:vAlign w:val="bottom"/>
            <w:hideMark/>
          </w:tcPr>
          <w:p w:rsidR="00AB6592" w:rsidRDefault="00AB6592">
            <w:pPr>
              <w:keepNext/>
              <w:adjustRightInd w:val="0"/>
              <w:spacing w:before="60" w:after="60"/>
              <w:ind w:hanging="432"/>
              <w:jc w:val="center"/>
              <w:rPr>
                <w:b/>
                <w:bCs/>
                <w:color w:val="000000"/>
                <w:sz w:val="20"/>
                <w:szCs w:val="20"/>
              </w:rPr>
            </w:pPr>
            <w:r>
              <w:rPr>
                <w:b/>
                <w:bCs/>
                <w:color w:val="000000"/>
                <w:sz w:val="20"/>
                <w:szCs w:val="20"/>
              </w:rPr>
              <w:t>All</w:t>
            </w:r>
          </w:p>
        </w:tc>
      </w:tr>
      <w:tr w:rsidR="00AB6592" w:rsidTr="00AB6592">
        <w:trPr>
          <w:cantSplit/>
          <w:trHeight w:val="330"/>
          <w:jc w:val="center"/>
        </w:trPr>
        <w:tc>
          <w:tcPr>
            <w:tcW w:w="2754" w:type="dxa"/>
            <w:tcBorders>
              <w:top w:val="single" w:sz="12" w:space="0" w:color="000000"/>
              <w:left w:val="single" w:sz="12" w:space="0" w:color="000000"/>
              <w:bottom w:val="single" w:sz="12" w:space="0" w:color="auto"/>
              <w:right w:val="single" w:sz="6" w:space="0" w:color="000000"/>
            </w:tcBorders>
            <w:tcMar>
              <w:top w:w="0" w:type="dxa"/>
              <w:left w:w="60" w:type="dxa"/>
              <w:bottom w:w="0" w:type="dxa"/>
              <w:right w:w="60" w:type="dxa"/>
            </w:tcMar>
            <w:vAlign w:val="center"/>
            <w:hideMark/>
          </w:tcPr>
          <w:p w:rsidR="00AB6592" w:rsidRDefault="00AB6592" w:rsidP="00AB6592">
            <w:pPr>
              <w:adjustRightInd w:val="0"/>
              <w:spacing w:before="60" w:after="60"/>
              <w:ind w:hanging="6"/>
              <w:rPr>
                <w:b/>
                <w:bCs/>
                <w:color w:val="000000"/>
                <w:sz w:val="20"/>
                <w:szCs w:val="20"/>
              </w:rPr>
            </w:pPr>
            <w:r>
              <w:rPr>
                <w:b/>
                <w:bCs/>
                <w:color w:val="000000"/>
                <w:sz w:val="20"/>
                <w:szCs w:val="20"/>
              </w:rPr>
              <w:t>PTR-Only</w:t>
            </w:r>
          </w:p>
        </w:tc>
        <w:tc>
          <w:tcPr>
            <w:tcW w:w="1980" w:type="dxa"/>
            <w:tcBorders>
              <w:top w:val="single" w:sz="12" w:space="0" w:color="000000"/>
              <w:left w:val="single" w:sz="6" w:space="0" w:color="000000"/>
              <w:bottom w:val="single" w:sz="12" w:space="0" w:color="auto"/>
              <w:right w:val="single" w:sz="12" w:space="0" w:color="auto"/>
            </w:tcBorders>
            <w:tcMar>
              <w:top w:w="0" w:type="dxa"/>
              <w:left w:w="60" w:type="dxa"/>
              <w:bottom w:w="0" w:type="dxa"/>
              <w:right w:w="60" w:type="dxa"/>
            </w:tcMar>
            <w:vAlign w:val="center"/>
            <w:hideMark/>
          </w:tcPr>
          <w:p w:rsidR="00AB6592" w:rsidRDefault="00AB6592">
            <w:pPr>
              <w:adjustRightInd w:val="0"/>
              <w:spacing w:before="60" w:after="60"/>
              <w:ind w:hanging="432"/>
              <w:rPr>
                <w:b/>
                <w:bCs/>
                <w:color w:val="000000"/>
                <w:sz w:val="20"/>
                <w:szCs w:val="20"/>
              </w:rPr>
            </w:pPr>
            <w:r>
              <w:rPr>
                <w:b/>
                <w:bCs/>
                <w:color w:val="000000"/>
                <w:sz w:val="20"/>
                <w:szCs w:val="20"/>
              </w:rPr>
              <w:t>All</w:t>
            </w:r>
          </w:p>
        </w:tc>
        <w:tc>
          <w:tcPr>
            <w:tcW w:w="1620" w:type="dxa"/>
            <w:tcBorders>
              <w:top w:val="single" w:sz="12" w:space="0" w:color="000000"/>
              <w:left w:val="single" w:sz="12" w:space="0" w:color="auto"/>
              <w:bottom w:val="single" w:sz="12" w:space="0" w:color="auto"/>
              <w:right w:val="single" w:sz="6"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56%</w:t>
            </w:r>
          </w:p>
        </w:tc>
        <w:tc>
          <w:tcPr>
            <w:tcW w:w="1530" w:type="dxa"/>
            <w:tcBorders>
              <w:top w:val="single" w:sz="12" w:space="0" w:color="000000"/>
              <w:left w:val="single" w:sz="6" w:space="0" w:color="000000"/>
              <w:bottom w:val="single" w:sz="12" w:space="0" w:color="auto"/>
              <w:right w:val="single" w:sz="6"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44%</w:t>
            </w:r>
          </w:p>
        </w:tc>
        <w:tc>
          <w:tcPr>
            <w:tcW w:w="1404" w:type="dxa"/>
            <w:tcBorders>
              <w:top w:val="single" w:sz="12" w:space="0" w:color="000000"/>
              <w:left w:val="single" w:sz="6" w:space="0" w:color="000000"/>
              <w:bottom w:val="single" w:sz="12" w:space="0" w:color="auto"/>
              <w:right w:val="single" w:sz="12"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100%</w:t>
            </w:r>
          </w:p>
        </w:tc>
      </w:tr>
      <w:tr w:rsidR="00AB6592" w:rsidTr="00AB6592">
        <w:trPr>
          <w:cantSplit/>
          <w:trHeight w:val="318"/>
          <w:jc w:val="center"/>
        </w:trPr>
        <w:tc>
          <w:tcPr>
            <w:tcW w:w="2754" w:type="dxa"/>
            <w:vMerge w:val="restart"/>
            <w:tcBorders>
              <w:top w:val="single" w:sz="12" w:space="0" w:color="auto"/>
              <w:left w:val="single" w:sz="12" w:space="0" w:color="000000"/>
              <w:bottom w:val="single" w:sz="12" w:space="0" w:color="auto"/>
              <w:right w:val="single" w:sz="6" w:space="0" w:color="000000"/>
            </w:tcBorders>
            <w:tcMar>
              <w:top w:w="0" w:type="dxa"/>
              <w:left w:w="60" w:type="dxa"/>
              <w:bottom w:w="0" w:type="dxa"/>
              <w:right w:w="60" w:type="dxa"/>
            </w:tcMar>
            <w:vAlign w:val="center"/>
            <w:hideMark/>
          </w:tcPr>
          <w:p w:rsidR="00AB6592" w:rsidRDefault="00AB6592" w:rsidP="00AB6592">
            <w:pPr>
              <w:keepNext/>
              <w:adjustRightInd w:val="0"/>
              <w:spacing w:before="60" w:after="60"/>
              <w:ind w:hanging="6"/>
              <w:rPr>
                <w:b/>
                <w:bCs/>
                <w:color w:val="000000"/>
                <w:sz w:val="20"/>
                <w:szCs w:val="20"/>
              </w:rPr>
            </w:pPr>
            <w:r>
              <w:rPr>
                <w:b/>
                <w:bCs/>
                <w:color w:val="000000"/>
                <w:sz w:val="20"/>
                <w:szCs w:val="20"/>
              </w:rPr>
              <w:t>PTR Dually Enrolled in Summer Saver</w:t>
            </w:r>
          </w:p>
        </w:tc>
        <w:tc>
          <w:tcPr>
            <w:tcW w:w="1980" w:type="dxa"/>
            <w:tcBorders>
              <w:top w:val="single" w:sz="12" w:space="0" w:color="auto"/>
              <w:left w:val="single" w:sz="6" w:space="0" w:color="000000"/>
              <w:bottom w:val="single" w:sz="6" w:space="0" w:color="000000"/>
              <w:right w:val="single" w:sz="12" w:space="0" w:color="auto"/>
            </w:tcBorders>
            <w:tcMar>
              <w:top w:w="0" w:type="dxa"/>
              <w:left w:w="60" w:type="dxa"/>
              <w:bottom w:w="0" w:type="dxa"/>
              <w:right w:w="60" w:type="dxa"/>
            </w:tcMar>
            <w:vAlign w:val="center"/>
            <w:hideMark/>
          </w:tcPr>
          <w:p w:rsidR="00AB6592" w:rsidRDefault="00AB6592" w:rsidP="00BA5DD3">
            <w:pPr>
              <w:keepNext/>
              <w:adjustRightInd w:val="0"/>
              <w:spacing w:before="60" w:after="60"/>
              <w:rPr>
                <w:b/>
                <w:bCs/>
                <w:color w:val="000000"/>
                <w:sz w:val="20"/>
                <w:szCs w:val="20"/>
              </w:rPr>
            </w:pPr>
            <w:r>
              <w:rPr>
                <w:b/>
                <w:bCs/>
                <w:color w:val="000000"/>
                <w:sz w:val="20"/>
                <w:szCs w:val="20"/>
              </w:rPr>
              <w:t>100% Cycle</w:t>
            </w:r>
          </w:p>
        </w:tc>
        <w:tc>
          <w:tcPr>
            <w:tcW w:w="1620" w:type="dxa"/>
            <w:tcBorders>
              <w:top w:val="single" w:sz="12" w:space="0" w:color="auto"/>
              <w:left w:val="single" w:sz="12" w:space="0" w:color="auto"/>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32%</w:t>
            </w:r>
          </w:p>
        </w:tc>
        <w:tc>
          <w:tcPr>
            <w:tcW w:w="1530" w:type="dxa"/>
            <w:tcBorders>
              <w:top w:val="single" w:sz="12" w:space="0" w:color="auto"/>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38%</w:t>
            </w:r>
          </w:p>
        </w:tc>
        <w:tc>
          <w:tcPr>
            <w:tcW w:w="1404" w:type="dxa"/>
            <w:tcBorders>
              <w:top w:val="single" w:sz="12" w:space="0" w:color="auto"/>
              <w:left w:val="single" w:sz="6" w:space="0" w:color="000000"/>
              <w:bottom w:val="single" w:sz="6" w:space="0" w:color="000000"/>
              <w:right w:val="single" w:sz="12"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70%</w:t>
            </w:r>
          </w:p>
        </w:tc>
      </w:tr>
      <w:tr w:rsidR="00AB6592" w:rsidTr="00AB6592">
        <w:trPr>
          <w:cantSplit/>
          <w:trHeight w:val="134"/>
          <w:jc w:val="center"/>
        </w:trPr>
        <w:tc>
          <w:tcPr>
            <w:tcW w:w="4734" w:type="dxa"/>
            <w:vMerge/>
            <w:tcBorders>
              <w:top w:val="single" w:sz="12" w:space="0" w:color="auto"/>
              <w:left w:val="single" w:sz="12" w:space="0" w:color="000000"/>
              <w:bottom w:val="single" w:sz="12" w:space="0" w:color="auto"/>
              <w:right w:val="single" w:sz="6" w:space="0" w:color="000000"/>
            </w:tcBorders>
            <w:vAlign w:val="center"/>
            <w:hideMark/>
          </w:tcPr>
          <w:p w:rsidR="00AB6592" w:rsidRDefault="00AB6592">
            <w:pPr>
              <w:rPr>
                <w:b/>
                <w:bCs/>
                <w:color w:val="000000"/>
                <w:sz w:val="20"/>
                <w:szCs w:val="20"/>
              </w:rPr>
            </w:pPr>
          </w:p>
        </w:tc>
        <w:tc>
          <w:tcPr>
            <w:tcW w:w="1980" w:type="dxa"/>
            <w:tcBorders>
              <w:top w:val="single" w:sz="6" w:space="0" w:color="000000"/>
              <w:left w:val="single" w:sz="6" w:space="0" w:color="000000"/>
              <w:bottom w:val="single" w:sz="6" w:space="0" w:color="000000"/>
              <w:right w:val="single" w:sz="12" w:space="0" w:color="auto"/>
            </w:tcBorders>
            <w:tcMar>
              <w:top w:w="0" w:type="dxa"/>
              <w:left w:w="60" w:type="dxa"/>
              <w:bottom w:w="0" w:type="dxa"/>
              <w:right w:w="60" w:type="dxa"/>
            </w:tcMar>
            <w:vAlign w:val="center"/>
            <w:hideMark/>
          </w:tcPr>
          <w:p w:rsidR="00AB6592" w:rsidRDefault="00AB6592" w:rsidP="00BA5DD3">
            <w:pPr>
              <w:keepNext/>
              <w:adjustRightInd w:val="0"/>
              <w:spacing w:before="60" w:after="60"/>
              <w:ind w:firstLine="30"/>
              <w:rPr>
                <w:b/>
                <w:bCs/>
                <w:color w:val="000000"/>
                <w:sz w:val="20"/>
                <w:szCs w:val="20"/>
              </w:rPr>
            </w:pPr>
            <w:r>
              <w:rPr>
                <w:b/>
                <w:bCs/>
                <w:color w:val="000000"/>
                <w:sz w:val="20"/>
                <w:szCs w:val="20"/>
              </w:rPr>
              <w:t>50% Cycle</w:t>
            </w:r>
          </w:p>
        </w:tc>
        <w:tc>
          <w:tcPr>
            <w:tcW w:w="1620" w:type="dxa"/>
            <w:tcBorders>
              <w:top w:val="single" w:sz="6" w:space="0" w:color="000000"/>
              <w:left w:val="single" w:sz="12" w:space="0" w:color="auto"/>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12%</w:t>
            </w:r>
          </w:p>
        </w:tc>
        <w:tc>
          <w:tcPr>
            <w:tcW w:w="153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18%</w:t>
            </w:r>
          </w:p>
        </w:tc>
        <w:tc>
          <w:tcPr>
            <w:tcW w:w="1404" w:type="dxa"/>
            <w:tcBorders>
              <w:top w:val="single" w:sz="6" w:space="0" w:color="000000"/>
              <w:left w:val="single" w:sz="6" w:space="0" w:color="000000"/>
              <w:bottom w:val="single" w:sz="6" w:space="0" w:color="000000"/>
              <w:right w:val="single" w:sz="12"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30%</w:t>
            </w:r>
          </w:p>
        </w:tc>
      </w:tr>
      <w:tr w:rsidR="00AB6592" w:rsidTr="00AB6592">
        <w:trPr>
          <w:cantSplit/>
          <w:trHeight w:val="134"/>
          <w:jc w:val="center"/>
        </w:trPr>
        <w:tc>
          <w:tcPr>
            <w:tcW w:w="4734" w:type="dxa"/>
            <w:vMerge/>
            <w:tcBorders>
              <w:top w:val="single" w:sz="12" w:space="0" w:color="auto"/>
              <w:left w:val="single" w:sz="12" w:space="0" w:color="000000"/>
              <w:bottom w:val="single" w:sz="12" w:space="0" w:color="auto"/>
              <w:right w:val="single" w:sz="6" w:space="0" w:color="000000"/>
            </w:tcBorders>
            <w:vAlign w:val="center"/>
            <w:hideMark/>
          </w:tcPr>
          <w:p w:rsidR="00AB6592" w:rsidRDefault="00AB6592">
            <w:pPr>
              <w:rPr>
                <w:b/>
                <w:bCs/>
                <w:color w:val="000000"/>
                <w:sz w:val="20"/>
                <w:szCs w:val="20"/>
              </w:rPr>
            </w:pPr>
          </w:p>
        </w:tc>
        <w:tc>
          <w:tcPr>
            <w:tcW w:w="1980" w:type="dxa"/>
            <w:tcBorders>
              <w:top w:val="single" w:sz="6" w:space="0" w:color="000000"/>
              <w:left w:val="single" w:sz="6" w:space="0" w:color="000000"/>
              <w:bottom w:val="single" w:sz="12" w:space="0" w:color="auto"/>
              <w:right w:val="single" w:sz="12" w:space="0" w:color="auto"/>
            </w:tcBorders>
            <w:tcMar>
              <w:top w:w="0" w:type="dxa"/>
              <w:left w:w="60" w:type="dxa"/>
              <w:bottom w:w="0" w:type="dxa"/>
              <w:right w:w="60" w:type="dxa"/>
            </w:tcMar>
            <w:vAlign w:val="center"/>
            <w:hideMark/>
          </w:tcPr>
          <w:p w:rsidR="00AB6592" w:rsidRDefault="00AB6592" w:rsidP="00BA5DD3">
            <w:pPr>
              <w:adjustRightInd w:val="0"/>
              <w:spacing w:before="60" w:after="60"/>
              <w:ind w:firstLine="30"/>
              <w:rPr>
                <w:b/>
                <w:bCs/>
                <w:color w:val="000000"/>
                <w:sz w:val="20"/>
                <w:szCs w:val="20"/>
              </w:rPr>
            </w:pPr>
            <w:r>
              <w:rPr>
                <w:b/>
                <w:bCs/>
                <w:color w:val="000000"/>
                <w:sz w:val="20"/>
                <w:szCs w:val="20"/>
              </w:rPr>
              <w:t>All</w:t>
            </w:r>
          </w:p>
        </w:tc>
        <w:tc>
          <w:tcPr>
            <w:tcW w:w="1620" w:type="dxa"/>
            <w:tcBorders>
              <w:top w:val="single" w:sz="6" w:space="0" w:color="000000"/>
              <w:left w:val="single" w:sz="12" w:space="0" w:color="auto"/>
              <w:bottom w:val="single" w:sz="12" w:space="0" w:color="auto"/>
              <w:right w:val="single" w:sz="6"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44%</w:t>
            </w:r>
          </w:p>
        </w:tc>
        <w:tc>
          <w:tcPr>
            <w:tcW w:w="1530" w:type="dxa"/>
            <w:tcBorders>
              <w:top w:val="single" w:sz="6" w:space="0" w:color="000000"/>
              <w:left w:val="single" w:sz="6" w:space="0" w:color="000000"/>
              <w:bottom w:val="single" w:sz="12" w:space="0" w:color="auto"/>
              <w:right w:val="single" w:sz="6"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56%</w:t>
            </w:r>
          </w:p>
        </w:tc>
        <w:tc>
          <w:tcPr>
            <w:tcW w:w="1404" w:type="dxa"/>
            <w:tcBorders>
              <w:top w:val="single" w:sz="6" w:space="0" w:color="000000"/>
              <w:left w:val="single" w:sz="6" w:space="0" w:color="000000"/>
              <w:bottom w:val="single" w:sz="12" w:space="0" w:color="auto"/>
              <w:right w:val="single" w:sz="12"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100%</w:t>
            </w:r>
          </w:p>
        </w:tc>
      </w:tr>
      <w:tr w:rsidR="00AB6592" w:rsidTr="00AB6592">
        <w:trPr>
          <w:cantSplit/>
          <w:trHeight w:val="406"/>
          <w:jc w:val="center"/>
        </w:trPr>
        <w:tc>
          <w:tcPr>
            <w:tcW w:w="2754" w:type="dxa"/>
            <w:vMerge w:val="restart"/>
            <w:tcBorders>
              <w:top w:val="single" w:sz="12" w:space="0" w:color="auto"/>
              <w:left w:val="single" w:sz="12" w:space="0" w:color="000000"/>
              <w:bottom w:val="single" w:sz="12" w:space="0" w:color="auto"/>
              <w:right w:val="single" w:sz="6" w:space="0" w:color="000000"/>
            </w:tcBorders>
            <w:tcMar>
              <w:top w:w="0" w:type="dxa"/>
              <w:left w:w="60" w:type="dxa"/>
              <w:bottom w:w="0" w:type="dxa"/>
              <w:right w:w="60" w:type="dxa"/>
            </w:tcMar>
            <w:vAlign w:val="center"/>
            <w:hideMark/>
          </w:tcPr>
          <w:p w:rsidR="00AB6592" w:rsidRDefault="00AB6592" w:rsidP="00AB6592">
            <w:pPr>
              <w:keepNext/>
              <w:adjustRightInd w:val="0"/>
              <w:spacing w:before="60" w:after="60"/>
              <w:ind w:hanging="6"/>
              <w:rPr>
                <w:b/>
                <w:bCs/>
                <w:color w:val="000000"/>
                <w:sz w:val="20"/>
                <w:szCs w:val="20"/>
              </w:rPr>
            </w:pPr>
            <w:r>
              <w:rPr>
                <w:b/>
                <w:bCs/>
                <w:color w:val="000000"/>
                <w:sz w:val="20"/>
                <w:szCs w:val="20"/>
              </w:rPr>
              <w:t>PTR Dually Enrolled in SCTD</w:t>
            </w:r>
          </w:p>
        </w:tc>
        <w:tc>
          <w:tcPr>
            <w:tcW w:w="1980" w:type="dxa"/>
            <w:tcBorders>
              <w:top w:val="single" w:sz="12" w:space="0" w:color="auto"/>
              <w:left w:val="single" w:sz="6" w:space="0" w:color="000000"/>
              <w:bottom w:val="single" w:sz="6" w:space="0" w:color="000000"/>
              <w:right w:val="single" w:sz="12" w:space="0" w:color="auto"/>
            </w:tcBorders>
            <w:tcMar>
              <w:top w:w="0" w:type="dxa"/>
              <w:left w:w="60" w:type="dxa"/>
              <w:bottom w:w="0" w:type="dxa"/>
              <w:right w:w="60" w:type="dxa"/>
            </w:tcMar>
            <w:vAlign w:val="center"/>
            <w:hideMark/>
          </w:tcPr>
          <w:p w:rsidR="00AB6592" w:rsidRDefault="00AB6592" w:rsidP="00BA5DD3">
            <w:pPr>
              <w:keepNext/>
              <w:adjustRightInd w:val="0"/>
              <w:spacing w:before="60" w:after="60"/>
              <w:rPr>
                <w:b/>
                <w:bCs/>
                <w:color w:val="000000"/>
                <w:sz w:val="20"/>
                <w:szCs w:val="20"/>
              </w:rPr>
            </w:pPr>
            <w:r>
              <w:rPr>
                <w:b/>
                <w:bCs/>
                <w:color w:val="000000"/>
                <w:sz w:val="20"/>
                <w:szCs w:val="20"/>
              </w:rPr>
              <w:t>4 Degree Setback</w:t>
            </w:r>
          </w:p>
        </w:tc>
        <w:tc>
          <w:tcPr>
            <w:tcW w:w="1620" w:type="dxa"/>
            <w:tcBorders>
              <w:top w:val="single" w:sz="12" w:space="0" w:color="auto"/>
              <w:left w:val="single" w:sz="12" w:space="0" w:color="auto"/>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22%</w:t>
            </w:r>
          </w:p>
        </w:tc>
        <w:tc>
          <w:tcPr>
            <w:tcW w:w="1530" w:type="dxa"/>
            <w:tcBorders>
              <w:top w:val="single" w:sz="12" w:space="0" w:color="auto"/>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26%</w:t>
            </w:r>
          </w:p>
        </w:tc>
        <w:tc>
          <w:tcPr>
            <w:tcW w:w="1404" w:type="dxa"/>
            <w:tcBorders>
              <w:top w:val="single" w:sz="12" w:space="0" w:color="auto"/>
              <w:left w:val="single" w:sz="6" w:space="0" w:color="000000"/>
              <w:bottom w:val="single" w:sz="6" w:space="0" w:color="000000"/>
              <w:right w:val="single" w:sz="12"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48%</w:t>
            </w:r>
          </w:p>
        </w:tc>
      </w:tr>
      <w:tr w:rsidR="00AB6592" w:rsidTr="00AB6592">
        <w:trPr>
          <w:cantSplit/>
          <w:trHeight w:val="134"/>
          <w:jc w:val="center"/>
        </w:trPr>
        <w:tc>
          <w:tcPr>
            <w:tcW w:w="4734" w:type="dxa"/>
            <w:vMerge/>
            <w:tcBorders>
              <w:top w:val="single" w:sz="12" w:space="0" w:color="auto"/>
              <w:left w:val="single" w:sz="12" w:space="0" w:color="000000"/>
              <w:bottom w:val="single" w:sz="12" w:space="0" w:color="auto"/>
              <w:right w:val="single" w:sz="6" w:space="0" w:color="000000"/>
            </w:tcBorders>
            <w:vAlign w:val="center"/>
            <w:hideMark/>
          </w:tcPr>
          <w:p w:rsidR="00AB6592" w:rsidRDefault="00AB6592">
            <w:pPr>
              <w:rPr>
                <w:b/>
                <w:bCs/>
                <w:color w:val="000000"/>
                <w:sz w:val="20"/>
                <w:szCs w:val="20"/>
              </w:rPr>
            </w:pPr>
          </w:p>
        </w:tc>
        <w:tc>
          <w:tcPr>
            <w:tcW w:w="1980" w:type="dxa"/>
            <w:tcBorders>
              <w:top w:val="single" w:sz="6" w:space="0" w:color="000000"/>
              <w:left w:val="single" w:sz="6" w:space="0" w:color="000000"/>
              <w:bottom w:val="single" w:sz="6" w:space="0" w:color="000000"/>
              <w:right w:val="single" w:sz="12" w:space="0" w:color="auto"/>
            </w:tcBorders>
            <w:tcMar>
              <w:top w:w="0" w:type="dxa"/>
              <w:left w:w="60" w:type="dxa"/>
              <w:bottom w:w="0" w:type="dxa"/>
              <w:right w:w="60" w:type="dxa"/>
            </w:tcMar>
            <w:vAlign w:val="center"/>
            <w:hideMark/>
          </w:tcPr>
          <w:p w:rsidR="00AB6592" w:rsidRDefault="00AB6592" w:rsidP="00BA5DD3">
            <w:pPr>
              <w:keepNext/>
              <w:adjustRightInd w:val="0"/>
              <w:spacing w:before="60" w:after="60"/>
              <w:rPr>
                <w:b/>
                <w:bCs/>
                <w:color w:val="000000"/>
                <w:sz w:val="20"/>
                <w:szCs w:val="20"/>
              </w:rPr>
            </w:pPr>
            <w:r>
              <w:rPr>
                <w:b/>
                <w:bCs/>
                <w:color w:val="000000"/>
                <w:sz w:val="20"/>
                <w:szCs w:val="20"/>
              </w:rPr>
              <w:t>50% Cycle</w:t>
            </w:r>
          </w:p>
        </w:tc>
        <w:tc>
          <w:tcPr>
            <w:tcW w:w="1620" w:type="dxa"/>
            <w:tcBorders>
              <w:top w:val="single" w:sz="6" w:space="0" w:color="000000"/>
              <w:left w:val="single" w:sz="12" w:space="0" w:color="auto"/>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24%</w:t>
            </w:r>
          </w:p>
        </w:tc>
        <w:tc>
          <w:tcPr>
            <w:tcW w:w="153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28%</w:t>
            </w:r>
          </w:p>
        </w:tc>
        <w:tc>
          <w:tcPr>
            <w:tcW w:w="1404" w:type="dxa"/>
            <w:tcBorders>
              <w:top w:val="single" w:sz="6" w:space="0" w:color="000000"/>
              <w:left w:val="single" w:sz="6" w:space="0" w:color="000000"/>
              <w:bottom w:val="single" w:sz="6" w:space="0" w:color="000000"/>
              <w:right w:val="single" w:sz="12"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52%</w:t>
            </w:r>
          </w:p>
        </w:tc>
      </w:tr>
      <w:tr w:rsidR="00AB6592" w:rsidTr="00AB6592">
        <w:trPr>
          <w:cantSplit/>
          <w:trHeight w:val="134"/>
          <w:jc w:val="center"/>
        </w:trPr>
        <w:tc>
          <w:tcPr>
            <w:tcW w:w="4734" w:type="dxa"/>
            <w:vMerge/>
            <w:tcBorders>
              <w:top w:val="single" w:sz="12" w:space="0" w:color="auto"/>
              <w:left w:val="single" w:sz="12" w:space="0" w:color="000000"/>
              <w:bottom w:val="single" w:sz="12" w:space="0" w:color="auto"/>
              <w:right w:val="single" w:sz="6" w:space="0" w:color="000000"/>
            </w:tcBorders>
            <w:vAlign w:val="center"/>
            <w:hideMark/>
          </w:tcPr>
          <w:p w:rsidR="00AB6592" w:rsidRDefault="00AB6592">
            <w:pPr>
              <w:rPr>
                <w:b/>
                <w:bCs/>
                <w:color w:val="000000"/>
                <w:sz w:val="20"/>
                <w:szCs w:val="20"/>
              </w:rPr>
            </w:pPr>
          </w:p>
        </w:tc>
        <w:tc>
          <w:tcPr>
            <w:tcW w:w="1980" w:type="dxa"/>
            <w:tcBorders>
              <w:top w:val="single" w:sz="6" w:space="0" w:color="000000"/>
              <w:left w:val="single" w:sz="6" w:space="0" w:color="000000"/>
              <w:bottom w:val="single" w:sz="12" w:space="0" w:color="auto"/>
              <w:right w:val="single" w:sz="12" w:space="0" w:color="auto"/>
            </w:tcBorders>
            <w:tcMar>
              <w:top w:w="0" w:type="dxa"/>
              <w:left w:w="60" w:type="dxa"/>
              <w:bottom w:w="0" w:type="dxa"/>
              <w:right w:w="60" w:type="dxa"/>
            </w:tcMar>
            <w:vAlign w:val="center"/>
            <w:hideMark/>
          </w:tcPr>
          <w:p w:rsidR="00AB6592" w:rsidRDefault="00AB6592" w:rsidP="00BA5DD3">
            <w:pPr>
              <w:adjustRightInd w:val="0"/>
              <w:spacing w:before="60" w:after="60"/>
              <w:rPr>
                <w:b/>
                <w:bCs/>
                <w:color w:val="000000"/>
                <w:sz w:val="20"/>
                <w:szCs w:val="20"/>
              </w:rPr>
            </w:pPr>
            <w:r>
              <w:rPr>
                <w:b/>
                <w:bCs/>
                <w:color w:val="000000"/>
                <w:sz w:val="20"/>
                <w:szCs w:val="20"/>
              </w:rPr>
              <w:t>All</w:t>
            </w:r>
          </w:p>
        </w:tc>
        <w:tc>
          <w:tcPr>
            <w:tcW w:w="1620" w:type="dxa"/>
            <w:tcBorders>
              <w:top w:val="single" w:sz="6" w:space="0" w:color="000000"/>
              <w:left w:val="single" w:sz="12" w:space="0" w:color="auto"/>
              <w:bottom w:val="single" w:sz="12" w:space="0" w:color="auto"/>
              <w:right w:val="single" w:sz="6"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46%</w:t>
            </w:r>
          </w:p>
        </w:tc>
        <w:tc>
          <w:tcPr>
            <w:tcW w:w="1530" w:type="dxa"/>
            <w:tcBorders>
              <w:top w:val="single" w:sz="6" w:space="0" w:color="000000"/>
              <w:left w:val="single" w:sz="6" w:space="0" w:color="000000"/>
              <w:bottom w:val="single" w:sz="12" w:space="0" w:color="auto"/>
              <w:right w:val="single" w:sz="6"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54%</w:t>
            </w:r>
          </w:p>
        </w:tc>
        <w:tc>
          <w:tcPr>
            <w:tcW w:w="1404" w:type="dxa"/>
            <w:tcBorders>
              <w:top w:val="single" w:sz="6" w:space="0" w:color="000000"/>
              <w:left w:val="single" w:sz="6" w:space="0" w:color="000000"/>
              <w:bottom w:val="single" w:sz="12" w:space="0" w:color="auto"/>
              <w:right w:val="single" w:sz="12"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100%</w:t>
            </w:r>
          </w:p>
        </w:tc>
      </w:tr>
      <w:tr w:rsidR="00AB6592" w:rsidTr="00AB6592">
        <w:trPr>
          <w:cantSplit/>
          <w:trHeight w:val="406"/>
          <w:jc w:val="center"/>
        </w:trPr>
        <w:tc>
          <w:tcPr>
            <w:tcW w:w="2754" w:type="dxa"/>
            <w:vMerge w:val="restart"/>
            <w:tcBorders>
              <w:top w:val="single" w:sz="12" w:space="0" w:color="auto"/>
              <w:left w:val="single" w:sz="12" w:space="0" w:color="000000"/>
              <w:bottom w:val="single" w:sz="12" w:space="0" w:color="000000"/>
              <w:right w:val="single" w:sz="6" w:space="0" w:color="000000"/>
            </w:tcBorders>
            <w:tcMar>
              <w:top w:w="0" w:type="dxa"/>
              <w:left w:w="60" w:type="dxa"/>
              <w:bottom w:w="0" w:type="dxa"/>
              <w:right w:w="60" w:type="dxa"/>
            </w:tcMar>
            <w:vAlign w:val="center"/>
            <w:hideMark/>
          </w:tcPr>
          <w:p w:rsidR="00AB6592" w:rsidRDefault="00AB6592" w:rsidP="00AB6592">
            <w:pPr>
              <w:keepNext/>
              <w:adjustRightInd w:val="0"/>
              <w:spacing w:before="60" w:after="60"/>
              <w:ind w:hanging="6"/>
              <w:rPr>
                <w:b/>
                <w:bCs/>
                <w:color w:val="000000"/>
                <w:sz w:val="20"/>
                <w:szCs w:val="20"/>
              </w:rPr>
            </w:pPr>
            <w:r>
              <w:rPr>
                <w:b/>
                <w:bCs/>
                <w:color w:val="000000"/>
                <w:sz w:val="20"/>
                <w:szCs w:val="20"/>
              </w:rPr>
              <w:t>SCTD-Only</w:t>
            </w:r>
          </w:p>
        </w:tc>
        <w:tc>
          <w:tcPr>
            <w:tcW w:w="1980" w:type="dxa"/>
            <w:tcBorders>
              <w:top w:val="single" w:sz="12" w:space="0" w:color="auto"/>
              <w:left w:val="single" w:sz="6" w:space="0" w:color="000000"/>
              <w:bottom w:val="single" w:sz="6" w:space="0" w:color="000000"/>
              <w:right w:val="single" w:sz="12" w:space="0" w:color="auto"/>
            </w:tcBorders>
            <w:tcMar>
              <w:top w:w="0" w:type="dxa"/>
              <w:left w:w="60" w:type="dxa"/>
              <w:bottom w:w="0" w:type="dxa"/>
              <w:right w:w="60" w:type="dxa"/>
            </w:tcMar>
            <w:vAlign w:val="center"/>
            <w:hideMark/>
          </w:tcPr>
          <w:p w:rsidR="00AB6592" w:rsidRDefault="00AB6592" w:rsidP="00BA5DD3">
            <w:pPr>
              <w:keepNext/>
              <w:adjustRightInd w:val="0"/>
              <w:spacing w:before="60" w:after="60"/>
              <w:rPr>
                <w:b/>
                <w:bCs/>
                <w:color w:val="000000"/>
                <w:sz w:val="20"/>
                <w:szCs w:val="20"/>
              </w:rPr>
            </w:pPr>
            <w:r>
              <w:rPr>
                <w:b/>
                <w:bCs/>
                <w:color w:val="000000"/>
                <w:sz w:val="20"/>
                <w:szCs w:val="20"/>
              </w:rPr>
              <w:t>4 Degree Setback</w:t>
            </w:r>
          </w:p>
        </w:tc>
        <w:tc>
          <w:tcPr>
            <w:tcW w:w="1620" w:type="dxa"/>
            <w:tcBorders>
              <w:top w:val="single" w:sz="12" w:space="0" w:color="auto"/>
              <w:left w:val="single" w:sz="12" w:space="0" w:color="auto"/>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23%</w:t>
            </w:r>
          </w:p>
        </w:tc>
        <w:tc>
          <w:tcPr>
            <w:tcW w:w="1530" w:type="dxa"/>
            <w:tcBorders>
              <w:top w:val="single" w:sz="12" w:space="0" w:color="auto"/>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27%</w:t>
            </w:r>
          </w:p>
        </w:tc>
        <w:tc>
          <w:tcPr>
            <w:tcW w:w="1404" w:type="dxa"/>
            <w:tcBorders>
              <w:top w:val="single" w:sz="12" w:space="0" w:color="auto"/>
              <w:left w:val="single" w:sz="6" w:space="0" w:color="000000"/>
              <w:bottom w:val="single" w:sz="6" w:space="0" w:color="000000"/>
              <w:right w:val="single" w:sz="12"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50%</w:t>
            </w:r>
          </w:p>
        </w:tc>
      </w:tr>
      <w:tr w:rsidR="00AB6592" w:rsidTr="00AB6592">
        <w:trPr>
          <w:cantSplit/>
          <w:trHeight w:val="134"/>
          <w:jc w:val="center"/>
        </w:trPr>
        <w:tc>
          <w:tcPr>
            <w:tcW w:w="4734" w:type="dxa"/>
            <w:vMerge/>
            <w:tcBorders>
              <w:top w:val="single" w:sz="12" w:space="0" w:color="auto"/>
              <w:left w:val="single" w:sz="12" w:space="0" w:color="000000"/>
              <w:bottom w:val="single" w:sz="12" w:space="0" w:color="000000"/>
              <w:right w:val="single" w:sz="6" w:space="0" w:color="000000"/>
            </w:tcBorders>
            <w:vAlign w:val="center"/>
            <w:hideMark/>
          </w:tcPr>
          <w:p w:rsidR="00AB6592" w:rsidRDefault="00AB6592">
            <w:pPr>
              <w:rPr>
                <w:b/>
                <w:bCs/>
                <w:color w:val="000000"/>
                <w:sz w:val="20"/>
                <w:szCs w:val="20"/>
              </w:rPr>
            </w:pPr>
          </w:p>
        </w:tc>
        <w:tc>
          <w:tcPr>
            <w:tcW w:w="1980" w:type="dxa"/>
            <w:tcBorders>
              <w:top w:val="single" w:sz="6" w:space="0" w:color="000000"/>
              <w:left w:val="single" w:sz="6" w:space="0" w:color="000000"/>
              <w:bottom w:val="single" w:sz="6" w:space="0" w:color="000000"/>
              <w:right w:val="single" w:sz="12" w:space="0" w:color="auto"/>
            </w:tcBorders>
            <w:tcMar>
              <w:top w:w="0" w:type="dxa"/>
              <w:left w:w="60" w:type="dxa"/>
              <w:bottom w:w="0" w:type="dxa"/>
              <w:right w:w="60" w:type="dxa"/>
            </w:tcMar>
            <w:vAlign w:val="center"/>
            <w:hideMark/>
          </w:tcPr>
          <w:p w:rsidR="00AB6592" w:rsidRDefault="00AB6592" w:rsidP="00BA5DD3">
            <w:pPr>
              <w:keepNext/>
              <w:adjustRightInd w:val="0"/>
              <w:spacing w:before="60" w:after="60"/>
              <w:rPr>
                <w:b/>
                <w:bCs/>
                <w:color w:val="000000"/>
                <w:sz w:val="20"/>
                <w:szCs w:val="20"/>
              </w:rPr>
            </w:pPr>
            <w:r>
              <w:rPr>
                <w:b/>
                <w:bCs/>
                <w:color w:val="000000"/>
                <w:sz w:val="20"/>
                <w:szCs w:val="20"/>
              </w:rPr>
              <w:t>50% Cycle</w:t>
            </w:r>
          </w:p>
        </w:tc>
        <w:tc>
          <w:tcPr>
            <w:tcW w:w="1620" w:type="dxa"/>
            <w:tcBorders>
              <w:top w:val="single" w:sz="6" w:space="0" w:color="000000"/>
              <w:left w:val="single" w:sz="12" w:space="0" w:color="auto"/>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22%</w:t>
            </w:r>
          </w:p>
        </w:tc>
        <w:tc>
          <w:tcPr>
            <w:tcW w:w="153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27%</w:t>
            </w:r>
          </w:p>
        </w:tc>
        <w:tc>
          <w:tcPr>
            <w:tcW w:w="1404" w:type="dxa"/>
            <w:tcBorders>
              <w:top w:val="single" w:sz="6" w:space="0" w:color="000000"/>
              <w:left w:val="single" w:sz="6" w:space="0" w:color="000000"/>
              <w:bottom w:val="single" w:sz="6" w:space="0" w:color="000000"/>
              <w:right w:val="single" w:sz="12" w:space="0" w:color="000000"/>
            </w:tcBorders>
            <w:tcMar>
              <w:top w:w="0" w:type="dxa"/>
              <w:left w:w="60" w:type="dxa"/>
              <w:bottom w:w="0" w:type="dxa"/>
              <w:right w:w="60" w:type="dxa"/>
            </w:tcMar>
            <w:vAlign w:val="center"/>
            <w:hideMark/>
          </w:tcPr>
          <w:p w:rsidR="00AB6592" w:rsidRDefault="00AB6592">
            <w:pPr>
              <w:keepNext/>
              <w:adjustRightInd w:val="0"/>
              <w:spacing w:before="60" w:after="60"/>
              <w:ind w:hanging="432"/>
              <w:jc w:val="center"/>
              <w:rPr>
                <w:color w:val="000000"/>
                <w:sz w:val="20"/>
                <w:szCs w:val="20"/>
              </w:rPr>
            </w:pPr>
            <w:r>
              <w:rPr>
                <w:color w:val="000000"/>
                <w:sz w:val="20"/>
                <w:szCs w:val="20"/>
              </w:rPr>
              <w:t>50%</w:t>
            </w:r>
          </w:p>
        </w:tc>
      </w:tr>
      <w:tr w:rsidR="00AB6592" w:rsidTr="00AB6592">
        <w:trPr>
          <w:cantSplit/>
          <w:trHeight w:val="134"/>
          <w:jc w:val="center"/>
        </w:trPr>
        <w:tc>
          <w:tcPr>
            <w:tcW w:w="4734" w:type="dxa"/>
            <w:vMerge/>
            <w:tcBorders>
              <w:top w:val="single" w:sz="12" w:space="0" w:color="auto"/>
              <w:left w:val="single" w:sz="12" w:space="0" w:color="000000"/>
              <w:bottom w:val="single" w:sz="12" w:space="0" w:color="000000"/>
              <w:right w:val="single" w:sz="6" w:space="0" w:color="000000"/>
            </w:tcBorders>
            <w:vAlign w:val="center"/>
            <w:hideMark/>
          </w:tcPr>
          <w:p w:rsidR="00AB6592" w:rsidRDefault="00AB6592">
            <w:pPr>
              <w:rPr>
                <w:b/>
                <w:bCs/>
                <w:color w:val="000000"/>
                <w:sz w:val="20"/>
                <w:szCs w:val="20"/>
              </w:rPr>
            </w:pPr>
          </w:p>
        </w:tc>
        <w:tc>
          <w:tcPr>
            <w:tcW w:w="1980" w:type="dxa"/>
            <w:tcBorders>
              <w:top w:val="single" w:sz="6" w:space="0" w:color="000000"/>
              <w:left w:val="single" w:sz="6" w:space="0" w:color="000000"/>
              <w:bottom w:val="single" w:sz="12" w:space="0" w:color="000000"/>
              <w:right w:val="single" w:sz="12" w:space="0" w:color="auto"/>
            </w:tcBorders>
            <w:tcMar>
              <w:top w:w="0" w:type="dxa"/>
              <w:left w:w="60" w:type="dxa"/>
              <w:bottom w:w="0" w:type="dxa"/>
              <w:right w:w="60" w:type="dxa"/>
            </w:tcMar>
            <w:vAlign w:val="center"/>
            <w:hideMark/>
          </w:tcPr>
          <w:p w:rsidR="00AB6592" w:rsidRDefault="00AB6592" w:rsidP="00BA5DD3">
            <w:pPr>
              <w:adjustRightInd w:val="0"/>
              <w:spacing w:before="60" w:after="60"/>
              <w:rPr>
                <w:b/>
                <w:bCs/>
                <w:color w:val="000000"/>
                <w:sz w:val="20"/>
                <w:szCs w:val="20"/>
              </w:rPr>
            </w:pPr>
            <w:r>
              <w:rPr>
                <w:b/>
                <w:bCs/>
                <w:color w:val="000000"/>
                <w:sz w:val="20"/>
                <w:szCs w:val="20"/>
              </w:rPr>
              <w:t>All</w:t>
            </w:r>
          </w:p>
        </w:tc>
        <w:tc>
          <w:tcPr>
            <w:tcW w:w="1620" w:type="dxa"/>
            <w:tcBorders>
              <w:top w:val="single" w:sz="6" w:space="0" w:color="000000"/>
              <w:left w:val="single" w:sz="12" w:space="0" w:color="auto"/>
              <w:bottom w:val="single" w:sz="12" w:space="0" w:color="000000"/>
              <w:right w:val="single" w:sz="6"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45%</w:t>
            </w:r>
          </w:p>
        </w:tc>
        <w:tc>
          <w:tcPr>
            <w:tcW w:w="1530" w:type="dxa"/>
            <w:tcBorders>
              <w:top w:val="single" w:sz="6" w:space="0" w:color="000000"/>
              <w:left w:val="single" w:sz="6" w:space="0" w:color="000000"/>
              <w:bottom w:val="single" w:sz="12" w:space="0" w:color="000000"/>
              <w:right w:val="single" w:sz="6"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55%</w:t>
            </w:r>
          </w:p>
        </w:tc>
        <w:tc>
          <w:tcPr>
            <w:tcW w:w="1404" w:type="dxa"/>
            <w:tcBorders>
              <w:top w:val="single" w:sz="6" w:space="0" w:color="000000"/>
              <w:left w:val="single" w:sz="6" w:space="0" w:color="000000"/>
              <w:bottom w:val="single" w:sz="12" w:space="0" w:color="000000"/>
              <w:right w:val="single" w:sz="12" w:space="0" w:color="000000"/>
            </w:tcBorders>
            <w:tcMar>
              <w:top w:w="0" w:type="dxa"/>
              <w:left w:w="60" w:type="dxa"/>
              <w:bottom w:w="0" w:type="dxa"/>
              <w:right w:w="60" w:type="dxa"/>
            </w:tcMar>
            <w:vAlign w:val="center"/>
            <w:hideMark/>
          </w:tcPr>
          <w:p w:rsidR="00AB6592" w:rsidRDefault="00AB6592">
            <w:pPr>
              <w:adjustRightInd w:val="0"/>
              <w:spacing w:before="60" w:after="60"/>
              <w:ind w:hanging="432"/>
              <w:jc w:val="center"/>
              <w:rPr>
                <w:color w:val="000000"/>
                <w:sz w:val="20"/>
                <w:szCs w:val="20"/>
              </w:rPr>
            </w:pPr>
            <w:r>
              <w:rPr>
                <w:color w:val="000000"/>
                <w:sz w:val="20"/>
                <w:szCs w:val="20"/>
              </w:rPr>
              <w:t>100%</w:t>
            </w:r>
          </w:p>
        </w:tc>
      </w:tr>
    </w:tbl>
    <w:p w:rsidR="00EA6613" w:rsidRDefault="00EA6613" w:rsidP="00030ACA">
      <w:pPr>
        <w:pStyle w:val="BodyParagraph"/>
        <w:spacing w:after="0" w:line="276" w:lineRule="auto"/>
        <w:ind w:firstLine="360"/>
        <w:rPr>
          <w:rFonts w:ascii="Times New Roman" w:hAnsi="Times New Roman"/>
          <w:color w:val="FF0000"/>
          <w:sz w:val="24"/>
          <w:szCs w:val="24"/>
        </w:rPr>
      </w:pPr>
    </w:p>
    <w:p w:rsidR="00D921F0" w:rsidRDefault="00D921F0" w:rsidP="00D921F0">
      <w:pPr>
        <w:pStyle w:val="BodyParagraph"/>
        <w:spacing w:after="0" w:line="276" w:lineRule="auto"/>
        <w:rPr>
          <w:rStyle w:val="Heading2Char"/>
          <w:rFonts w:ascii="Times New Roman" w:hAnsi="Times New Roman" w:cs="Times New Roman"/>
          <w:color w:val="000000" w:themeColor="text1"/>
        </w:rPr>
      </w:pPr>
      <w:bookmarkStart w:id="217" w:name="_Toc415749013"/>
      <w:r w:rsidRPr="00FC5EF1">
        <w:rPr>
          <w:rStyle w:val="Heading2Char"/>
          <w:rFonts w:ascii="Times New Roman" w:hAnsi="Times New Roman" w:cs="Times New Roman"/>
          <w:color w:val="000000" w:themeColor="text1"/>
        </w:rPr>
        <w:t>7.</w:t>
      </w:r>
      <w:r w:rsidR="00B554EB">
        <w:rPr>
          <w:rStyle w:val="Heading2Char"/>
          <w:rFonts w:ascii="Times New Roman" w:hAnsi="Times New Roman" w:cs="Times New Roman"/>
          <w:color w:val="000000" w:themeColor="text1"/>
        </w:rPr>
        <w:t>7</w:t>
      </w:r>
      <w:r w:rsidRPr="00FC5EF1">
        <w:rPr>
          <w:rStyle w:val="Heading2Char"/>
          <w:rFonts w:ascii="Times New Roman" w:hAnsi="Times New Roman" w:cs="Times New Roman"/>
          <w:color w:val="000000" w:themeColor="text1"/>
        </w:rPr>
        <w:t xml:space="preserve"> Ex-Ante Load Impact </w:t>
      </w:r>
      <w:r w:rsidR="00AB40F5">
        <w:rPr>
          <w:rStyle w:val="Heading2Char"/>
          <w:rFonts w:ascii="Times New Roman" w:hAnsi="Times New Roman" w:cs="Times New Roman"/>
          <w:color w:val="000000" w:themeColor="text1"/>
        </w:rPr>
        <w:t>Estimates</w:t>
      </w:r>
      <w:bookmarkEnd w:id="217"/>
    </w:p>
    <w:p w:rsidR="00DD6CB6" w:rsidRDefault="00BC048E" w:rsidP="00B554EB">
      <w:pPr>
        <w:pStyle w:val="Heading3"/>
        <w:numPr>
          <w:ilvl w:val="0"/>
          <w:numId w:val="0"/>
        </w:numPr>
        <w:ind w:left="720" w:hanging="720"/>
        <w:rPr>
          <w:rStyle w:val="Heading2Char"/>
          <w:rFonts w:ascii="Times New Roman" w:hAnsi="Times New Roman" w:cs="Times New Roman"/>
          <w:b/>
          <w:color w:val="000000" w:themeColor="text1"/>
        </w:rPr>
      </w:pPr>
      <w:bookmarkStart w:id="218" w:name="_Toc415749014"/>
      <w:r>
        <w:rPr>
          <w:rStyle w:val="Heading2Char"/>
          <w:rFonts w:ascii="Times New Roman" w:hAnsi="Times New Roman" w:cs="Times New Roman"/>
          <w:b/>
          <w:color w:val="000000" w:themeColor="text1"/>
        </w:rPr>
        <w:t xml:space="preserve">7.7.1 </w:t>
      </w:r>
      <w:r w:rsidR="00DD6CB6" w:rsidRPr="00AB40F5">
        <w:rPr>
          <w:rStyle w:val="Heading2Char"/>
          <w:rFonts w:ascii="Times New Roman" w:hAnsi="Times New Roman" w:cs="Times New Roman"/>
          <w:b/>
          <w:color w:val="000000" w:themeColor="text1"/>
        </w:rPr>
        <w:t>PTR Only</w:t>
      </w:r>
      <w:bookmarkEnd w:id="218"/>
    </w:p>
    <w:p w:rsidR="00DD6CB6" w:rsidRDefault="00DD6CB6" w:rsidP="00DD6CB6">
      <w:pPr>
        <w:pStyle w:val="Heading3"/>
        <w:numPr>
          <w:ilvl w:val="0"/>
          <w:numId w:val="0"/>
        </w:numPr>
        <w:ind w:left="720"/>
        <w:rPr>
          <w:rStyle w:val="Heading2Char"/>
          <w:rFonts w:ascii="Times New Roman" w:hAnsi="Times New Roman" w:cs="Times New Roman"/>
          <w:b/>
          <w:color w:val="000000" w:themeColor="text1"/>
        </w:rPr>
      </w:pPr>
    </w:p>
    <w:p w:rsidR="00DD6CB6" w:rsidRPr="00AB40F5" w:rsidRDefault="00DD6CB6" w:rsidP="00DD6CB6">
      <w:pPr>
        <w:spacing w:line="276" w:lineRule="auto"/>
      </w:pPr>
      <w:r w:rsidRPr="00B12238">
        <w:t xml:space="preserve">Table </w:t>
      </w:r>
      <w:r>
        <w:t>7-5</w:t>
      </w:r>
      <w:r w:rsidRPr="00B12238">
        <w:t xml:space="preserve"> show</w:t>
      </w:r>
      <w:r>
        <w:t>s</w:t>
      </w:r>
      <w:r w:rsidRPr="00B12238">
        <w:t xml:space="preserve"> the ex ante load impact estimates for the average PTR-only customer on an average weekday, monthly system peak day, and a typical event day based on 1-in-2 and 1-in-10 weather year conditions for 2016.  The average weekday and monthly system peak days are presented for June, July, and August, while the typical event day is presented for the month of </w:t>
      </w:r>
      <w:r w:rsidRPr="00B12238">
        <w:lastRenderedPageBreak/>
        <w:t>August.  For a 1-in-2 typical event day, the estimated load reduction for the average participant is 0.06 kW during event hours.  The average estimated aggregate load reduction under this scenario is 3.91 MW.  For a 1-in-10 typical event day, the estimated load reduction is higher, at 0.09 kW.  The average estimated aggregate reduction is 5.60 MW.  These estimates represent approximately 4.8% and 5.9% of the reference load, respectively for each weather scenario.</w:t>
      </w:r>
    </w:p>
    <w:p w:rsidR="00DD6CB6" w:rsidRDefault="00DD6CB6" w:rsidP="00DD6CB6">
      <w:pPr>
        <w:pStyle w:val="BodyParagraph"/>
        <w:spacing w:after="0" w:line="276" w:lineRule="auto"/>
        <w:ind w:firstLine="360"/>
        <w:rPr>
          <w:rFonts w:ascii="Times New Roman" w:hAnsi="Times New Roman"/>
          <w:color w:val="FF0000"/>
          <w:sz w:val="24"/>
          <w:szCs w:val="24"/>
        </w:rPr>
      </w:pPr>
    </w:p>
    <w:p w:rsidR="00DD6CB6" w:rsidRDefault="00DD6CB6" w:rsidP="00DD6CB6">
      <w:pPr>
        <w:pStyle w:val="Caption"/>
        <w:jc w:val="center"/>
      </w:pPr>
      <w:bookmarkStart w:id="219" w:name="_Ref414197474"/>
      <w:r>
        <w:t>Table 7-5</w:t>
      </w:r>
      <w:bookmarkEnd w:id="219"/>
      <w:r>
        <w:t>: Ex Ante Hourly Load Impact Results – PTR-Only</w:t>
      </w:r>
    </w:p>
    <w:p w:rsidR="00DD6CB6" w:rsidRDefault="004236C6" w:rsidP="00DD6CB6">
      <w:r>
        <w:rPr>
          <w:noProof/>
        </w:rPr>
        <w:drawing>
          <wp:inline distT="0" distB="0" distL="0" distR="0" wp14:anchorId="5D7594B2" wp14:editId="02D649C2">
            <wp:extent cx="5962650" cy="2762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62650" cy="2762250"/>
                    </a:xfrm>
                    <a:prstGeom prst="rect">
                      <a:avLst/>
                    </a:prstGeom>
                    <a:noFill/>
                    <a:ln>
                      <a:noFill/>
                    </a:ln>
                  </pic:spPr>
                </pic:pic>
              </a:graphicData>
            </a:graphic>
          </wp:inline>
        </w:drawing>
      </w:r>
    </w:p>
    <w:p w:rsidR="00DD6CB6" w:rsidRDefault="00BC048E" w:rsidP="00B554EB">
      <w:pPr>
        <w:pStyle w:val="Heading3"/>
        <w:numPr>
          <w:ilvl w:val="0"/>
          <w:numId w:val="0"/>
        </w:numPr>
        <w:ind w:left="720" w:hanging="720"/>
        <w:rPr>
          <w:rStyle w:val="Heading2Char"/>
          <w:rFonts w:ascii="Times New Roman" w:hAnsi="Times New Roman" w:cs="Times New Roman"/>
          <w:b/>
          <w:color w:val="000000" w:themeColor="text1"/>
        </w:rPr>
      </w:pPr>
      <w:bookmarkStart w:id="220" w:name="_Toc415749015"/>
      <w:r>
        <w:rPr>
          <w:rStyle w:val="Heading2Char"/>
          <w:rFonts w:ascii="Times New Roman" w:hAnsi="Times New Roman" w:cs="Times New Roman"/>
          <w:b/>
          <w:color w:val="000000" w:themeColor="text1"/>
        </w:rPr>
        <w:t xml:space="preserve">7.7.2 </w:t>
      </w:r>
      <w:r w:rsidR="00DD6CB6" w:rsidRPr="00AB40F5">
        <w:rPr>
          <w:rStyle w:val="Heading2Char"/>
          <w:rFonts w:ascii="Times New Roman" w:hAnsi="Times New Roman" w:cs="Times New Roman"/>
          <w:b/>
          <w:color w:val="000000" w:themeColor="text1"/>
        </w:rPr>
        <w:t xml:space="preserve">PTR </w:t>
      </w:r>
      <w:r w:rsidR="00B541BE" w:rsidRPr="00B541BE">
        <w:rPr>
          <w:rStyle w:val="Heading2Char"/>
          <w:rFonts w:ascii="Times New Roman" w:hAnsi="Times New Roman" w:cs="Times New Roman"/>
          <w:b/>
          <w:color w:val="000000" w:themeColor="text1"/>
        </w:rPr>
        <w:t>Dually Enrolled in Summer Saver</w:t>
      </w:r>
      <w:bookmarkEnd w:id="220"/>
    </w:p>
    <w:p w:rsidR="00DD6CB6" w:rsidRDefault="00DD6CB6" w:rsidP="00DD6CB6"/>
    <w:p w:rsidR="00B303F3" w:rsidRDefault="00B303F3" w:rsidP="00B303F3">
      <w:pPr>
        <w:spacing w:line="276" w:lineRule="auto"/>
        <w:ind w:firstLine="720"/>
      </w:pPr>
      <w:r>
        <w:t>Table 7-6 shows the ex ante load impact estimates for the average PTR customer dually enrolled in Summer Saver for the various combinations of day types and weather scenarios for 2016.  For a 1-in-2 typical event day, the estimated load reduction for the average participant is 0.36 kW during event hours.  For a 1-in-10 typical event day, the estimated load reduction is higher, at 0.50 kW.  These estimates are much higher than the PTR-only group due to the additional effects of automatic cycling of ACs during events.  The average estimated aggregate load reductions are 1.62 MW (20.2%) and 2.25 MW (23.3%), respectively.</w:t>
      </w:r>
    </w:p>
    <w:p w:rsidR="00B303F3" w:rsidRDefault="00B303F3" w:rsidP="00B303F3">
      <w:pPr>
        <w:spacing w:line="276" w:lineRule="auto"/>
      </w:pPr>
    </w:p>
    <w:p w:rsidR="00DD6CB6" w:rsidRDefault="00B303F3" w:rsidP="00B303F3">
      <w:pPr>
        <w:spacing w:line="276" w:lineRule="auto"/>
        <w:ind w:firstLine="720"/>
      </w:pPr>
      <w:r>
        <w:t>The 100% cycling group has an estimated load reduction during event hours of 0.45 kW under the 1-in-2 scenario, representing a 26.5% reduction from the reference load.  Under the 1-in-10 conditions, this group has an estimated event hour load reduction of 0.62 kW, or 30.4%.  The 50% cycling group has much lower estimated load reductions of 0.14 kW (7.4%) and 0.20 kW (8.4%) for the 1-in-2 and 1-in-10 scenarios, respectively.  These estimates are less than a third of the 100% cycling group.</w:t>
      </w:r>
    </w:p>
    <w:p w:rsidR="00DD6CB6" w:rsidRDefault="00DD6CB6" w:rsidP="00DD6CB6"/>
    <w:p w:rsidR="00DD6CB6" w:rsidRDefault="00DD6CB6" w:rsidP="00DD6CB6"/>
    <w:p w:rsidR="00B303F3" w:rsidRDefault="00B303F3" w:rsidP="00B303F3">
      <w:pPr>
        <w:pStyle w:val="Caption"/>
      </w:pPr>
      <w:bookmarkStart w:id="221" w:name="_Ref414199981"/>
    </w:p>
    <w:p w:rsidR="00B303F3" w:rsidRDefault="00B303F3" w:rsidP="00B303F3">
      <w:pPr>
        <w:pStyle w:val="Caption"/>
      </w:pPr>
    </w:p>
    <w:p w:rsidR="00B303F3" w:rsidRDefault="00B303F3" w:rsidP="00B303F3">
      <w:pPr>
        <w:pStyle w:val="Caption"/>
      </w:pPr>
    </w:p>
    <w:p w:rsidR="00B303F3" w:rsidRDefault="00B303F3" w:rsidP="00BA758D">
      <w:pPr>
        <w:pStyle w:val="Caption"/>
        <w:jc w:val="center"/>
      </w:pPr>
      <w:r>
        <w:t>Table 7-6</w:t>
      </w:r>
      <w:bookmarkEnd w:id="221"/>
      <w:r>
        <w:t>: Ex Ante Hourly Load Impact Results – PTR Dually Enrolled in Summer Saver</w:t>
      </w:r>
    </w:p>
    <w:p w:rsidR="00B303F3" w:rsidRDefault="00B303F3" w:rsidP="00B303F3">
      <w:r>
        <w:rPr>
          <w:noProof/>
        </w:rPr>
        <w:drawing>
          <wp:inline distT="0" distB="0" distL="0" distR="0" wp14:anchorId="71D849D3" wp14:editId="11952642">
            <wp:extent cx="5943600" cy="6715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715125"/>
                    </a:xfrm>
                    <a:prstGeom prst="rect">
                      <a:avLst/>
                    </a:prstGeom>
                    <a:noFill/>
                    <a:ln>
                      <a:noFill/>
                    </a:ln>
                  </pic:spPr>
                </pic:pic>
              </a:graphicData>
            </a:graphic>
          </wp:inline>
        </w:drawing>
      </w:r>
    </w:p>
    <w:p w:rsidR="00B303F3" w:rsidRDefault="00B303F3" w:rsidP="00B303F3"/>
    <w:p w:rsidR="00B303F3" w:rsidRDefault="00B303F3" w:rsidP="00B303F3"/>
    <w:p w:rsidR="00B303F3" w:rsidRDefault="00B303F3" w:rsidP="00B303F3"/>
    <w:p w:rsidR="00B303F3" w:rsidRPr="00B303F3" w:rsidRDefault="00B303F3" w:rsidP="00B303F3"/>
    <w:p w:rsidR="00B303F3" w:rsidRPr="00B303F3" w:rsidRDefault="00B303F3" w:rsidP="00B303F3"/>
    <w:p w:rsidR="00DD6CB6" w:rsidRDefault="00DD6CB6" w:rsidP="00DD6CB6"/>
    <w:p w:rsidR="00D1357B" w:rsidRDefault="00BC048E" w:rsidP="00B554EB">
      <w:pPr>
        <w:pStyle w:val="Heading3"/>
        <w:numPr>
          <w:ilvl w:val="0"/>
          <w:numId w:val="0"/>
        </w:numPr>
        <w:ind w:left="720" w:hanging="720"/>
        <w:rPr>
          <w:rStyle w:val="Heading2Char"/>
          <w:rFonts w:ascii="Times New Roman" w:hAnsi="Times New Roman" w:cs="Times New Roman"/>
          <w:b/>
          <w:color w:val="000000" w:themeColor="text1"/>
        </w:rPr>
      </w:pPr>
      <w:bookmarkStart w:id="222" w:name="_Toc415749016"/>
      <w:r>
        <w:rPr>
          <w:rStyle w:val="Heading2Char"/>
          <w:rFonts w:ascii="Times New Roman" w:hAnsi="Times New Roman" w:cs="Times New Roman"/>
          <w:b/>
          <w:color w:val="000000" w:themeColor="text1"/>
        </w:rPr>
        <w:lastRenderedPageBreak/>
        <w:t xml:space="preserve">7.7.3 </w:t>
      </w:r>
      <w:r w:rsidR="00D1357B">
        <w:rPr>
          <w:rStyle w:val="Heading2Char"/>
          <w:rFonts w:ascii="Times New Roman" w:hAnsi="Times New Roman" w:cs="Times New Roman"/>
          <w:b/>
          <w:color w:val="000000" w:themeColor="text1"/>
        </w:rPr>
        <w:t xml:space="preserve">PTR </w:t>
      </w:r>
      <w:r w:rsidR="00D1357B" w:rsidRPr="00D1357B">
        <w:rPr>
          <w:rStyle w:val="Heading2Char"/>
          <w:rFonts w:ascii="Times New Roman" w:hAnsi="Times New Roman" w:cs="Times New Roman"/>
          <w:b/>
          <w:color w:val="000000" w:themeColor="text1"/>
        </w:rPr>
        <w:t>Dually Enrolled in Summer Saver</w:t>
      </w:r>
      <w:bookmarkEnd w:id="222"/>
    </w:p>
    <w:p w:rsidR="00D1357B" w:rsidRDefault="00D1357B" w:rsidP="00D1357B"/>
    <w:p w:rsidR="00D1357B" w:rsidRDefault="00D1357B" w:rsidP="00D1357B">
      <w:pPr>
        <w:spacing w:line="276" w:lineRule="auto"/>
        <w:ind w:firstLine="720"/>
      </w:pPr>
      <w:r>
        <w:fldChar w:fldCharType="begin"/>
      </w:r>
      <w:r>
        <w:instrText xml:space="preserve"> REF _Ref414199981 \h </w:instrText>
      </w:r>
      <w:r>
        <w:fldChar w:fldCharType="separate"/>
      </w:r>
      <w:r>
        <w:t xml:space="preserve">Table </w:t>
      </w:r>
      <w:r>
        <w:fldChar w:fldCharType="end"/>
      </w:r>
      <w:r>
        <w:t>7-7 show</w:t>
      </w:r>
      <w:r w:rsidR="00FF10ED">
        <w:t>s</w:t>
      </w:r>
      <w:r>
        <w:t xml:space="preserve"> the </w:t>
      </w:r>
      <w:r>
        <w:rPr>
          <w:i/>
        </w:rPr>
        <w:t>ex ante</w:t>
      </w:r>
      <w:r>
        <w:t xml:space="preserve"> load impact estimates for the average PTR customer dually enrolled in Summer Saver for the various combinations of day types and weather scenarios for 2016.  For a 1-in-2 typical event day, the estimated load reduction for the average participant is 0.36 kW during event hours.  For a 1-in-10 typical event day, the estimated load reduction is higher, at 0.50 kW.  These estimates are much higher than the PTR-only group due to the additional effects of automatic cycling of ACs during events.  The average estimated aggregate load reductions are 1.62 MW (20.2%) and 2.25 MW (23.3%), respectively.</w:t>
      </w:r>
    </w:p>
    <w:p w:rsidR="00D1357B" w:rsidRDefault="00D1357B" w:rsidP="00D1357B">
      <w:pPr>
        <w:spacing w:line="276" w:lineRule="auto"/>
      </w:pPr>
    </w:p>
    <w:p w:rsidR="00D1357B" w:rsidRDefault="00D1357B" w:rsidP="00D1357B">
      <w:pPr>
        <w:spacing w:line="276" w:lineRule="auto"/>
        <w:ind w:firstLine="720"/>
      </w:pPr>
      <w:r>
        <w:t>The 100% cycling group has an estimated load reduction during event hours of 0.45 kW under the 1-in-2 scenario, representing a 26.5% reduction from the reference load.  Under the 1-in-10 conditions, this group has an estimated event hour load reduction of 0.62 kW, or 30.4%.  The 50% cycling group has much lower estimated load reductions of 0.14 kW (7.4%) and 0.20 kW (8.4%) for the 1-in-2 and 1-in-10 scenarios, respectively.  These estimates are less than a third of the 100% cycling group.</w:t>
      </w:r>
    </w:p>
    <w:p w:rsidR="00D1357B" w:rsidRDefault="00D1357B" w:rsidP="00D1357B"/>
    <w:p w:rsidR="00D1357B" w:rsidRDefault="00D1357B" w:rsidP="00D1357B"/>
    <w:p w:rsidR="00653FC5" w:rsidRDefault="00653FC5">
      <w:pPr>
        <w:rPr>
          <w:b/>
          <w:sz w:val="20"/>
          <w:szCs w:val="20"/>
        </w:rPr>
      </w:pPr>
      <w:r>
        <w:rPr>
          <w:b/>
          <w:sz w:val="20"/>
          <w:szCs w:val="20"/>
        </w:rPr>
        <w:br w:type="page"/>
      </w:r>
    </w:p>
    <w:p w:rsidR="00D1357B" w:rsidRPr="00A10C2E" w:rsidRDefault="00A10C2E" w:rsidP="00A10C2E">
      <w:pPr>
        <w:jc w:val="center"/>
        <w:rPr>
          <w:b/>
          <w:sz w:val="20"/>
          <w:szCs w:val="20"/>
        </w:rPr>
      </w:pPr>
      <w:r w:rsidRPr="00A10C2E">
        <w:rPr>
          <w:b/>
          <w:sz w:val="20"/>
          <w:szCs w:val="20"/>
        </w:rPr>
        <w:lastRenderedPageBreak/>
        <w:t xml:space="preserve">Table </w:t>
      </w:r>
      <w:r w:rsidR="00CD6DFB">
        <w:rPr>
          <w:b/>
          <w:sz w:val="20"/>
          <w:szCs w:val="20"/>
        </w:rPr>
        <w:t>7-7</w:t>
      </w:r>
      <w:r w:rsidRPr="00A10C2E">
        <w:rPr>
          <w:b/>
          <w:sz w:val="20"/>
          <w:szCs w:val="20"/>
        </w:rPr>
        <w:t>: Ex Ante Hourly Load Impact Results – PTR Dually Enrolled in Summer Saver</w:t>
      </w:r>
    </w:p>
    <w:p w:rsidR="00D1357B" w:rsidRDefault="00D1357B" w:rsidP="00D1357B"/>
    <w:p w:rsidR="00D1357B" w:rsidRDefault="00CB14AE" w:rsidP="00D1357B">
      <w:r>
        <w:rPr>
          <w:noProof/>
        </w:rPr>
        <w:drawing>
          <wp:inline distT="0" distB="0" distL="0" distR="0" wp14:anchorId="21E96D19" wp14:editId="130B17A0">
            <wp:extent cx="5943600" cy="6657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6657975"/>
                    </a:xfrm>
                    <a:prstGeom prst="rect">
                      <a:avLst/>
                    </a:prstGeom>
                    <a:noFill/>
                    <a:ln>
                      <a:noFill/>
                    </a:ln>
                  </pic:spPr>
                </pic:pic>
              </a:graphicData>
            </a:graphic>
          </wp:inline>
        </w:drawing>
      </w:r>
    </w:p>
    <w:p w:rsidR="00D1357B" w:rsidRPr="00D1357B" w:rsidRDefault="00D1357B" w:rsidP="00D1357B"/>
    <w:p w:rsidR="00CD6DFB" w:rsidRDefault="00BC048E" w:rsidP="00B554EB">
      <w:pPr>
        <w:pStyle w:val="Heading3"/>
        <w:numPr>
          <w:ilvl w:val="0"/>
          <w:numId w:val="0"/>
        </w:numPr>
        <w:ind w:left="720" w:hanging="720"/>
        <w:rPr>
          <w:rStyle w:val="Heading2Char"/>
          <w:rFonts w:ascii="Times New Roman" w:hAnsi="Times New Roman" w:cs="Times New Roman"/>
          <w:b/>
          <w:color w:val="000000" w:themeColor="text1"/>
        </w:rPr>
      </w:pPr>
      <w:bookmarkStart w:id="223" w:name="_Toc415749017"/>
      <w:r>
        <w:rPr>
          <w:rStyle w:val="Heading2Char"/>
          <w:rFonts w:ascii="Times New Roman" w:hAnsi="Times New Roman" w:cs="Times New Roman"/>
          <w:b/>
          <w:color w:val="000000" w:themeColor="text1"/>
        </w:rPr>
        <w:t xml:space="preserve">7.7.4 </w:t>
      </w:r>
      <w:r w:rsidR="00FF10ED" w:rsidRPr="00FF10ED">
        <w:rPr>
          <w:rStyle w:val="Heading2Char"/>
          <w:rFonts w:ascii="Times New Roman" w:hAnsi="Times New Roman" w:cs="Times New Roman"/>
          <w:b/>
          <w:color w:val="000000" w:themeColor="text1"/>
        </w:rPr>
        <w:t>PTR Dually Enrolled in SCTD</w:t>
      </w:r>
      <w:bookmarkEnd w:id="223"/>
    </w:p>
    <w:p w:rsidR="00CD6DFB" w:rsidRDefault="00CD6DFB" w:rsidP="00CD6DFB"/>
    <w:p w:rsidR="00FF10ED" w:rsidRDefault="00FF10ED" w:rsidP="00FF10ED">
      <w:pPr>
        <w:spacing w:line="276" w:lineRule="auto"/>
        <w:ind w:firstLine="720"/>
      </w:pPr>
      <w:r>
        <w:fldChar w:fldCharType="begin"/>
      </w:r>
      <w:r>
        <w:instrText xml:space="preserve"> REF _Ref414200747 \h </w:instrText>
      </w:r>
      <w:r>
        <w:fldChar w:fldCharType="separate"/>
      </w:r>
      <w:r>
        <w:t>Table 7-8</w:t>
      </w:r>
      <w:r>
        <w:fldChar w:fldCharType="end"/>
      </w:r>
      <w:r>
        <w:t xml:space="preserve"> shows the </w:t>
      </w:r>
      <w:r>
        <w:rPr>
          <w:i/>
        </w:rPr>
        <w:t>ex ante</w:t>
      </w:r>
      <w:r>
        <w:t xml:space="preserve"> load impact estimates for the average PTR customer dually enrolled in SCTD for the various combinations of day types and weather scenarios for 2016.  For </w:t>
      </w:r>
      <w:r>
        <w:lastRenderedPageBreak/>
        <w:t>a 1-in-2 typical event day, the estimated load reduction for the average dual PTR-SCTD participant is 0.48 kW during SCTD event hours.  For a 1-in-10 typical event day, the estimated load reduction is 0.66 kW.  These estimates represent the highest average event hour reductions of all of the groups, showing the combination of the demand response effects of the PTR notifications and SCTD thermostats.  The average estimated aggregate load reductions are 2.26 MW (22.9%) and 3.12 MW (24.8%), respectively.</w:t>
      </w:r>
    </w:p>
    <w:p w:rsidR="00FF10ED" w:rsidRDefault="00FF10ED" w:rsidP="00FF10ED">
      <w:pPr>
        <w:spacing w:line="276" w:lineRule="auto"/>
      </w:pPr>
    </w:p>
    <w:p w:rsidR="00FF10ED" w:rsidRDefault="00FF10ED" w:rsidP="00FF10ED">
      <w:pPr>
        <w:spacing w:line="276" w:lineRule="auto"/>
        <w:ind w:firstLine="360"/>
      </w:pPr>
      <w:r>
        <w:t>The 4 degree setback has a higher load reduction estimate than the 50% cycling group.  The former has an average event hour load reduction estimate of 0.54/0.75 kW, while the latter has an average estimate of 0.43/0.60 kW.  The percentage load reductions for the 4 degree setback group are 26.1%/28.3%, while the percentage load reductions for the 50% cycling group are 20.7%/22.4%.</w:t>
      </w:r>
    </w:p>
    <w:p w:rsidR="00FF10ED" w:rsidRDefault="00FF10ED" w:rsidP="00FF10ED">
      <w:pPr>
        <w:spacing w:line="276" w:lineRule="auto"/>
        <w:ind w:firstLine="360"/>
      </w:pPr>
    </w:p>
    <w:p w:rsidR="00653FC5" w:rsidRDefault="00653FC5">
      <w:pPr>
        <w:rPr>
          <w:b/>
          <w:sz w:val="20"/>
          <w:szCs w:val="20"/>
        </w:rPr>
      </w:pPr>
      <w:r>
        <w:rPr>
          <w:b/>
          <w:sz w:val="20"/>
          <w:szCs w:val="20"/>
        </w:rPr>
        <w:br w:type="page"/>
      </w:r>
    </w:p>
    <w:p w:rsidR="00FF10ED" w:rsidRPr="001A1632" w:rsidRDefault="001A1632" w:rsidP="00FF10ED">
      <w:pPr>
        <w:spacing w:line="276" w:lineRule="auto"/>
        <w:ind w:firstLine="360"/>
        <w:rPr>
          <w:b/>
          <w:sz w:val="20"/>
          <w:szCs w:val="20"/>
        </w:rPr>
      </w:pPr>
      <w:r w:rsidRPr="001A1632">
        <w:rPr>
          <w:b/>
          <w:sz w:val="20"/>
          <w:szCs w:val="20"/>
        </w:rPr>
        <w:lastRenderedPageBreak/>
        <w:t>Table 7-8:  Ex Ante Hourly Load Impact Results – PTR Dually Enrolled in SCTD</w:t>
      </w:r>
    </w:p>
    <w:p w:rsidR="00FF10ED" w:rsidRDefault="001A1632" w:rsidP="001A1632">
      <w:pPr>
        <w:spacing w:line="276" w:lineRule="auto"/>
      </w:pPr>
      <w:r>
        <w:rPr>
          <w:noProof/>
        </w:rPr>
        <w:drawing>
          <wp:inline distT="0" distB="0" distL="0" distR="0" wp14:anchorId="2B9609CD" wp14:editId="3602CB8D">
            <wp:extent cx="5943600" cy="6629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6629400"/>
                    </a:xfrm>
                    <a:prstGeom prst="rect">
                      <a:avLst/>
                    </a:prstGeom>
                    <a:noFill/>
                    <a:ln>
                      <a:noFill/>
                    </a:ln>
                  </pic:spPr>
                </pic:pic>
              </a:graphicData>
            </a:graphic>
          </wp:inline>
        </w:drawing>
      </w:r>
    </w:p>
    <w:p w:rsidR="00EF3407" w:rsidRDefault="00BC048E" w:rsidP="00B554EB">
      <w:pPr>
        <w:pStyle w:val="Heading3"/>
        <w:numPr>
          <w:ilvl w:val="0"/>
          <w:numId w:val="0"/>
        </w:numPr>
        <w:ind w:left="720" w:hanging="720"/>
        <w:rPr>
          <w:rStyle w:val="Heading2Char"/>
          <w:rFonts w:ascii="Times New Roman" w:hAnsi="Times New Roman" w:cs="Times New Roman"/>
          <w:b/>
          <w:color w:val="000000" w:themeColor="text1"/>
        </w:rPr>
      </w:pPr>
      <w:bookmarkStart w:id="224" w:name="_Toc415749018"/>
      <w:r>
        <w:rPr>
          <w:rStyle w:val="Heading2Char"/>
          <w:rFonts w:ascii="Times New Roman" w:hAnsi="Times New Roman" w:cs="Times New Roman"/>
          <w:b/>
          <w:color w:val="000000" w:themeColor="text1"/>
        </w:rPr>
        <w:t xml:space="preserve">7.7.5 </w:t>
      </w:r>
      <w:r w:rsidR="00EF3407" w:rsidRPr="00EF3407">
        <w:rPr>
          <w:rStyle w:val="Heading2Char"/>
          <w:rFonts w:ascii="Times New Roman" w:hAnsi="Times New Roman" w:cs="Times New Roman"/>
          <w:b/>
          <w:color w:val="000000" w:themeColor="text1"/>
        </w:rPr>
        <w:t>SCTD Only</w:t>
      </w:r>
      <w:bookmarkEnd w:id="224"/>
    </w:p>
    <w:p w:rsidR="00EF3407" w:rsidRDefault="00EF3407" w:rsidP="00EF3407"/>
    <w:p w:rsidR="0034621F" w:rsidRDefault="0034621F" w:rsidP="0034621F">
      <w:pPr>
        <w:spacing w:line="276" w:lineRule="auto"/>
        <w:ind w:firstLine="720"/>
      </w:pPr>
      <w:r>
        <w:fldChar w:fldCharType="begin"/>
      </w:r>
      <w:r>
        <w:instrText xml:space="preserve"> REF _Ref414211381 \h </w:instrText>
      </w:r>
      <w:r>
        <w:fldChar w:fldCharType="separate"/>
      </w:r>
      <w:r>
        <w:t xml:space="preserve">Table </w:t>
      </w:r>
      <w:r>
        <w:fldChar w:fldCharType="end"/>
      </w:r>
      <w:r>
        <w:t xml:space="preserve">7-9 show the </w:t>
      </w:r>
      <w:r>
        <w:rPr>
          <w:i/>
        </w:rPr>
        <w:t>ex ante</w:t>
      </w:r>
      <w:r>
        <w:t xml:space="preserve"> load impact estimates for the average customer only enrolled in the SCTD program for the various combinations of day types and weather scenarios for 2016.  For a 1-in-2 typical event day, the estimated load reduction for the average SCTD-only participant is 0.40 kW during SCTD event hours (2 p.m.-6 p.m.).  For a 1-in-10 typical event </w:t>
      </w:r>
      <w:r>
        <w:lastRenderedPageBreak/>
        <w:t>day, the estimated load reduction is 0.55 kW.  The average estimated aggregate load reductions are 1.30 MW (18.4%) and 1.79 MW (20.0%), respectively.  As the enrollment in the SCTD programs continues to grow, these aggregate estimates will increase.</w:t>
      </w:r>
    </w:p>
    <w:p w:rsidR="0034621F" w:rsidRDefault="0034621F" w:rsidP="0034621F">
      <w:pPr>
        <w:spacing w:line="276" w:lineRule="auto"/>
      </w:pPr>
    </w:p>
    <w:p w:rsidR="0034621F" w:rsidRDefault="0034621F" w:rsidP="0034621F">
      <w:pPr>
        <w:spacing w:line="276" w:lineRule="auto"/>
        <w:ind w:firstLine="360"/>
      </w:pPr>
      <w:r>
        <w:t>For the SCTD-only customers, the 4 degree setback group has an average event hour load reduction estimate that is slightly higher than the 50% cycling group.  The former has an average event hour load reduction estimate of 0.43/0.59 kW, while the latter has an average estimate of 0.38/0.53 kW.  The aggregate load reduction estimate for the 4 degree setback group is 0.69/0.95 MW (20.1%/22.0%).  The aggregate load reduction estimate for the 50% cycling group is 0.62/0.85 MW (17.1%/18.6%).</w:t>
      </w:r>
    </w:p>
    <w:p w:rsidR="00EF3407" w:rsidRDefault="00EF3407" w:rsidP="00EF3407"/>
    <w:p w:rsidR="00653FC5" w:rsidRDefault="00653FC5">
      <w:pPr>
        <w:rPr>
          <w:b/>
          <w:sz w:val="20"/>
          <w:szCs w:val="20"/>
        </w:rPr>
      </w:pPr>
      <w:r>
        <w:rPr>
          <w:b/>
          <w:sz w:val="20"/>
          <w:szCs w:val="20"/>
        </w:rPr>
        <w:br w:type="page"/>
      </w:r>
    </w:p>
    <w:p w:rsidR="00EF3407" w:rsidRPr="00840687" w:rsidRDefault="00840687" w:rsidP="00840687">
      <w:pPr>
        <w:jc w:val="center"/>
        <w:rPr>
          <w:b/>
          <w:sz w:val="20"/>
          <w:szCs w:val="20"/>
        </w:rPr>
      </w:pPr>
      <w:r w:rsidRPr="00840687">
        <w:rPr>
          <w:b/>
          <w:sz w:val="20"/>
          <w:szCs w:val="20"/>
        </w:rPr>
        <w:lastRenderedPageBreak/>
        <w:t>Table 7-9:  Ex Ante Hourly Load Impact Results – SCTD Only</w:t>
      </w:r>
    </w:p>
    <w:p w:rsidR="00840687" w:rsidRDefault="00840687" w:rsidP="00EF3407"/>
    <w:p w:rsidR="00840687" w:rsidRDefault="00840687" w:rsidP="00EF3407">
      <w:r>
        <w:rPr>
          <w:noProof/>
        </w:rPr>
        <w:drawing>
          <wp:inline distT="0" distB="0" distL="0" distR="0" wp14:anchorId="24479E0A" wp14:editId="6A86B9DA">
            <wp:extent cx="5943600" cy="6581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6581775"/>
                    </a:xfrm>
                    <a:prstGeom prst="rect">
                      <a:avLst/>
                    </a:prstGeom>
                    <a:noFill/>
                    <a:ln>
                      <a:noFill/>
                    </a:ln>
                  </pic:spPr>
                </pic:pic>
              </a:graphicData>
            </a:graphic>
          </wp:inline>
        </w:drawing>
      </w:r>
    </w:p>
    <w:p w:rsidR="00840687" w:rsidRDefault="00840687" w:rsidP="00EF3407"/>
    <w:p w:rsidR="00192B68" w:rsidRDefault="00192B68" w:rsidP="00192B68">
      <w:pPr>
        <w:pStyle w:val="BodyParagraph"/>
        <w:spacing w:after="0" w:line="276" w:lineRule="auto"/>
        <w:rPr>
          <w:rStyle w:val="Heading2Char"/>
          <w:rFonts w:ascii="Times New Roman" w:hAnsi="Times New Roman" w:cs="Times New Roman"/>
          <w:color w:val="000000" w:themeColor="text1"/>
        </w:rPr>
      </w:pPr>
      <w:bookmarkStart w:id="225" w:name="_Toc415749019"/>
      <w:r w:rsidRPr="00FC5EF1">
        <w:rPr>
          <w:rStyle w:val="Heading2Char"/>
          <w:rFonts w:ascii="Times New Roman" w:hAnsi="Times New Roman" w:cs="Times New Roman"/>
          <w:color w:val="000000" w:themeColor="text1"/>
        </w:rPr>
        <w:t>7.</w:t>
      </w:r>
      <w:r w:rsidR="00B554EB">
        <w:rPr>
          <w:rStyle w:val="Heading2Char"/>
          <w:rFonts w:ascii="Times New Roman" w:hAnsi="Times New Roman" w:cs="Times New Roman"/>
          <w:color w:val="000000" w:themeColor="text1"/>
        </w:rPr>
        <w:t>8</w:t>
      </w:r>
      <w:r w:rsidRPr="00FC5EF1">
        <w:rPr>
          <w:rStyle w:val="Heading2Char"/>
          <w:rFonts w:ascii="Times New Roman" w:hAnsi="Times New Roman" w:cs="Times New Roman"/>
          <w:color w:val="000000" w:themeColor="text1"/>
        </w:rPr>
        <w:t xml:space="preserve"> </w:t>
      </w:r>
      <w:r w:rsidRPr="00192B68">
        <w:rPr>
          <w:rStyle w:val="Heading2Char"/>
          <w:rFonts w:ascii="Times New Roman" w:hAnsi="Times New Roman" w:cs="Times New Roman"/>
          <w:color w:val="000000" w:themeColor="text1"/>
        </w:rPr>
        <w:t>Comparison of 2013 and 2014 Ex Ante Estimates</w:t>
      </w:r>
      <w:bookmarkEnd w:id="225"/>
    </w:p>
    <w:p w:rsidR="00840687" w:rsidRDefault="00840687" w:rsidP="00EF3407"/>
    <w:p w:rsidR="00291C7C" w:rsidRDefault="00291C7C" w:rsidP="00277992">
      <w:pPr>
        <w:spacing w:line="276" w:lineRule="auto"/>
        <w:ind w:firstLine="720"/>
      </w:pPr>
      <w:r>
        <w:fldChar w:fldCharType="begin"/>
      </w:r>
      <w:r>
        <w:instrText xml:space="preserve"> REF _Ref415598297 \h </w:instrText>
      </w:r>
      <w:r>
        <w:fldChar w:fldCharType="separate"/>
      </w:r>
      <w:r>
        <w:t>Table 7-10</w:t>
      </w:r>
      <w:r>
        <w:fldChar w:fldCharType="end"/>
      </w:r>
      <w:r>
        <w:t xml:space="preserve"> shows the comparisons between the </w:t>
      </w:r>
      <w:r>
        <w:rPr>
          <w:i/>
        </w:rPr>
        <w:t>ex ante</w:t>
      </w:r>
      <w:r>
        <w:t xml:space="preserve"> estimates in the current evaluation and those reported in the previous evaluation for the forecast year 2015.  The current </w:t>
      </w:r>
      <w:r>
        <w:rPr>
          <w:i/>
        </w:rPr>
        <w:t>ex ante</w:t>
      </w:r>
      <w:r>
        <w:t xml:space="preserve"> estimates are slightly lower for the PTR-only group – the current estimates are 0.06 kW </w:t>
      </w:r>
      <w:r>
        <w:lastRenderedPageBreak/>
        <w:t>for a 1-in-2 event day and 0.09 kW for a 1-in-10 event day, while the previous estimates are 0.11 kW and 0.12 kW, respectively.  This is largely a function of a lower forecasted temperature between the two evaluation cycles – the current average temperature forecast is 80°F during event hours under the 1-in-2 scenario, whereas the previous analysis had a forecasted average temperature of 84°F.  The percentage load reductions are also lower, from approximately 9% in the previous analysis to approximately 6% in the current analysis.</w:t>
      </w:r>
    </w:p>
    <w:p w:rsidR="00277992" w:rsidRDefault="00277992" w:rsidP="00277992">
      <w:pPr>
        <w:spacing w:line="276" w:lineRule="auto"/>
      </w:pPr>
    </w:p>
    <w:p w:rsidR="00291C7C" w:rsidRDefault="00291C7C" w:rsidP="00277992">
      <w:pPr>
        <w:spacing w:line="276" w:lineRule="auto"/>
        <w:ind w:firstLine="720"/>
      </w:pPr>
      <w:r>
        <w:t>The estimates for the group dually enrolled in Summer Saver are substantially higher in the current evaluation.  This is mainly a result of the fact that the model for the previous analysis was adapted from the opt-in PTR-only group due to small sample size and few historical events.  The current analysis was able to capture the effects of the dual enrollment and thus delivers impact estimates of 0.36 kW (20.2%) and 0.50 kW (23.3%) for 1-in-2 and 1-in-10 conditions on typical event days.  The previous analysis had estimates of 0.15 kW (10.6%) and 0.16 kW (10.2%), which are more akin to the PTR-only numbers.</w:t>
      </w:r>
    </w:p>
    <w:p w:rsidR="00277992" w:rsidRDefault="00277992" w:rsidP="00277992">
      <w:pPr>
        <w:spacing w:line="276" w:lineRule="auto"/>
      </w:pPr>
    </w:p>
    <w:p w:rsidR="00291C7C" w:rsidRDefault="00291C7C" w:rsidP="00277992">
      <w:pPr>
        <w:spacing w:line="276" w:lineRule="auto"/>
        <w:ind w:firstLine="720"/>
      </w:pPr>
      <w:r>
        <w:t>The estimates for the SCTD participants in the current analysis are slightly higher than in the previous analysis.  The previous analysis found estimates of 0.45 kW on 1-in-2 event days and 0.54 kW on 1-in-10 event days.  The current analysis projects 0.48 kW on 1-in-2 event days and 0.66 kW on 1-in-10 event days.  The percentage load reduction estimates under the previous analysis were around 24%, while the current estimates are essentially the same, between 22.9% and 24.8%.</w:t>
      </w:r>
    </w:p>
    <w:p w:rsidR="00192B68" w:rsidRDefault="00192B68" w:rsidP="00EF3407"/>
    <w:p w:rsidR="00653FC5" w:rsidRDefault="00653FC5">
      <w:pPr>
        <w:rPr>
          <w:b/>
          <w:sz w:val="20"/>
          <w:szCs w:val="20"/>
        </w:rPr>
      </w:pPr>
      <w:r>
        <w:rPr>
          <w:b/>
          <w:sz w:val="20"/>
          <w:szCs w:val="20"/>
        </w:rPr>
        <w:br w:type="page"/>
      </w:r>
    </w:p>
    <w:p w:rsidR="00291C7C" w:rsidRPr="00291C7C" w:rsidRDefault="00291C7C" w:rsidP="000D6E7A">
      <w:pPr>
        <w:jc w:val="center"/>
        <w:rPr>
          <w:b/>
          <w:sz w:val="20"/>
          <w:szCs w:val="20"/>
        </w:rPr>
      </w:pPr>
      <w:r w:rsidRPr="00291C7C">
        <w:rPr>
          <w:b/>
          <w:sz w:val="20"/>
          <w:szCs w:val="20"/>
        </w:rPr>
        <w:lastRenderedPageBreak/>
        <w:t>Table 7-10:  Comparison of 2013 and 2014 Ex Ante Estimates – Forecast Year 2015</w:t>
      </w:r>
    </w:p>
    <w:p w:rsidR="00192B68" w:rsidRDefault="00192B68" w:rsidP="00EF3407"/>
    <w:p w:rsidR="00192B68" w:rsidRDefault="000D6E7A" w:rsidP="00EF3407">
      <w:r>
        <w:rPr>
          <w:noProof/>
        </w:rPr>
        <w:drawing>
          <wp:inline distT="0" distB="0" distL="0" distR="0" wp14:anchorId="4D94C054" wp14:editId="5EA33214">
            <wp:extent cx="5943600" cy="7105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7105650"/>
                    </a:xfrm>
                    <a:prstGeom prst="rect">
                      <a:avLst/>
                    </a:prstGeom>
                    <a:noFill/>
                    <a:ln>
                      <a:noFill/>
                    </a:ln>
                  </pic:spPr>
                </pic:pic>
              </a:graphicData>
            </a:graphic>
          </wp:inline>
        </w:drawing>
      </w:r>
    </w:p>
    <w:p w:rsidR="00653FC5" w:rsidRDefault="00653FC5" w:rsidP="00EF3407"/>
    <w:p w:rsidR="00653FC5" w:rsidRPr="00EF3407" w:rsidRDefault="00653FC5" w:rsidP="00EF3407"/>
    <w:p w:rsidR="00EA6613" w:rsidRPr="00B554EB" w:rsidRDefault="008B0243" w:rsidP="00B554EB">
      <w:pPr>
        <w:pStyle w:val="Heading2"/>
        <w:numPr>
          <w:ilvl w:val="1"/>
          <w:numId w:val="43"/>
        </w:numPr>
        <w:ind w:left="540" w:hanging="540"/>
        <w:rPr>
          <w:rStyle w:val="Heading2Char"/>
          <w:rFonts w:ascii="Times New Roman" w:hAnsi="Times New Roman" w:cs="Times New Roman"/>
          <w:b/>
          <w:color w:val="000000" w:themeColor="text1"/>
        </w:rPr>
      </w:pPr>
      <w:bookmarkStart w:id="226" w:name="_Toc415749020"/>
      <w:r w:rsidRPr="00B554EB">
        <w:rPr>
          <w:rStyle w:val="Heading2Char"/>
          <w:rFonts w:ascii="Times New Roman" w:hAnsi="Times New Roman" w:cs="Times New Roman"/>
          <w:b/>
          <w:color w:val="000000" w:themeColor="text1"/>
        </w:rPr>
        <w:lastRenderedPageBreak/>
        <w:t>Relationship between Ex Post and Ex Ante Estimates</w:t>
      </w:r>
      <w:bookmarkEnd w:id="226"/>
    </w:p>
    <w:p w:rsidR="008B0243" w:rsidRDefault="008B0243" w:rsidP="00030ACA">
      <w:pPr>
        <w:pStyle w:val="BodyParagraph"/>
        <w:spacing w:after="0" w:line="276" w:lineRule="auto"/>
        <w:ind w:firstLine="360"/>
        <w:rPr>
          <w:rFonts w:ascii="Times New Roman" w:hAnsi="Times New Roman"/>
          <w:color w:val="FF0000"/>
          <w:sz w:val="24"/>
          <w:szCs w:val="24"/>
        </w:rPr>
      </w:pPr>
    </w:p>
    <w:p w:rsidR="008B0243" w:rsidRDefault="008B0243" w:rsidP="008B0243">
      <w:pPr>
        <w:spacing w:line="276" w:lineRule="auto"/>
        <w:ind w:firstLine="576"/>
      </w:pPr>
      <w:r>
        <w:fldChar w:fldCharType="begin"/>
      </w:r>
      <w:r>
        <w:instrText xml:space="preserve"> REF _Ref414443451 \h </w:instrText>
      </w:r>
      <w:r>
        <w:fldChar w:fldCharType="separate"/>
      </w:r>
      <w:r>
        <w:t>Table 7-11</w:t>
      </w:r>
      <w:r>
        <w:fldChar w:fldCharType="end"/>
      </w:r>
      <w:r>
        <w:t xml:space="preserve"> shows comparisons between the </w:t>
      </w:r>
      <w:r>
        <w:rPr>
          <w:i/>
        </w:rPr>
        <w:t>ex ante</w:t>
      </w:r>
      <w:r>
        <w:t xml:space="preserve"> and </w:t>
      </w:r>
      <w:r>
        <w:rPr>
          <w:i/>
        </w:rPr>
        <w:t>ex post</w:t>
      </w:r>
      <w:r>
        <w:t xml:space="preserve"> estimates from this evaluation.  For all of the groups, it seems that the weather in 2014 was particularly hot, and thus the results are more aligned with 1-in-10 weather conditions.</w:t>
      </w:r>
    </w:p>
    <w:p w:rsidR="008B0243" w:rsidRDefault="008B0243" w:rsidP="008B0243">
      <w:pPr>
        <w:spacing w:line="276" w:lineRule="auto"/>
      </w:pPr>
    </w:p>
    <w:p w:rsidR="008B0243" w:rsidRDefault="008B0243" w:rsidP="008B0243">
      <w:pPr>
        <w:spacing w:line="276" w:lineRule="auto"/>
        <w:ind w:firstLine="576"/>
      </w:pPr>
      <w:r>
        <w:t xml:space="preserve">For the overall PTR-only group, both the </w:t>
      </w:r>
      <w:r>
        <w:rPr>
          <w:i/>
        </w:rPr>
        <w:t xml:space="preserve">ex post </w:t>
      </w:r>
      <w:r>
        <w:t xml:space="preserve">and 1-in-10 </w:t>
      </w:r>
      <w:r>
        <w:rPr>
          <w:i/>
        </w:rPr>
        <w:t>ex ante</w:t>
      </w:r>
      <w:r>
        <w:t xml:space="preserve"> show average event hour load reductions of 0.09 kW, around 6% of the reference load.  The predicted 1-in-10 average event hour load reductions for the overall PTR-Summer Saver dually enrolled group (0.50 kW, or 23.3%) are slightly higher than the </w:t>
      </w:r>
      <w:r>
        <w:rPr>
          <w:i/>
        </w:rPr>
        <w:t>ex post</w:t>
      </w:r>
      <w:r>
        <w:t xml:space="preserve"> impacts (0.47 kW, or 22.4%).  The same relationship exists for the 50% and 100% cycling sub-groups.  For the dually enrolled PTR-SCTD group, the </w:t>
      </w:r>
      <w:r>
        <w:rPr>
          <w:i/>
        </w:rPr>
        <w:t>ex post</w:t>
      </w:r>
      <w:r>
        <w:t xml:space="preserve"> and 1-in-10 </w:t>
      </w:r>
      <w:r>
        <w:rPr>
          <w:i/>
        </w:rPr>
        <w:t>ex ante</w:t>
      </w:r>
      <w:r>
        <w:t xml:space="preserve"> estimates are essentially identical, at 0.66 kW, approximately 25% of the reference load.  The estimates for the load control sub-groups are also similar.  The 4 degree setback group’s 1-in-10 </w:t>
      </w:r>
      <w:r>
        <w:rPr>
          <w:i/>
        </w:rPr>
        <w:t>ex ante</w:t>
      </w:r>
      <w:r>
        <w:t xml:space="preserve"> estimate 0.03 kW higher than the </w:t>
      </w:r>
      <w:r>
        <w:rPr>
          <w:i/>
        </w:rPr>
        <w:t>ex post</w:t>
      </w:r>
      <w:r>
        <w:t xml:space="preserve"> estimate, while the 50% cycling group’s is 0.02 kW lower.  As with the other groups, the SCTD-only </w:t>
      </w:r>
      <w:r>
        <w:rPr>
          <w:i/>
        </w:rPr>
        <w:t xml:space="preserve">ex post </w:t>
      </w:r>
      <w:r>
        <w:t xml:space="preserve">estimates are very similar to the 1-in-10 </w:t>
      </w:r>
      <w:r>
        <w:rPr>
          <w:i/>
        </w:rPr>
        <w:t>ex ante</w:t>
      </w:r>
      <w:r>
        <w:t xml:space="preserve"> estimates.  The overall event hour load reduction estimate is 0.55 kW in both cases, representing about 20% of the reference load.  The 50% cycling sub-group also has the same estimates, with averages of 0.53 kW, approximately 18.5% of the reference load.  The 4 degree setback has a slightly higher 1-in-10 estimate, with 0.59 kW, compared to the </w:t>
      </w:r>
      <w:r>
        <w:rPr>
          <w:i/>
        </w:rPr>
        <w:t xml:space="preserve">ex post </w:t>
      </w:r>
      <w:r>
        <w:t>estimate of 0.57 kW.</w:t>
      </w:r>
    </w:p>
    <w:p w:rsidR="008B0243" w:rsidRDefault="008B0243" w:rsidP="008B0243">
      <w:pPr>
        <w:pStyle w:val="Caption"/>
      </w:pPr>
      <w:bookmarkStart w:id="227" w:name="_Ref414443451"/>
    </w:p>
    <w:p w:rsidR="008B0243" w:rsidRDefault="008B0243" w:rsidP="008B0243">
      <w:pPr>
        <w:pStyle w:val="Caption"/>
      </w:pPr>
    </w:p>
    <w:p w:rsidR="00653FC5" w:rsidRDefault="00653FC5">
      <w:pPr>
        <w:rPr>
          <w:b/>
          <w:bCs/>
          <w:sz w:val="20"/>
          <w:szCs w:val="20"/>
        </w:rPr>
      </w:pPr>
      <w:r>
        <w:br w:type="page"/>
      </w:r>
    </w:p>
    <w:p w:rsidR="008B0243" w:rsidRDefault="008B0243" w:rsidP="00014A51">
      <w:pPr>
        <w:pStyle w:val="Caption"/>
        <w:jc w:val="center"/>
      </w:pPr>
      <w:r>
        <w:lastRenderedPageBreak/>
        <w:t xml:space="preserve">Table </w:t>
      </w:r>
      <w:r w:rsidR="00322503">
        <w:t>7-11</w:t>
      </w:r>
      <w:bookmarkEnd w:id="227"/>
      <w:r>
        <w:t>:  Comparison of Ex Ante and Ex Post Estimates</w:t>
      </w:r>
    </w:p>
    <w:p w:rsidR="008B0243" w:rsidRDefault="00014A51" w:rsidP="00322503">
      <w:pPr>
        <w:pStyle w:val="BodyParagraph"/>
        <w:spacing w:after="0" w:line="276" w:lineRule="auto"/>
        <w:rPr>
          <w:rFonts w:ascii="Times New Roman" w:hAnsi="Times New Roman"/>
          <w:color w:val="FF0000"/>
          <w:sz w:val="24"/>
          <w:szCs w:val="24"/>
        </w:rPr>
      </w:pPr>
      <w:r>
        <w:rPr>
          <w:rFonts w:ascii="Times New Roman" w:hAnsi="Times New Roman"/>
          <w:noProof/>
          <w:color w:val="FF0000"/>
          <w:sz w:val="24"/>
          <w:szCs w:val="24"/>
        </w:rPr>
        <w:drawing>
          <wp:inline distT="0" distB="0" distL="0" distR="0" wp14:anchorId="35C501C2" wp14:editId="61E136CE">
            <wp:extent cx="5934075" cy="5143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4075" cy="5143500"/>
                    </a:xfrm>
                    <a:prstGeom prst="rect">
                      <a:avLst/>
                    </a:prstGeom>
                    <a:noFill/>
                    <a:ln>
                      <a:noFill/>
                    </a:ln>
                  </pic:spPr>
                </pic:pic>
              </a:graphicData>
            </a:graphic>
          </wp:inline>
        </w:drawing>
      </w:r>
    </w:p>
    <w:p w:rsidR="00322503" w:rsidRDefault="00322503" w:rsidP="00322503">
      <w:pPr>
        <w:pStyle w:val="BodyParagraph"/>
        <w:spacing w:after="0" w:line="276" w:lineRule="auto"/>
        <w:rPr>
          <w:rFonts w:ascii="Times New Roman" w:hAnsi="Times New Roman"/>
          <w:color w:val="FF0000"/>
          <w:sz w:val="24"/>
          <w:szCs w:val="24"/>
        </w:rPr>
      </w:pPr>
    </w:p>
    <w:p w:rsidR="00653FC5" w:rsidRDefault="00653FC5">
      <w:pPr>
        <w:rPr>
          <w:b/>
          <w:bCs/>
          <w:sz w:val="20"/>
          <w:szCs w:val="20"/>
        </w:rPr>
      </w:pPr>
      <w:r>
        <w:br w:type="page"/>
      </w:r>
    </w:p>
    <w:p w:rsidR="00322503" w:rsidRDefault="00322503" w:rsidP="003646A1">
      <w:pPr>
        <w:pStyle w:val="Caption"/>
        <w:jc w:val="center"/>
      </w:pPr>
      <w:r>
        <w:lastRenderedPageBreak/>
        <w:t>Table 7-11 (Cont’d):  Comparison of Ex Ante and Ex Post Estimates</w:t>
      </w:r>
    </w:p>
    <w:p w:rsidR="00322503" w:rsidRDefault="00322503" w:rsidP="00322503">
      <w:pPr>
        <w:pStyle w:val="BodyParagraph"/>
        <w:spacing w:after="0" w:line="276" w:lineRule="auto"/>
        <w:rPr>
          <w:rFonts w:ascii="Times New Roman" w:hAnsi="Times New Roman"/>
          <w:color w:val="FF0000"/>
          <w:sz w:val="24"/>
          <w:szCs w:val="24"/>
        </w:rPr>
      </w:pPr>
    </w:p>
    <w:p w:rsidR="00322503" w:rsidRDefault="003646A1" w:rsidP="00322503">
      <w:pPr>
        <w:pStyle w:val="BodyParagraph"/>
        <w:spacing w:after="0" w:line="276" w:lineRule="auto"/>
        <w:rPr>
          <w:rFonts w:ascii="Times New Roman" w:hAnsi="Times New Roman"/>
          <w:color w:val="FF0000"/>
          <w:sz w:val="24"/>
          <w:szCs w:val="24"/>
        </w:rPr>
      </w:pPr>
      <w:r>
        <w:rPr>
          <w:rFonts w:ascii="Times New Roman" w:hAnsi="Times New Roman"/>
          <w:noProof/>
          <w:color w:val="FF0000"/>
          <w:sz w:val="24"/>
          <w:szCs w:val="24"/>
        </w:rPr>
        <w:drawing>
          <wp:inline distT="0" distB="0" distL="0" distR="0" wp14:anchorId="18007A0B" wp14:editId="6556BF7A">
            <wp:extent cx="5943600" cy="7286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7286625"/>
                    </a:xfrm>
                    <a:prstGeom prst="rect">
                      <a:avLst/>
                    </a:prstGeom>
                    <a:noFill/>
                    <a:ln>
                      <a:noFill/>
                    </a:ln>
                  </pic:spPr>
                </pic:pic>
              </a:graphicData>
            </a:graphic>
          </wp:inline>
        </w:drawing>
      </w:r>
    </w:p>
    <w:p w:rsidR="00322503" w:rsidRPr="00263F19" w:rsidRDefault="00322503" w:rsidP="00322503">
      <w:pPr>
        <w:pStyle w:val="BodyParagraph"/>
        <w:spacing w:after="0" w:line="276" w:lineRule="auto"/>
        <w:rPr>
          <w:rFonts w:ascii="Times New Roman" w:hAnsi="Times New Roman"/>
          <w:color w:val="FF0000"/>
          <w:sz w:val="24"/>
          <w:szCs w:val="24"/>
        </w:rPr>
      </w:pPr>
    </w:p>
    <w:p w:rsidR="00EA17E5" w:rsidRPr="0075092E" w:rsidRDefault="00EA17E5" w:rsidP="00AF5088">
      <w:pPr>
        <w:pStyle w:val="Heading1"/>
        <w:spacing w:after="0" w:line="276" w:lineRule="auto"/>
        <w:rPr>
          <w:rFonts w:ascii="Times New Roman" w:hAnsi="Times New Roman" w:cs="Times New Roman"/>
          <w:color w:val="000000" w:themeColor="text1"/>
        </w:rPr>
      </w:pPr>
      <w:bookmarkStart w:id="228" w:name="_Toc289248375"/>
      <w:bookmarkStart w:id="229" w:name="_Toc415749021"/>
      <w:r w:rsidRPr="0075092E">
        <w:rPr>
          <w:rFonts w:ascii="Times New Roman" w:hAnsi="Times New Roman" w:cs="Times New Roman"/>
          <w:color w:val="000000" w:themeColor="text1"/>
        </w:rPr>
        <w:lastRenderedPageBreak/>
        <w:t>Permanent Load Shifting</w:t>
      </w:r>
      <w:bookmarkEnd w:id="229"/>
    </w:p>
    <w:p w:rsidR="00ED7741" w:rsidRPr="0075092E" w:rsidRDefault="008D3623" w:rsidP="00AF5088">
      <w:pPr>
        <w:pStyle w:val="Heading2"/>
        <w:spacing w:after="0" w:line="276" w:lineRule="auto"/>
        <w:rPr>
          <w:rFonts w:ascii="Times New Roman" w:hAnsi="Times New Roman" w:cs="Times New Roman"/>
          <w:color w:val="000000" w:themeColor="text1"/>
        </w:rPr>
      </w:pPr>
      <w:bookmarkStart w:id="230" w:name="_Toc351990602"/>
      <w:bookmarkStart w:id="231" w:name="_Toc352084183"/>
      <w:bookmarkStart w:id="232" w:name="_Toc415749022"/>
      <w:r w:rsidRPr="0075092E">
        <w:rPr>
          <w:rFonts w:ascii="Times New Roman" w:hAnsi="Times New Roman" w:cs="Times New Roman"/>
          <w:color w:val="000000" w:themeColor="text1"/>
        </w:rPr>
        <w:t xml:space="preserve">PLS </w:t>
      </w:r>
      <w:r w:rsidR="00ED7741" w:rsidRPr="0075092E">
        <w:rPr>
          <w:rFonts w:ascii="Times New Roman" w:hAnsi="Times New Roman" w:cs="Times New Roman"/>
          <w:color w:val="000000" w:themeColor="text1"/>
        </w:rPr>
        <w:t>Program Overview</w:t>
      </w:r>
      <w:bookmarkEnd w:id="230"/>
      <w:bookmarkEnd w:id="231"/>
      <w:bookmarkEnd w:id="232"/>
    </w:p>
    <w:p w:rsidR="00ED7741" w:rsidRPr="0075092E" w:rsidRDefault="00ED7741" w:rsidP="00AF5088">
      <w:pPr>
        <w:pStyle w:val="ListParagraph"/>
        <w:spacing w:line="276" w:lineRule="auto"/>
        <w:ind w:left="-144"/>
        <w:rPr>
          <w:color w:val="000000" w:themeColor="text1"/>
        </w:rPr>
      </w:pPr>
    </w:p>
    <w:p w:rsidR="00D060AD" w:rsidRPr="0075092E" w:rsidRDefault="00D060AD" w:rsidP="00B37736">
      <w:pPr>
        <w:pStyle w:val="BodyParagraph"/>
        <w:spacing w:after="0" w:line="276" w:lineRule="auto"/>
        <w:ind w:firstLine="360"/>
        <w:rPr>
          <w:rFonts w:ascii="Times New Roman" w:hAnsi="Times New Roman"/>
          <w:color w:val="000000" w:themeColor="text1"/>
          <w:sz w:val="24"/>
          <w:szCs w:val="24"/>
        </w:rPr>
      </w:pPr>
      <w:r w:rsidRPr="0075092E">
        <w:rPr>
          <w:rFonts w:ascii="Times New Roman" w:hAnsi="Times New Roman"/>
          <w:color w:val="000000" w:themeColor="text1"/>
          <w:sz w:val="24"/>
          <w:szCs w:val="24"/>
        </w:rPr>
        <w:t>The PLS program provides a one-time incentive payment ($875/kW) to customers who install qualifying PLS technology on chilled water cooling units (which differ substantially from typical central air conditioning units).  Incentives will be determined based on the designed peak load shift capability of the system and the installation must undergo a feasibility study by a qualified engineer.  The load shift is typically accomplished completely through substituting overnight chiller load for daytime chiller load.  All customers are eligible for the program, including residential, commercial, industrial, agricultural, direct access and Community Choice Aggregation customers.</w:t>
      </w:r>
    </w:p>
    <w:p w:rsidR="00D060AD" w:rsidRPr="0075092E" w:rsidRDefault="00212601" w:rsidP="00B37736">
      <w:pPr>
        <w:pStyle w:val="BodyBeforeBullet"/>
        <w:spacing w:after="0" w:line="276" w:lineRule="auto"/>
        <w:ind w:firstLine="360"/>
        <w:rPr>
          <w:rFonts w:ascii="Times New Roman" w:hAnsi="Times New Roman"/>
          <w:color w:val="000000" w:themeColor="text1"/>
          <w:sz w:val="24"/>
          <w:szCs w:val="24"/>
        </w:rPr>
      </w:pPr>
      <w:r w:rsidRPr="0075092E">
        <w:rPr>
          <w:rFonts w:ascii="Times New Roman" w:hAnsi="Times New Roman"/>
          <w:color w:val="000000" w:themeColor="text1"/>
          <w:sz w:val="24"/>
          <w:szCs w:val="24"/>
        </w:rPr>
        <w:t>In order t</w:t>
      </w:r>
      <w:r w:rsidR="00D060AD" w:rsidRPr="0075092E">
        <w:rPr>
          <w:rFonts w:ascii="Times New Roman" w:hAnsi="Times New Roman"/>
          <w:color w:val="000000" w:themeColor="text1"/>
          <w:sz w:val="24"/>
          <w:szCs w:val="24"/>
        </w:rPr>
        <w:t>o qualify for the PLS program incentive payment, customers must go through the program application and verification process, which includes all of the stages that are required for customers to apply for, and receive a verified incentive amount.  These stages are:</w:t>
      </w:r>
    </w:p>
    <w:p w:rsidR="00212601" w:rsidRPr="0075092E" w:rsidRDefault="00212601" w:rsidP="00212601">
      <w:pPr>
        <w:pStyle w:val="Bullets"/>
        <w:numPr>
          <w:ilvl w:val="0"/>
          <w:numId w:val="0"/>
        </w:numPr>
        <w:ind w:left="720"/>
        <w:rPr>
          <w:color w:val="000000" w:themeColor="text1"/>
        </w:rPr>
      </w:pPr>
    </w:p>
    <w:p w:rsidR="00D060AD" w:rsidRPr="0075092E"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75092E">
        <w:rPr>
          <w:rFonts w:ascii="Times New Roman" w:hAnsi="Times New Roman" w:cs="Times New Roman"/>
          <w:color w:val="000000" w:themeColor="text1"/>
          <w:sz w:val="24"/>
          <w:szCs w:val="24"/>
        </w:rPr>
        <w:t>Customer submits application</w:t>
      </w:r>
    </w:p>
    <w:p w:rsidR="00D060AD" w:rsidRPr="0075092E"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75092E">
        <w:rPr>
          <w:rFonts w:ascii="Times New Roman" w:hAnsi="Times New Roman" w:cs="Times New Roman"/>
          <w:color w:val="000000" w:themeColor="text1"/>
          <w:sz w:val="24"/>
          <w:szCs w:val="24"/>
        </w:rPr>
        <w:t>IOU approves application and sets aside incentive funds</w:t>
      </w:r>
    </w:p>
    <w:p w:rsidR="00D060AD" w:rsidRPr="0075092E"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75092E">
        <w:rPr>
          <w:rFonts w:ascii="Times New Roman" w:hAnsi="Times New Roman" w:cs="Times New Roman"/>
          <w:color w:val="000000" w:themeColor="text1"/>
          <w:sz w:val="24"/>
          <w:szCs w:val="24"/>
        </w:rPr>
        <w:t>Customer submits feasibility study</w:t>
      </w:r>
    </w:p>
    <w:p w:rsidR="00D060AD" w:rsidRPr="0075092E"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75092E">
        <w:rPr>
          <w:rFonts w:ascii="Times New Roman" w:hAnsi="Times New Roman" w:cs="Times New Roman"/>
          <w:color w:val="000000" w:themeColor="text1"/>
          <w:sz w:val="24"/>
          <w:szCs w:val="24"/>
        </w:rPr>
        <w:t>IOU reviews feasibility study</w:t>
      </w:r>
    </w:p>
    <w:p w:rsidR="00D060AD" w:rsidRPr="0075092E"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75092E">
        <w:rPr>
          <w:rFonts w:ascii="Times New Roman" w:hAnsi="Times New Roman" w:cs="Times New Roman"/>
          <w:color w:val="000000" w:themeColor="text1"/>
          <w:sz w:val="24"/>
          <w:szCs w:val="24"/>
        </w:rPr>
        <w:t>IOU conducts pre-installation inspection</w:t>
      </w:r>
    </w:p>
    <w:p w:rsidR="00D060AD" w:rsidRPr="0075092E"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75092E">
        <w:rPr>
          <w:rFonts w:ascii="Times New Roman" w:hAnsi="Times New Roman" w:cs="Times New Roman"/>
          <w:color w:val="000000" w:themeColor="text1"/>
          <w:sz w:val="24"/>
          <w:szCs w:val="24"/>
        </w:rPr>
        <w:t>IOU and customer sign agreement</w:t>
      </w:r>
    </w:p>
    <w:p w:rsidR="00D060AD" w:rsidRPr="0075092E"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75092E">
        <w:rPr>
          <w:rFonts w:ascii="Times New Roman" w:hAnsi="Times New Roman" w:cs="Times New Roman"/>
          <w:color w:val="000000" w:themeColor="text1"/>
          <w:sz w:val="24"/>
          <w:szCs w:val="24"/>
        </w:rPr>
        <w:t>Customer installs PLS system</w:t>
      </w:r>
    </w:p>
    <w:p w:rsidR="00D060AD" w:rsidRPr="0075092E" w:rsidRDefault="00D060AD" w:rsidP="005965CC">
      <w:pPr>
        <w:pStyle w:val="Bullets"/>
        <w:numPr>
          <w:ilvl w:val="0"/>
          <w:numId w:val="12"/>
        </w:numPr>
        <w:spacing w:after="0" w:line="276" w:lineRule="auto"/>
        <w:rPr>
          <w:rFonts w:ascii="Times New Roman" w:hAnsi="Times New Roman" w:cs="Times New Roman"/>
          <w:color w:val="000000" w:themeColor="text1"/>
          <w:sz w:val="24"/>
          <w:szCs w:val="24"/>
        </w:rPr>
      </w:pPr>
      <w:r w:rsidRPr="0075092E">
        <w:rPr>
          <w:rFonts w:ascii="Times New Roman" w:hAnsi="Times New Roman" w:cs="Times New Roman"/>
          <w:color w:val="000000" w:themeColor="text1"/>
          <w:sz w:val="24"/>
          <w:szCs w:val="24"/>
        </w:rPr>
        <w:t>IOU conducts post-installation inspection</w:t>
      </w:r>
    </w:p>
    <w:p w:rsidR="00D060AD" w:rsidRPr="0075092E" w:rsidRDefault="00D060AD" w:rsidP="005965CC">
      <w:pPr>
        <w:pStyle w:val="BulletLast"/>
        <w:numPr>
          <w:ilvl w:val="0"/>
          <w:numId w:val="12"/>
        </w:numPr>
        <w:spacing w:after="0" w:line="276" w:lineRule="auto"/>
        <w:rPr>
          <w:rFonts w:ascii="Times New Roman" w:hAnsi="Times New Roman" w:cs="Times New Roman"/>
          <w:color w:val="000000" w:themeColor="text1"/>
          <w:sz w:val="24"/>
          <w:szCs w:val="24"/>
        </w:rPr>
      </w:pPr>
      <w:r w:rsidRPr="0075092E">
        <w:rPr>
          <w:rFonts w:ascii="Times New Roman" w:hAnsi="Times New Roman" w:cs="Times New Roman"/>
          <w:color w:val="000000" w:themeColor="text1"/>
          <w:sz w:val="24"/>
          <w:szCs w:val="24"/>
        </w:rPr>
        <w:t>Customer receives PLS program incentive</w:t>
      </w:r>
    </w:p>
    <w:p w:rsidR="00D060AD" w:rsidRPr="0075092E" w:rsidRDefault="00D060AD" w:rsidP="005965CC">
      <w:pPr>
        <w:pStyle w:val="BodyParagraph"/>
        <w:spacing w:after="0" w:line="276" w:lineRule="auto"/>
        <w:ind w:firstLine="360"/>
        <w:rPr>
          <w:rFonts w:ascii="Times New Roman" w:hAnsi="Times New Roman"/>
          <w:color w:val="000000" w:themeColor="text1"/>
          <w:sz w:val="24"/>
          <w:szCs w:val="24"/>
        </w:rPr>
      </w:pPr>
    </w:p>
    <w:p w:rsidR="00D060AD" w:rsidRPr="0075092E" w:rsidRDefault="00D060AD" w:rsidP="00B37736">
      <w:pPr>
        <w:pStyle w:val="BodyParagraph"/>
        <w:spacing w:after="0" w:line="276" w:lineRule="auto"/>
        <w:ind w:firstLine="360"/>
        <w:rPr>
          <w:rFonts w:ascii="Times New Roman" w:hAnsi="Times New Roman"/>
          <w:color w:val="000000" w:themeColor="text1"/>
          <w:sz w:val="24"/>
          <w:szCs w:val="24"/>
        </w:rPr>
      </w:pPr>
      <w:r w:rsidRPr="0075092E">
        <w:rPr>
          <w:rFonts w:ascii="Times New Roman" w:hAnsi="Times New Roman"/>
          <w:color w:val="000000" w:themeColor="text1"/>
          <w:sz w:val="24"/>
          <w:szCs w:val="24"/>
        </w:rPr>
        <w:t>After a customer submits an application and the utility approves the application, customers participating in the program must provide, in advance of installation, an engineering feasibility study. This study will include an estimated cooling profile.  Energy models will be used to determine a customer's cooling load profile over a year (8,760 hours).  To accomplish this, building simulation models will be used to determine hourly cooling needs over the course of a year, based on building specifications, regional temperatures, occupancy and other inputs.  Both retrofit and new construction customers will be subjected to the energy modeling process, unless utility approved cooling usage data is available.</w:t>
      </w:r>
    </w:p>
    <w:p w:rsidR="00B37736" w:rsidRPr="0075092E" w:rsidRDefault="00B37736" w:rsidP="00B37736">
      <w:pPr>
        <w:pStyle w:val="BodyParagraph"/>
        <w:spacing w:after="0" w:line="276" w:lineRule="auto"/>
        <w:ind w:firstLine="360"/>
        <w:rPr>
          <w:rFonts w:ascii="Times New Roman" w:hAnsi="Times New Roman"/>
          <w:color w:val="000000" w:themeColor="text1"/>
          <w:sz w:val="24"/>
          <w:szCs w:val="24"/>
        </w:rPr>
      </w:pPr>
    </w:p>
    <w:p w:rsidR="00D060AD" w:rsidRPr="0075092E" w:rsidRDefault="00D060AD" w:rsidP="00B37736">
      <w:pPr>
        <w:pStyle w:val="BodyParagraph"/>
        <w:spacing w:after="0" w:line="276" w:lineRule="auto"/>
        <w:ind w:firstLine="360"/>
        <w:rPr>
          <w:rFonts w:ascii="Times New Roman" w:hAnsi="Times New Roman"/>
          <w:color w:val="000000" w:themeColor="text1"/>
          <w:sz w:val="24"/>
          <w:szCs w:val="24"/>
        </w:rPr>
      </w:pPr>
      <w:r w:rsidRPr="0075092E">
        <w:rPr>
          <w:rFonts w:ascii="Times New Roman" w:hAnsi="Times New Roman"/>
          <w:color w:val="000000" w:themeColor="text1"/>
          <w:sz w:val="24"/>
          <w:szCs w:val="24"/>
        </w:rPr>
        <w:t xml:space="preserve">The total incentive amount will be determined using a customer’s peak load shift on their maximum cooling demand day (based on the on-peak hours).  A conversion factor will be used to convert the cooling load shift tons to electricity load shift (kW).  This methodology will be used for both full and partial storage systems.  The incentive levels for the program are $875/kW for all IOUs.  </w:t>
      </w:r>
    </w:p>
    <w:p w:rsidR="00D060AD" w:rsidRPr="0075092E" w:rsidRDefault="00D060AD" w:rsidP="005965CC">
      <w:pPr>
        <w:pStyle w:val="BodyParagraph"/>
        <w:spacing w:after="0" w:line="276" w:lineRule="auto"/>
        <w:ind w:firstLine="360"/>
        <w:rPr>
          <w:rFonts w:ascii="Times New Roman" w:hAnsi="Times New Roman"/>
          <w:color w:val="000000" w:themeColor="text1"/>
          <w:sz w:val="24"/>
          <w:szCs w:val="24"/>
        </w:rPr>
      </w:pPr>
      <w:r w:rsidRPr="0075092E">
        <w:rPr>
          <w:rFonts w:ascii="Times New Roman" w:hAnsi="Times New Roman"/>
          <w:color w:val="000000" w:themeColor="text1"/>
          <w:sz w:val="24"/>
          <w:szCs w:val="24"/>
        </w:rPr>
        <w:lastRenderedPageBreak/>
        <w:t xml:space="preserve">The incentive payments are intended to offset the cost of installation and thereby make the system more attractive financially.  Under the program rules, the incentive cannot exceed 50% of the installation cost for a given customer, and the incentive for a given site cannot exceed $1.5M.  Customers’ incentives will be determined as the least of (1) the incentive reservation amount calculated from the system design, (2) 50% of the actual final installed project cost or (3) $1.5M.  In addition, customers will be required to be on a time-of-use (TOU) rate for the first five years after installation.  </w:t>
      </w:r>
    </w:p>
    <w:p w:rsidR="00D060AD" w:rsidRPr="0075092E" w:rsidRDefault="00D060AD" w:rsidP="005965CC">
      <w:pPr>
        <w:pStyle w:val="BodyParagraph"/>
        <w:spacing w:after="0" w:line="276" w:lineRule="auto"/>
        <w:ind w:firstLine="360"/>
        <w:rPr>
          <w:rFonts w:ascii="Times New Roman" w:hAnsi="Times New Roman"/>
          <w:color w:val="000000" w:themeColor="text1"/>
          <w:sz w:val="24"/>
          <w:szCs w:val="24"/>
        </w:rPr>
      </w:pPr>
    </w:p>
    <w:p w:rsidR="00D060AD" w:rsidRPr="0075092E" w:rsidRDefault="00D060AD" w:rsidP="00BA18B8">
      <w:pPr>
        <w:pStyle w:val="BodyParagraph"/>
        <w:spacing w:after="0" w:line="276" w:lineRule="auto"/>
        <w:ind w:firstLine="360"/>
        <w:rPr>
          <w:rFonts w:ascii="Times New Roman" w:hAnsi="Times New Roman"/>
          <w:color w:val="000000" w:themeColor="text1"/>
          <w:sz w:val="24"/>
          <w:szCs w:val="24"/>
        </w:rPr>
      </w:pPr>
      <w:r w:rsidRPr="0075092E">
        <w:rPr>
          <w:rFonts w:ascii="Times New Roman" w:hAnsi="Times New Roman"/>
          <w:color w:val="000000" w:themeColor="text1"/>
          <w:sz w:val="24"/>
          <w:szCs w:val="24"/>
        </w:rPr>
        <w:t xml:space="preserve">Customers are required to run the PLS system during all weekday peak periods during summer months (May1 –October 31) from 11am through 6pm. PLS program participants may also shift load during non-summer months, in case cooling is needed during those months.  For process cooling installations, cooling may be needed year round.  </w:t>
      </w:r>
    </w:p>
    <w:p w:rsidR="004A4563" w:rsidRPr="0075092E" w:rsidRDefault="004A4563" w:rsidP="00AF5088">
      <w:pPr>
        <w:pStyle w:val="Heading2"/>
        <w:spacing w:after="0" w:line="276" w:lineRule="auto"/>
        <w:rPr>
          <w:rFonts w:ascii="Times New Roman" w:hAnsi="Times New Roman" w:cs="Times New Roman"/>
          <w:color w:val="000000" w:themeColor="text1"/>
        </w:rPr>
      </w:pPr>
      <w:bookmarkStart w:id="233" w:name="_Toc415749023"/>
      <w:r w:rsidRPr="0075092E">
        <w:rPr>
          <w:rFonts w:ascii="Times New Roman" w:hAnsi="Times New Roman" w:cs="Times New Roman"/>
          <w:color w:val="000000" w:themeColor="text1"/>
        </w:rPr>
        <w:t xml:space="preserve">PLS Ex-Ante </w:t>
      </w:r>
      <w:r w:rsidR="00493445" w:rsidRPr="0075092E">
        <w:rPr>
          <w:rFonts w:ascii="Times New Roman" w:hAnsi="Times New Roman" w:cs="Times New Roman"/>
          <w:color w:val="000000" w:themeColor="text1"/>
        </w:rPr>
        <w:t>M</w:t>
      </w:r>
      <w:r w:rsidRPr="0075092E">
        <w:rPr>
          <w:rFonts w:ascii="Times New Roman" w:hAnsi="Times New Roman" w:cs="Times New Roman"/>
          <w:color w:val="000000" w:themeColor="text1"/>
        </w:rPr>
        <w:t>ethodology</w:t>
      </w:r>
      <w:bookmarkEnd w:id="233"/>
    </w:p>
    <w:p w:rsidR="00ED7741" w:rsidRPr="0075092E" w:rsidRDefault="00ED7741" w:rsidP="00AF5088">
      <w:pPr>
        <w:pStyle w:val="BodyParagraph"/>
        <w:spacing w:after="0" w:line="276" w:lineRule="auto"/>
        <w:ind w:firstLine="360"/>
        <w:rPr>
          <w:rFonts w:ascii="Times New Roman" w:hAnsi="Times New Roman"/>
          <w:b/>
          <w:color w:val="000000" w:themeColor="text1"/>
          <w:sz w:val="24"/>
          <w:szCs w:val="24"/>
        </w:rPr>
      </w:pPr>
    </w:p>
    <w:p w:rsidR="004B5613" w:rsidRPr="0075092E" w:rsidRDefault="00925AC6" w:rsidP="00421EED">
      <w:pPr>
        <w:pStyle w:val="BodyParagraph"/>
        <w:spacing w:after="0" w:line="276" w:lineRule="auto"/>
        <w:ind w:firstLine="360"/>
        <w:rPr>
          <w:rFonts w:ascii="Times New Roman" w:hAnsi="Times New Roman"/>
          <w:color w:val="000000" w:themeColor="text1"/>
          <w:sz w:val="24"/>
          <w:szCs w:val="24"/>
        </w:rPr>
      </w:pPr>
      <w:r w:rsidRPr="0075092E">
        <w:rPr>
          <w:rFonts w:ascii="Times New Roman" w:hAnsi="Times New Roman"/>
          <w:color w:val="000000" w:themeColor="text1"/>
          <w:sz w:val="24"/>
          <w:szCs w:val="24"/>
        </w:rPr>
        <w:t xml:space="preserve">The PLS program evaluation used two different methodologies for estimating </w:t>
      </w:r>
      <w:r w:rsidR="00E46994" w:rsidRPr="0075092E">
        <w:rPr>
          <w:rFonts w:ascii="Times New Roman" w:hAnsi="Times New Roman"/>
          <w:color w:val="000000" w:themeColor="text1"/>
          <w:sz w:val="24"/>
          <w:szCs w:val="24"/>
        </w:rPr>
        <w:t>ex-ante</w:t>
      </w:r>
      <w:r w:rsidRPr="0075092E">
        <w:rPr>
          <w:rFonts w:ascii="Times New Roman" w:hAnsi="Times New Roman"/>
          <w:color w:val="000000" w:themeColor="text1"/>
          <w:sz w:val="24"/>
          <w:szCs w:val="24"/>
        </w:rPr>
        <w:t xml:space="preserve"> load impacts for </w:t>
      </w:r>
      <w:r w:rsidR="005854B2" w:rsidRPr="0075092E">
        <w:rPr>
          <w:rFonts w:ascii="Times New Roman" w:hAnsi="Times New Roman"/>
          <w:color w:val="000000" w:themeColor="text1"/>
          <w:sz w:val="24"/>
          <w:szCs w:val="24"/>
        </w:rPr>
        <w:t xml:space="preserve">unidentified projects and </w:t>
      </w:r>
      <w:r w:rsidRPr="0075092E">
        <w:rPr>
          <w:rFonts w:ascii="Times New Roman" w:hAnsi="Times New Roman"/>
          <w:color w:val="000000" w:themeColor="text1"/>
          <w:sz w:val="24"/>
          <w:szCs w:val="24"/>
        </w:rPr>
        <w:t xml:space="preserve">identified projects.  </w:t>
      </w:r>
    </w:p>
    <w:p w:rsidR="00925AC6" w:rsidRPr="0075092E" w:rsidRDefault="00925AC6" w:rsidP="00421EED">
      <w:pPr>
        <w:pStyle w:val="BodyParagraph"/>
        <w:spacing w:after="0" w:line="276" w:lineRule="auto"/>
        <w:ind w:firstLine="360"/>
        <w:rPr>
          <w:rFonts w:ascii="Times New Roman" w:hAnsi="Times New Roman"/>
          <w:color w:val="000000" w:themeColor="text1"/>
          <w:sz w:val="24"/>
          <w:szCs w:val="24"/>
        </w:rPr>
      </w:pPr>
    </w:p>
    <w:p w:rsidR="004B5613" w:rsidRPr="0075092E" w:rsidRDefault="004B5613" w:rsidP="00421EED">
      <w:pPr>
        <w:pStyle w:val="BodyParagraph"/>
        <w:spacing w:after="0" w:line="276" w:lineRule="auto"/>
        <w:ind w:firstLine="360"/>
        <w:rPr>
          <w:rFonts w:ascii="Times New Roman" w:hAnsi="Times New Roman"/>
          <w:color w:val="000000" w:themeColor="text1"/>
          <w:sz w:val="24"/>
          <w:szCs w:val="24"/>
        </w:rPr>
      </w:pPr>
      <w:r w:rsidRPr="0075092E">
        <w:rPr>
          <w:rFonts w:ascii="Times New Roman" w:hAnsi="Times New Roman"/>
          <w:i/>
          <w:color w:val="000000" w:themeColor="text1"/>
          <w:sz w:val="24"/>
          <w:szCs w:val="24"/>
        </w:rPr>
        <w:t>Unidentified projects:</w:t>
      </w:r>
      <w:r w:rsidRPr="0075092E">
        <w:rPr>
          <w:rFonts w:ascii="Times New Roman" w:hAnsi="Times New Roman"/>
          <w:color w:val="000000" w:themeColor="text1"/>
          <w:sz w:val="24"/>
          <w:szCs w:val="24"/>
        </w:rPr>
        <w:t xml:space="preserve"> </w:t>
      </w:r>
      <w:r w:rsidR="00D23FCC" w:rsidRPr="00D23FCC">
        <w:rPr>
          <w:rFonts w:ascii="Times New Roman" w:hAnsi="Times New Roman"/>
          <w:color w:val="000000" w:themeColor="text1"/>
          <w:sz w:val="24"/>
          <w:szCs w:val="24"/>
        </w:rPr>
        <w:t>In addition to customers who have already submitted application it is expected that new customer will apply as well (unidentified projects)</w:t>
      </w:r>
      <w:r w:rsidR="00D23FCC">
        <w:rPr>
          <w:rFonts w:ascii="Times New Roman" w:hAnsi="Times New Roman"/>
          <w:color w:val="000000" w:themeColor="text1"/>
          <w:sz w:val="24"/>
          <w:szCs w:val="24"/>
        </w:rPr>
        <w:t xml:space="preserve">. </w:t>
      </w:r>
      <w:r w:rsidR="00D23FCC" w:rsidRPr="00D23FCC">
        <w:rPr>
          <w:rFonts w:ascii="Times New Roman" w:hAnsi="Times New Roman"/>
          <w:color w:val="000000" w:themeColor="text1"/>
          <w:sz w:val="24"/>
          <w:szCs w:val="24"/>
        </w:rPr>
        <w:t>Load impacts for unidentified projects are based on assumptions developed with the utility PLS program managers and EM&amp;V staff</w:t>
      </w:r>
      <w:r w:rsidR="00D23FCC">
        <w:rPr>
          <w:rFonts w:ascii="Times New Roman" w:hAnsi="Times New Roman"/>
          <w:color w:val="000000" w:themeColor="text1"/>
          <w:sz w:val="24"/>
          <w:szCs w:val="24"/>
        </w:rPr>
        <w:t>. T</w:t>
      </w:r>
      <w:r w:rsidRPr="0075092E">
        <w:rPr>
          <w:rFonts w:ascii="Times New Roman" w:hAnsi="Times New Roman"/>
          <w:color w:val="000000" w:themeColor="text1"/>
          <w:sz w:val="24"/>
          <w:szCs w:val="24"/>
        </w:rPr>
        <w:t>he main uncertainty is the number and size of projects that will be included in the program, a range of scenarios was generated for each IOU in order to capture the uncertainty related to market adoption of PLS technologies.</w:t>
      </w:r>
    </w:p>
    <w:p w:rsidR="004B5613" w:rsidRPr="0075092E" w:rsidRDefault="004B5613" w:rsidP="00421EED">
      <w:pPr>
        <w:pStyle w:val="BodyParagraph"/>
        <w:spacing w:after="0" w:line="276" w:lineRule="auto"/>
        <w:rPr>
          <w:rFonts w:ascii="Times New Roman" w:hAnsi="Times New Roman"/>
          <w:color w:val="000000" w:themeColor="text1"/>
          <w:sz w:val="24"/>
          <w:szCs w:val="24"/>
        </w:rPr>
      </w:pPr>
      <w:r w:rsidRPr="0075092E">
        <w:rPr>
          <w:rFonts w:ascii="Times New Roman" w:hAnsi="Times New Roman"/>
          <w:color w:val="000000" w:themeColor="text1"/>
          <w:sz w:val="24"/>
          <w:szCs w:val="24"/>
        </w:rPr>
        <w:t xml:space="preserve">Figure </w:t>
      </w:r>
      <w:r w:rsidR="00136E4F">
        <w:rPr>
          <w:rFonts w:ascii="Times New Roman" w:hAnsi="Times New Roman"/>
          <w:color w:val="000000" w:themeColor="text1"/>
          <w:sz w:val="24"/>
          <w:szCs w:val="24"/>
        </w:rPr>
        <w:t>8</w:t>
      </w:r>
      <w:r w:rsidRPr="0075092E">
        <w:rPr>
          <w:rFonts w:ascii="Times New Roman" w:hAnsi="Times New Roman"/>
          <w:color w:val="000000" w:themeColor="text1"/>
          <w:sz w:val="24"/>
          <w:szCs w:val="24"/>
        </w:rPr>
        <w:t xml:space="preserve">-1 summarizes the methodology for estimating </w:t>
      </w:r>
      <w:r w:rsidR="00E46994" w:rsidRPr="0075092E">
        <w:rPr>
          <w:rFonts w:ascii="Times New Roman" w:hAnsi="Times New Roman"/>
          <w:color w:val="000000" w:themeColor="text1"/>
          <w:sz w:val="24"/>
          <w:szCs w:val="24"/>
        </w:rPr>
        <w:t>ex-ante</w:t>
      </w:r>
      <w:r w:rsidRPr="0075092E">
        <w:rPr>
          <w:rFonts w:ascii="Times New Roman" w:hAnsi="Times New Roman"/>
          <w:color w:val="000000" w:themeColor="text1"/>
          <w:sz w:val="24"/>
          <w:szCs w:val="24"/>
        </w:rPr>
        <w:t xml:space="preserve"> load impacts for unidentified PLS projects.  The three steps for estimating </w:t>
      </w:r>
      <w:r w:rsidR="00E46994" w:rsidRPr="0075092E">
        <w:rPr>
          <w:rFonts w:ascii="Times New Roman" w:hAnsi="Times New Roman"/>
          <w:color w:val="000000" w:themeColor="text1"/>
          <w:sz w:val="24"/>
          <w:szCs w:val="24"/>
        </w:rPr>
        <w:t>ex-ante</w:t>
      </w:r>
      <w:r w:rsidRPr="0075092E">
        <w:rPr>
          <w:rFonts w:ascii="Times New Roman" w:hAnsi="Times New Roman"/>
          <w:color w:val="000000" w:themeColor="text1"/>
          <w:sz w:val="24"/>
          <w:szCs w:val="24"/>
        </w:rPr>
        <w:t xml:space="preserve"> load impacts for unidentified projects are:</w:t>
      </w:r>
    </w:p>
    <w:p w:rsidR="009C3973" w:rsidRPr="0075092E" w:rsidRDefault="009C3973" w:rsidP="00421EED">
      <w:pPr>
        <w:pStyle w:val="BodyParagraph"/>
        <w:spacing w:after="0" w:line="276" w:lineRule="auto"/>
        <w:rPr>
          <w:rFonts w:ascii="Times New Roman" w:hAnsi="Times New Roman"/>
          <w:color w:val="000000" w:themeColor="text1"/>
          <w:sz w:val="24"/>
          <w:szCs w:val="24"/>
        </w:rPr>
      </w:pPr>
    </w:p>
    <w:p w:rsidR="000D5959" w:rsidRPr="000D5959" w:rsidRDefault="004B5613" w:rsidP="000D5959">
      <w:pPr>
        <w:pStyle w:val="ListParagraph"/>
        <w:numPr>
          <w:ilvl w:val="0"/>
          <w:numId w:val="13"/>
        </w:numPr>
        <w:rPr>
          <w:color w:val="000000" w:themeColor="text1"/>
        </w:rPr>
      </w:pPr>
      <w:r w:rsidRPr="000D5959">
        <w:rPr>
          <w:b/>
          <w:color w:val="000000" w:themeColor="text1"/>
        </w:rPr>
        <w:t xml:space="preserve">Step 1 </w:t>
      </w:r>
      <w:r w:rsidRPr="000D5959">
        <w:rPr>
          <w:color w:val="000000" w:themeColor="text1"/>
        </w:rPr>
        <w:t xml:space="preserve">involves forecasting the amount of incentive dollars that will be spent on unidentified projects for each IOU.  The first key input for this calculation is the total PLS budget for each IOU.  </w:t>
      </w:r>
      <w:r w:rsidR="000D5959" w:rsidRPr="000D5959">
        <w:rPr>
          <w:color w:val="000000" w:themeColor="text1"/>
        </w:rPr>
        <w:t>The budget that has been committed to identified projects was subtracted from the total incentive budget amount. Then, the remaining budget for unidentified projects was multiplied by the percentage of each IOU’s budget that will be committed to projects by the end of 2016, under the low, base case and high scenarios.   This produced the forecast of incentives available to be spent on unidentified projects.</w:t>
      </w:r>
    </w:p>
    <w:p w:rsidR="004B5613" w:rsidRPr="0075092E" w:rsidRDefault="004B5613" w:rsidP="000D5959">
      <w:pPr>
        <w:pStyle w:val="BodyParagraph"/>
        <w:spacing w:after="0" w:line="276" w:lineRule="auto"/>
        <w:ind w:left="720"/>
        <w:rPr>
          <w:rFonts w:ascii="Times New Roman" w:hAnsi="Times New Roman"/>
          <w:color w:val="000000" w:themeColor="text1"/>
          <w:sz w:val="24"/>
          <w:szCs w:val="24"/>
        </w:rPr>
      </w:pPr>
    </w:p>
    <w:p w:rsidR="000D5959" w:rsidRPr="00D23FCC" w:rsidRDefault="000D5959" w:rsidP="000D5959">
      <w:pPr>
        <w:pStyle w:val="Bullets"/>
        <w:rPr>
          <w:rFonts w:ascii="Times New Roman" w:hAnsi="Times New Roman" w:cs="Times New Roman"/>
          <w:sz w:val="24"/>
          <w:szCs w:val="24"/>
        </w:rPr>
      </w:pPr>
      <w:r w:rsidRPr="00D23FCC">
        <w:rPr>
          <w:rFonts w:ascii="Times New Roman" w:hAnsi="Times New Roman" w:cs="Times New Roman"/>
          <w:b/>
          <w:sz w:val="24"/>
          <w:szCs w:val="24"/>
        </w:rPr>
        <w:t xml:space="preserve">Step 2 </w:t>
      </w:r>
      <w:r w:rsidRPr="00D23FCC">
        <w:rPr>
          <w:rFonts w:ascii="Times New Roman" w:hAnsi="Times New Roman" w:cs="Times New Roman"/>
          <w:sz w:val="24"/>
          <w:szCs w:val="24"/>
        </w:rPr>
        <w:t>converted the incentive dollar forecast into the ex ante load impact estimates.  To do this, the forecast of incentive dollars spent on unidentified projects was divided by the incentive amount per kW load shift ($875/kW).  This kW load shift amount represents the peak load shift</w:t>
      </w:r>
      <w:r w:rsidRPr="00D23FCC">
        <w:rPr>
          <w:rStyle w:val="FootnoteReference"/>
          <w:rFonts w:ascii="Times New Roman" w:hAnsi="Times New Roman"/>
          <w:sz w:val="24"/>
          <w:szCs w:val="24"/>
        </w:rPr>
        <w:footnoteReference w:id="11"/>
      </w:r>
      <w:r w:rsidRPr="00D23FCC">
        <w:rPr>
          <w:rFonts w:ascii="Times New Roman" w:hAnsi="Times New Roman" w:cs="Times New Roman"/>
          <w:sz w:val="24"/>
          <w:szCs w:val="24"/>
        </w:rPr>
        <w:t xml:space="preserve"> that can be expected under hot, maximum cooling </w:t>
      </w:r>
      <w:r w:rsidRPr="00D23FCC">
        <w:rPr>
          <w:rFonts w:ascii="Times New Roman" w:hAnsi="Times New Roman" w:cs="Times New Roman"/>
          <w:sz w:val="24"/>
          <w:szCs w:val="24"/>
        </w:rPr>
        <w:lastRenderedPageBreak/>
        <w:t>load, weather conditions.  The kW load shift was multiplied by the ex ante conversion factors, which converted the load shift under the incentive payment, maximum cooling load and weather conditions to the ex ante load impact estimates for monthly system peak days and average weekdays under 1-in-2 year and 1-in-10 year weather conditions (as per the California DR Load Impact Protocols).  The conversion factors were re-estimated for the PY2014 evaluation based on updated building simulation models and newly developed 1-in-2 and 1-in-10 year weather data that address the new requirement for reporting results for the CAISO system peak in addition to the IOU system peak.</w:t>
      </w:r>
    </w:p>
    <w:p w:rsidR="000D5959" w:rsidRDefault="000D5959" w:rsidP="009C3973">
      <w:pPr>
        <w:pStyle w:val="BodyParagraph"/>
        <w:spacing w:after="0" w:line="276" w:lineRule="auto"/>
        <w:ind w:left="720"/>
        <w:rPr>
          <w:rFonts w:ascii="Times New Roman" w:hAnsi="Times New Roman"/>
          <w:color w:val="000000" w:themeColor="text1"/>
          <w:sz w:val="24"/>
          <w:szCs w:val="24"/>
        </w:rPr>
      </w:pPr>
    </w:p>
    <w:p w:rsidR="000D5959" w:rsidRPr="00D23FCC" w:rsidRDefault="000D5959" w:rsidP="000D5959">
      <w:pPr>
        <w:pStyle w:val="BulletLast"/>
        <w:spacing w:after="240"/>
        <w:rPr>
          <w:rFonts w:ascii="Times New Roman" w:hAnsi="Times New Roman" w:cs="Times New Roman"/>
          <w:sz w:val="24"/>
          <w:szCs w:val="24"/>
        </w:rPr>
      </w:pPr>
      <w:r w:rsidRPr="00D23FCC">
        <w:rPr>
          <w:rFonts w:ascii="Times New Roman" w:hAnsi="Times New Roman" w:cs="Times New Roman"/>
          <w:b/>
          <w:sz w:val="24"/>
          <w:szCs w:val="24"/>
        </w:rPr>
        <w:t>Step 3</w:t>
      </w:r>
      <w:r w:rsidRPr="00D23FCC">
        <w:rPr>
          <w:rFonts w:ascii="Times New Roman" w:hAnsi="Times New Roman" w:cs="Times New Roman"/>
          <w:sz w:val="24"/>
          <w:szCs w:val="24"/>
        </w:rPr>
        <w:t xml:space="preserve"> forecasts when each PLS-TES installation is expected to come online based on slightly different assumptions for each utility (described below).  The time between when an application is received and when the installation and verification are completed varies from 8 to 24 months, so projects are not expected to come online until 2016 or later.  Over time, the load shifting capacity of the PLS-TES technologies is expected to degrade as the system ages.  The forecasts assume that five years after each forecasted PLS-TES installation, the ex ante impacts begin to degrade at a rate of 2.5% per year.  This assumption was made in consultation with program managers and it is consistent with last year’s evaluation.</w:t>
      </w:r>
    </w:p>
    <w:p w:rsidR="00D23221" w:rsidRPr="0075092E" w:rsidRDefault="00D23221" w:rsidP="00421EED">
      <w:pPr>
        <w:pStyle w:val="BodyParagraph"/>
        <w:spacing w:after="0" w:line="276" w:lineRule="auto"/>
        <w:rPr>
          <w:rFonts w:ascii="Times New Roman" w:hAnsi="Times New Roman"/>
          <w:color w:val="000000" w:themeColor="text1"/>
          <w:sz w:val="24"/>
          <w:szCs w:val="24"/>
        </w:rPr>
      </w:pPr>
    </w:p>
    <w:p w:rsidR="004B5613" w:rsidRPr="0075092E" w:rsidRDefault="004B5613" w:rsidP="004B5613">
      <w:pPr>
        <w:pStyle w:val="TableFigureCaption"/>
        <w:rPr>
          <w:rFonts w:ascii="Times New Roman" w:hAnsi="Times New Roman"/>
          <w:color w:val="000000" w:themeColor="text1"/>
          <w:sz w:val="20"/>
          <w:szCs w:val="20"/>
        </w:rPr>
      </w:pPr>
      <w:r w:rsidRPr="0075092E">
        <w:rPr>
          <w:rFonts w:ascii="Times New Roman" w:hAnsi="Times New Roman"/>
          <w:color w:val="000000" w:themeColor="text1"/>
          <w:sz w:val="20"/>
          <w:szCs w:val="20"/>
        </w:rPr>
        <w:t xml:space="preserve">Figure </w:t>
      </w:r>
      <w:r w:rsidR="00136E4F">
        <w:rPr>
          <w:rFonts w:ascii="Times New Roman" w:hAnsi="Times New Roman"/>
          <w:color w:val="000000" w:themeColor="text1"/>
          <w:sz w:val="20"/>
          <w:szCs w:val="20"/>
        </w:rPr>
        <w:t>8</w:t>
      </w:r>
      <w:r w:rsidRPr="0075092E">
        <w:rPr>
          <w:rFonts w:ascii="Times New Roman" w:hAnsi="Times New Roman"/>
          <w:color w:val="000000" w:themeColor="text1"/>
          <w:sz w:val="20"/>
          <w:szCs w:val="20"/>
        </w:rPr>
        <w:t xml:space="preserve">-1: Methodology for Estimating </w:t>
      </w:r>
      <w:r w:rsidR="00E46994" w:rsidRPr="0075092E">
        <w:rPr>
          <w:rFonts w:ascii="Times New Roman" w:hAnsi="Times New Roman"/>
          <w:color w:val="000000" w:themeColor="text1"/>
          <w:sz w:val="20"/>
          <w:szCs w:val="20"/>
        </w:rPr>
        <w:t>Ex-ante</w:t>
      </w:r>
      <w:r w:rsidRPr="0075092E">
        <w:rPr>
          <w:rFonts w:ascii="Times New Roman" w:hAnsi="Times New Roman"/>
          <w:color w:val="000000" w:themeColor="text1"/>
          <w:sz w:val="20"/>
          <w:szCs w:val="20"/>
        </w:rPr>
        <w:t xml:space="preserve"> Load Impacts of Unidentified PLS Projects</w:t>
      </w:r>
    </w:p>
    <w:p w:rsidR="00BD6519" w:rsidRPr="0075092E" w:rsidRDefault="000D5959" w:rsidP="00D23221">
      <w:pPr>
        <w:pStyle w:val="BodyParagraph"/>
        <w:spacing w:after="0" w:line="276" w:lineRule="auto"/>
        <w:ind w:firstLine="360"/>
        <w:jc w:val="center"/>
        <w:rPr>
          <w:color w:val="000000" w:themeColor="text1"/>
        </w:rPr>
      </w:pPr>
      <w:r>
        <w:rPr>
          <w:noProof/>
        </w:rPr>
        <w:drawing>
          <wp:inline distT="0" distB="0" distL="0" distR="0" wp14:anchorId="4BFC9019" wp14:editId="3330F4B0">
            <wp:extent cx="5943600" cy="2971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 flow 2.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rsidR="005854B2" w:rsidRPr="0075092E" w:rsidRDefault="005854B2" w:rsidP="00D23221">
      <w:pPr>
        <w:pStyle w:val="BodyParagraph"/>
        <w:spacing w:after="0" w:line="276" w:lineRule="auto"/>
        <w:ind w:firstLine="360"/>
        <w:jc w:val="center"/>
        <w:rPr>
          <w:color w:val="000000" w:themeColor="text1"/>
        </w:rPr>
      </w:pPr>
    </w:p>
    <w:p w:rsidR="00384313" w:rsidRPr="000C7FF9" w:rsidRDefault="00384313" w:rsidP="000C7FF9">
      <w:pPr>
        <w:pStyle w:val="BodyParaAfterTableFigure"/>
        <w:ind w:firstLine="360"/>
        <w:rPr>
          <w:rFonts w:ascii="Times New Roman" w:hAnsi="Times New Roman"/>
          <w:color w:val="000000" w:themeColor="text1"/>
          <w:sz w:val="24"/>
          <w:szCs w:val="24"/>
        </w:rPr>
      </w:pPr>
      <w:r w:rsidRPr="000C7FF9">
        <w:rPr>
          <w:rFonts w:ascii="Times New Roman" w:hAnsi="Times New Roman"/>
          <w:color w:val="000000" w:themeColor="text1"/>
          <w:sz w:val="24"/>
          <w:szCs w:val="24"/>
        </w:rPr>
        <w:lastRenderedPageBreak/>
        <w:t>The ex ante conversion factors were used to convert the load shift under the incentive payment, maximum cooling load and weather conditions to the load shift that can be expected under the various ex ante temperature scenarios. The ex ante temperature scenarios include the monthly system peak days and average weekdays under 1-in-2 year and 1-in-10 year weather conditions for the utility specific and CAISO peak.  Essentially, the conversion factors facilitate the estimation of the PLS-TES load impacts under a variety of different weather conditions with ease and efficiency. The analysis shows that relative usage values across different weather conditions are basically insensitive to building characteristics, and the ratio for a given ex ante condition hardly changes as the building characteristics vary substantially.  This relationship is a critical factor in the evaluation, and the current conversion factor approach would need to be modified if this weren’t the case.</w:t>
      </w:r>
    </w:p>
    <w:p w:rsidR="00384313" w:rsidRPr="000C7FF9" w:rsidRDefault="00384313" w:rsidP="000C7FF9">
      <w:pPr>
        <w:pStyle w:val="BodyParagraph"/>
        <w:ind w:firstLine="360"/>
        <w:rPr>
          <w:rFonts w:ascii="Times New Roman" w:hAnsi="Times New Roman"/>
          <w:color w:val="000000" w:themeColor="text1"/>
          <w:sz w:val="24"/>
          <w:szCs w:val="24"/>
        </w:rPr>
      </w:pPr>
      <w:r w:rsidRPr="000C7FF9">
        <w:rPr>
          <w:rFonts w:ascii="Times New Roman" w:hAnsi="Times New Roman"/>
          <w:color w:val="000000" w:themeColor="text1"/>
          <w:sz w:val="24"/>
          <w:szCs w:val="24"/>
        </w:rPr>
        <w:t>It is important to note that these conversion factors were developed with building simulation models of space cooling installations.  Some of the applications that have been received thus far also include process cooling installations, which have load profiles that frequently differ from the typical space cooling profile.  Unfortunately, the process cooling installations do not make good candidates for generalized modeling because they are highly customized by industry and location; in addition, while space cooling loads exhibit significant seasonality due to temperature variation, process cooling loads may vary seasonally by temperature and changes in the underlying production process. The weather sensitivity of the currently modeled process cooling applications was analyzed, and the range of sensitivity in terms of the percentage difference in cooling load between 1-in-2 and 1-in-10 monthly peak days exhibit similar upper and lower limits to commercial AC cycling programs.  For the sake of simplicity, lack of generalizability of the process cooling installations and similarity in weather sensitivity ranges, space cooling building simulation models were used to develop the conversion factors for both space cooling and process cooling installations.</w:t>
      </w:r>
    </w:p>
    <w:p w:rsidR="00384313" w:rsidRPr="000C7FF9" w:rsidRDefault="00384313" w:rsidP="000C7FF9">
      <w:pPr>
        <w:pStyle w:val="BodyBeforeBullet"/>
        <w:ind w:firstLine="360"/>
        <w:rPr>
          <w:rFonts w:ascii="Times New Roman" w:hAnsi="Times New Roman"/>
          <w:color w:val="000000" w:themeColor="text1"/>
          <w:sz w:val="24"/>
          <w:szCs w:val="24"/>
        </w:rPr>
      </w:pPr>
      <w:r w:rsidRPr="000C7FF9">
        <w:rPr>
          <w:rFonts w:ascii="Times New Roman" w:hAnsi="Times New Roman"/>
          <w:color w:val="000000" w:themeColor="text1"/>
          <w:sz w:val="24"/>
          <w:szCs w:val="24"/>
        </w:rPr>
        <w:t>The forecast of incentive dollars spent on unidentified projects was used to estimate PLS program enrollment, which is defined as the number of PLS-TES installations that have come online.  Before a project comes online, customers must go through the application and verification process, during which some customers may drop off.  Therefore, customers are not defined as enrolled until their PLS-TES installation has come online.  Nonetheless, for each IOU, the applications that have been received were used to inform assumptions about the following:</w:t>
      </w:r>
    </w:p>
    <w:p w:rsidR="00384313" w:rsidRPr="000C7FF9" w:rsidRDefault="00384313" w:rsidP="00384313">
      <w:pPr>
        <w:pStyle w:val="Bullets"/>
        <w:rPr>
          <w:rFonts w:ascii="Times New Roman" w:hAnsi="Times New Roman" w:cs="Times New Roman"/>
          <w:color w:val="000000" w:themeColor="text1"/>
          <w:sz w:val="24"/>
          <w:szCs w:val="24"/>
        </w:rPr>
      </w:pPr>
      <w:r w:rsidRPr="000C7FF9">
        <w:rPr>
          <w:rFonts w:ascii="Times New Roman" w:hAnsi="Times New Roman" w:cs="Times New Roman"/>
          <w:color w:val="000000" w:themeColor="text1"/>
          <w:sz w:val="24"/>
          <w:szCs w:val="24"/>
        </w:rPr>
        <w:t>Peak load shift of typical unidentified projects;</w:t>
      </w:r>
    </w:p>
    <w:p w:rsidR="00384313" w:rsidRPr="000C7FF9" w:rsidRDefault="00384313" w:rsidP="00384313">
      <w:pPr>
        <w:pStyle w:val="Bullets"/>
        <w:rPr>
          <w:rFonts w:ascii="Times New Roman" w:hAnsi="Times New Roman" w:cs="Times New Roman"/>
          <w:color w:val="000000" w:themeColor="text1"/>
          <w:sz w:val="24"/>
          <w:szCs w:val="24"/>
        </w:rPr>
      </w:pPr>
      <w:r w:rsidRPr="000C7FF9">
        <w:rPr>
          <w:rFonts w:ascii="Times New Roman" w:hAnsi="Times New Roman" w:cs="Times New Roman"/>
          <w:color w:val="000000" w:themeColor="text1"/>
          <w:sz w:val="24"/>
          <w:szCs w:val="24"/>
        </w:rPr>
        <w:t>Number of projects of each size; and</w:t>
      </w:r>
    </w:p>
    <w:p w:rsidR="00384313" w:rsidRPr="000C7FF9" w:rsidRDefault="00384313" w:rsidP="00384313">
      <w:pPr>
        <w:pStyle w:val="BulletLast"/>
        <w:spacing w:after="240"/>
        <w:rPr>
          <w:rFonts w:ascii="Times New Roman" w:hAnsi="Times New Roman" w:cs="Times New Roman"/>
          <w:color w:val="000000" w:themeColor="text1"/>
          <w:sz w:val="24"/>
          <w:szCs w:val="24"/>
        </w:rPr>
      </w:pPr>
      <w:r w:rsidRPr="000C7FF9">
        <w:rPr>
          <w:rFonts w:ascii="Times New Roman" w:hAnsi="Times New Roman" w:cs="Times New Roman"/>
          <w:color w:val="000000" w:themeColor="text1"/>
          <w:sz w:val="24"/>
          <w:szCs w:val="24"/>
        </w:rPr>
        <w:lastRenderedPageBreak/>
        <w:t>Expected project installation and verification timeline (the time between when an application is received and when the installation and verification are completed).</w:t>
      </w:r>
    </w:p>
    <w:p w:rsidR="00384313" w:rsidRPr="000C7FF9" w:rsidRDefault="00384313" w:rsidP="000C7FF9">
      <w:pPr>
        <w:pStyle w:val="BodyParagraph"/>
        <w:ind w:firstLine="360"/>
        <w:rPr>
          <w:rFonts w:ascii="Times New Roman" w:hAnsi="Times New Roman"/>
          <w:color w:val="000000" w:themeColor="text1"/>
          <w:sz w:val="24"/>
          <w:szCs w:val="24"/>
        </w:rPr>
      </w:pPr>
      <w:r w:rsidRPr="000C7FF9">
        <w:rPr>
          <w:rFonts w:ascii="Times New Roman" w:hAnsi="Times New Roman"/>
          <w:color w:val="000000" w:themeColor="text1"/>
          <w:sz w:val="24"/>
          <w:szCs w:val="24"/>
        </w:rPr>
        <w:t>These assumptions are IOU-specific and were informed by the current applications for identified projects.  The PY2014 evaluation refined these assumptions based on the most recent information on budget, program enrollment, the current status of identified projects and the recently revised and adopted Statewide PLS Program Handbook (September 2014).</w:t>
      </w:r>
    </w:p>
    <w:p w:rsidR="00384313" w:rsidRDefault="00384313" w:rsidP="000C7FF9">
      <w:pPr>
        <w:pStyle w:val="BodyParagraph"/>
        <w:ind w:firstLine="360"/>
        <w:rPr>
          <w:rFonts w:ascii="Times New Roman" w:hAnsi="Times New Roman"/>
          <w:color w:val="000000" w:themeColor="text1"/>
          <w:sz w:val="24"/>
          <w:szCs w:val="24"/>
        </w:rPr>
      </w:pPr>
      <w:r w:rsidRPr="000C7FF9">
        <w:rPr>
          <w:rFonts w:ascii="Times New Roman" w:hAnsi="Times New Roman"/>
          <w:color w:val="000000" w:themeColor="text1"/>
          <w:sz w:val="24"/>
          <w:szCs w:val="24"/>
        </w:rPr>
        <w:t>Finally, because local weather conditions influence the load shift that is actually experienced, the ex ante load impacts are dependent on the specific geographic region in which an installation is located.  As such, it was necessary to allocate the unidentified projects to LCAs within each utility’s service area.  SDG&amp;E has only a single LCA, so no population weighting was necessary. Considering that the utilities have received applications from customers that are located in LCAs that are not usually associated with having high cooling load, the expectation regarding where these PLS-TES installations will be located is unclear.  Essentially, with process cooling being eligible for PLS program incentives, the program is viable in many different climates, as the current applications have shown.</w:t>
      </w:r>
    </w:p>
    <w:p w:rsidR="00232C4A" w:rsidRPr="001D7446" w:rsidRDefault="00232C4A" w:rsidP="000C7FF9">
      <w:pPr>
        <w:pStyle w:val="BodyParagraph"/>
        <w:ind w:firstLine="360"/>
        <w:rPr>
          <w:rFonts w:ascii="Times New Roman" w:hAnsi="Times New Roman"/>
          <w:color w:val="000000" w:themeColor="text1"/>
          <w:sz w:val="24"/>
          <w:szCs w:val="24"/>
        </w:rPr>
      </w:pPr>
      <w:r w:rsidRPr="00232C4A">
        <w:rPr>
          <w:rFonts w:ascii="Times New Roman" w:hAnsi="Times New Roman"/>
          <w:i/>
          <w:color w:val="000000" w:themeColor="text1"/>
          <w:sz w:val="24"/>
          <w:szCs w:val="24"/>
        </w:rPr>
        <w:t>I</w:t>
      </w:r>
      <w:r w:rsidRPr="0075092E">
        <w:rPr>
          <w:rFonts w:ascii="Times New Roman" w:hAnsi="Times New Roman"/>
          <w:i/>
          <w:color w:val="000000" w:themeColor="text1"/>
          <w:sz w:val="24"/>
          <w:szCs w:val="24"/>
        </w:rPr>
        <w:t>dentified projects:</w:t>
      </w:r>
      <w:r w:rsidRPr="0075092E">
        <w:rPr>
          <w:rFonts w:ascii="Times New Roman" w:hAnsi="Times New Roman"/>
          <w:color w:val="000000" w:themeColor="text1"/>
          <w:sz w:val="24"/>
          <w:szCs w:val="24"/>
        </w:rPr>
        <w:t xml:space="preserve"> </w:t>
      </w:r>
      <w:r w:rsidRPr="00BF594A">
        <w:t xml:space="preserve"> </w:t>
      </w:r>
      <w:r w:rsidRPr="001D7446">
        <w:rPr>
          <w:rFonts w:ascii="Times New Roman" w:hAnsi="Times New Roman"/>
          <w:sz w:val="24"/>
          <w:szCs w:val="24"/>
        </w:rPr>
        <w:t>Identified projects include those for which customers have completed an application or a feasibility study.  Applications are submitted by potential PLS participants to initiate their enrollment in the program.  Each application includes an initial estimate of the proposed PLS-TES installation’s load shifting capacity.</w:t>
      </w:r>
      <w:r w:rsidR="001D7446" w:rsidRPr="001D7446">
        <w:rPr>
          <w:rFonts w:ascii="Times New Roman" w:hAnsi="Times New Roman"/>
          <w:sz w:val="24"/>
          <w:szCs w:val="24"/>
        </w:rPr>
        <w:t xml:space="preserve"> SDG&amp;E decided to use building simulation modeling, the ex ante conversion factors were used to convert the expected load shift from the application/feasibility study to ex ante weather conditions.  This methodology is nearly identical to Step 2 and Step 3 in the methodology used for unidentified projects discussed in Section 10.2, except that the incentive amount was taken from the latest available information for that project (the application or feasibility study).  In addition, considering that the location and installation date were provided in the application for identified projects, the forecast for SDG&amp;E identified projects incorporates this information by having the project come online on the expected installation date and by assigning the ex ante load impacts for that project to the customer’s LCA.</w:t>
      </w:r>
    </w:p>
    <w:p w:rsidR="00736554" w:rsidRPr="0075092E" w:rsidRDefault="00B84525" w:rsidP="00B84525">
      <w:pPr>
        <w:pStyle w:val="Heading2"/>
        <w:rPr>
          <w:rFonts w:ascii="Times New Roman" w:hAnsi="Times New Roman" w:cs="Times New Roman"/>
          <w:color w:val="000000" w:themeColor="text1"/>
        </w:rPr>
      </w:pPr>
      <w:bookmarkStart w:id="234" w:name="_Toc415749024"/>
      <w:r w:rsidRPr="00B84525">
        <w:rPr>
          <w:rFonts w:ascii="Times New Roman" w:hAnsi="Times New Roman" w:cs="Times New Roman"/>
          <w:color w:val="000000" w:themeColor="text1"/>
        </w:rPr>
        <w:t>Estimating Ex Ante Weather Conditions</w:t>
      </w:r>
      <w:bookmarkEnd w:id="234"/>
    </w:p>
    <w:p w:rsidR="006D478F" w:rsidRDefault="006D478F" w:rsidP="006D478F">
      <w:pPr>
        <w:spacing w:line="276" w:lineRule="auto"/>
        <w:rPr>
          <w:color w:val="000000" w:themeColor="text1"/>
        </w:rPr>
      </w:pPr>
    </w:p>
    <w:p w:rsidR="00B84525" w:rsidRPr="00B84525" w:rsidRDefault="00B84525" w:rsidP="00B84525">
      <w:pPr>
        <w:ind w:firstLine="576"/>
        <w:rPr>
          <w:color w:val="000000" w:themeColor="text1"/>
        </w:rPr>
      </w:pPr>
      <w:r w:rsidRPr="00B84525">
        <w:rPr>
          <w:color w:val="000000" w:themeColor="text1"/>
        </w:rPr>
        <w:t xml:space="preserve">Tables </w:t>
      </w:r>
      <w:r w:rsidR="00136E4F">
        <w:rPr>
          <w:color w:val="000000" w:themeColor="text1"/>
        </w:rPr>
        <w:t>8</w:t>
      </w:r>
      <w:r w:rsidRPr="00B84525">
        <w:rPr>
          <w:color w:val="000000" w:themeColor="text1"/>
        </w:rPr>
        <w:t xml:space="preserve">-1 shows the values for each weather scenario, weather year and month for a variable equal to the average temperature from midnight to 5 PM (referred to as mean17) for each day type.  For SDG&amp;E, the CAISO weather is slightly warmer under 1-in-2 year weather and slightly cooler under 1-in-10 year conditions.   </w:t>
      </w:r>
    </w:p>
    <w:p w:rsidR="00B84525" w:rsidRDefault="00B84525" w:rsidP="006D478F">
      <w:pPr>
        <w:spacing w:line="276" w:lineRule="auto"/>
        <w:rPr>
          <w:color w:val="000000" w:themeColor="text1"/>
        </w:rPr>
      </w:pPr>
    </w:p>
    <w:p w:rsidR="00B84525" w:rsidRPr="00820409" w:rsidRDefault="00B84525" w:rsidP="00B84525">
      <w:pPr>
        <w:pStyle w:val="TableFigureCaption"/>
        <w:rPr>
          <w:rFonts w:ascii="Times New Roman" w:hAnsi="Times New Roman"/>
          <w:sz w:val="20"/>
          <w:szCs w:val="20"/>
        </w:rPr>
      </w:pPr>
      <w:r w:rsidRPr="00820409">
        <w:rPr>
          <w:rFonts w:ascii="Times New Roman" w:hAnsi="Times New Roman"/>
          <w:sz w:val="20"/>
          <w:szCs w:val="20"/>
        </w:rPr>
        <w:lastRenderedPageBreak/>
        <w:t xml:space="preserve">Table </w:t>
      </w:r>
      <w:r w:rsidR="00136E4F">
        <w:rPr>
          <w:rFonts w:ascii="Times New Roman" w:hAnsi="Times New Roman"/>
          <w:sz w:val="20"/>
          <w:szCs w:val="20"/>
        </w:rPr>
        <w:t>8</w:t>
      </w:r>
      <w:r w:rsidRPr="00820409">
        <w:rPr>
          <w:rFonts w:ascii="Times New Roman" w:hAnsi="Times New Roman"/>
          <w:sz w:val="20"/>
          <w:szCs w:val="20"/>
        </w:rPr>
        <w:t>-1:  SDG&amp;E Enrollment Weighted Ex Ante Weather Values (mean17)</w:t>
      </w:r>
    </w:p>
    <w:tbl>
      <w:tblPr>
        <w:tblW w:w="4616" w:type="pct"/>
        <w:jc w:val="center"/>
        <w:tblInd w:w="254" w:type="dxa"/>
        <w:tblCellMar>
          <w:left w:w="0" w:type="dxa"/>
          <w:right w:w="0" w:type="dxa"/>
        </w:tblCellMar>
        <w:tblLook w:val="04A0" w:firstRow="1" w:lastRow="0" w:firstColumn="1" w:lastColumn="0" w:noHBand="0" w:noVBand="1"/>
      </w:tblPr>
      <w:tblGrid>
        <w:gridCol w:w="1547"/>
        <w:gridCol w:w="1194"/>
        <w:gridCol w:w="1501"/>
        <w:gridCol w:w="1501"/>
        <w:gridCol w:w="1501"/>
        <w:gridCol w:w="1501"/>
      </w:tblGrid>
      <w:tr w:rsidR="00B84525" w:rsidTr="00324486">
        <w:trPr>
          <w:trHeight w:val="278"/>
          <w:tblHeader/>
          <w:jc w:val="center"/>
        </w:trPr>
        <w:tc>
          <w:tcPr>
            <w:tcW w:w="1568" w:type="pct"/>
            <w:gridSpan w:val="2"/>
            <w:vMerge w:val="restart"/>
            <w:tcBorders>
              <w:top w:val="single" w:sz="4" w:space="0" w:color="auto"/>
              <w:left w:val="single" w:sz="4" w:space="0" w:color="auto"/>
              <w:right w:val="single" w:sz="8" w:space="0" w:color="FFFFFF"/>
            </w:tcBorders>
            <w:shd w:val="clear" w:color="auto" w:fill="0070CD"/>
            <w:vAlign w:val="center"/>
          </w:tcPr>
          <w:p w:rsidR="00B84525" w:rsidRDefault="00B84525" w:rsidP="00324486">
            <w:pPr>
              <w:pStyle w:val="TableHeader"/>
            </w:pPr>
            <w:r>
              <w:t>Day Type</w:t>
            </w:r>
          </w:p>
        </w:tc>
        <w:tc>
          <w:tcPr>
            <w:tcW w:w="1716" w:type="pct"/>
            <w:gridSpan w:val="2"/>
            <w:tcBorders>
              <w:top w:val="single" w:sz="4" w:space="0" w:color="auto"/>
              <w:left w:val="nil"/>
              <w:bottom w:val="single" w:sz="8" w:space="0" w:color="FFFFFF"/>
              <w:right w:val="single" w:sz="8" w:space="0" w:color="FFFFFF"/>
            </w:tcBorders>
            <w:shd w:val="clear" w:color="auto" w:fill="0070CD"/>
            <w:tcMar>
              <w:top w:w="0" w:type="dxa"/>
              <w:left w:w="108" w:type="dxa"/>
              <w:bottom w:w="0" w:type="dxa"/>
              <w:right w:w="108" w:type="dxa"/>
            </w:tcMar>
            <w:vAlign w:val="center"/>
            <w:hideMark/>
          </w:tcPr>
          <w:p w:rsidR="00B84525" w:rsidRDefault="00B84525" w:rsidP="00324486">
            <w:pPr>
              <w:pStyle w:val="TableHeader"/>
            </w:pPr>
            <w:r>
              <w:t>SDG&amp;E Based Weather</w:t>
            </w:r>
          </w:p>
        </w:tc>
        <w:tc>
          <w:tcPr>
            <w:tcW w:w="1716" w:type="pct"/>
            <w:gridSpan w:val="2"/>
            <w:tcBorders>
              <w:top w:val="single" w:sz="4" w:space="0" w:color="auto"/>
              <w:left w:val="nil"/>
              <w:bottom w:val="single" w:sz="8" w:space="0" w:color="FFFFFF"/>
              <w:right w:val="single" w:sz="4" w:space="0" w:color="auto"/>
            </w:tcBorders>
            <w:shd w:val="clear" w:color="auto" w:fill="0070CD"/>
            <w:tcMar>
              <w:top w:w="0" w:type="dxa"/>
              <w:left w:w="108" w:type="dxa"/>
              <w:bottom w:w="0" w:type="dxa"/>
              <w:right w:w="108" w:type="dxa"/>
            </w:tcMar>
            <w:vAlign w:val="center"/>
            <w:hideMark/>
          </w:tcPr>
          <w:p w:rsidR="00B84525" w:rsidRDefault="00B84525" w:rsidP="00324486">
            <w:pPr>
              <w:pStyle w:val="TableHeader"/>
            </w:pPr>
            <w:r>
              <w:t>CAISO Based Weather</w:t>
            </w:r>
          </w:p>
        </w:tc>
      </w:tr>
      <w:tr w:rsidR="00B84525" w:rsidTr="00324486">
        <w:trPr>
          <w:trHeight w:val="278"/>
          <w:tblHeader/>
          <w:jc w:val="center"/>
        </w:trPr>
        <w:tc>
          <w:tcPr>
            <w:tcW w:w="1568" w:type="pct"/>
            <w:gridSpan w:val="2"/>
            <w:vMerge/>
            <w:tcBorders>
              <w:left w:val="single" w:sz="4" w:space="0" w:color="auto"/>
              <w:bottom w:val="single" w:sz="4" w:space="0" w:color="auto"/>
              <w:right w:val="single" w:sz="8" w:space="0" w:color="FFFFFF"/>
            </w:tcBorders>
            <w:shd w:val="clear" w:color="auto" w:fill="0070CD"/>
          </w:tcPr>
          <w:p w:rsidR="00B84525" w:rsidRDefault="00B84525" w:rsidP="00324486">
            <w:pPr>
              <w:pStyle w:val="TableHeader"/>
              <w:rPr>
                <w:rFonts w:ascii="Calibri" w:eastAsiaTheme="minorHAnsi" w:hAnsi="Calibri"/>
                <w:bCs/>
                <w:szCs w:val="20"/>
              </w:rPr>
            </w:pPr>
          </w:p>
        </w:tc>
        <w:tc>
          <w:tcPr>
            <w:tcW w:w="858" w:type="pct"/>
            <w:tcBorders>
              <w:top w:val="nil"/>
              <w:left w:val="nil"/>
              <w:bottom w:val="single" w:sz="4" w:space="0" w:color="auto"/>
              <w:right w:val="single" w:sz="8" w:space="0" w:color="FFFFFF"/>
            </w:tcBorders>
            <w:shd w:val="clear" w:color="auto" w:fill="0070CD"/>
            <w:tcMar>
              <w:top w:w="0" w:type="dxa"/>
              <w:left w:w="108" w:type="dxa"/>
              <w:bottom w:w="0" w:type="dxa"/>
              <w:right w:w="108" w:type="dxa"/>
            </w:tcMar>
            <w:vAlign w:val="center"/>
            <w:hideMark/>
          </w:tcPr>
          <w:p w:rsidR="00B84525" w:rsidRDefault="00B84525" w:rsidP="00324486">
            <w:pPr>
              <w:pStyle w:val="TableHeader"/>
            </w:pPr>
            <w:r>
              <w:t>1-in-2</w:t>
            </w:r>
          </w:p>
        </w:tc>
        <w:tc>
          <w:tcPr>
            <w:tcW w:w="858" w:type="pct"/>
            <w:tcBorders>
              <w:top w:val="nil"/>
              <w:left w:val="nil"/>
              <w:bottom w:val="single" w:sz="4" w:space="0" w:color="auto"/>
              <w:right w:val="single" w:sz="8" w:space="0" w:color="FFFFFF"/>
            </w:tcBorders>
            <w:shd w:val="clear" w:color="auto" w:fill="0070CD"/>
            <w:tcMar>
              <w:top w:w="0" w:type="dxa"/>
              <w:left w:w="108" w:type="dxa"/>
              <w:bottom w:w="0" w:type="dxa"/>
              <w:right w:w="108" w:type="dxa"/>
            </w:tcMar>
            <w:vAlign w:val="center"/>
            <w:hideMark/>
          </w:tcPr>
          <w:p w:rsidR="00B84525" w:rsidRDefault="00B84525" w:rsidP="00324486">
            <w:pPr>
              <w:pStyle w:val="TableHeader"/>
            </w:pPr>
            <w:r>
              <w:t>1-in-10</w:t>
            </w:r>
          </w:p>
        </w:tc>
        <w:tc>
          <w:tcPr>
            <w:tcW w:w="858" w:type="pct"/>
            <w:tcBorders>
              <w:top w:val="nil"/>
              <w:left w:val="nil"/>
              <w:bottom w:val="single" w:sz="4" w:space="0" w:color="auto"/>
              <w:right w:val="single" w:sz="8" w:space="0" w:color="FFFFFF"/>
            </w:tcBorders>
            <w:shd w:val="clear" w:color="auto" w:fill="0070CD"/>
            <w:tcMar>
              <w:top w:w="0" w:type="dxa"/>
              <w:left w:w="108" w:type="dxa"/>
              <w:bottom w:w="0" w:type="dxa"/>
              <w:right w:w="108" w:type="dxa"/>
            </w:tcMar>
            <w:vAlign w:val="center"/>
            <w:hideMark/>
          </w:tcPr>
          <w:p w:rsidR="00B84525" w:rsidRDefault="00B84525" w:rsidP="00324486">
            <w:pPr>
              <w:pStyle w:val="TableHeader"/>
            </w:pPr>
            <w:r>
              <w:t>1-in-2</w:t>
            </w:r>
          </w:p>
        </w:tc>
        <w:tc>
          <w:tcPr>
            <w:tcW w:w="858" w:type="pct"/>
            <w:tcBorders>
              <w:top w:val="nil"/>
              <w:left w:val="nil"/>
              <w:bottom w:val="single" w:sz="4" w:space="0" w:color="auto"/>
              <w:right w:val="single" w:sz="4" w:space="0" w:color="auto"/>
            </w:tcBorders>
            <w:shd w:val="clear" w:color="auto" w:fill="0070CD"/>
            <w:tcMar>
              <w:top w:w="0" w:type="dxa"/>
              <w:left w:w="108" w:type="dxa"/>
              <w:bottom w:w="0" w:type="dxa"/>
              <w:right w:w="108" w:type="dxa"/>
            </w:tcMar>
            <w:vAlign w:val="center"/>
            <w:hideMark/>
          </w:tcPr>
          <w:p w:rsidR="00B84525" w:rsidRDefault="00B84525" w:rsidP="00324486">
            <w:pPr>
              <w:pStyle w:val="TableHeader"/>
            </w:pPr>
            <w:r>
              <w:t>1-in-10</w:t>
            </w:r>
          </w:p>
        </w:tc>
      </w:tr>
      <w:tr w:rsidR="00B84525" w:rsidTr="00324486">
        <w:trPr>
          <w:trHeight w:val="315"/>
          <w:jc w:val="center"/>
        </w:trPr>
        <w:tc>
          <w:tcPr>
            <w:tcW w:w="1568" w:type="pct"/>
            <w:gridSpan w:val="2"/>
            <w:tcBorders>
              <w:top w:val="single" w:sz="4" w:space="0" w:color="auto"/>
              <w:left w:val="single" w:sz="8" w:space="0" w:color="auto"/>
              <w:bottom w:val="single" w:sz="8" w:space="0" w:color="auto"/>
              <w:right w:val="single" w:sz="8" w:space="0" w:color="auto"/>
            </w:tcBorders>
          </w:tcPr>
          <w:p w:rsidR="00B84525" w:rsidRDefault="00B84525" w:rsidP="00324486">
            <w:pPr>
              <w:pStyle w:val="TableText"/>
            </w:pPr>
            <w:r>
              <w:t>Typical Event Day</w:t>
            </w:r>
          </w:p>
        </w:tc>
        <w:tc>
          <w:tcPr>
            <w:tcW w:w="85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72.5</w:t>
            </w:r>
          </w:p>
        </w:tc>
        <w:tc>
          <w:tcPr>
            <w:tcW w:w="85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77.3</w:t>
            </w:r>
          </w:p>
        </w:tc>
        <w:tc>
          <w:tcPr>
            <w:tcW w:w="85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73.1</w:t>
            </w:r>
          </w:p>
        </w:tc>
        <w:tc>
          <w:tcPr>
            <w:tcW w:w="85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75.8</w:t>
            </w:r>
          </w:p>
        </w:tc>
      </w:tr>
      <w:tr w:rsidR="00B84525" w:rsidTr="00324486">
        <w:trPr>
          <w:trHeight w:val="315"/>
          <w:jc w:val="center"/>
        </w:trPr>
        <w:tc>
          <w:tcPr>
            <w:tcW w:w="885" w:type="pct"/>
            <w:vMerge w:val="restart"/>
            <w:tcBorders>
              <w:top w:val="nil"/>
              <w:left w:val="single" w:sz="8" w:space="0" w:color="auto"/>
              <w:right w:val="single" w:sz="8" w:space="0" w:color="auto"/>
            </w:tcBorders>
            <w:vAlign w:val="center"/>
          </w:tcPr>
          <w:p w:rsidR="00B84525" w:rsidRDefault="00B84525" w:rsidP="00324486">
            <w:pPr>
              <w:pStyle w:val="TableText"/>
            </w:pPr>
            <w:r>
              <w:t>Peak Day</w:t>
            </w: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525" w:rsidRDefault="00B84525" w:rsidP="00324486">
            <w:pPr>
              <w:pStyle w:val="TableText"/>
            </w:pPr>
            <w:r>
              <w:t>May</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67.6</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75.8</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64.4</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72.7</w:t>
            </w:r>
          </w:p>
        </w:tc>
      </w:tr>
      <w:tr w:rsidR="00B84525" w:rsidTr="00324486">
        <w:trPr>
          <w:trHeight w:val="315"/>
          <w:jc w:val="center"/>
        </w:trPr>
        <w:tc>
          <w:tcPr>
            <w:tcW w:w="885" w:type="pct"/>
            <w:vMerge/>
            <w:tcBorders>
              <w:left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525" w:rsidRDefault="00B84525" w:rsidP="00324486">
            <w:pPr>
              <w:pStyle w:val="TableText"/>
            </w:pPr>
            <w:r>
              <w:t>June</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68.1</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73.1</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68.7</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72.9</w:t>
            </w:r>
          </w:p>
        </w:tc>
      </w:tr>
      <w:tr w:rsidR="00B84525" w:rsidTr="00324486">
        <w:trPr>
          <w:trHeight w:val="315"/>
          <w:jc w:val="center"/>
        </w:trPr>
        <w:tc>
          <w:tcPr>
            <w:tcW w:w="885" w:type="pct"/>
            <w:vMerge/>
            <w:tcBorders>
              <w:left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525" w:rsidRDefault="00B84525" w:rsidP="00324486">
            <w:pPr>
              <w:pStyle w:val="TableText"/>
            </w:pPr>
            <w:r>
              <w:t>July</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71.8</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77.8</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71.5</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73.5</w:t>
            </w:r>
          </w:p>
        </w:tc>
      </w:tr>
      <w:tr w:rsidR="00B84525" w:rsidTr="00324486">
        <w:trPr>
          <w:trHeight w:val="315"/>
          <w:jc w:val="center"/>
        </w:trPr>
        <w:tc>
          <w:tcPr>
            <w:tcW w:w="885" w:type="pct"/>
            <w:vMerge/>
            <w:tcBorders>
              <w:left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525" w:rsidRDefault="00B84525" w:rsidP="00324486">
            <w:pPr>
              <w:pStyle w:val="TableText"/>
            </w:pPr>
            <w:r>
              <w:t>August</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74.9</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78.5</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75.9</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76.4</w:t>
            </w:r>
          </w:p>
        </w:tc>
      </w:tr>
      <w:tr w:rsidR="00B84525" w:rsidTr="00324486">
        <w:trPr>
          <w:trHeight w:val="315"/>
          <w:jc w:val="center"/>
        </w:trPr>
        <w:tc>
          <w:tcPr>
            <w:tcW w:w="885" w:type="pct"/>
            <w:vMerge/>
            <w:tcBorders>
              <w:left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525" w:rsidRDefault="00B84525" w:rsidP="00324486">
            <w:pPr>
              <w:pStyle w:val="TableText"/>
            </w:pPr>
            <w:r>
              <w:t>September</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75.0</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80.0</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76.2</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80.5</w:t>
            </w:r>
          </w:p>
        </w:tc>
      </w:tr>
      <w:tr w:rsidR="00B84525" w:rsidTr="00324486">
        <w:trPr>
          <w:trHeight w:val="315"/>
          <w:jc w:val="center"/>
        </w:trPr>
        <w:tc>
          <w:tcPr>
            <w:tcW w:w="885" w:type="pct"/>
            <w:vMerge/>
            <w:tcBorders>
              <w:left w:val="single" w:sz="8" w:space="0" w:color="auto"/>
              <w:bottom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84525" w:rsidRDefault="00B84525" w:rsidP="00324486">
            <w:pPr>
              <w:pStyle w:val="TableText"/>
            </w:pPr>
            <w:r>
              <w:t>October</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70.8</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75.9</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68.3</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74.7</w:t>
            </w:r>
          </w:p>
        </w:tc>
      </w:tr>
      <w:tr w:rsidR="00B84525" w:rsidTr="00324486">
        <w:trPr>
          <w:trHeight w:val="315"/>
          <w:jc w:val="center"/>
        </w:trPr>
        <w:tc>
          <w:tcPr>
            <w:tcW w:w="885" w:type="pct"/>
            <w:vMerge w:val="restart"/>
            <w:tcBorders>
              <w:top w:val="nil"/>
              <w:left w:val="single" w:sz="8" w:space="0" w:color="auto"/>
              <w:right w:val="single" w:sz="8" w:space="0" w:color="auto"/>
            </w:tcBorders>
            <w:vAlign w:val="center"/>
          </w:tcPr>
          <w:p w:rsidR="00B84525" w:rsidRDefault="00B84525" w:rsidP="00324486">
            <w:pPr>
              <w:pStyle w:val="TableText"/>
            </w:pPr>
            <w:r>
              <w:t>Average Weekday</w:t>
            </w: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84525" w:rsidRDefault="00B84525" w:rsidP="00324486">
            <w:pPr>
              <w:pStyle w:val="TableText"/>
            </w:pPr>
            <w:r>
              <w:t>May</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62.3</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66.2</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63.0</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62.3</w:t>
            </w:r>
          </w:p>
        </w:tc>
      </w:tr>
      <w:tr w:rsidR="00B84525" w:rsidTr="00324486">
        <w:trPr>
          <w:trHeight w:val="315"/>
          <w:jc w:val="center"/>
        </w:trPr>
        <w:tc>
          <w:tcPr>
            <w:tcW w:w="885" w:type="pct"/>
            <w:vMerge/>
            <w:tcBorders>
              <w:left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84525" w:rsidRDefault="00B84525" w:rsidP="00324486">
            <w:pPr>
              <w:pStyle w:val="TableText"/>
            </w:pPr>
            <w:r>
              <w:t>June</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65.2</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69.3</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64.1</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67.2</w:t>
            </w:r>
          </w:p>
        </w:tc>
      </w:tr>
      <w:tr w:rsidR="00B84525" w:rsidTr="00324486">
        <w:trPr>
          <w:trHeight w:val="315"/>
          <w:jc w:val="center"/>
        </w:trPr>
        <w:tc>
          <w:tcPr>
            <w:tcW w:w="885" w:type="pct"/>
            <w:vMerge/>
            <w:tcBorders>
              <w:left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84525" w:rsidRDefault="00B84525" w:rsidP="00324486">
            <w:pPr>
              <w:pStyle w:val="TableText"/>
            </w:pPr>
            <w:r>
              <w:t>July</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68.7</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70.4</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69.3</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69.2</w:t>
            </w:r>
          </w:p>
        </w:tc>
      </w:tr>
      <w:tr w:rsidR="00B84525" w:rsidTr="00324486">
        <w:trPr>
          <w:trHeight w:val="315"/>
          <w:jc w:val="center"/>
        </w:trPr>
        <w:tc>
          <w:tcPr>
            <w:tcW w:w="885" w:type="pct"/>
            <w:vMerge/>
            <w:tcBorders>
              <w:left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84525" w:rsidRDefault="00B84525" w:rsidP="00324486">
            <w:pPr>
              <w:pStyle w:val="TableText"/>
            </w:pPr>
            <w:r>
              <w:t>August</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70.0</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72.8</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70.0</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73.7</w:t>
            </w:r>
          </w:p>
        </w:tc>
      </w:tr>
      <w:tr w:rsidR="00B84525" w:rsidTr="00324486">
        <w:trPr>
          <w:trHeight w:val="315"/>
          <w:jc w:val="center"/>
        </w:trPr>
        <w:tc>
          <w:tcPr>
            <w:tcW w:w="885" w:type="pct"/>
            <w:vMerge/>
            <w:tcBorders>
              <w:left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84525" w:rsidRDefault="00B84525" w:rsidP="00324486">
            <w:pPr>
              <w:pStyle w:val="TableText"/>
            </w:pPr>
            <w:r>
              <w:t>September</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68.1</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71.4</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69.6</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71.4</w:t>
            </w:r>
          </w:p>
        </w:tc>
      </w:tr>
      <w:tr w:rsidR="00B84525" w:rsidTr="00324486">
        <w:trPr>
          <w:trHeight w:val="315"/>
          <w:jc w:val="center"/>
        </w:trPr>
        <w:tc>
          <w:tcPr>
            <w:tcW w:w="885" w:type="pct"/>
            <w:vMerge/>
            <w:tcBorders>
              <w:left w:val="single" w:sz="8" w:space="0" w:color="auto"/>
              <w:bottom w:val="single" w:sz="8" w:space="0" w:color="auto"/>
              <w:right w:val="single" w:sz="8" w:space="0" w:color="auto"/>
            </w:tcBorders>
          </w:tcPr>
          <w:p w:rsidR="00B84525" w:rsidRDefault="00B84525" w:rsidP="00324486">
            <w:pPr>
              <w:pStyle w:val="TableText"/>
            </w:pPr>
          </w:p>
        </w:tc>
        <w:tc>
          <w:tcPr>
            <w:tcW w:w="68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4525" w:rsidRDefault="00B84525" w:rsidP="00324486">
            <w:pPr>
              <w:pStyle w:val="TableText"/>
            </w:pPr>
            <w:r>
              <w:t>October</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65.2</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67.7</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65.4</w:t>
            </w:r>
          </w:p>
        </w:tc>
        <w:tc>
          <w:tcPr>
            <w:tcW w:w="858" w:type="pct"/>
            <w:tcBorders>
              <w:top w:val="nil"/>
              <w:left w:val="nil"/>
              <w:bottom w:val="single" w:sz="8" w:space="0" w:color="auto"/>
              <w:right w:val="single" w:sz="8" w:space="0" w:color="auto"/>
            </w:tcBorders>
            <w:tcMar>
              <w:top w:w="0" w:type="dxa"/>
              <w:left w:w="108" w:type="dxa"/>
              <w:bottom w:w="0" w:type="dxa"/>
              <w:right w:w="108" w:type="dxa"/>
            </w:tcMar>
            <w:vAlign w:val="center"/>
          </w:tcPr>
          <w:p w:rsidR="00B84525" w:rsidRDefault="00B84525" w:rsidP="00FD1F15">
            <w:pPr>
              <w:pStyle w:val="TableText"/>
              <w:jc w:val="center"/>
            </w:pPr>
            <w:r>
              <w:t>67.7</w:t>
            </w:r>
          </w:p>
        </w:tc>
      </w:tr>
    </w:tbl>
    <w:p w:rsidR="00B84525" w:rsidRDefault="00B84525" w:rsidP="006D478F">
      <w:pPr>
        <w:spacing w:line="276" w:lineRule="auto"/>
        <w:rPr>
          <w:color w:val="000000" w:themeColor="text1"/>
        </w:rPr>
      </w:pPr>
    </w:p>
    <w:p w:rsidR="006C52BF" w:rsidRPr="0075092E" w:rsidRDefault="006C52BF" w:rsidP="006C52BF">
      <w:pPr>
        <w:pStyle w:val="Heading2"/>
        <w:spacing w:after="0" w:line="276" w:lineRule="auto"/>
        <w:rPr>
          <w:rFonts w:ascii="Times New Roman" w:hAnsi="Times New Roman" w:cs="Times New Roman"/>
          <w:color w:val="000000" w:themeColor="text1"/>
        </w:rPr>
      </w:pPr>
      <w:bookmarkStart w:id="235" w:name="_Toc415749025"/>
      <w:r w:rsidRPr="0075092E">
        <w:rPr>
          <w:rFonts w:ascii="Times New Roman" w:hAnsi="Times New Roman" w:cs="Times New Roman"/>
          <w:color w:val="000000" w:themeColor="text1"/>
        </w:rPr>
        <w:t xml:space="preserve">PLS Ex-Ante </w:t>
      </w:r>
      <w:r>
        <w:rPr>
          <w:rFonts w:ascii="Times New Roman" w:hAnsi="Times New Roman" w:cs="Times New Roman"/>
          <w:color w:val="000000" w:themeColor="text1"/>
        </w:rPr>
        <w:t>Load Estimates</w:t>
      </w:r>
      <w:bookmarkEnd w:id="235"/>
    </w:p>
    <w:p w:rsidR="006C52BF" w:rsidRDefault="006C52BF" w:rsidP="006D478F">
      <w:pPr>
        <w:spacing w:line="276" w:lineRule="auto"/>
        <w:rPr>
          <w:color w:val="000000" w:themeColor="text1"/>
        </w:rPr>
      </w:pPr>
    </w:p>
    <w:p w:rsidR="006C52BF" w:rsidRDefault="006C52BF" w:rsidP="006C52BF">
      <w:pPr>
        <w:spacing w:line="276" w:lineRule="auto"/>
        <w:ind w:firstLine="576"/>
      </w:pPr>
      <w:r w:rsidRPr="00EB1041">
        <w:t xml:space="preserve">This section </w:t>
      </w:r>
      <w:r>
        <w:t>provides the ex ante impact estimates for peak period (1 to 6 PM) conditions for the program operational months of May through October.</w:t>
      </w:r>
      <w:r w:rsidRPr="006861A0">
        <w:t xml:space="preserve"> </w:t>
      </w:r>
      <w:r>
        <w:t xml:space="preserve"> In accordance with the Resource Adequacy window, the peak period is defined as 1 to 6 PM, even though PLS program participants are required to shift load from 11 AM to 6 PM (for SDG&amp;E).  </w:t>
      </w:r>
    </w:p>
    <w:p w:rsidR="001E1E05" w:rsidRDefault="001E1E05" w:rsidP="006C52BF">
      <w:pPr>
        <w:spacing w:line="276" w:lineRule="auto"/>
        <w:ind w:firstLine="576"/>
      </w:pPr>
    </w:p>
    <w:p w:rsidR="001E1E05" w:rsidRDefault="001E1E05" w:rsidP="006C52BF">
      <w:pPr>
        <w:spacing w:line="276" w:lineRule="auto"/>
        <w:ind w:firstLine="576"/>
      </w:pPr>
      <w:r>
        <w:t xml:space="preserve">Table </w:t>
      </w:r>
      <w:r w:rsidR="00136E4F">
        <w:t>8</w:t>
      </w:r>
      <w:r>
        <w:t>-2 provides the e</w:t>
      </w:r>
      <w:r w:rsidRPr="00B30F21">
        <w:t xml:space="preserve">x </w:t>
      </w:r>
      <w:r>
        <w:t>a</w:t>
      </w:r>
      <w:r w:rsidRPr="00B30F21">
        <w:t xml:space="preserve">nte </w:t>
      </w:r>
      <w:r>
        <w:t>l</w:t>
      </w:r>
      <w:r w:rsidRPr="00B30F21">
        <w:t xml:space="preserve">oad </w:t>
      </w:r>
      <w:r>
        <w:t>i</w:t>
      </w:r>
      <w:r w:rsidRPr="00B30F21">
        <w:t xml:space="preserve">mpact </w:t>
      </w:r>
      <w:r>
        <w:t>e</w:t>
      </w:r>
      <w:r w:rsidRPr="00B30F21">
        <w:t xml:space="preserve">stimates </w:t>
      </w:r>
      <w:r>
        <w:t>for</w:t>
      </w:r>
      <w:r w:rsidRPr="00B30F21">
        <w:t xml:space="preserve"> </w:t>
      </w:r>
      <w:r>
        <w:t>2015</w:t>
      </w:r>
      <w:r w:rsidRPr="00D9456B">
        <w:t>–</w:t>
      </w:r>
      <w:r>
        <w:t>2025 m</w:t>
      </w:r>
      <w:r w:rsidRPr="00B30F21">
        <w:t xml:space="preserve">onthly </w:t>
      </w:r>
      <w:r>
        <w:t xml:space="preserve">system peak days in May through </w:t>
      </w:r>
      <w:r w:rsidRPr="00B30F21">
        <w:t>October</w:t>
      </w:r>
      <w:r>
        <w:t xml:space="preserve"> for SDG&amp;E-specific and CAISO 1-in-2 and 1-in-10 year weather conditions for the base scenario.  SDG&amp;E’s service territory only has one LCA so the results are not divided geographically.</w:t>
      </w:r>
      <w:r w:rsidR="00D9456B">
        <w:t xml:space="preserve"> </w:t>
      </w:r>
      <w:r w:rsidR="00D9456B" w:rsidRPr="00D9456B">
        <w:t xml:space="preserve">The difference between utility specific and CAISO peaks tend to vary by month.  Impacts range from the CAISO-specific, September 1-in-2 monthly peak day in 2018 being 17% greater than the utility specific comparable peak at 3.5 MW and 2.9 MW respectively; to the utility specific July 1-in-10 monthly peak day in 2018 being 24% greater than the CAISO specific comparable peak at 3.6 MW and 2.9 MW respectively.  Year over year, the difference between the utility specific peak and the CAISO peak appears to remain fairly constant.  For example, the utility specific August 1-in-10 monthly peak load impact is typically around 4% higher than the comparable CAISO specific impact.   </w:t>
      </w:r>
    </w:p>
    <w:p w:rsidR="001E1E05" w:rsidRDefault="001E1E05" w:rsidP="006C52BF">
      <w:pPr>
        <w:spacing w:line="276" w:lineRule="auto"/>
        <w:ind w:firstLine="576"/>
      </w:pPr>
    </w:p>
    <w:p w:rsidR="00C24480" w:rsidRPr="00B83CCD" w:rsidRDefault="00C24480" w:rsidP="00C24480">
      <w:pPr>
        <w:pStyle w:val="TableFigureCaption"/>
        <w:rPr>
          <w:rFonts w:ascii="Times New Roman" w:hAnsi="Times New Roman"/>
          <w:sz w:val="20"/>
          <w:szCs w:val="20"/>
        </w:rPr>
      </w:pPr>
      <w:r w:rsidRPr="00B83CCD">
        <w:rPr>
          <w:rFonts w:ascii="Times New Roman" w:hAnsi="Times New Roman"/>
          <w:sz w:val="20"/>
          <w:szCs w:val="20"/>
        </w:rPr>
        <w:lastRenderedPageBreak/>
        <w:t xml:space="preserve">Table </w:t>
      </w:r>
      <w:r w:rsidR="00136E4F">
        <w:rPr>
          <w:rFonts w:ascii="Times New Roman" w:hAnsi="Times New Roman"/>
          <w:sz w:val="20"/>
          <w:szCs w:val="20"/>
        </w:rPr>
        <w:t>8</w:t>
      </w:r>
      <w:r w:rsidRPr="00B83CCD">
        <w:rPr>
          <w:rFonts w:ascii="Times New Roman" w:hAnsi="Times New Roman"/>
          <w:sz w:val="20"/>
          <w:szCs w:val="20"/>
        </w:rPr>
        <w:t xml:space="preserve">-2: SDG&amp;E Ex Ante Load Impact Estimates (1 to 6 PM) </w:t>
      </w:r>
      <w:r w:rsidRPr="00B83CCD">
        <w:rPr>
          <w:rFonts w:ascii="Times New Roman" w:hAnsi="Times New Roman"/>
          <w:sz w:val="20"/>
          <w:szCs w:val="20"/>
        </w:rPr>
        <w:br/>
        <w:t>on Monthly Peak Days for April-October 2015-2025 (kW) – Base Scenario</w:t>
      </w:r>
    </w:p>
    <w:tbl>
      <w:tblPr>
        <w:tblW w:w="12130" w:type="dxa"/>
        <w:tblInd w:w="-1152" w:type="dxa"/>
        <w:tblLook w:val="04A0" w:firstRow="1" w:lastRow="0" w:firstColumn="1" w:lastColumn="0" w:noHBand="0" w:noVBand="1"/>
      </w:tblPr>
      <w:tblGrid>
        <w:gridCol w:w="900"/>
        <w:gridCol w:w="1050"/>
        <w:gridCol w:w="750"/>
        <w:gridCol w:w="880"/>
        <w:gridCol w:w="880"/>
        <w:gridCol w:w="880"/>
        <w:gridCol w:w="780"/>
        <w:gridCol w:w="880"/>
        <w:gridCol w:w="830"/>
        <w:gridCol w:w="880"/>
        <w:gridCol w:w="830"/>
        <w:gridCol w:w="880"/>
        <w:gridCol w:w="830"/>
        <w:gridCol w:w="880"/>
      </w:tblGrid>
      <w:tr w:rsidR="00C24480" w:rsidRPr="005F5BD8" w:rsidTr="00C24480">
        <w:trPr>
          <w:trHeight w:val="300"/>
        </w:trPr>
        <w:tc>
          <w:tcPr>
            <w:tcW w:w="900" w:type="dxa"/>
            <w:vMerge w:val="restart"/>
            <w:tcBorders>
              <w:top w:val="single" w:sz="4" w:space="0" w:color="000000"/>
              <w:left w:val="single" w:sz="4" w:space="0" w:color="000000"/>
              <w:bottom w:val="single" w:sz="4" w:space="0" w:color="FFFFFF"/>
              <w:right w:val="single" w:sz="4" w:space="0" w:color="FFFFFF" w:themeColor="background1"/>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Peak Type</w:t>
            </w:r>
          </w:p>
        </w:tc>
        <w:tc>
          <w:tcPr>
            <w:tcW w:w="1050" w:type="dxa"/>
            <w:vMerge w:val="restart"/>
            <w:tcBorders>
              <w:top w:val="single" w:sz="4" w:space="0" w:color="000000"/>
              <w:left w:val="single" w:sz="4" w:space="0" w:color="FFFFFF" w:themeColor="background1"/>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Forecast Year</w:t>
            </w:r>
          </w:p>
        </w:tc>
        <w:tc>
          <w:tcPr>
            <w:tcW w:w="1630" w:type="dxa"/>
            <w:gridSpan w:val="2"/>
            <w:tcBorders>
              <w:top w:val="single" w:sz="4" w:space="0" w:color="000000"/>
              <w:left w:val="nil"/>
              <w:bottom w:val="single" w:sz="4" w:space="0" w:color="FFFFFF"/>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May</w:t>
            </w:r>
          </w:p>
        </w:tc>
        <w:tc>
          <w:tcPr>
            <w:tcW w:w="1760" w:type="dxa"/>
            <w:gridSpan w:val="2"/>
            <w:tcBorders>
              <w:top w:val="single" w:sz="4" w:space="0" w:color="000000"/>
              <w:left w:val="nil"/>
              <w:bottom w:val="single" w:sz="4" w:space="0" w:color="FFFFFF"/>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June</w:t>
            </w:r>
          </w:p>
        </w:tc>
        <w:tc>
          <w:tcPr>
            <w:tcW w:w="1660" w:type="dxa"/>
            <w:gridSpan w:val="2"/>
            <w:tcBorders>
              <w:top w:val="single" w:sz="4" w:space="0" w:color="000000"/>
              <w:left w:val="nil"/>
              <w:bottom w:val="single" w:sz="4" w:space="0" w:color="FFFFFF"/>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July</w:t>
            </w:r>
          </w:p>
        </w:tc>
        <w:tc>
          <w:tcPr>
            <w:tcW w:w="1710" w:type="dxa"/>
            <w:gridSpan w:val="2"/>
            <w:tcBorders>
              <w:top w:val="single" w:sz="4" w:space="0" w:color="000000"/>
              <w:left w:val="nil"/>
              <w:bottom w:val="single" w:sz="4" w:space="0" w:color="FFFFFF"/>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August</w:t>
            </w:r>
          </w:p>
        </w:tc>
        <w:tc>
          <w:tcPr>
            <w:tcW w:w="1710" w:type="dxa"/>
            <w:gridSpan w:val="2"/>
            <w:tcBorders>
              <w:top w:val="single" w:sz="4" w:space="0" w:color="000000"/>
              <w:left w:val="nil"/>
              <w:bottom w:val="single" w:sz="4" w:space="0" w:color="FFFFFF"/>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September</w:t>
            </w:r>
          </w:p>
        </w:tc>
        <w:tc>
          <w:tcPr>
            <w:tcW w:w="1710" w:type="dxa"/>
            <w:gridSpan w:val="2"/>
            <w:tcBorders>
              <w:top w:val="single" w:sz="4" w:space="0" w:color="000000"/>
              <w:left w:val="nil"/>
              <w:bottom w:val="single" w:sz="4" w:space="0" w:color="FFFFFF"/>
              <w:right w:val="single" w:sz="4" w:space="0" w:color="000000"/>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October</w:t>
            </w:r>
          </w:p>
        </w:tc>
      </w:tr>
      <w:tr w:rsidR="00C24480" w:rsidRPr="005F5BD8" w:rsidTr="00C24480">
        <w:trPr>
          <w:trHeight w:val="300"/>
        </w:trPr>
        <w:tc>
          <w:tcPr>
            <w:tcW w:w="900" w:type="dxa"/>
            <w:vMerge/>
            <w:tcBorders>
              <w:top w:val="single" w:sz="4" w:space="0" w:color="000000"/>
              <w:left w:val="single" w:sz="4" w:space="0" w:color="000000"/>
              <w:bottom w:val="single" w:sz="4" w:space="0" w:color="FFFFFF"/>
              <w:right w:val="single" w:sz="4" w:space="0" w:color="FFFFFF" w:themeColor="background1"/>
            </w:tcBorders>
            <w:vAlign w:val="center"/>
            <w:hideMark/>
          </w:tcPr>
          <w:p w:rsidR="00C24480" w:rsidRPr="005F5BD8" w:rsidRDefault="00C24480" w:rsidP="00324486">
            <w:pPr>
              <w:rPr>
                <w:rFonts w:ascii="Arial" w:hAnsi="Arial" w:cs="Arial"/>
                <w:b/>
                <w:bCs/>
                <w:color w:val="FFFFFF"/>
                <w:sz w:val="20"/>
                <w:szCs w:val="20"/>
              </w:rPr>
            </w:pPr>
          </w:p>
        </w:tc>
        <w:tc>
          <w:tcPr>
            <w:tcW w:w="1050" w:type="dxa"/>
            <w:vMerge/>
            <w:tcBorders>
              <w:top w:val="single" w:sz="4" w:space="0" w:color="000000"/>
              <w:left w:val="single" w:sz="4" w:space="0" w:color="FFFFFF" w:themeColor="background1"/>
              <w:bottom w:val="single" w:sz="4" w:space="0" w:color="000000"/>
              <w:right w:val="single" w:sz="4" w:space="0" w:color="FFFFFF"/>
            </w:tcBorders>
            <w:vAlign w:val="center"/>
            <w:hideMark/>
          </w:tcPr>
          <w:p w:rsidR="00C24480" w:rsidRPr="005F5BD8" w:rsidRDefault="00C24480" w:rsidP="00324486">
            <w:pPr>
              <w:rPr>
                <w:rFonts w:ascii="Arial" w:hAnsi="Arial" w:cs="Arial"/>
                <w:b/>
                <w:bCs/>
                <w:color w:val="FFFFFF"/>
                <w:sz w:val="20"/>
                <w:szCs w:val="20"/>
              </w:rPr>
            </w:pPr>
          </w:p>
        </w:tc>
        <w:tc>
          <w:tcPr>
            <w:tcW w:w="75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1-in-2</w:t>
            </w:r>
          </w:p>
        </w:tc>
        <w:tc>
          <w:tcPr>
            <w:tcW w:w="88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1-in-10</w:t>
            </w:r>
          </w:p>
        </w:tc>
        <w:tc>
          <w:tcPr>
            <w:tcW w:w="88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1-in-2</w:t>
            </w:r>
          </w:p>
        </w:tc>
        <w:tc>
          <w:tcPr>
            <w:tcW w:w="88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1-in-10</w:t>
            </w:r>
          </w:p>
        </w:tc>
        <w:tc>
          <w:tcPr>
            <w:tcW w:w="78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1-in-2</w:t>
            </w:r>
          </w:p>
        </w:tc>
        <w:tc>
          <w:tcPr>
            <w:tcW w:w="88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1-in-10</w:t>
            </w:r>
          </w:p>
        </w:tc>
        <w:tc>
          <w:tcPr>
            <w:tcW w:w="83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1-in-2</w:t>
            </w:r>
          </w:p>
        </w:tc>
        <w:tc>
          <w:tcPr>
            <w:tcW w:w="88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1-in-10</w:t>
            </w:r>
          </w:p>
        </w:tc>
        <w:tc>
          <w:tcPr>
            <w:tcW w:w="83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1-in-2</w:t>
            </w:r>
          </w:p>
        </w:tc>
        <w:tc>
          <w:tcPr>
            <w:tcW w:w="88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1-in-10</w:t>
            </w:r>
          </w:p>
        </w:tc>
        <w:tc>
          <w:tcPr>
            <w:tcW w:w="830" w:type="dxa"/>
            <w:tcBorders>
              <w:top w:val="nil"/>
              <w:left w:val="nil"/>
              <w:bottom w:val="single" w:sz="4" w:space="0" w:color="000000"/>
              <w:right w:val="single" w:sz="4" w:space="0" w:color="FFFFFF"/>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1-in-2</w:t>
            </w:r>
          </w:p>
        </w:tc>
        <w:tc>
          <w:tcPr>
            <w:tcW w:w="880" w:type="dxa"/>
            <w:tcBorders>
              <w:top w:val="nil"/>
              <w:left w:val="nil"/>
              <w:bottom w:val="single" w:sz="4" w:space="0" w:color="000000"/>
              <w:right w:val="single" w:sz="4" w:space="0" w:color="000000"/>
            </w:tcBorders>
            <w:shd w:val="clear" w:color="000000" w:fill="0070CD"/>
            <w:vAlign w:val="center"/>
            <w:hideMark/>
          </w:tcPr>
          <w:p w:rsidR="00C24480" w:rsidRPr="005F5BD8" w:rsidRDefault="00C24480" w:rsidP="00324486">
            <w:pPr>
              <w:jc w:val="center"/>
              <w:rPr>
                <w:rFonts w:ascii="Arial" w:hAnsi="Arial" w:cs="Arial"/>
                <w:b/>
                <w:bCs/>
                <w:color w:val="FFFFFF"/>
                <w:sz w:val="20"/>
                <w:szCs w:val="20"/>
              </w:rPr>
            </w:pPr>
            <w:r w:rsidRPr="005F5BD8">
              <w:rPr>
                <w:rFonts w:ascii="Arial" w:hAnsi="Arial" w:cs="Arial"/>
                <w:b/>
                <w:bCs/>
                <w:color w:val="FFFFFF"/>
                <w:sz w:val="20"/>
                <w:szCs w:val="20"/>
              </w:rPr>
              <w:t>1-in-10</w:t>
            </w:r>
          </w:p>
        </w:tc>
      </w:tr>
      <w:tr w:rsidR="00C24480" w:rsidRPr="005F5BD8" w:rsidTr="00C24480">
        <w:trPr>
          <w:trHeight w:val="30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Utility Specific</w:t>
            </w: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2015</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2016</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1,567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1,787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1,628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1,761</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1,621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2,063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1,781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1,970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1,693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2,102</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1,804</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1,841</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2017</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2,200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2,509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2,286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2,473</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2,277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2,897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2,501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2,766</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2,377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2,952</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2,533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2,585</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2018</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2,707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3,087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2,812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3,043</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2,801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3,564</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3,077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3,403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2,924</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3,632</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3,116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3,180</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2019</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2,707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3,087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2,812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3,043</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2,801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3,564</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3,077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3,403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2,924</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3,632</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3,116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3,180</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2020</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2,707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3,087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2,812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3,043</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2,801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3,564</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3,077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3,403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2,924</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3,632</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3,116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3,180</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2021</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2,667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3,042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2,771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2,998</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2,761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3,512</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3,032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3,354</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2,882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3,579</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3,071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3,134</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2022</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2,629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2,998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2,731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2,956</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2,722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3,461</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2,988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3,305</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2,841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3,527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3,027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3,090</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2023</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2,563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2,923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2,663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2,882</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2,654</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3,373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2,913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3,223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2,770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3,438</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2,952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3,013</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2024</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2,499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2,850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2,596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2,809</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2,589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3,288</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2,839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3,142</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2,701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3,352</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2,878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2,937</w:t>
            </w:r>
          </w:p>
        </w:tc>
      </w:tr>
      <w:tr w:rsidR="00C24480" w:rsidRPr="005F5BD8" w:rsidTr="00C24480">
        <w:trPr>
          <w:trHeight w:val="30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2025</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2,437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2,778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2,531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2,739</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2,525</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3,205</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2,768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3,063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2,633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3,267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2,807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2,864</w:t>
            </w:r>
          </w:p>
        </w:tc>
      </w:tr>
      <w:tr w:rsidR="00C24480" w:rsidRPr="005F5BD8" w:rsidTr="00C24480">
        <w:trPr>
          <w:trHeight w:val="300"/>
        </w:trPr>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CAISO Specific</w:t>
            </w: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2015</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0</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2016</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1,372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1,859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1,525</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1,794</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1,741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1,666</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1,822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1,899</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2,036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2,076</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1,637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1,837</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2017</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1,927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2,611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2,141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2,519</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2,446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2,340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2,558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2,666</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2,860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2,916</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2,299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2,579</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2018</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2,371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3,212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2,635</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3,099</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3,009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2,879</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3,148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3,280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3,518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3,587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2,829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3,173</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2019</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2,371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3,212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2,635</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3,099</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3,009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2,879</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3,148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3,280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3,518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3,587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2,829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3,173</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2020</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2,371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3,212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2,635</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3,099</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3,009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2,879</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3,148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3,280</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3,518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3,587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2,829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3,173</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2021</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2,336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3,166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2,597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3,054</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2,966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2,837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3,102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3,233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3,467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3,535</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2,788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3,127</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2022</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2,303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3,121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2,559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3,010</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2,924</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2,797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3,058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3,186</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3,417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3,483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2,749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3,082</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2023</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2,245</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3,043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2,496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2,935</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2,851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2,727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2,981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3,106</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3,331</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3,394</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2,680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3,004</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2024</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2,188</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2,966</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2,433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2,861</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2,780</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2,659</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2,907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3,028</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3,247</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3,307</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2,614</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2,928</w:t>
            </w:r>
          </w:p>
        </w:tc>
      </w:tr>
      <w:tr w:rsidR="00C24480" w:rsidRPr="005F5BD8" w:rsidTr="00C24480">
        <w:trPr>
          <w:trHeight w:val="300"/>
        </w:trPr>
        <w:tc>
          <w:tcPr>
            <w:tcW w:w="900" w:type="dxa"/>
            <w:vMerge/>
            <w:tcBorders>
              <w:top w:val="nil"/>
              <w:left w:val="single" w:sz="4" w:space="0" w:color="auto"/>
              <w:bottom w:val="single" w:sz="4" w:space="0" w:color="auto"/>
              <w:right w:val="single" w:sz="4" w:space="0" w:color="auto"/>
            </w:tcBorders>
            <w:vAlign w:val="center"/>
            <w:hideMark/>
          </w:tcPr>
          <w:p w:rsidR="00C24480" w:rsidRPr="000A2E8F" w:rsidRDefault="00C24480" w:rsidP="00324486">
            <w:pPr>
              <w:rPr>
                <w:rFonts w:ascii="Arial" w:hAnsi="Arial" w:cs="Arial"/>
                <w:color w:val="000000"/>
                <w:sz w:val="18"/>
                <w:szCs w:val="18"/>
              </w:rPr>
            </w:pPr>
          </w:p>
        </w:tc>
        <w:tc>
          <w:tcPr>
            <w:tcW w:w="10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2025</w:t>
            </w:r>
          </w:p>
        </w:tc>
        <w:tc>
          <w:tcPr>
            <w:tcW w:w="75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2,133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2,892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2,373</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2,789</w:t>
            </w:r>
          </w:p>
        </w:tc>
        <w:tc>
          <w:tcPr>
            <w:tcW w:w="7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2,712</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2,593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2,834</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2,952</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3,165</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3,223</w:t>
            </w:r>
          </w:p>
        </w:tc>
        <w:tc>
          <w:tcPr>
            <w:tcW w:w="83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2,549</w:t>
            </w:r>
          </w:p>
        </w:tc>
        <w:tc>
          <w:tcPr>
            <w:tcW w:w="880" w:type="dxa"/>
            <w:tcBorders>
              <w:top w:val="nil"/>
              <w:left w:val="nil"/>
              <w:bottom w:val="single" w:sz="4" w:space="0" w:color="000000"/>
              <w:right w:val="single" w:sz="4" w:space="0" w:color="000000"/>
            </w:tcBorders>
            <w:shd w:val="clear" w:color="auto" w:fill="auto"/>
            <w:noWrap/>
            <w:vAlign w:val="center"/>
            <w:hideMark/>
          </w:tcPr>
          <w:p w:rsidR="00C24480" w:rsidRPr="000A2E8F" w:rsidRDefault="00C24480" w:rsidP="00324486">
            <w:pPr>
              <w:jc w:val="center"/>
              <w:rPr>
                <w:rFonts w:ascii="Arial" w:hAnsi="Arial" w:cs="Arial"/>
                <w:color w:val="000000"/>
                <w:sz w:val="18"/>
                <w:szCs w:val="18"/>
              </w:rPr>
            </w:pPr>
            <w:r w:rsidRPr="000A2E8F">
              <w:rPr>
                <w:rFonts w:ascii="Arial" w:hAnsi="Arial" w:cs="Arial"/>
                <w:color w:val="000000"/>
                <w:sz w:val="18"/>
                <w:szCs w:val="18"/>
              </w:rPr>
              <w:t>2,854</w:t>
            </w:r>
          </w:p>
        </w:tc>
      </w:tr>
    </w:tbl>
    <w:p w:rsidR="001E1E05" w:rsidRDefault="001E1E05" w:rsidP="006C52BF">
      <w:pPr>
        <w:spacing w:line="276" w:lineRule="auto"/>
        <w:ind w:firstLine="576"/>
        <w:rPr>
          <w:color w:val="000000" w:themeColor="text1"/>
        </w:rPr>
      </w:pPr>
    </w:p>
    <w:p w:rsidR="00463C7B" w:rsidRDefault="00463C7B" w:rsidP="006C52BF">
      <w:pPr>
        <w:spacing w:line="276" w:lineRule="auto"/>
        <w:ind w:firstLine="576"/>
        <w:rPr>
          <w:color w:val="000000" w:themeColor="text1"/>
        </w:rPr>
      </w:pPr>
    </w:p>
    <w:p w:rsidR="00463C7B" w:rsidRPr="0075092E" w:rsidRDefault="00463C7B" w:rsidP="00463C7B">
      <w:pPr>
        <w:pStyle w:val="Heading1"/>
        <w:spacing w:after="0" w:line="276" w:lineRule="auto"/>
        <w:rPr>
          <w:rFonts w:ascii="Times New Roman" w:hAnsi="Times New Roman" w:cs="Times New Roman"/>
          <w:color w:val="000000" w:themeColor="text1"/>
        </w:rPr>
      </w:pPr>
      <w:bookmarkStart w:id="236" w:name="_Toc415749026"/>
      <w:r w:rsidRPr="00463C7B">
        <w:rPr>
          <w:rFonts w:ascii="Times New Roman" w:hAnsi="Times New Roman" w:cs="Times New Roman"/>
          <w:color w:val="000000" w:themeColor="text1"/>
        </w:rPr>
        <w:t>Non-Residential SPP Rates</w:t>
      </w:r>
      <w:bookmarkEnd w:id="236"/>
    </w:p>
    <w:p w:rsidR="00463C7B" w:rsidRPr="00463C7B" w:rsidRDefault="00463C7B" w:rsidP="00463C7B">
      <w:pPr>
        <w:pStyle w:val="Heading2"/>
        <w:rPr>
          <w:rFonts w:ascii="Times New Roman" w:hAnsi="Times New Roman" w:cs="Times New Roman"/>
          <w:color w:val="000000" w:themeColor="text1"/>
        </w:rPr>
      </w:pPr>
      <w:bookmarkStart w:id="237" w:name="_Toc415749027"/>
      <w:r w:rsidRPr="00463C7B">
        <w:rPr>
          <w:rFonts w:ascii="Times New Roman" w:hAnsi="Times New Roman" w:cs="Times New Roman"/>
          <w:color w:val="000000" w:themeColor="text1"/>
        </w:rPr>
        <w:t>Non-Residential SPP Rates</w:t>
      </w:r>
      <w:r>
        <w:rPr>
          <w:rFonts w:ascii="Times New Roman" w:hAnsi="Times New Roman" w:cs="Times New Roman"/>
          <w:color w:val="000000" w:themeColor="text1"/>
        </w:rPr>
        <w:t xml:space="preserve"> Overview</w:t>
      </w:r>
      <w:bookmarkEnd w:id="237"/>
    </w:p>
    <w:p w:rsidR="00463C7B" w:rsidRDefault="00463C7B" w:rsidP="006C52BF">
      <w:pPr>
        <w:spacing w:line="276" w:lineRule="auto"/>
        <w:ind w:firstLine="576"/>
        <w:rPr>
          <w:color w:val="000000" w:themeColor="text1"/>
        </w:rPr>
      </w:pPr>
    </w:p>
    <w:p w:rsidR="00883E99" w:rsidRPr="00883E99" w:rsidRDefault="00883E99" w:rsidP="00883E99">
      <w:pPr>
        <w:pStyle w:val="BodyParagraph"/>
        <w:ind w:firstLine="576"/>
        <w:rPr>
          <w:rFonts w:ascii="Times New Roman" w:hAnsi="Times New Roman"/>
          <w:sz w:val="24"/>
          <w:szCs w:val="24"/>
        </w:rPr>
      </w:pPr>
      <w:r w:rsidRPr="00883E99">
        <w:rPr>
          <w:rFonts w:ascii="Times New Roman" w:hAnsi="Times New Roman"/>
          <w:sz w:val="24"/>
          <w:szCs w:val="24"/>
        </w:rPr>
        <w:t>SDG&amp;E’s Smart Pricing Program (SPP) was originally proposed in 2010 and provides a dynamic pricing option to virtually all of its estimated 1.2 million residential, 116,000 small commercial (i.e., customers with maximum demand less than 20 kW), and 3,400 agricultural customers.</w:t>
      </w:r>
      <w:r w:rsidRPr="00883E99">
        <w:rPr>
          <w:rStyle w:val="FootnoteReference"/>
          <w:rFonts w:ascii="Times New Roman" w:hAnsi="Times New Roman"/>
          <w:sz w:val="24"/>
          <w:szCs w:val="24"/>
        </w:rPr>
        <w:footnoteReference w:id="12"/>
      </w:r>
      <w:r w:rsidRPr="00883E99">
        <w:rPr>
          <w:rFonts w:ascii="Times New Roman" w:hAnsi="Times New Roman"/>
          <w:sz w:val="24"/>
          <w:szCs w:val="24"/>
        </w:rPr>
        <w:t xml:space="preserve"> Implementation of time varying rates is a significant shift for SDG&amp;E’s customers and provides an incentive for reducing consumption during peak periods as well as an opportunity for customers to save on monthly bills by adjusting their behavior. </w:t>
      </w:r>
    </w:p>
    <w:p w:rsidR="00883E99" w:rsidRPr="00883E99" w:rsidRDefault="00883E99" w:rsidP="00883E99">
      <w:pPr>
        <w:pStyle w:val="BodyParagraph"/>
        <w:ind w:firstLine="576"/>
        <w:rPr>
          <w:rFonts w:ascii="Times New Roman" w:hAnsi="Times New Roman"/>
          <w:sz w:val="24"/>
          <w:szCs w:val="24"/>
        </w:rPr>
      </w:pPr>
      <w:r w:rsidRPr="00883E99">
        <w:rPr>
          <w:rFonts w:ascii="Times New Roman" w:hAnsi="Times New Roman"/>
          <w:sz w:val="24"/>
          <w:szCs w:val="24"/>
        </w:rPr>
        <w:lastRenderedPageBreak/>
        <w:t xml:space="preserve">The SPP pricing plans include both time of use (TOU) and critical peak pricing (CPP) rate components with different enrollment strategies (mandatory, default, and opt-in) for small commercial and agricultural customers. Table </w:t>
      </w:r>
      <w:r w:rsidR="00136E4F">
        <w:rPr>
          <w:rFonts w:ascii="Times New Roman" w:hAnsi="Times New Roman"/>
          <w:sz w:val="24"/>
          <w:szCs w:val="24"/>
        </w:rPr>
        <w:t>9-1</w:t>
      </w:r>
      <w:r w:rsidRPr="00883E99">
        <w:rPr>
          <w:rFonts w:ascii="Times New Roman" w:hAnsi="Times New Roman"/>
          <w:sz w:val="24"/>
          <w:szCs w:val="24"/>
        </w:rPr>
        <w:t xml:space="preserve"> summarizes these enrollment policies and the dates of availability for each customer class. For the purpose of consistent terminology, any rate that has both TOU and CPP components will be referred to as a “TOU-CPP” rate. Since customers have a choice about which rate to enroll in, all rates are technically voluntary, however TOU is mandatory in the sense that all rate options have a TOU component. Small commercial customers will be defaulted onto the TOU-CPP rate (with opt-out to TOU) starting in November 2015. Agricultural customers will be defaulted onto TOU starting in November 2015 and will be able to opt-out to the TOU-CPP rate. The defaulting of small commercial and agricultural customers will gradually occur from November 2015 through April 2016. </w:t>
      </w:r>
    </w:p>
    <w:p w:rsidR="00883E99" w:rsidRPr="00883E99" w:rsidRDefault="00883E99" w:rsidP="00883E99">
      <w:pPr>
        <w:pStyle w:val="TableFigureCaption"/>
        <w:rPr>
          <w:rFonts w:ascii="Times New Roman" w:hAnsi="Times New Roman"/>
          <w:sz w:val="20"/>
          <w:szCs w:val="20"/>
        </w:rPr>
      </w:pPr>
      <w:r w:rsidRPr="00883E99">
        <w:rPr>
          <w:rFonts w:ascii="Times New Roman" w:hAnsi="Times New Roman"/>
          <w:sz w:val="20"/>
          <w:szCs w:val="20"/>
        </w:rPr>
        <w:t xml:space="preserve">Table </w:t>
      </w:r>
      <w:r w:rsidR="00136E4F">
        <w:rPr>
          <w:rFonts w:ascii="Times New Roman" w:hAnsi="Times New Roman"/>
          <w:sz w:val="20"/>
          <w:szCs w:val="20"/>
        </w:rPr>
        <w:t>9-1</w:t>
      </w:r>
      <w:r w:rsidRPr="00883E99">
        <w:rPr>
          <w:rFonts w:ascii="Times New Roman" w:hAnsi="Times New Roman"/>
          <w:sz w:val="20"/>
          <w:szCs w:val="20"/>
        </w:rPr>
        <w:t>: SPP Rates and Availability</w:t>
      </w:r>
    </w:p>
    <w:tbl>
      <w:tblPr>
        <w:tblStyle w:val="NEXANTNEWTABLESTY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18"/>
        <w:gridCol w:w="1136"/>
        <w:gridCol w:w="2425"/>
        <w:gridCol w:w="2070"/>
        <w:gridCol w:w="1449"/>
      </w:tblGrid>
      <w:tr w:rsidR="00883E99" w:rsidRPr="00E63E06" w:rsidTr="00324486">
        <w:trPr>
          <w:cnfStyle w:val="100000000000" w:firstRow="1" w:lastRow="0" w:firstColumn="0" w:lastColumn="0" w:oddVBand="0" w:evenVBand="0" w:oddHBand="0" w:evenHBand="0" w:firstRowFirstColumn="0" w:firstRowLastColumn="0" w:lastRowFirstColumn="0" w:lastRowLastColumn="0"/>
          <w:jc w:val="center"/>
        </w:trPr>
        <w:tc>
          <w:tcPr>
            <w:tcW w:w="2118" w:type="dxa"/>
            <w:tcBorders>
              <w:right w:val="single" w:sz="4" w:space="0" w:color="FFFFFF" w:themeColor="background1"/>
            </w:tcBorders>
            <w:shd w:val="clear" w:color="auto" w:fill="0070CD"/>
            <w:vAlign w:val="center"/>
          </w:tcPr>
          <w:p w:rsidR="00883E99" w:rsidRPr="00E63E06" w:rsidRDefault="00883E99" w:rsidP="00324486">
            <w:pPr>
              <w:pStyle w:val="TableHeader"/>
              <w:rPr>
                <w:b/>
                <w:sz w:val="18"/>
              </w:rPr>
            </w:pPr>
            <w:r w:rsidRPr="00E63E06">
              <w:rPr>
                <w:sz w:val="18"/>
              </w:rPr>
              <w:t>Customer Segment</w:t>
            </w:r>
          </w:p>
        </w:tc>
        <w:tc>
          <w:tcPr>
            <w:tcW w:w="1136" w:type="dxa"/>
            <w:tcBorders>
              <w:left w:val="single" w:sz="4" w:space="0" w:color="FFFFFF" w:themeColor="background1"/>
              <w:right w:val="single" w:sz="4" w:space="0" w:color="FFFFFF" w:themeColor="background1"/>
            </w:tcBorders>
            <w:shd w:val="clear" w:color="auto" w:fill="0070CD"/>
            <w:vAlign w:val="center"/>
          </w:tcPr>
          <w:p w:rsidR="00883E99" w:rsidRPr="00E63E06" w:rsidRDefault="00883E99" w:rsidP="00324486">
            <w:pPr>
              <w:pStyle w:val="TableHeader"/>
              <w:rPr>
                <w:b/>
                <w:sz w:val="18"/>
              </w:rPr>
            </w:pPr>
            <w:r w:rsidRPr="00E63E06">
              <w:rPr>
                <w:sz w:val="18"/>
              </w:rPr>
              <w:t>Rate</w:t>
            </w:r>
          </w:p>
        </w:tc>
        <w:tc>
          <w:tcPr>
            <w:tcW w:w="2425" w:type="dxa"/>
            <w:tcBorders>
              <w:left w:val="single" w:sz="4" w:space="0" w:color="FFFFFF" w:themeColor="background1"/>
              <w:right w:val="single" w:sz="4" w:space="0" w:color="FFFFFF" w:themeColor="background1"/>
            </w:tcBorders>
            <w:shd w:val="clear" w:color="auto" w:fill="0070CD"/>
            <w:vAlign w:val="center"/>
          </w:tcPr>
          <w:p w:rsidR="00883E99" w:rsidRPr="00E63E06" w:rsidRDefault="00883E99" w:rsidP="00324486">
            <w:pPr>
              <w:pStyle w:val="TableHeader"/>
              <w:rPr>
                <w:b/>
                <w:sz w:val="18"/>
              </w:rPr>
            </w:pPr>
            <w:r w:rsidRPr="00E63E06">
              <w:rPr>
                <w:sz w:val="18"/>
              </w:rPr>
              <w:t>Enrollment Policy</w:t>
            </w:r>
          </w:p>
        </w:tc>
        <w:tc>
          <w:tcPr>
            <w:tcW w:w="2070" w:type="dxa"/>
            <w:tcBorders>
              <w:left w:val="single" w:sz="4" w:space="0" w:color="FFFFFF" w:themeColor="background1"/>
              <w:right w:val="single" w:sz="4" w:space="0" w:color="FFFFFF" w:themeColor="background1"/>
            </w:tcBorders>
            <w:shd w:val="clear" w:color="auto" w:fill="0070CD"/>
            <w:vAlign w:val="center"/>
          </w:tcPr>
          <w:p w:rsidR="00883E99" w:rsidRPr="00E63E06" w:rsidRDefault="00883E99" w:rsidP="00324486">
            <w:pPr>
              <w:pStyle w:val="TableHeader"/>
              <w:rPr>
                <w:b/>
                <w:sz w:val="18"/>
              </w:rPr>
            </w:pPr>
            <w:r w:rsidRPr="00E63E06">
              <w:rPr>
                <w:sz w:val="18"/>
              </w:rPr>
              <w:t>Start Date</w:t>
            </w:r>
          </w:p>
        </w:tc>
        <w:tc>
          <w:tcPr>
            <w:tcW w:w="1449" w:type="dxa"/>
            <w:tcBorders>
              <w:left w:val="single" w:sz="4" w:space="0" w:color="FFFFFF" w:themeColor="background1"/>
            </w:tcBorders>
            <w:shd w:val="clear" w:color="auto" w:fill="0070CD"/>
            <w:vAlign w:val="center"/>
          </w:tcPr>
          <w:p w:rsidR="00883E99" w:rsidRPr="00E63E06" w:rsidRDefault="00883E99" w:rsidP="00324486">
            <w:pPr>
              <w:pStyle w:val="TableHeader"/>
              <w:rPr>
                <w:b/>
                <w:sz w:val="18"/>
              </w:rPr>
            </w:pPr>
            <w:r w:rsidRPr="00E63E06">
              <w:rPr>
                <w:sz w:val="18"/>
              </w:rPr>
              <w:t>Current Enrollment</w:t>
            </w:r>
          </w:p>
        </w:tc>
      </w:tr>
      <w:tr w:rsidR="00883E99" w:rsidRPr="00E63E06" w:rsidTr="00324486">
        <w:trPr>
          <w:jc w:val="center"/>
        </w:trPr>
        <w:tc>
          <w:tcPr>
            <w:tcW w:w="2118" w:type="dxa"/>
            <w:vMerge w:val="restart"/>
            <w:vAlign w:val="center"/>
          </w:tcPr>
          <w:p w:rsidR="00883E99" w:rsidRPr="00E63E06" w:rsidRDefault="00883E99" w:rsidP="00324486">
            <w:pPr>
              <w:pStyle w:val="TableText"/>
            </w:pPr>
            <w:r w:rsidRPr="00E63E06">
              <w:t>Small Commercial*</w:t>
            </w:r>
          </w:p>
        </w:tc>
        <w:tc>
          <w:tcPr>
            <w:tcW w:w="1136" w:type="dxa"/>
            <w:vAlign w:val="center"/>
          </w:tcPr>
          <w:p w:rsidR="00883E99" w:rsidRPr="00E63E06" w:rsidRDefault="00883E99" w:rsidP="00324486">
            <w:pPr>
              <w:pStyle w:val="TableText"/>
            </w:pPr>
            <w:r w:rsidRPr="00E63E06">
              <w:t>TOU</w:t>
            </w:r>
          </w:p>
        </w:tc>
        <w:tc>
          <w:tcPr>
            <w:tcW w:w="2425" w:type="dxa"/>
            <w:vAlign w:val="center"/>
          </w:tcPr>
          <w:p w:rsidR="00883E99" w:rsidRPr="00E63E06" w:rsidRDefault="00883E99" w:rsidP="00324486">
            <w:pPr>
              <w:pStyle w:val="TableText"/>
            </w:pPr>
            <w:r w:rsidRPr="00E63E06">
              <w:t>Opt-in from non-time varying rate</w:t>
            </w:r>
          </w:p>
        </w:tc>
        <w:tc>
          <w:tcPr>
            <w:tcW w:w="2070" w:type="dxa"/>
            <w:vAlign w:val="center"/>
          </w:tcPr>
          <w:p w:rsidR="00883E99" w:rsidRPr="00E63E06" w:rsidRDefault="00883E99" w:rsidP="00324486">
            <w:pPr>
              <w:pStyle w:val="TableText"/>
            </w:pPr>
            <w:r w:rsidRPr="00E63E06">
              <w:t>February 1, 2015</w:t>
            </w:r>
          </w:p>
        </w:tc>
        <w:tc>
          <w:tcPr>
            <w:tcW w:w="1449" w:type="dxa"/>
            <w:vAlign w:val="center"/>
          </w:tcPr>
          <w:p w:rsidR="00883E99" w:rsidRPr="00E63E06" w:rsidRDefault="00883E99" w:rsidP="0073605C">
            <w:pPr>
              <w:pStyle w:val="TableText"/>
              <w:jc w:val="center"/>
            </w:pPr>
            <w:r w:rsidRPr="00E63E06">
              <w:t>1,028</w:t>
            </w:r>
          </w:p>
        </w:tc>
      </w:tr>
      <w:tr w:rsidR="00883E99" w:rsidRPr="00E63E06" w:rsidTr="00324486">
        <w:trPr>
          <w:jc w:val="center"/>
        </w:trPr>
        <w:tc>
          <w:tcPr>
            <w:tcW w:w="2118" w:type="dxa"/>
            <w:vMerge/>
            <w:vAlign w:val="center"/>
          </w:tcPr>
          <w:p w:rsidR="00883E99" w:rsidRPr="00E63E06" w:rsidRDefault="00883E99" w:rsidP="00324486">
            <w:pPr>
              <w:pStyle w:val="TableText"/>
            </w:pPr>
          </w:p>
        </w:tc>
        <w:tc>
          <w:tcPr>
            <w:tcW w:w="1136" w:type="dxa"/>
            <w:vAlign w:val="center"/>
          </w:tcPr>
          <w:p w:rsidR="00883E99" w:rsidRPr="00E63E06" w:rsidRDefault="00883E99" w:rsidP="00324486">
            <w:pPr>
              <w:pStyle w:val="TableText"/>
            </w:pPr>
            <w:r w:rsidRPr="00E63E06">
              <w:t>TOU-CPP</w:t>
            </w:r>
          </w:p>
        </w:tc>
        <w:tc>
          <w:tcPr>
            <w:tcW w:w="2425" w:type="dxa"/>
            <w:vAlign w:val="center"/>
          </w:tcPr>
          <w:p w:rsidR="00883E99" w:rsidRPr="00E63E06" w:rsidRDefault="00883E99" w:rsidP="00324486">
            <w:pPr>
              <w:pStyle w:val="TableText"/>
            </w:pPr>
            <w:r w:rsidRPr="00E63E06">
              <w:t>Opt-in from non-time varying rate</w:t>
            </w:r>
          </w:p>
        </w:tc>
        <w:tc>
          <w:tcPr>
            <w:tcW w:w="2070" w:type="dxa"/>
            <w:vAlign w:val="center"/>
          </w:tcPr>
          <w:p w:rsidR="00883E99" w:rsidRPr="00E63E06" w:rsidRDefault="00883E99" w:rsidP="00324486">
            <w:pPr>
              <w:pStyle w:val="TableText"/>
            </w:pPr>
            <w:r w:rsidRPr="00E63E06">
              <w:t>February 1, 2015</w:t>
            </w:r>
          </w:p>
        </w:tc>
        <w:tc>
          <w:tcPr>
            <w:tcW w:w="1449" w:type="dxa"/>
            <w:vAlign w:val="center"/>
          </w:tcPr>
          <w:p w:rsidR="00883E99" w:rsidRPr="00E63E06" w:rsidRDefault="00883E99" w:rsidP="0073605C">
            <w:pPr>
              <w:pStyle w:val="TableText"/>
              <w:jc w:val="center"/>
            </w:pPr>
            <w:r w:rsidRPr="00E63E06">
              <w:t>1,132</w:t>
            </w:r>
          </w:p>
        </w:tc>
      </w:tr>
      <w:tr w:rsidR="00883E99" w:rsidRPr="00E63E06" w:rsidTr="00324486">
        <w:trPr>
          <w:jc w:val="center"/>
        </w:trPr>
        <w:tc>
          <w:tcPr>
            <w:tcW w:w="2118" w:type="dxa"/>
            <w:vMerge/>
            <w:vAlign w:val="center"/>
          </w:tcPr>
          <w:p w:rsidR="00883E99" w:rsidRPr="00E63E06" w:rsidRDefault="00883E99" w:rsidP="00324486">
            <w:pPr>
              <w:pStyle w:val="TableText"/>
            </w:pPr>
          </w:p>
        </w:tc>
        <w:tc>
          <w:tcPr>
            <w:tcW w:w="1136" w:type="dxa"/>
            <w:vAlign w:val="center"/>
          </w:tcPr>
          <w:p w:rsidR="00883E99" w:rsidRPr="00E63E06" w:rsidRDefault="00883E99" w:rsidP="00324486">
            <w:pPr>
              <w:pStyle w:val="TableText"/>
            </w:pPr>
            <w:r w:rsidRPr="00E63E06">
              <w:t>TOU-CPP</w:t>
            </w:r>
          </w:p>
        </w:tc>
        <w:tc>
          <w:tcPr>
            <w:tcW w:w="2425" w:type="dxa"/>
            <w:vAlign w:val="center"/>
          </w:tcPr>
          <w:p w:rsidR="00883E99" w:rsidRPr="00E63E06" w:rsidRDefault="00883E99" w:rsidP="00324486">
            <w:pPr>
              <w:pStyle w:val="TableText"/>
            </w:pPr>
            <w:r w:rsidRPr="00E63E06">
              <w:t>Default</w:t>
            </w:r>
          </w:p>
        </w:tc>
        <w:tc>
          <w:tcPr>
            <w:tcW w:w="2070" w:type="dxa"/>
            <w:vAlign w:val="center"/>
          </w:tcPr>
          <w:p w:rsidR="00883E99" w:rsidRPr="00E63E06" w:rsidRDefault="00883E99" w:rsidP="00324486">
            <w:pPr>
              <w:pStyle w:val="TableText"/>
            </w:pPr>
            <w:r w:rsidRPr="00E63E06">
              <w:t>November 2015</w:t>
            </w:r>
          </w:p>
        </w:tc>
        <w:tc>
          <w:tcPr>
            <w:tcW w:w="1449" w:type="dxa"/>
            <w:vAlign w:val="center"/>
          </w:tcPr>
          <w:p w:rsidR="00883E99" w:rsidRPr="00E63E06" w:rsidRDefault="00883E99" w:rsidP="0073605C">
            <w:pPr>
              <w:pStyle w:val="TableText"/>
              <w:jc w:val="center"/>
            </w:pPr>
            <w:r w:rsidRPr="00E63E06">
              <w:t>n/a</w:t>
            </w:r>
          </w:p>
        </w:tc>
      </w:tr>
      <w:tr w:rsidR="00883E99" w:rsidRPr="00E63E06" w:rsidTr="00324486">
        <w:trPr>
          <w:jc w:val="center"/>
        </w:trPr>
        <w:tc>
          <w:tcPr>
            <w:tcW w:w="2118" w:type="dxa"/>
            <w:vMerge/>
            <w:vAlign w:val="center"/>
          </w:tcPr>
          <w:p w:rsidR="00883E99" w:rsidRPr="00E63E06" w:rsidRDefault="00883E99" w:rsidP="00324486">
            <w:pPr>
              <w:pStyle w:val="TableText"/>
            </w:pPr>
          </w:p>
        </w:tc>
        <w:tc>
          <w:tcPr>
            <w:tcW w:w="1136" w:type="dxa"/>
            <w:vAlign w:val="center"/>
          </w:tcPr>
          <w:p w:rsidR="00883E99" w:rsidRPr="00E63E06" w:rsidRDefault="00883E99" w:rsidP="00324486">
            <w:pPr>
              <w:pStyle w:val="TableText"/>
            </w:pPr>
            <w:r w:rsidRPr="00E63E06">
              <w:t>TOU</w:t>
            </w:r>
          </w:p>
        </w:tc>
        <w:tc>
          <w:tcPr>
            <w:tcW w:w="2425" w:type="dxa"/>
            <w:vAlign w:val="center"/>
          </w:tcPr>
          <w:p w:rsidR="00883E99" w:rsidRPr="00E63E06" w:rsidRDefault="00883E99" w:rsidP="00324486">
            <w:pPr>
              <w:pStyle w:val="TableText"/>
            </w:pPr>
            <w:r w:rsidRPr="00E63E06">
              <w:t>Customers may opt out of TOU-CPP onto TOU</w:t>
            </w:r>
          </w:p>
        </w:tc>
        <w:tc>
          <w:tcPr>
            <w:tcW w:w="2070" w:type="dxa"/>
            <w:vAlign w:val="center"/>
          </w:tcPr>
          <w:p w:rsidR="00883E99" w:rsidRPr="00E63E06" w:rsidRDefault="00883E99" w:rsidP="00324486">
            <w:pPr>
              <w:pStyle w:val="TableText"/>
            </w:pPr>
            <w:r w:rsidRPr="00E63E06">
              <w:t>November 2015</w:t>
            </w:r>
          </w:p>
        </w:tc>
        <w:tc>
          <w:tcPr>
            <w:tcW w:w="1449" w:type="dxa"/>
            <w:vAlign w:val="center"/>
          </w:tcPr>
          <w:p w:rsidR="00883E99" w:rsidRPr="00E63E06" w:rsidRDefault="00883E99" w:rsidP="0073605C">
            <w:pPr>
              <w:pStyle w:val="TableText"/>
              <w:jc w:val="center"/>
            </w:pPr>
            <w:r w:rsidRPr="00E63E06">
              <w:t>n/a</w:t>
            </w:r>
          </w:p>
        </w:tc>
      </w:tr>
      <w:tr w:rsidR="00883E99" w:rsidRPr="00E63E06" w:rsidTr="00324486">
        <w:trPr>
          <w:jc w:val="center"/>
        </w:trPr>
        <w:tc>
          <w:tcPr>
            <w:tcW w:w="2118" w:type="dxa"/>
            <w:vMerge w:val="restart"/>
            <w:vAlign w:val="center"/>
          </w:tcPr>
          <w:p w:rsidR="00883E99" w:rsidRPr="00E63E06" w:rsidRDefault="00883E99" w:rsidP="00324486">
            <w:pPr>
              <w:pStyle w:val="TableText"/>
            </w:pPr>
            <w:r w:rsidRPr="00E63E06">
              <w:t>Agricultural*</w:t>
            </w:r>
          </w:p>
        </w:tc>
        <w:tc>
          <w:tcPr>
            <w:tcW w:w="1136" w:type="dxa"/>
            <w:vAlign w:val="center"/>
          </w:tcPr>
          <w:p w:rsidR="00883E99" w:rsidRPr="00E63E06" w:rsidRDefault="00883E99" w:rsidP="00324486">
            <w:pPr>
              <w:pStyle w:val="TableText"/>
            </w:pPr>
            <w:r w:rsidRPr="00E63E06">
              <w:t>TOU</w:t>
            </w:r>
          </w:p>
        </w:tc>
        <w:tc>
          <w:tcPr>
            <w:tcW w:w="2425" w:type="dxa"/>
            <w:vAlign w:val="center"/>
          </w:tcPr>
          <w:p w:rsidR="00883E99" w:rsidRPr="00E63E06" w:rsidRDefault="00883E99" w:rsidP="00324486">
            <w:pPr>
              <w:pStyle w:val="TableText"/>
            </w:pPr>
            <w:r w:rsidRPr="00E63E06">
              <w:t>Opt-in from non-time varying rate</w:t>
            </w:r>
          </w:p>
        </w:tc>
        <w:tc>
          <w:tcPr>
            <w:tcW w:w="2070" w:type="dxa"/>
            <w:vAlign w:val="center"/>
          </w:tcPr>
          <w:p w:rsidR="00883E99" w:rsidRPr="00E63E06" w:rsidRDefault="00883E99" w:rsidP="00324486">
            <w:pPr>
              <w:pStyle w:val="TableText"/>
            </w:pPr>
            <w:r w:rsidRPr="00E63E06">
              <w:t>February 1, 2015</w:t>
            </w:r>
          </w:p>
        </w:tc>
        <w:tc>
          <w:tcPr>
            <w:tcW w:w="1449" w:type="dxa"/>
            <w:vAlign w:val="center"/>
          </w:tcPr>
          <w:p w:rsidR="00883E99" w:rsidRPr="00E63E06" w:rsidRDefault="00883E99" w:rsidP="0073605C">
            <w:pPr>
              <w:pStyle w:val="TableText"/>
              <w:jc w:val="center"/>
            </w:pPr>
            <w:r w:rsidRPr="00E63E06">
              <w:t>3</w:t>
            </w:r>
          </w:p>
        </w:tc>
      </w:tr>
      <w:tr w:rsidR="00883E99" w:rsidRPr="00E63E06" w:rsidTr="00324486">
        <w:trPr>
          <w:jc w:val="center"/>
        </w:trPr>
        <w:tc>
          <w:tcPr>
            <w:tcW w:w="2118" w:type="dxa"/>
            <w:vMerge/>
            <w:vAlign w:val="center"/>
          </w:tcPr>
          <w:p w:rsidR="00883E99" w:rsidRPr="00E63E06" w:rsidRDefault="00883E99" w:rsidP="00324486">
            <w:pPr>
              <w:pStyle w:val="TableText"/>
            </w:pPr>
          </w:p>
        </w:tc>
        <w:tc>
          <w:tcPr>
            <w:tcW w:w="1136" w:type="dxa"/>
            <w:vAlign w:val="center"/>
          </w:tcPr>
          <w:p w:rsidR="00883E99" w:rsidRPr="00E63E06" w:rsidRDefault="00883E99" w:rsidP="00324486">
            <w:pPr>
              <w:pStyle w:val="TableText"/>
            </w:pPr>
            <w:r w:rsidRPr="00E63E06">
              <w:t>TOU-CPP</w:t>
            </w:r>
          </w:p>
        </w:tc>
        <w:tc>
          <w:tcPr>
            <w:tcW w:w="2425" w:type="dxa"/>
            <w:vAlign w:val="center"/>
          </w:tcPr>
          <w:p w:rsidR="00883E99" w:rsidRPr="00E63E06" w:rsidRDefault="00883E99" w:rsidP="00324486">
            <w:pPr>
              <w:pStyle w:val="TableText"/>
            </w:pPr>
            <w:r w:rsidRPr="00E63E06">
              <w:t>Opt-in from non-time varying rate</w:t>
            </w:r>
          </w:p>
        </w:tc>
        <w:tc>
          <w:tcPr>
            <w:tcW w:w="2070" w:type="dxa"/>
            <w:vAlign w:val="center"/>
          </w:tcPr>
          <w:p w:rsidR="00883E99" w:rsidRPr="00E63E06" w:rsidRDefault="00883E99" w:rsidP="00324486">
            <w:pPr>
              <w:pStyle w:val="TableText"/>
            </w:pPr>
            <w:r w:rsidRPr="00E63E06">
              <w:t>February 1, 2015</w:t>
            </w:r>
          </w:p>
        </w:tc>
        <w:tc>
          <w:tcPr>
            <w:tcW w:w="1449" w:type="dxa"/>
            <w:vAlign w:val="center"/>
          </w:tcPr>
          <w:p w:rsidR="00883E99" w:rsidRPr="00E63E06" w:rsidRDefault="00883E99" w:rsidP="0073605C">
            <w:pPr>
              <w:pStyle w:val="TableText"/>
              <w:jc w:val="center"/>
            </w:pPr>
            <w:r w:rsidRPr="00E63E06">
              <w:t>0</w:t>
            </w:r>
          </w:p>
        </w:tc>
      </w:tr>
      <w:tr w:rsidR="00883E99" w:rsidRPr="00E63E06" w:rsidTr="00324486">
        <w:trPr>
          <w:jc w:val="center"/>
        </w:trPr>
        <w:tc>
          <w:tcPr>
            <w:tcW w:w="2118" w:type="dxa"/>
            <w:vMerge/>
            <w:vAlign w:val="center"/>
          </w:tcPr>
          <w:p w:rsidR="00883E99" w:rsidRPr="00E63E06" w:rsidRDefault="00883E99" w:rsidP="00324486">
            <w:pPr>
              <w:pStyle w:val="TableText"/>
            </w:pPr>
          </w:p>
        </w:tc>
        <w:tc>
          <w:tcPr>
            <w:tcW w:w="1136" w:type="dxa"/>
            <w:vAlign w:val="center"/>
          </w:tcPr>
          <w:p w:rsidR="00883E99" w:rsidRPr="00E63E06" w:rsidRDefault="00883E99" w:rsidP="00324486">
            <w:pPr>
              <w:pStyle w:val="TableText"/>
            </w:pPr>
            <w:r w:rsidRPr="00E63E06">
              <w:t>TOU</w:t>
            </w:r>
          </w:p>
        </w:tc>
        <w:tc>
          <w:tcPr>
            <w:tcW w:w="2425" w:type="dxa"/>
            <w:vAlign w:val="center"/>
          </w:tcPr>
          <w:p w:rsidR="00883E99" w:rsidRPr="00E63E06" w:rsidRDefault="00883E99" w:rsidP="00324486">
            <w:pPr>
              <w:pStyle w:val="TableText"/>
            </w:pPr>
            <w:r w:rsidRPr="00E63E06">
              <w:t>Default</w:t>
            </w:r>
          </w:p>
        </w:tc>
        <w:tc>
          <w:tcPr>
            <w:tcW w:w="2070" w:type="dxa"/>
            <w:vAlign w:val="center"/>
          </w:tcPr>
          <w:p w:rsidR="00883E99" w:rsidRPr="00E63E06" w:rsidRDefault="00883E99" w:rsidP="00324486">
            <w:pPr>
              <w:pStyle w:val="TableText"/>
            </w:pPr>
            <w:r w:rsidRPr="00E63E06">
              <w:t>November 2015</w:t>
            </w:r>
          </w:p>
        </w:tc>
        <w:tc>
          <w:tcPr>
            <w:tcW w:w="1449" w:type="dxa"/>
            <w:vAlign w:val="center"/>
          </w:tcPr>
          <w:p w:rsidR="00883E99" w:rsidRPr="00E63E06" w:rsidRDefault="00883E99" w:rsidP="0073605C">
            <w:pPr>
              <w:pStyle w:val="TableText"/>
              <w:jc w:val="center"/>
            </w:pPr>
            <w:r w:rsidRPr="00E63E06">
              <w:t>n/a</w:t>
            </w:r>
          </w:p>
        </w:tc>
      </w:tr>
      <w:tr w:rsidR="00883E99" w:rsidRPr="00E63E06" w:rsidTr="00324486">
        <w:trPr>
          <w:jc w:val="center"/>
        </w:trPr>
        <w:tc>
          <w:tcPr>
            <w:tcW w:w="2118" w:type="dxa"/>
            <w:vMerge/>
            <w:vAlign w:val="center"/>
          </w:tcPr>
          <w:p w:rsidR="00883E99" w:rsidRPr="00E63E06" w:rsidRDefault="00883E99" w:rsidP="00324486">
            <w:pPr>
              <w:pStyle w:val="TableText"/>
            </w:pPr>
          </w:p>
        </w:tc>
        <w:tc>
          <w:tcPr>
            <w:tcW w:w="1136" w:type="dxa"/>
            <w:vAlign w:val="center"/>
          </w:tcPr>
          <w:p w:rsidR="00883E99" w:rsidRPr="00E63E06" w:rsidRDefault="00883E99" w:rsidP="00324486">
            <w:pPr>
              <w:pStyle w:val="TableText"/>
            </w:pPr>
            <w:r w:rsidRPr="00E63E06">
              <w:t>TOU-CPP</w:t>
            </w:r>
          </w:p>
        </w:tc>
        <w:tc>
          <w:tcPr>
            <w:tcW w:w="2425" w:type="dxa"/>
            <w:vAlign w:val="center"/>
          </w:tcPr>
          <w:p w:rsidR="00883E99" w:rsidRPr="00E63E06" w:rsidRDefault="00883E99" w:rsidP="00324486">
            <w:pPr>
              <w:pStyle w:val="TableText"/>
            </w:pPr>
            <w:r w:rsidRPr="00E63E06">
              <w:t>Opt-in from default TOU</w:t>
            </w:r>
          </w:p>
        </w:tc>
        <w:tc>
          <w:tcPr>
            <w:tcW w:w="2070" w:type="dxa"/>
            <w:vAlign w:val="center"/>
          </w:tcPr>
          <w:p w:rsidR="00883E99" w:rsidRPr="00E63E06" w:rsidRDefault="00883E99" w:rsidP="00324486">
            <w:pPr>
              <w:pStyle w:val="TableText"/>
            </w:pPr>
            <w:r w:rsidRPr="00E63E06">
              <w:t>November 2015</w:t>
            </w:r>
          </w:p>
        </w:tc>
        <w:tc>
          <w:tcPr>
            <w:tcW w:w="1449" w:type="dxa"/>
            <w:vAlign w:val="center"/>
          </w:tcPr>
          <w:p w:rsidR="00883E99" w:rsidRPr="00E63E06" w:rsidRDefault="00883E99" w:rsidP="0073605C">
            <w:pPr>
              <w:pStyle w:val="TableText"/>
              <w:jc w:val="center"/>
            </w:pPr>
            <w:r w:rsidRPr="00E63E06">
              <w:t>n/a</w:t>
            </w:r>
          </w:p>
        </w:tc>
      </w:tr>
    </w:tbl>
    <w:p w:rsidR="00883E99" w:rsidRPr="00272C9F" w:rsidRDefault="00883E99" w:rsidP="00883E99">
      <w:pPr>
        <w:pStyle w:val="Footnote"/>
        <w:ind w:firstLine="180"/>
        <w:rPr>
          <w:sz w:val="17"/>
          <w:szCs w:val="17"/>
        </w:rPr>
      </w:pPr>
      <w:r w:rsidRPr="00272C9F">
        <w:rPr>
          <w:sz w:val="17"/>
          <w:szCs w:val="17"/>
          <w:u w:val="single"/>
        </w:rPr>
        <w:t>Note</w:t>
      </w:r>
      <w:r w:rsidRPr="00272C9F">
        <w:rPr>
          <w:sz w:val="17"/>
          <w:szCs w:val="17"/>
        </w:rPr>
        <w:t>: Starting in November 2015, flat rates will no longer be available for small commercial and agricultural customers.</w:t>
      </w:r>
    </w:p>
    <w:p w:rsidR="009B79E3" w:rsidRDefault="009B79E3" w:rsidP="009B79E3">
      <w:pPr>
        <w:pStyle w:val="BodyParagraph"/>
      </w:pPr>
    </w:p>
    <w:p w:rsidR="00653FC5" w:rsidRDefault="009B79E3" w:rsidP="00653FC5">
      <w:pPr>
        <w:pStyle w:val="BodyParagraph"/>
        <w:ind w:firstLine="180"/>
        <w:rPr>
          <w:rFonts w:ascii="Times New Roman" w:hAnsi="Times New Roman"/>
          <w:sz w:val="24"/>
          <w:szCs w:val="24"/>
        </w:rPr>
      </w:pPr>
      <w:r w:rsidRPr="009B79E3">
        <w:rPr>
          <w:rFonts w:ascii="Times New Roman" w:hAnsi="Times New Roman"/>
          <w:sz w:val="24"/>
          <w:szCs w:val="24"/>
        </w:rPr>
        <w:t xml:space="preserve">SDG&amp;E has applied to change the rate periods and prices charged for each SPP tariff. A summary of the approved and proposed rates in the summer period is provided in Table </w:t>
      </w:r>
      <w:r w:rsidR="00F345DA">
        <w:rPr>
          <w:rFonts w:ascii="Times New Roman" w:hAnsi="Times New Roman"/>
          <w:sz w:val="24"/>
          <w:szCs w:val="24"/>
        </w:rPr>
        <w:t>9</w:t>
      </w:r>
      <w:r w:rsidRPr="009B79E3">
        <w:rPr>
          <w:rFonts w:ascii="Times New Roman" w:hAnsi="Times New Roman"/>
          <w:sz w:val="24"/>
          <w:szCs w:val="24"/>
        </w:rPr>
        <w:t xml:space="preserve">-2. The proposed rate is different in two important ways. First, although the TOU peak period is the same length as the approved rate, it runs from 2 to 9 PM rather than from 11 AM to 6 PM. Second, the CPP period for the proposed TOU-CPP rate only runs from 2 to 6 PM and no longer perfectly aligns with the TOU peak period. As a result, on CPP days, the proposed tariff actually has four rate periods rather than three. A decision from the CPUC regarding the proposed rates is not expected until April 2015 and as a consequence, this report contains estimates only for the </w:t>
      </w:r>
      <w:r w:rsidRPr="009B79E3">
        <w:rPr>
          <w:rFonts w:ascii="Times New Roman" w:hAnsi="Times New Roman"/>
          <w:sz w:val="24"/>
          <w:szCs w:val="24"/>
        </w:rPr>
        <w:lastRenderedPageBreak/>
        <w:t>approved prices and rate windows. An analysis of the proposed rates will be completed as an addendum to this report.</w:t>
      </w:r>
    </w:p>
    <w:p w:rsidR="009B79E3" w:rsidRPr="00653FC5" w:rsidRDefault="009B79E3" w:rsidP="00653FC5">
      <w:pPr>
        <w:pStyle w:val="BodyParagraph"/>
        <w:ind w:firstLine="180"/>
        <w:jc w:val="center"/>
        <w:rPr>
          <w:rFonts w:ascii="Times New Roman" w:hAnsi="Times New Roman"/>
          <w:b/>
          <w:szCs w:val="20"/>
        </w:rPr>
      </w:pPr>
      <w:r w:rsidRPr="00653FC5">
        <w:rPr>
          <w:rFonts w:ascii="Times New Roman" w:hAnsi="Times New Roman"/>
          <w:b/>
          <w:szCs w:val="20"/>
        </w:rPr>
        <w:t xml:space="preserve">Table </w:t>
      </w:r>
      <w:r w:rsidR="00136E4F">
        <w:rPr>
          <w:rFonts w:ascii="Times New Roman" w:hAnsi="Times New Roman"/>
          <w:b/>
          <w:szCs w:val="20"/>
        </w:rPr>
        <w:t>9-2</w:t>
      </w:r>
      <w:r w:rsidRPr="00653FC5">
        <w:rPr>
          <w:rFonts w:ascii="Times New Roman" w:hAnsi="Times New Roman"/>
          <w:b/>
          <w:szCs w:val="20"/>
        </w:rPr>
        <w:t xml:space="preserve">: Structure of Approved and Proposed SPP Rate Options </w:t>
      </w:r>
      <w:r w:rsidRPr="00653FC5">
        <w:rPr>
          <w:rFonts w:ascii="Times New Roman" w:hAnsi="Times New Roman"/>
          <w:b/>
          <w:szCs w:val="20"/>
        </w:rPr>
        <w:br/>
        <w:t>for the Summer Period</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080"/>
        <w:gridCol w:w="1350"/>
        <w:gridCol w:w="1534"/>
        <w:gridCol w:w="1800"/>
        <w:gridCol w:w="1080"/>
        <w:gridCol w:w="1170"/>
        <w:gridCol w:w="990"/>
      </w:tblGrid>
      <w:tr w:rsidR="00791126" w:rsidRPr="00272C9F" w:rsidTr="00791126">
        <w:trPr>
          <w:jc w:val="center"/>
        </w:trPr>
        <w:tc>
          <w:tcPr>
            <w:tcW w:w="1089" w:type="dxa"/>
            <w:tcBorders>
              <w:bottom w:val="single" w:sz="4" w:space="0" w:color="auto"/>
              <w:right w:val="single" w:sz="4" w:space="0" w:color="FFFFFF" w:themeColor="background1"/>
            </w:tcBorders>
            <w:shd w:val="clear" w:color="auto" w:fill="0070CD"/>
            <w:vAlign w:val="center"/>
          </w:tcPr>
          <w:p w:rsidR="009B79E3" w:rsidRPr="00791126" w:rsidRDefault="009B79E3" w:rsidP="00324486">
            <w:pPr>
              <w:pStyle w:val="TableHeader"/>
              <w:rPr>
                <w:rFonts w:cs="Arial"/>
                <w:sz w:val="18"/>
                <w:szCs w:val="18"/>
              </w:rPr>
            </w:pPr>
            <w:r w:rsidRPr="00791126">
              <w:rPr>
                <w:rFonts w:cs="Arial"/>
                <w:sz w:val="18"/>
                <w:szCs w:val="18"/>
              </w:rPr>
              <w:t>Rate</w:t>
            </w:r>
            <w:r w:rsidRPr="00791126">
              <w:rPr>
                <w:rFonts w:cs="Arial"/>
                <w:sz w:val="18"/>
                <w:szCs w:val="18"/>
              </w:rPr>
              <w:br/>
              <w:t>Option</w:t>
            </w:r>
          </w:p>
        </w:tc>
        <w:tc>
          <w:tcPr>
            <w:tcW w:w="1080" w:type="dxa"/>
            <w:tcBorders>
              <w:left w:val="single" w:sz="4" w:space="0" w:color="FFFFFF" w:themeColor="background1"/>
              <w:bottom w:val="single" w:sz="4" w:space="0" w:color="auto"/>
              <w:right w:val="single" w:sz="4" w:space="0" w:color="FFFFFF" w:themeColor="background1"/>
            </w:tcBorders>
            <w:shd w:val="clear" w:color="auto" w:fill="0070CD"/>
            <w:vAlign w:val="center"/>
          </w:tcPr>
          <w:p w:rsidR="009B79E3" w:rsidRPr="00791126" w:rsidRDefault="009B79E3" w:rsidP="00324486">
            <w:pPr>
              <w:pStyle w:val="TableHeader"/>
              <w:rPr>
                <w:rFonts w:cs="Arial"/>
                <w:sz w:val="18"/>
                <w:szCs w:val="18"/>
              </w:rPr>
            </w:pPr>
            <w:r w:rsidRPr="00791126">
              <w:rPr>
                <w:rFonts w:cs="Arial"/>
                <w:sz w:val="18"/>
                <w:szCs w:val="18"/>
              </w:rPr>
              <w:t>Day Type</w:t>
            </w:r>
          </w:p>
        </w:tc>
        <w:tc>
          <w:tcPr>
            <w:tcW w:w="1350" w:type="dxa"/>
            <w:tcBorders>
              <w:left w:val="single" w:sz="4" w:space="0" w:color="FFFFFF" w:themeColor="background1"/>
              <w:bottom w:val="single" w:sz="4" w:space="0" w:color="auto"/>
              <w:right w:val="single" w:sz="4" w:space="0" w:color="FFFFFF" w:themeColor="background1"/>
            </w:tcBorders>
            <w:shd w:val="clear" w:color="auto" w:fill="0070CD"/>
            <w:vAlign w:val="center"/>
          </w:tcPr>
          <w:p w:rsidR="009B79E3" w:rsidRPr="00791126" w:rsidRDefault="009B79E3" w:rsidP="00324486">
            <w:pPr>
              <w:pStyle w:val="TableHeader"/>
              <w:rPr>
                <w:rFonts w:cs="Arial"/>
                <w:sz w:val="18"/>
                <w:szCs w:val="18"/>
              </w:rPr>
            </w:pPr>
            <w:r w:rsidRPr="00791126">
              <w:rPr>
                <w:rFonts w:cs="Arial"/>
                <w:sz w:val="18"/>
                <w:szCs w:val="18"/>
              </w:rPr>
              <w:t xml:space="preserve">Midnight to </w:t>
            </w:r>
            <w:r w:rsidRPr="00791126">
              <w:rPr>
                <w:rFonts w:cs="Arial"/>
                <w:sz w:val="18"/>
                <w:szCs w:val="18"/>
              </w:rPr>
              <w:br/>
              <w:t>6 AM</w:t>
            </w:r>
          </w:p>
        </w:tc>
        <w:tc>
          <w:tcPr>
            <w:tcW w:w="1534" w:type="dxa"/>
            <w:tcBorders>
              <w:left w:val="single" w:sz="4" w:space="0" w:color="FFFFFF" w:themeColor="background1"/>
              <w:bottom w:val="single" w:sz="4" w:space="0" w:color="auto"/>
              <w:right w:val="single" w:sz="4" w:space="0" w:color="FFFFFF" w:themeColor="background1"/>
            </w:tcBorders>
            <w:shd w:val="clear" w:color="auto" w:fill="0070CD"/>
            <w:vAlign w:val="center"/>
          </w:tcPr>
          <w:p w:rsidR="009B79E3" w:rsidRPr="00791126" w:rsidRDefault="009B79E3" w:rsidP="00791126">
            <w:pPr>
              <w:pStyle w:val="TableHeader"/>
              <w:rPr>
                <w:rFonts w:cs="Arial"/>
                <w:sz w:val="18"/>
                <w:szCs w:val="18"/>
              </w:rPr>
            </w:pPr>
            <w:r w:rsidRPr="00791126">
              <w:rPr>
                <w:rFonts w:cs="Arial"/>
                <w:sz w:val="18"/>
                <w:szCs w:val="18"/>
              </w:rPr>
              <w:t>6 to 11 AM</w:t>
            </w:r>
          </w:p>
        </w:tc>
        <w:tc>
          <w:tcPr>
            <w:tcW w:w="1800" w:type="dxa"/>
            <w:tcBorders>
              <w:left w:val="single" w:sz="4" w:space="0" w:color="FFFFFF" w:themeColor="background1"/>
              <w:bottom w:val="single" w:sz="4" w:space="0" w:color="auto"/>
              <w:right w:val="single" w:sz="4" w:space="0" w:color="FFFFFF" w:themeColor="background1"/>
            </w:tcBorders>
            <w:shd w:val="clear" w:color="auto" w:fill="0070CD"/>
            <w:vAlign w:val="center"/>
          </w:tcPr>
          <w:p w:rsidR="009B79E3" w:rsidRPr="00791126" w:rsidRDefault="009B79E3" w:rsidP="00791126">
            <w:pPr>
              <w:pStyle w:val="TableHeader"/>
              <w:rPr>
                <w:rFonts w:cs="Arial"/>
                <w:sz w:val="18"/>
                <w:szCs w:val="18"/>
              </w:rPr>
            </w:pPr>
            <w:r w:rsidRPr="00791126">
              <w:rPr>
                <w:rFonts w:cs="Arial"/>
                <w:sz w:val="18"/>
                <w:szCs w:val="18"/>
              </w:rPr>
              <w:t>11 AM to 2 PM</w:t>
            </w:r>
          </w:p>
        </w:tc>
        <w:tc>
          <w:tcPr>
            <w:tcW w:w="1080" w:type="dxa"/>
            <w:tcBorders>
              <w:left w:val="single" w:sz="4" w:space="0" w:color="FFFFFF" w:themeColor="background1"/>
              <w:bottom w:val="single" w:sz="4" w:space="0" w:color="auto"/>
              <w:right w:val="single" w:sz="4" w:space="0" w:color="FFFFFF" w:themeColor="background1"/>
            </w:tcBorders>
            <w:shd w:val="clear" w:color="auto" w:fill="0070CD"/>
            <w:vAlign w:val="center"/>
          </w:tcPr>
          <w:p w:rsidR="009B79E3" w:rsidRPr="00791126" w:rsidRDefault="009B79E3" w:rsidP="00324486">
            <w:pPr>
              <w:pStyle w:val="TableHeader"/>
              <w:rPr>
                <w:rFonts w:cs="Arial"/>
                <w:sz w:val="18"/>
                <w:szCs w:val="18"/>
              </w:rPr>
            </w:pPr>
            <w:r w:rsidRPr="00791126">
              <w:rPr>
                <w:rFonts w:cs="Arial"/>
                <w:sz w:val="18"/>
                <w:szCs w:val="18"/>
              </w:rPr>
              <w:t>2 to 6 PM</w:t>
            </w:r>
          </w:p>
        </w:tc>
        <w:tc>
          <w:tcPr>
            <w:tcW w:w="1170" w:type="dxa"/>
            <w:tcBorders>
              <w:left w:val="single" w:sz="4" w:space="0" w:color="FFFFFF" w:themeColor="background1"/>
              <w:bottom w:val="single" w:sz="4" w:space="0" w:color="auto"/>
              <w:right w:val="single" w:sz="4" w:space="0" w:color="FFFFFF" w:themeColor="background1"/>
            </w:tcBorders>
            <w:shd w:val="clear" w:color="auto" w:fill="0070CD"/>
            <w:vAlign w:val="center"/>
          </w:tcPr>
          <w:p w:rsidR="009B79E3" w:rsidRPr="00791126" w:rsidRDefault="009B79E3" w:rsidP="00324486">
            <w:pPr>
              <w:pStyle w:val="TableHeader"/>
              <w:rPr>
                <w:rFonts w:cs="Arial"/>
                <w:sz w:val="18"/>
                <w:szCs w:val="18"/>
              </w:rPr>
            </w:pPr>
            <w:r w:rsidRPr="00791126">
              <w:rPr>
                <w:rFonts w:cs="Arial"/>
                <w:sz w:val="18"/>
                <w:szCs w:val="18"/>
              </w:rPr>
              <w:t>6 to 9 PM</w:t>
            </w:r>
          </w:p>
        </w:tc>
        <w:tc>
          <w:tcPr>
            <w:tcW w:w="990" w:type="dxa"/>
            <w:tcBorders>
              <w:left w:val="single" w:sz="4" w:space="0" w:color="FFFFFF" w:themeColor="background1"/>
              <w:bottom w:val="single" w:sz="4" w:space="0" w:color="auto"/>
            </w:tcBorders>
            <w:shd w:val="clear" w:color="auto" w:fill="0070CD"/>
            <w:vAlign w:val="center"/>
          </w:tcPr>
          <w:p w:rsidR="009B79E3" w:rsidRPr="00791126" w:rsidRDefault="009B79E3" w:rsidP="00324486">
            <w:pPr>
              <w:pStyle w:val="TableHeader"/>
              <w:rPr>
                <w:rFonts w:cs="Arial"/>
                <w:sz w:val="18"/>
                <w:szCs w:val="18"/>
              </w:rPr>
            </w:pPr>
            <w:r w:rsidRPr="00791126">
              <w:rPr>
                <w:rFonts w:cs="Arial"/>
                <w:sz w:val="18"/>
                <w:szCs w:val="18"/>
              </w:rPr>
              <w:t>9 PM to Midnight</w:t>
            </w:r>
          </w:p>
        </w:tc>
      </w:tr>
      <w:tr w:rsidR="00791126" w:rsidRPr="00272C9F" w:rsidTr="00791126">
        <w:trPr>
          <w:cantSplit/>
          <w:trHeight w:val="305"/>
          <w:jc w:val="center"/>
        </w:trPr>
        <w:tc>
          <w:tcPr>
            <w:tcW w:w="1089" w:type="dxa"/>
            <w:vMerge w:val="restart"/>
            <w:shd w:val="clear" w:color="auto" w:fill="auto"/>
            <w:vAlign w:val="center"/>
          </w:tcPr>
          <w:p w:rsidR="009B79E3" w:rsidRPr="00272C9F" w:rsidRDefault="009B79E3" w:rsidP="00324486">
            <w:pPr>
              <w:pStyle w:val="TableText"/>
              <w:rPr>
                <w:sz w:val="19"/>
                <w:szCs w:val="19"/>
              </w:rPr>
            </w:pPr>
            <w:r w:rsidRPr="00272C9F">
              <w:rPr>
                <w:sz w:val="19"/>
                <w:szCs w:val="19"/>
              </w:rPr>
              <w:t>Approved</w:t>
            </w:r>
          </w:p>
        </w:tc>
        <w:tc>
          <w:tcPr>
            <w:tcW w:w="1080" w:type="dxa"/>
            <w:vAlign w:val="center"/>
          </w:tcPr>
          <w:p w:rsidR="009B79E3" w:rsidRPr="00272C9F" w:rsidRDefault="009B79E3" w:rsidP="00324486">
            <w:pPr>
              <w:pStyle w:val="TableText"/>
              <w:rPr>
                <w:sz w:val="19"/>
                <w:szCs w:val="19"/>
              </w:rPr>
            </w:pPr>
            <w:r w:rsidRPr="00272C9F">
              <w:rPr>
                <w:sz w:val="19"/>
                <w:szCs w:val="19"/>
              </w:rPr>
              <w:t>Weekday</w:t>
            </w:r>
          </w:p>
        </w:tc>
        <w:tc>
          <w:tcPr>
            <w:tcW w:w="1350" w:type="dxa"/>
            <w:shd w:val="clear" w:color="auto" w:fill="auto"/>
            <w:vAlign w:val="center"/>
          </w:tcPr>
          <w:p w:rsidR="009B79E3" w:rsidRPr="00272C9F" w:rsidRDefault="009B79E3" w:rsidP="00066B3F">
            <w:pPr>
              <w:pStyle w:val="TableText"/>
              <w:jc w:val="center"/>
              <w:rPr>
                <w:sz w:val="19"/>
                <w:szCs w:val="19"/>
              </w:rPr>
            </w:pPr>
            <w:r w:rsidRPr="00272C9F">
              <w:rPr>
                <w:sz w:val="19"/>
                <w:szCs w:val="19"/>
              </w:rPr>
              <w:t>SOP</w:t>
            </w:r>
          </w:p>
        </w:tc>
        <w:tc>
          <w:tcPr>
            <w:tcW w:w="1534" w:type="dxa"/>
            <w:vAlign w:val="center"/>
          </w:tcPr>
          <w:p w:rsidR="009B79E3" w:rsidRPr="00272C9F" w:rsidRDefault="009B79E3" w:rsidP="00066B3F">
            <w:pPr>
              <w:pStyle w:val="TableText"/>
              <w:jc w:val="center"/>
              <w:rPr>
                <w:sz w:val="19"/>
                <w:szCs w:val="19"/>
              </w:rPr>
            </w:pPr>
            <w:r w:rsidRPr="00272C9F">
              <w:rPr>
                <w:sz w:val="19"/>
                <w:szCs w:val="19"/>
              </w:rPr>
              <w:t>SP</w:t>
            </w:r>
          </w:p>
        </w:tc>
        <w:tc>
          <w:tcPr>
            <w:tcW w:w="1800" w:type="dxa"/>
            <w:vAlign w:val="center"/>
          </w:tcPr>
          <w:p w:rsidR="009B79E3" w:rsidRPr="00272C9F" w:rsidRDefault="009B79E3" w:rsidP="00066B3F">
            <w:pPr>
              <w:pStyle w:val="TableText"/>
              <w:jc w:val="center"/>
              <w:rPr>
                <w:sz w:val="19"/>
                <w:szCs w:val="19"/>
              </w:rPr>
            </w:pPr>
            <w:r w:rsidRPr="00272C9F">
              <w:rPr>
                <w:sz w:val="19"/>
                <w:szCs w:val="19"/>
              </w:rPr>
              <w:t>P/CP</w:t>
            </w:r>
          </w:p>
        </w:tc>
        <w:tc>
          <w:tcPr>
            <w:tcW w:w="1080" w:type="dxa"/>
            <w:vAlign w:val="center"/>
          </w:tcPr>
          <w:p w:rsidR="009B79E3" w:rsidRPr="00272C9F" w:rsidRDefault="009B79E3" w:rsidP="00066B3F">
            <w:pPr>
              <w:pStyle w:val="TableText"/>
              <w:jc w:val="center"/>
              <w:rPr>
                <w:sz w:val="19"/>
                <w:szCs w:val="19"/>
              </w:rPr>
            </w:pPr>
            <w:r w:rsidRPr="00272C9F">
              <w:rPr>
                <w:sz w:val="19"/>
                <w:szCs w:val="19"/>
              </w:rPr>
              <w:t>P/CP</w:t>
            </w:r>
          </w:p>
        </w:tc>
        <w:tc>
          <w:tcPr>
            <w:tcW w:w="1170" w:type="dxa"/>
            <w:vAlign w:val="center"/>
          </w:tcPr>
          <w:p w:rsidR="009B79E3" w:rsidRPr="00272C9F" w:rsidRDefault="009B79E3" w:rsidP="00066B3F">
            <w:pPr>
              <w:pStyle w:val="TableText"/>
              <w:jc w:val="center"/>
              <w:rPr>
                <w:sz w:val="19"/>
                <w:szCs w:val="19"/>
              </w:rPr>
            </w:pPr>
            <w:r w:rsidRPr="00272C9F">
              <w:rPr>
                <w:sz w:val="19"/>
                <w:szCs w:val="19"/>
              </w:rPr>
              <w:t>SP</w:t>
            </w:r>
          </w:p>
        </w:tc>
        <w:tc>
          <w:tcPr>
            <w:tcW w:w="990" w:type="dxa"/>
            <w:vAlign w:val="center"/>
          </w:tcPr>
          <w:p w:rsidR="009B79E3" w:rsidRPr="00272C9F" w:rsidRDefault="009B79E3" w:rsidP="00066B3F">
            <w:pPr>
              <w:pStyle w:val="TableText"/>
              <w:jc w:val="center"/>
              <w:rPr>
                <w:sz w:val="19"/>
                <w:szCs w:val="19"/>
              </w:rPr>
            </w:pPr>
            <w:r w:rsidRPr="00272C9F">
              <w:rPr>
                <w:sz w:val="19"/>
                <w:szCs w:val="19"/>
              </w:rPr>
              <w:t>SOP</w:t>
            </w:r>
          </w:p>
        </w:tc>
      </w:tr>
      <w:tr w:rsidR="00791126" w:rsidRPr="00272C9F" w:rsidTr="00791126">
        <w:trPr>
          <w:cantSplit/>
          <w:trHeight w:val="305"/>
          <w:jc w:val="center"/>
        </w:trPr>
        <w:tc>
          <w:tcPr>
            <w:tcW w:w="1089" w:type="dxa"/>
            <w:vMerge/>
            <w:tcBorders>
              <w:bottom w:val="single" w:sz="18" w:space="0" w:color="auto"/>
            </w:tcBorders>
            <w:shd w:val="clear" w:color="auto" w:fill="auto"/>
            <w:vAlign w:val="center"/>
          </w:tcPr>
          <w:p w:rsidR="009B79E3" w:rsidRPr="00272C9F" w:rsidRDefault="009B79E3" w:rsidP="00324486">
            <w:pPr>
              <w:pStyle w:val="TableText"/>
              <w:rPr>
                <w:sz w:val="19"/>
                <w:szCs w:val="19"/>
              </w:rPr>
            </w:pPr>
          </w:p>
        </w:tc>
        <w:tc>
          <w:tcPr>
            <w:tcW w:w="1080" w:type="dxa"/>
            <w:tcBorders>
              <w:bottom w:val="single" w:sz="18" w:space="0" w:color="auto"/>
            </w:tcBorders>
            <w:vAlign w:val="center"/>
          </w:tcPr>
          <w:p w:rsidR="009B79E3" w:rsidRPr="00272C9F" w:rsidRDefault="009B79E3" w:rsidP="00324486">
            <w:pPr>
              <w:pStyle w:val="TableText"/>
              <w:rPr>
                <w:sz w:val="19"/>
                <w:szCs w:val="19"/>
              </w:rPr>
            </w:pPr>
            <w:r w:rsidRPr="00272C9F">
              <w:rPr>
                <w:sz w:val="19"/>
                <w:szCs w:val="19"/>
              </w:rPr>
              <w:t>Weekend</w:t>
            </w:r>
          </w:p>
        </w:tc>
        <w:tc>
          <w:tcPr>
            <w:tcW w:w="1350" w:type="dxa"/>
            <w:tcBorders>
              <w:bottom w:val="single" w:sz="18" w:space="0" w:color="auto"/>
            </w:tcBorders>
            <w:shd w:val="clear" w:color="auto" w:fill="auto"/>
            <w:vAlign w:val="center"/>
          </w:tcPr>
          <w:p w:rsidR="009B79E3" w:rsidRPr="00272C9F" w:rsidRDefault="009B79E3" w:rsidP="00066B3F">
            <w:pPr>
              <w:pStyle w:val="TableText"/>
              <w:jc w:val="center"/>
              <w:rPr>
                <w:sz w:val="19"/>
                <w:szCs w:val="19"/>
              </w:rPr>
            </w:pPr>
            <w:r w:rsidRPr="00272C9F">
              <w:rPr>
                <w:sz w:val="19"/>
                <w:szCs w:val="19"/>
              </w:rPr>
              <w:t>SOP</w:t>
            </w:r>
          </w:p>
        </w:tc>
        <w:tc>
          <w:tcPr>
            <w:tcW w:w="1534" w:type="dxa"/>
            <w:tcBorders>
              <w:bottom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SOP</w:t>
            </w:r>
          </w:p>
        </w:tc>
        <w:tc>
          <w:tcPr>
            <w:tcW w:w="1800" w:type="dxa"/>
            <w:tcBorders>
              <w:bottom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SOP</w:t>
            </w:r>
          </w:p>
        </w:tc>
        <w:tc>
          <w:tcPr>
            <w:tcW w:w="1080" w:type="dxa"/>
            <w:tcBorders>
              <w:bottom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SOP</w:t>
            </w:r>
          </w:p>
        </w:tc>
        <w:tc>
          <w:tcPr>
            <w:tcW w:w="1170" w:type="dxa"/>
            <w:tcBorders>
              <w:bottom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SOP</w:t>
            </w:r>
          </w:p>
        </w:tc>
        <w:tc>
          <w:tcPr>
            <w:tcW w:w="990" w:type="dxa"/>
            <w:tcBorders>
              <w:bottom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SOP</w:t>
            </w:r>
          </w:p>
        </w:tc>
      </w:tr>
      <w:tr w:rsidR="00791126" w:rsidRPr="00272C9F" w:rsidTr="00791126">
        <w:trPr>
          <w:cantSplit/>
          <w:trHeight w:val="305"/>
          <w:jc w:val="center"/>
        </w:trPr>
        <w:tc>
          <w:tcPr>
            <w:tcW w:w="1089" w:type="dxa"/>
            <w:vMerge w:val="restart"/>
            <w:tcBorders>
              <w:top w:val="single" w:sz="18" w:space="0" w:color="auto"/>
            </w:tcBorders>
            <w:shd w:val="clear" w:color="auto" w:fill="auto"/>
            <w:vAlign w:val="center"/>
          </w:tcPr>
          <w:p w:rsidR="009B79E3" w:rsidRPr="00272C9F" w:rsidRDefault="009B79E3" w:rsidP="00324486">
            <w:pPr>
              <w:pStyle w:val="TableText"/>
              <w:rPr>
                <w:sz w:val="19"/>
                <w:szCs w:val="19"/>
              </w:rPr>
            </w:pPr>
            <w:r w:rsidRPr="00272C9F">
              <w:rPr>
                <w:sz w:val="19"/>
                <w:szCs w:val="19"/>
              </w:rPr>
              <w:t>Proposed</w:t>
            </w:r>
          </w:p>
        </w:tc>
        <w:tc>
          <w:tcPr>
            <w:tcW w:w="1080" w:type="dxa"/>
            <w:tcBorders>
              <w:top w:val="single" w:sz="18" w:space="0" w:color="auto"/>
            </w:tcBorders>
            <w:vAlign w:val="center"/>
          </w:tcPr>
          <w:p w:rsidR="009B79E3" w:rsidRPr="00272C9F" w:rsidRDefault="009B79E3" w:rsidP="00324486">
            <w:pPr>
              <w:pStyle w:val="TableText"/>
              <w:rPr>
                <w:sz w:val="19"/>
                <w:szCs w:val="19"/>
              </w:rPr>
            </w:pPr>
            <w:r w:rsidRPr="00272C9F">
              <w:rPr>
                <w:sz w:val="19"/>
                <w:szCs w:val="19"/>
              </w:rPr>
              <w:t>Weekday</w:t>
            </w:r>
          </w:p>
        </w:tc>
        <w:tc>
          <w:tcPr>
            <w:tcW w:w="1350" w:type="dxa"/>
            <w:tcBorders>
              <w:top w:val="single" w:sz="18" w:space="0" w:color="auto"/>
            </w:tcBorders>
            <w:shd w:val="clear" w:color="auto" w:fill="auto"/>
            <w:vAlign w:val="center"/>
          </w:tcPr>
          <w:p w:rsidR="009B79E3" w:rsidRPr="00272C9F" w:rsidRDefault="009B79E3" w:rsidP="00066B3F">
            <w:pPr>
              <w:pStyle w:val="TableText"/>
              <w:jc w:val="center"/>
              <w:rPr>
                <w:sz w:val="19"/>
                <w:szCs w:val="19"/>
              </w:rPr>
            </w:pPr>
            <w:r w:rsidRPr="00272C9F">
              <w:rPr>
                <w:sz w:val="19"/>
                <w:szCs w:val="19"/>
              </w:rPr>
              <w:t>SOP</w:t>
            </w:r>
          </w:p>
        </w:tc>
        <w:tc>
          <w:tcPr>
            <w:tcW w:w="1534" w:type="dxa"/>
            <w:tcBorders>
              <w:top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SP</w:t>
            </w:r>
          </w:p>
        </w:tc>
        <w:tc>
          <w:tcPr>
            <w:tcW w:w="1800" w:type="dxa"/>
            <w:tcBorders>
              <w:top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SP</w:t>
            </w:r>
          </w:p>
        </w:tc>
        <w:tc>
          <w:tcPr>
            <w:tcW w:w="1080" w:type="dxa"/>
            <w:tcBorders>
              <w:top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P/CP</w:t>
            </w:r>
          </w:p>
        </w:tc>
        <w:tc>
          <w:tcPr>
            <w:tcW w:w="1170" w:type="dxa"/>
            <w:tcBorders>
              <w:top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P</w:t>
            </w:r>
          </w:p>
        </w:tc>
        <w:tc>
          <w:tcPr>
            <w:tcW w:w="990" w:type="dxa"/>
            <w:tcBorders>
              <w:top w:val="single" w:sz="18" w:space="0" w:color="auto"/>
            </w:tcBorders>
            <w:vAlign w:val="center"/>
          </w:tcPr>
          <w:p w:rsidR="009B79E3" w:rsidRPr="00272C9F" w:rsidRDefault="009B79E3" w:rsidP="00066B3F">
            <w:pPr>
              <w:pStyle w:val="TableText"/>
              <w:jc w:val="center"/>
              <w:rPr>
                <w:sz w:val="19"/>
                <w:szCs w:val="19"/>
              </w:rPr>
            </w:pPr>
            <w:r w:rsidRPr="00272C9F">
              <w:rPr>
                <w:sz w:val="19"/>
                <w:szCs w:val="19"/>
              </w:rPr>
              <w:t>SOP</w:t>
            </w:r>
          </w:p>
        </w:tc>
      </w:tr>
      <w:tr w:rsidR="00791126" w:rsidRPr="00272C9F" w:rsidTr="00791126">
        <w:trPr>
          <w:cantSplit/>
          <w:trHeight w:val="305"/>
          <w:jc w:val="center"/>
        </w:trPr>
        <w:tc>
          <w:tcPr>
            <w:tcW w:w="1089" w:type="dxa"/>
            <w:vMerge/>
            <w:shd w:val="clear" w:color="auto" w:fill="auto"/>
            <w:vAlign w:val="center"/>
          </w:tcPr>
          <w:p w:rsidR="009B79E3" w:rsidRPr="00272C9F" w:rsidRDefault="009B79E3" w:rsidP="00324486">
            <w:pPr>
              <w:pStyle w:val="TableText"/>
              <w:rPr>
                <w:sz w:val="19"/>
                <w:szCs w:val="19"/>
              </w:rPr>
            </w:pPr>
          </w:p>
        </w:tc>
        <w:tc>
          <w:tcPr>
            <w:tcW w:w="1080" w:type="dxa"/>
            <w:vAlign w:val="center"/>
          </w:tcPr>
          <w:p w:rsidR="009B79E3" w:rsidRPr="00272C9F" w:rsidRDefault="009B79E3" w:rsidP="00324486">
            <w:pPr>
              <w:pStyle w:val="TableText"/>
              <w:rPr>
                <w:sz w:val="19"/>
                <w:szCs w:val="19"/>
              </w:rPr>
            </w:pPr>
            <w:r w:rsidRPr="00272C9F">
              <w:rPr>
                <w:sz w:val="19"/>
                <w:szCs w:val="19"/>
              </w:rPr>
              <w:t>Weekend</w:t>
            </w:r>
          </w:p>
        </w:tc>
        <w:tc>
          <w:tcPr>
            <w:tcW w:w="1350" w:type="dxa"/>
            <w:shd w:val="clear" w:color="auto" w:fill="auto"/>
            <w:vAlign w:val="center"/>
          </w:tcPr>
          <w:p w:rsidR="009B79E3" w:rsidRPr="00272C9F" w:rsidRDefault="009B79E3" w:rsidP="00066B3F">
            <w:pPr>
              <w:pStyle w:val="TableText"/>
              <w:jc w:val="center"/>
              <w:rPr>
                <w:sz w:val="19"/>
                <w:szCs w:val="19"/>
              </w:rPr>
            </w:pPr>
            <w:r w:rsidRPr="00272C9F">
              <w:rPr>
                <w:sz w:val="19"/>
                <w:szCs w:val="19"/>
              </w:rPr>
              <w:t>SOP</w:t>
            </w:r>
          </w:p>
        </w:tc>
        <w:tc>
          <w:tcPr>
            <w:tcW w:w="1534" w:type="dxa"/>
            <w:vAlign w:val="center"/>
          </w:tcPr>
          <w:p w:rsidR="009B79E3" w:rsidRPr="00272C9F" w:rsidRDefault="009B79E3" w:rsidP="00066B3F">
            <w:pPr>
              <w:pStyle w:val="TableText"/>
              <w:jc w:val="center"/>
              <w:rPr>
                <w:sz w:val="19"/>
                <w:szCs w:val="19"/>
              </w:rPr>
            </w:pPr>
            <w:r w:rsidRPr="00272C9F">
              <w:rPr>
                <w:sz w:val="19"/>
                <w:szCs w:val="19"/>
              </w:rPr>
              <w:t>SP</w:t>
            </w:r>
          </w:p>
        </w:tc>
        <w:tc>
          <w:tcPr>
            <w:tcW w:w="1800" w:type="dxa"/>
            <w:vAlign w:val="center"/>
          </w:tcPr>
          <w:p w:rsidR="009B79E3" w:rsidRPr="00272C9F" w:rsidRDefault="009B79E3" w:rsidP="00066B3F">
            <w:pPr>
              <w:pStyle w:val="TableText"/>
              <w:jc w:val="center"/>
              <w:rPr>
                <w:sz w:val="19"/>
                <w:szCs w:val="19"/>
              </w:rPr>
            </w:pPr>
            <w:r w:rsidRPr="00272C9F">
              <w:rPr>
                <w:sz w:val="19"/>
                <w:szCs w:val="19"/>
              </w:rPr>
              <w:t>SP</w:t>
            </w:r>
          </w:p>
        </w:tc>
        <w:tc>
          <w:tcPr>
            <w:tcW w:w="1080" w:type="dxa"/>
            <w:vAlign w:val="center"/>
          </w:tcPr>
          <w:p w:rsidR="009B79E3" w:rsidRPr="00272C9F" w:rsidRDefault="009B79E3" w:rsidP="00066B3F">
            <w:pPr>
              <w:pStyle w:val="TableText"/>
              <w:jc w:val="center"/>
              <w:rPr>
                <w:sz w:val="19"/>
                <w:szCs w:val="19"/>
              </w:rPr>
            </w:pPr>
            <w:r w:rsidRPr="00272C9F">
              <w:rPr>
                <w:sz w:val="19"/>
                <w:szCs w:val="19"/>
              </w:rPr>
              <w:t>SP</w:t>
            </w:r>
          </w:p>
        </w:tc>
        <w:tc>
          <w:tcPr>
            <w:tcW w:w="1170" w:type="dxa"/>
            <w:vAlign w:val="center"/>
          </w:tcPr>
          <w:p w:rsidR="009B79E3" w:rsidRPr="00272C9F" w:rsidRDefault="009B79E3" w:rsidP="00066B3F">
            <w:pPr>
              <w:pStyle w:val="TableText"/>
              <w:jc w:val="center"/>
              <w:rPr>
                <w:sz w:val="19"/>
                <w:szCs w:val="19"/>
              </w:rPr>
            </w:pPr>
            <w:r w:rsidRPr="00272C9F">
              <w:rPr>
                <w:sz w:val="19"/>
                <w:szCs w:val="19"/>
              </w:rPr>
              <w:t>SP</w:t>
            </w:r>
          </w:p>
        </w:tc>
        <w:tc>
          <w:tcPr>
            <w:tcW w:w="990" w:type="dxa"/>
            <w:vAlign w:val="center"/>
          </w:tcPr>
          <w:p w:rsidR="009B79E3" w:rsidRPr="00272C9F" w:rsidRDefault="009B79E3" w:rsidP="00066B3F">
            <w:pPr>
              <w:pStyle w:val="TableText"/>
              <w:jc w:val="center"/>
              <w:rPr>
                <w:sz w:val="19"/>
                <w:szCs w:val="19"/>
              </w:rPr>
            </w:pPr>
            <w:r w:rsidRPr="00272C9F">
              <w:rPr>
                <w:sz w:val="19"/>
                <w:szCs w:val="19"/>
              </w:rPr>
              <w:t>SP</w:t>
            </w:r>
          </w:p>
        </w:tc>
      </w:tr>
    </w:tbl>
    <w:p w:rsidR="00883E99" w:rsidRDefault="00883E99" w:rsidP="006C52BF">
      <w:pPr>
        <w:spacing w:line="276" w:lineRule="auto"/>
        <w:ind w:firstLine="576"/>
        <w:rPr>
          <w:color w:val="000000" w:themeColor="text1"/>
        </w:rPr>
      </w:pPr>
    </w:p>
    <w:p w:rsidR="00D20B70" w:rsidRDefault="00D20B70" w:rsidP="0003743F">
      <w:pPr>
        <w:pStyle w:val="Heading2"/>
        <w:rPr>
          <w:rFonts w:ascii="Times New Roman" w:hAnsi="Times New Roman" w:cs="Times New Roman"/>
          <w:color w:val="000000" w:themeColor="text1"/>
        </w:rPr>
      </w:pPr>
      <w:bookmarkStart w:id="238" w:name="_Toc415749028"/>
      <w:r w:rsidRPr="00463C7B">
        <w:rPr>
          <w:rFonts w:ascii="Times New Roman" w:hAnsi="Times New Roman" w:cs="Times New Roman"/>
          <w:color w:val="000000" w:themeColor="text1"/>
        </w:rPr>
        <w:t>Non-Residential SPP Rates</w:t>
      </w:r>
      <w:r>
        <w:rPr>
          <w:rFonts w:ascii="Times New Roman" w:hAnsi="Times New Roman" w:cs="Times New Roman"/>
          <w:color w:val="000000" w:themeColor="text1"/>
        </w:rPr>
        <w:t xml:space="preserve"> </w:t>
      </w:r>
      <w:r w:rsidR="0003743F" w:rsidRPr="0003743F">
        <w:rPr>
          <w:rFonts w:ascii="Times New Roman" w:hAnsi="Times New Roman" w:cs="Times New Roman"/>
          <w:color w:val="000000" w:themeColor="text1"/>
        </w:rPr>
        <w:t>Ex-Post Evaluation Methodology</w:t>
      </w:r>
      <w:bookmarkEnd w:id="238"/>
    </w:p>
    <w:p w:rsidR="0003743F" w:rsidRDefault="0003743F" w:rsidP="0003743F"/>
    <w:p w:rsidR="0003743F" w:rsidRDefault="0003743F" w:rsidP="0003743F">
      <w:pPr>
        <w:spacing w:line="276" w:lineRule="auto"/>
        <w:ind w:firstLine="576"/>
      </w:pPr>
      <w:r w:rsidRPr="0003743F">
        <w:t>Load impacts for the opt-in TOU and TOU-CPP rates offered to selected SDG&amp;E small commercial customers were estimated using cluster analysis, propensity score matching methods, and difference-in-differences estimation. This section provides a detailed description of the implementation of each of these components.</w:t>
      </w:r>
    </w:p>
    <w:p w:rsidR="0003743F" w:rsidRDefault="0003743F" w:rsidP="0003743F"/>
    <w:p w:rsidR="00EA606B" w:rsidRPr="00EA606B" w:rsidRDefault="00EA606B" w:rsidP="00EA606B">
      <w:pPr>
        <w:pStyle w:val="Heading3"/>
        <w:spacing w:before="0" w:after="0" w:line="276" w:lineRule="auto"/>
        <w:ind w:hanging="360"/>
        <w:rPr>
          <w:rFonts w:ascii="Times New Roman" w:hAnsi="Times New Roman" w:cs="Times New Roman"/>
          <w:szCs w:val="24"/>
        </w:rPr>
      </w:pPr>
      <w:bookmarkStart w:id="239" w:name="_Toc414350774"/>
      <w:bookmarkStart w:id="240" w:name="_Toc414441441"/>
      <w:bookmarkStart w:id="241" w:name="_Toc415749029"/>
      <w:r w:rsidRPr="00EA606B">
        <w:rPr>
          <w:rFonts w:ascii="Times New Roman" w:hAnsi="Times New Roman" w:cs="Times New Roman"/>
          <w:szCs w:val="24"/>
        </w:rPr>
        <w:t>Cluster Analysis</w:t>
      </w:r>
      <w:bookmarkEnd w:id="239"/>
      <w:bookmarkEnd w:id="240"/>
      <w:bookmarkEnd w:id="241"/>
    </w:p>
    <w:p w:rsidR="00EA606B" w:rsidRDefault="00EA606B" w:rsidP="00EA606B">
      <w:pPr>
        <w:pStyle w:val="BodyParagraph"/>
        <w:spacing w:after="0" w:line="276" w:lineRule="auto"/>
        <w:rPr>
          <w:rFonts w:ascii="Times New Roman" w:hAnsi="Times New Roman"/>
          <w:sz w:val="24"/>
          <w:szCs w:val="24"/>
        </w:rPr>
      </w:pPr>
    </w:p>
    <w:p w:rsidR="00EA606B" w:rsidRDefault="00EA606B" w:rsidP="00EA606B">
      <w:pPr>
        <w:pStyle w:val="BodyParagraph"/>
        <w:spacing w:after="0" w:line="276" w:lineRule="auto"/>
        <w:ind w:firstLine="720"/>
        <w:rPr>
          <w:rFonts w:ascii="Times New Roman" w:hAnsi="Times New Roman"/>
          <w:sz w:val="24"/>
          <w:szCs w:val="24"/>
        </w:rPr>
      </w:pPr>
      <w:r w:rsidRPr="00EA606B">
        <w:rPr>
          <w:rFonts w:ascii="Times New Roman" w:hAnsi="Times New Roman"/>
          <w:sz w:val="24"/>
          <w:szCs w:val="24"/>
        </w:rPr>
        <w:t>Marketing of the SPP rates to small commercial customers was not random, but rather targeted customers who were most likely to benefit from being on one of the two SPP rates. Given this marketing strategy, the subset of customers who enrolled in the rates was expected to consist of structural winners who are not representative of the entire SDG&amp;E small commercial customer population. Because of the marketing strategy, it was important to understand the uniqueness of the enrolled TOU and TOU-CPP customers in terms of both demographics and consumption patterns. This initial analysis was conducted using simple descriptive statistics of customer characteristics and k-means cluster analysis of load data.</w:t>
      </w:r>
    </w:p>
    <w:p w:rsidR="00EA606B" w:rsidRPr="00EA606B" w:rsidRDefault="00EA606B" w:rsidP="00EA606B">
      <w:pPr>
        <w:pStyle w:val="BodyParagraph"/>
        <w:spacing w:after="0" w:line="276" w:lineRule="auto"/>
        <w:ind w:firstLine="720"/>
        <w:rPr>
          <w:rFonts w:ascii="Times New Roman" w:hAnsi="Times New Roman"/>
          <w:sz w:val="24"/>
          <w:szCs w:val="24"/>
        </w:rPr>
      </w:pPr>
    </w:p>
    <w:p w:rsidR="00EA606B" w:rsidRPr="00EA606B" w:rsidRDefault="00EA606B" w:rsidP="00EA606B">
      <w:pPr>
        <w:pStyle w:val="BodyBeforeBullet"/>
        <w:spacing w:after="0" w:line="276" w:lineRule="auto"/>
        <w:rPr>
          <w:rFonts w:ascii="Times New Roman" w:hAnsi="Times New Roman"/>
          <w:sz w:val="24"/>
          <w:szCs w:val="24"/>
        </w:rPr>
      </w:pPr>
      <w:r w:rsidRPr="00EA606B">
        <w:rPr>
          <w:rFonts w:ascii="Times New Roman" w:hAnsi="Times New Roman"/>
          <w:sz w:val="24"/>
          <w:szCs w:val="24"/>
        </w:rPr>
        <w:t>K-means cluster analysis is an algorithm-based approach to identifying a discrete number of similar subgroups within a larger sample of data. The algorithm defines subgroups using centroids in Cartesian space and assigns customers to a cluster based on the proximity to that cluster’s centroid. The best location for the cluster centroids are then determined using an iterative process that consists of the following steps:</w:t>
      </w:r>
    </w:p>
    <w:p w:rsidR="00EA606B" w:rsidRPr="00EA606B" w:rsidRDefault="00EA606B" w:rsidP="00EA606B">
      <w:pPr>
        <w:pStyle w:val="Bullets"/>
        <w:tabs>
          <w:tab w:val="clear" w:pos="720"/>
        </w:tabs>
        <w:rPr>
          <w:rFonts w:ascii="Times New Roman" w:hAnsi="Times New Roman" w:cs="Times New Roman"/>
          <w:sz w:val="24"/>
          <w:szCs w:val="24"/>
        </w:rPr>
      </w:pPr>
      <w:r w:rsidRPr="00EA606B">
        <w:rPr>
          <w:rFonts w:ascii="Times New Roman" w:hAnsi="Times New Roman" w:cs="Times New Roman"/>
          <w:sz w:val="24"/>
          <w:szCs w:val="24"/>
        </w:rPr>
        <w:t>Move the cluster centroids;</w:t>
      </w:r>
    </w:p>
    <w:p w:rsidR="00EA606B" w:rsidRPr="00EA606B" w:rsidRDefault="00EA606B" w:rsidP="00EA606B">
      <w:pPr>
        <w:pStyle w:val="Bullets"/>
        <w:tabs>
          <w:tab w:val="clear" w:pos="720"/>
        </w:tabs>
        <w:rPr>
          <w:rFonts w:ascii="Times New Roman" w:hAnsi="Times New Roman" w:cs="Times New Roman"/>
          <w:sz w:val="24"/>
          <w:szCs w:val="24"/>
        </w:rPr>
      </w:pPr>
      <w:r w:rsidRPr="00EA606B">
        <w:rPr>
          <w:rFonts w:ascii="Times New Roman" w:hAnsi="Times New Roman" w:cs="Times New Roman"/>
          <w:sz w:val="24"/>
          <w:szCs w:val="24"/>
        </w:rPr>
        <w:t>Assign each customer to the nearest cluster; and then</w:t>
      </w:r>
    </w:p>
    <w:p w:rsidR="00EA606B" w:rsidRPr="00EA606B" w:rsidRDefault="00EA606B" w:rsidP="00EA606B">
      <w:pPr>
        <w:pStyle w:val="BulletLast"/>
        <w:tabs>
          <w:tab w:val="clear" w:pos="720"/>
        </w:tabs>
        <w:spacing w:after="240"/>
        <w:rPr>
          <w:rFonts w:ascii="Times New Roman" w:hAnsi="Times New Roman" w:cs="Times New Roman"/>
          <w:sz w:val="24"/>
          <w:szCs w:val="24"/>
        </w:rPr>
      </w:pPr>
      <w:r w:rsidRPr="00EA606B">
        <w:rPr>
          <w:rFonts w:ascii="Times New Roman" w:hAnsi="Times New Roman" w:cs="Times New Roman"/>
          <w:sz w:val="24"/>
          <w:szCs w:val="24"/>
        </w:rPr>
        <w:t>Calculate the sum of the distances between each customer and their assigned centroid.</w:t>
      </w:r>
    </w:p>
    <w:p w:rsidR="00EA606B" w:rsidRDefault="00EA606B" w:rsidP="00EA606B">
      <w:pPr>
        <w:pStyle w:val="BodyParagraph"/>
        <w:rPr>
          <w:rFonts w:ascii="Times New Roman" w:hAnsi="Times New Roman"/>
          <w:sz w:val="24"/>
          <w:szCs w:val="24"/>
        </w:rPr>
      </w:pPr>
      <w:r w:rsidRPr="00EA606B">
        <w:rPr>
          <w:rFonts w:ascii="Times New Roman" w:hAnsi="Times New Roman"/>
          <w:sz w:val="24"/>
          <w:szCs w:val="24"/>
        </w:rPr>
        <w:lastRenderedPageBreak/>
        <w:t xml:space="preserve">These steps are repeated as long as the sum of distances can be reduced by moving the centroids. When the sum of distances can no longer be reduced, the optimal cluster assignments have been reached. </w:t>
      </w:r>
    </w:p>
    <w:p w:rsidR="00AC351F" w:rsidRPr="00AC351F" w:rsidRDefault="00AC351F" w:rsidP="00AC351F">
      <w:pPr>
        <w:pStyle w:val="Heading3"/>
        <w:spacing w:before="0" w:after="0" w:line="276" w:lineRule="auto"/>
        <w:ind w:hanging="360"/>
        <w:rPr>
          <w:rFonts w:ascii="Times New Roman" w:hAnsi="Times New Roman" w:cs="Times New Roman"/>
          <w:szCs w:val="24"/>
        </w:rPr>
      </w:pPr>
      <w:bookmarkStart w:id="242" w:name="_Toc414350775"/>
      <w:bookmarkStart w:id="243" w:name="_Toc414441442"/>
      <w:bookmarkStart w:id="244" w:name="_Toc415749030"/>
      <w:r w:rsidRPr="00AC351F">
        <w:rPr>
          <w:rFonts w:ascii="Times New Roman" w:hAnsi="Times New Roman" w:cs="Times New Roman"/>
          <w:szCs w:val="24"/>
        </w:rPr>
        <w:t>Selection of Matched Control Groups</w:t>
      </w:r>
      <w:bookmarkEnd w:id="242"/>
      <w:bookmarkEnd w:id="243"/>
      <w:bookmarkEnd w:id="244"/>
    </w:p>
    <w:p w:rsidR="00AC351F" w:rsidRPr="00AC351F" w:rsidRDefault="00AC351F" w:rsidP="00AC351F">
      <w:pPr>
        <w:pStyle w:val="BodyBeforeBullet"/>
        <w:spacing w:after="0" w:line="276" w:lineRule="auto"/>
        <w:rPr>
          <w:rFonts w:ascii="Times New Roman" w:hAnsi="Times New Roman"/>
          <w:sz w:val="24"/>
          <w:szCs w:val="24"/>
        </w:rPr>
      </w:pPr>
    </w:p>
    <w:p w:rsidR="00AC351F" w:rsidRDefault="00AC351F" w:rsidP="00AC351F">
      <w:pPr>
        <w:pStyle w:val="BodyBeforeBullet"/>
        <w:spacing w:after="0" w:line="276" w:lineRule="auto"/>
        <w:ind w:firstLine="360"/>
        <w:rPr>
          <w:rFonts w:ascii="Times New Roman" w:hAnsi="Times New Roman"/>
          <w:sz w:val="24"/>
          <w:szCs w:val="24"/>
        </w:rPr>
      </w:pPr>
      <w:r w:rsidRPr="00AC351F">
        <w:rPr>
          <w:rFonts w:ascii="Times New Roman" w:hAnsi="Times New Roman"/>
          <w:sz w:val="24"/>
          <w:szCs w:val="24"/>
        </w:rPr>
        <w:t>Despite the clear threat to external validity, internally valid impact estimates for the opt-in SPP rates can be attained using a control group identified by propensity score matching techniques that pair SPP customers with non-SPP customers from the same industry and with a similar load shape. Matching was based on pre-enrollment consumption data and six different models were tested for use:</w:t>
      </w:r>
    </w:p>
    <w:p w:rsidR="00AC351F" w:rsidRPr="00AC351F" w:rsidRDefault="00AC351F" w:rsidP="00AC351F">
      <w:pPr>
        <w:pStyle w:val="Bullets"/>
        <w:numPr>
          <w:ilvl w:val="0"/>
          <w:numId w:val="0"/>
        </w:numPr>
        <w:ind w:left="720"/>
      </w:pPr>
    </w:p>
    <w:p w:rsidR="00AC351F" w:rsidRPr="00272C9F" w:rsidRDefault="00947B52" w:rsidP="00AC351F">
      <w:pPr>
        <w:pStyle w:val="BodyParagraph"/>
        <w:numPr>
          <w:ilvl w:val="1"/>
          <w:numId w:val="34"/>
        </w:numPr>
        <w:spacing w:after="0" w:line="264" w:lineRule="auto"/>
        <w:rPr>
          <w:sz w:val="21"/>
          <w:szCs w:val="21"/>
        </w:rPr>
      </w:pPr>
      <m:oMath>
        <m:sSub>
          <m:sSubPr>
            <m:ctrlPr>
              <w:rPr>
                <w:rFonts w:ascii="Cambria Math" w:hAnsi="Cambria Math"/>
                <w:i/>
                <w:iCs/>
                <w:sz w:val="21"/>
                <w:szCs w:val="21"/>
              </w:rPr>
            </m:ctrlPr>
          </m:sSubPr>
          <m:e>
            <m:r>
              <w:rPr>
                <w:rFonts w:ascii="Cambria Math" w:hAnsi="Cambria Math"/>
                <w:sz w:val="21"/>
                <w:szCs w:val="21"/>
              </w:rPr>
              <m:t>treatment</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1</m:t>
            </m:r>
          </m:sub>
        </m:sSub>
        <m:sSub>
          <m:sSubPr>
            <m:ctrlPr>
              <w:rPr>
                <w:rFonts w:ascii="Cambria Math" w:hAnsi="Cambria Math"/>
                <w:i/>
                <w:iCs/>
                <w:sz w:val="21"/>
                <w:szCs w:val="21"/>
              </w:rPr>
            </m:ctrlPr>
          </m:sSubPr>
          <m:e>
            <m:r>
              <w:rPr>
                <w:rFonts w:ascii="Cambria Math" w:hAnsi="Cambria Math"/>
                <w:sz w:val="21"/>
                <w:szCs w:val="21"/>
              </w:rPr>
              <m:t>avgdaily kwh</m:t>
            </m:r>
          </m:e>
          <m:sub>
            <m:r>
              <w:rPr>
                <w:rFonts w:ascii="Cambria Math" w:hAnsi="Cambria Math"/>
                <w:sz w:val="21"/>
                <w:szCs w:val="21"/>
              </w:rPr>
              <m:t>i</m:t>
            </m:r>
          </m:sub>
        </m:sSub>
        <m:r>
          <w:rPr>
            <w:rFonts w:ascii="Cambria Math" w:hAnsi="Cambria Math"/>
            <w:sz w:val="21"/>
            <w:szCs w:val="21"/>
          </w:rPr>
          <m:t>+</m:t>
        </m:r>
      </m:oMath>
      <w:r w:rsidR="00AC351F" w:rsidRPr="00272C9F">
        <w:rPr>
          <w:sz w:val="21"/>
          <w:szCs w:val="21"/>
        </w:rPr>
        <w:t xml:space="preserve"> </w:t>
      </w:r>
      <m:oMath>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2</m:t>
            </m:r>
          </m:sub>
        </m:sSub>
        <m:sSub>
          <m:sSubPr>
            <m:ctrlPr>
              <w:rPr>
                <w:rFonts w:ascii="Cambria Math" w:hAnsi="Cambria Math"/>
                <w:i/>
                <w:iCs/>
                <w:sz w:val="21"/>
                <w:szCs w:val="21"/>
              </w:rPr>
            </m:ctrlPr>
          </m:sSubPr>
          <m:e>
            <m:r>
              <w:rPr>
                <w:rFonts w:ascii="Cambria Math" w:hAnsi="Cambria Math"/>
                <w:sz w:val="21"/>
                <w:szCs w:val="21"/>
              </w:rPr>
              <m:t>avg_peakratio</m:t>
            </m:r>
          </m:e>
          <m:sub>
            <m:r>
              <w:rPr>
                <w:rFonts w:ascii="Cambria Math" w:hAnsi="Cambria Math"/>
                <w:sz w:val="21"/>
                <w:szCs w:val="21"/>
              </w:rPr>
              <m:t>i,t=jul-oct</m:t>
            </m:r>
          </m:sub>
        </m:sSub>
      </m:oMath>
    </w:p>
    <w:p w:rsidR="00AC351F" w:rsidRPr="00272C9F" w:rsidRDefault="00AC351F" w:rsidP="00AC351F">
      <w:pPr>
        <w:pStyle w:val="BodyParagraph"/>
        <w:spacing w:after="0"/>
        <w:ind w:left="1440"/>
        <w:rPr>
          <w:sz w:val="21"/>
          <w:szCs w:val="21"/>
        </w:rPr>
      </w:pPr>
    </w:p>
    <w:p w:rsidR="00AC351F" w:rsidRPr="00272C9F" w:rsidRDefault="00947B52" w:rsidP="00AC351F">
      <w:pPr>
        <w:pStyle w:val="BodyParagraph"/>
        <w:numPr>
          <w:ilvl w:val="1"/>
          <w:numId w:val="34"/>
        </w:numPr>
        <w:spacing w:line="264" w:lineRule="auto"/>
        <w:rPr>
          <w:sz w:val="21"/>
          <w:szCs w:val="21"/>
        </w:rPr>
      </w:pPr>
      <m:oMath>
        <m:sSub>
          <m:sSubPr>
            <m:ctrlPr>
              <w:rPr>
                <w:rFonts w:ascii="Cambria Math" w:hAnsi="Cambria Math"/>
                <w:i/>
                <w:iCs/>
                <w:sz w:val="21"/>
                <w:szCs w:val="21"/>
              </w:rPr>
            </m:ctrlPr>
          </m:sSubPr>
          <m:e>
            <m:r>
              <w:rPr>
                <w:rFonts w:ascii="Cambria Math" w:hAnsi="Cambria Math"/>
                <w:sz w:val="21"/>
                <w:szCs w:val="21"/>
              </w:rPr>
              <m:t>treatment</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1</m:t>
            </m:r>
          </m:sub>
        </m:sSub>
        <m:sSub>
          <m:sSubPr>
            <m:ctrlPr>
              <w:rPr>
                <w:rFonts w:ascii="Cambria Math" w:hAnsi="Cambria Math"/>
                <w:i/>
                <w:iCs/>
                <w:sz w:val="21"/>
                <w:szCs w:val="21"/>
              </w:rPr>
            </m:ctrlPr>
          </m:sSubPr>
          <m:e>
            <m:r>
              <w:rPr>
                <w:rFonts w:ascii="Cambria Math" w:hAnsi="Cambria Math"/>
                <w:sz w:val="21"/>
                <w:szCs w:val="21"/>
              </w:rPr>
              <m:t>avgdaily kwh</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2</m:t>
            </m:r>
          </m:sub>
        </m:sSub>
        <m:sSub>
          <m:sSubPr>
            <m:ctrlPr>
              <w:rPr>
                <w:rFonts w:ascii="Cambria Math" w:hAnsi="Cambria Math"/>
                <w:i/>
                <w:iCs/>
                <w:sz w:val="21"/>
                <w:szCs w:val="21"/>
              </w:rPr>
            </m:ctrlPr>
          </m:sSubPr>
          <m:e>
            <m:r>
              <w:rPr>
                <w:rFonts w:ascii="Cambria Math" w:hAnsi="Cambria Math"/>
                <w:sz w:val="21"/>
                <w:szCs w:val="21"/>
              </w:rPr>
              <m:t>avg_peakratio</m:t>
            </m:r>
          </m:e>
          <m:sub>
            <m:r>
              <w:rPr>
                <w:rFonts w:ascii="Cambria Math" w:hAnsi="Cambria Math"/>
                <w:sz w:val="21"/>
                <w:szCs w:val="21"/>
              </w:rPr>
              <m:t>i,t=jul-aug</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3</m:t>
            </m:r>
          </m:sub>
        </m:sSub>
        <m:sSub>
          <m:sSubPr>
            <m:ctrlPr>
              <w:rPr>
                <w:rFonts w:ascii="Cambria Math" w:hAnsi="Cambria Math"/>
                <w:i/>
                <w:iCs/>
                <w:sz w:val="21"/>
                <w:szCs w:val="21"/>
              </w:rPr>
            </m:ctrlPr>
          </m:sSubPr>
          <m:e>
            <m:r>
              <w:rPr>
                <w:rFonts w:ascii="Cambria Math" w:hAnsi="Cambria Math"/>
                <w:sz w:val="21"/>
                <w:szCs w:val="21"/>
              </w:rPr>
              <m:t>avgpeakratio</m:t>
            </m:r>
          </m:e>
          <m:sub>
            <m:r>
              <w:rPr>
                <w:rFonts w:ascii="Cambria Math" w:hAnsi="Cambria Math"/>
                <w:sz w:val="21"/>
                <w:szCs w:val="21"/>
              </w:rPr>
              <m:t>i,t=sep-oct</m:t>
            </m:r>
          </m:sub>
        </m:sSub>
      </m:oMath>
    </w:p>
    <w:p w:rsidR="00AC351F" w:rsidRPr="00272C9F" w:rsidRDefault="00947B52" w:rsidP="00AC351F">
      <w:pPr>
        <w:pStyle w:val="BodyParagraph"/>
        <w:numPr>
          <w:ilvl w:val="1"/>
          <w:numId w:val="34"/>
        </w:numPr>
        <w:spacing w:after="0" w:line="264" w:lineRule="auto"/>
        <w:rPr>
          <w:sz w:val="21"/>
          <w:szCs w:val="21"/>
        </w:rPr>
      </w:pPr>
      <m:oMath>
        <m:sSub>
          <m:sSubPr>
            <m:ctrlPr>
              <w:rPr>
                <w:rFonts w:ascii="Cambria Math" w:hAnsi="Cambria Math"/>
                <w:i/>
                <w:iCs/>
                <w:sz w:val="21"/>
                <w:szCs w:val="21"/>
              </w:rPr>
            </m:ctrlPr>
          </m:sSubPr>
          <m:e>
            <m:r>
              <w:rPr>
                <w:rFonts w:ascii="Cambria Math" w:hAnsi="Cambria Math"/>
                <w:sz w:val="21"/>
                <w:szCs w:val="21"/>
              </w:rPr>
              <m:t>treatment</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1</m:t>
            </m:r>
          </m:sub>
        </m:sSub>
        <m:sSub>
          <m:sSubPr>
            <m:ctrlPr>
              <w:rPr>
                <w:rFonts w:ascii="Cambria Math" w:hAnsi="Cambria Math"/>
                <w:i/>
                <w:iCs/>
                <w:sz w:val="21"/>
                <w:szCs w:val="21"/>
              </w:rPr>
            </m:ctrlPr>
          </m:sSubPr>
          <m:e>
            <m:r>
              <w:rPr>
                <w:rFonts w:ascii="Cambria Math" w:hAnsi="Cambria Math"/>
                <w:sz w:val="21"/>
                <w:szCs w:val="21"/>
              </w:rPr>
              <m:t>avgdaily kwh</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2</m:t>
                </m:r>
              </m:sub>
            </m:sSub>
            <m:r>
              <w:rPr>
                <w:rFonts w:ascii="Cambria Math" w:hAnsi="Cambria Math"/>
                <w:sz w:val="21"/>
                <w:szCs w:val="21"/>
              </w:rPr>
              <m:t>hou</m:t>
            </m:r>
            <m:r>
              <w:rPr>
                <w:rFonts w:ascii="Cambria Math" w:hAnsi="Cambria Math"/>
                <w:sz w:val="21"/>
                <w:szCs w:val="21"/>
              </w:rPr>
              <m:t>rlykwh</m:t>
            </m:r>
          </m:e>
          <m:sub>
            <m:r>
              <w:rPr>
                <w:rFonts w:ascii="Cambria Math" w:hAnsi="Cambria Math"/>
                <w:sz w:val="21"/>
                <w:szCs w:val="21"/>
              </w:rPr>
              <m:t>i,t</m:t>
            </m:r>
          </m:sub>
        </m:sSub>
      </m:oMath>
      <w:r w:rsidR="00AC351F" w:rsidRPr="00272C9F">
        <w:rPr>
          <w:sz w:val="21"/>
          <w:szCs w:val="21"/>
        </w:rPr>
        <w:t xml:space="preserve"> </w:t>
      </w:r>
    </w:p>
    <w:p w:rsidR="00AC351F" w:rsidRPr="00272C9F" w:rsidRDefault="00AC351F" w:rsidP="00AC351F">
      <w:pPr>
        <w:pStyle w:val="BodyParagraph"/>
        <w:spacing w:after="0"/>
        <w:ind w:left="2160"/>
        <w:rPr>
          <w:sz w:val="21"/>
          <w:szCs w:val="21"/>
        </w:rPr>
      </w:pPr>
      <w:r w:rsidRPr="00272C9F">
        <w:rPr>
          <w:sz w:val="21"/>
          <w:szCs w:val="21"/>
        </w:rPr>
        <w:t>(where t= HE 17 through HE 22)</w:t>
      </w:r>
    </w:p>
    <w:p w:rsidR="00AC351F" w:rsidRPr="00272C9F" w:rsidRDefault="00AC351F" w:rsidP="00AC351F">
      <w:pPr>
        <w:pStyle w:val="BodyParagraph"/>
        <w:spacing w:after="0"/>
        <w:ind w:left="2160"/>
        <w:rPr>
          <w:sz w:val="21"/>
          <w:szCs w:val="21"/>
        </w:rPr>
      </w:pPr>
    </w:p>
    <w:p w:rsidR="00AC351F" w:rsidRPr="00272C9F" w:rsidRDefault="00947B52" w:rsidP="00AC351F">
      <w:pPr>
        <w:pStyle w:val="BodyParagraph"/>
        <w:numPr>
          <w:ilvl w:val="1"/>
          <w:numId w:val="34"/>
        </w:numPr>
        <w:spacing w:after="0" w:line="264" w:lineRule="auto"/>
        <w:rPr>
          <w:sz w:val="21"/>
          <w:szCs w:val="21"/>
        </w:rPr>
      </w:pPr>
      <m:oMath>
        <m:sSub>
          <m:sSubPr>
            <m:ctrlPr>
              <w:rPr>
                <w:rFonts w:ascii="Cambria Math" w:hAnsi="Cambria Math"/>
                <w:i/>
                <w:iCs/>
                <w:sz w:val="21"/>
                <w:szCs w:val="21"/>
              </w:rPr>
            </m:ctrlPr>
          </m:sSubPr>
          <m:e>
            <m:r>
              <w:rPr>
                <w:rFonts w:ascii="Cambria Math" w:hAnsi="Cambria Math"/>
                <w:sz w:val="21"/>
                <w:szCs w:val="21"/>
              </w:rPr>
              <m:t>treatment</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1</m:t>
            </m:r>
          </m:sub>
        </m:sSub>
        <m:sSub>
          <m:sSubPr>
            <m:ctrlPr>
              <w:rPr>
                <w:rFonts w:ascii="Cambria Math" w:hAnsi="Cambria Math"/>
                <w:i/>
                <w:iCs/>
                <w:sz w:val="21"/>
                <w:szCs w:val="21"/>
              </w:rPr>
            </m:ctrlPr>
          </m:sSubPr>
          <m:e>
            <m:r>
              <w:rPr>
                <w:rFonts w:ascii="Cambria Math" w:hAnsi="Cambria Math"/>
                <w:sz w:val="21"/>
                <w:szCs w:val="21"/>
              </w:rPr>
              <m:t>avgdaily kwh</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2</m:t>
                </m:r>
              </m:sub>
            </m:sSub>
            <m:r>
              <w:rPr>
                <w:rFonts w:ascii="Cambria Math" w:hAnsi="Cambria Math"/>
                <w:sz w:val="21"/>
                <w:szCs w:val="21"/>
              </w:rPr>
              <m:t>percentofdailykwh</m:t>
            </m:r>
          </m:e>
          <m:sub>
            <m:r>
              <w:rPr>
                <w:rFonts w:ascii="Cambria Math" w:hAnsi="Cambria Math"/>
                <w:sz w:val="21"/>
                <w:szCs w:val="21"/>
              </w:rPr>
              <m:t>i,t</m:t>
            </m:r>
          </m:sub>
        </m:sSub>
      </m:oMath>
      <w:r w:rsidR="00AC351F" w:rsidRPr="00272C9F">
        <w:rPr>
          <w:sz w:val="21"/>
          <w:szCs w:val="21"/>
        </w:rPr>
        <w:t xml:space="preserve"> </w:t>
      </w:r>
    </w:p>
    <w:p w:rsidR="00AC351F" w:rsidRPr="00272C9F" w:rsidRDefault="00AC351F" w:rsidP="00AC351F">
      <w:pPr>
        <w:pStyle w:val="BodyParagraph"/>
        <w:spacing w:after="0"/>
        <w:ind w:left="2160"/>
        <w:rPr>
          <w:sz w:val="21"/>
          <w:szCs w:val="21"/>
        </w:rPr>
      </w:pPr>
      <w:r w:rsidRPr="00272C9F">
        <w:rPr>
          <w:sz w:val="21"/>
          <w:szCs w:val="21"/>
        </w:rPr>
        <w:t>(where t= HE 17 through HE 22)</w:t>
      </w:r>
    </w:p>
    <w:p w:rsidR="00AC351F" w:rsidRPr="00272C9F" w:rsidRDefault="00AC351F" w:rsidP="00AC351F">
      <w:pPr>
        <w:pStyle w:val="BodyParagraph"/>
        <w:spacing w:after="0"/>
        <w:ind w:left="2160"/>
        <w:rPr>
          <w:sz w:val="21"/>
          <w:szCs w:val="21"/>
        </w:rPr>
      </w:pPr>
    </w:p>
    <w:p w:rsidR="00AC351F" w:rsidRPr="00272C9F" w:rsidRDefault="00947B52" w:rsidP="00AC351F">
      <w:pPr>
        <w:pStyle w:val="BodyParagraph"/>
        <w:numPr>
          <w:ilvl w:val="1"/>
          <w:numId w:val="34"/>
        </w:numPr>
        <w:spacing w:after="0" w:line="264" w:lineRule="auto"/>
        <w:rPr>
          <w:sz w:val="21"/>
          <w:szCs w:val="21"/>
        </w:rPr>
      </w:pPr>
      <m:oMath>
        <m:sSub>
          <m:sSubPr>
            <m:ctrlPr>
              <w:rPr>
                <w:rFonts w:ascii="Cambria Math" w:hAnsi="Cambria Math"/>
                <w:i/>
                <w:iCs/>
                <w:sz w:val="21"/>
                <w:szCs w:val="21"/>
              </w:rPr>
            </m:ctrlPr>
          </m:sSubPr>
          <m:e>
            <m:r>
              <w:rPr>
                <w:rFonts w:ascii="Cambria Math" w:hAnsi="Cambria Math"/>
                <w:sz w:val="21"/>
                <w:szCs w:val="21"/>
              </w:rPr>
              <m:t>treatment</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1</m:t>
            </m:r>
          </m:sub>
        </m:sSub>
        <m:sSub>
          <m:sSubPr>
            <m:ctrlPr>
              <w:rPr>
                <w:rFonts w:ascii="Cambria Math" w:hAnsi="Cambria Math"/>
                <w:i/>
                <w:iCs/>
                <w:sz w:val="21"/>
                <w:szCs w:val="21"/>
              </w:rPr>
            </m:ctrlPr>
          </m:sSubPr>
          <m:e>
            <m:r>
              <w:rPr>
                <w:rFonts w:ascii="Cambria Math" w:hAnsi="Cambria Math"/>
                <w:sz w:val="21"/>
                <w:szCs w:val="21"/>
              </w:rPr>
              <m:t>avgdaily kwh</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2</m:t>
            </m:r>
          </m:sub>
        </m:sSub>
        <m:sSub>
          <m:sSubPr>
            <m:ctrlPr>
              <w:rPr>
                <w:rFonts w:ascii="Cambria Math" w:hAnsi="Cambria Math"/>
                <w:i/>
                <w:iCs/>
                <w:sz w:val="21"/>
                <w:szCs w:val="21"/>
              </w:rPr>
            </m:ctrlPr>
          </m:sSubPr>
          <m:e>
            <m:r>
              <w:rPr>
                <w:rFonts w:ascii="Cambria Math" w:hAnsi="Cambria Math"/>
                <w:sz w:val="21"/>
                <w:szCs w:val="21"/>
              </w:rPr>
              <m:t>avg_peakshar</m:t>
            </m:r>
            <m:r>
              <w:rPr>
                <w:rFonts w:ascii="Cambria Math" w:hAnsi="Cambria Math"/>
                <w:sz w:val="21"/>
                <w:szCs w:val="21"/>
              </w:rPr>
              <m:t>e</m:t>
            </m:r>
          </m:e>
          <m:sub>
            <m:r>
              <w:rPr>
                <w:rFonts w:ascii="Cambria Math" w:hAnsi="Cambria Math"/>
                <w:sz w:val="21"/>
                <w:szCs w:val="21"/>
              </w:rPr>
              <m:t>i,t=jul-oct</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3</m:t>
            </m:r>
          </m:sub>
        </m:sSub>
        <m:sSub>
          <m:sSubPr>
            <m:ctrlPr>
              <w:rPr>
                <w:rFonts w:ascii="Cambria Math" w:hAnsi="Cambria Math"/>
                <w:i/>
                <w:iCs/>
                <w:sz w:val="21"/>
                <w:szCs w:val="21"/>
              </w:rPr>
            </m:ctrlPr>
          </m:sSubPr>
          <m:e>
            <m:r>
              <w:rPr>
                <w:rFonts w:ascii="Cambria Math" w:hAnsi="Cambria Math"/>
                <w:sz w:val="21"/>
                <w:szCs w:val="21"/>
              </w:rPr>
              <m:t>avg_shouldershare</m:t>
            </m:r>
          </m:e>
          <m:sub>
            <m:r>
              <w:rPr>
                <w:rFonts w:ascii="Cambria Math" w:hAnsi="Cambria Math"/>
                <w:sz w:val="21"/>
                <w:szCs w:val="21"/>
              </w:rPr>
              <m:t>i,t=jul-oct</m:t>
            </m:r>
          </m:sub>
        </m:sSub>
      </m:oMath>
    </w:p>
    <w:p w:rsidR="00AC351F" w:rsidRPr="00272C9F" w:rsidRDefault="00AC351F" w:rsidP="00AC351F">
      <w:pPr>
        <w:pStyle w:val="BodyParagraph"/>
        <w:spacing w:after="0"/>
        <w:ind w:left="1440"/>
        <w:rPr>
          <w:sz w:val="21"/>
          <w:szCs w:val="21"/>
        </w:rPr>
      </w:pPr>
    </w:p>
    <w:p w:rsidR="00AC351F" w:rsidRPr="00272C9F" w:rsidRDefault="00947B52" w:rsidP="00AC351F">
      <w:pPr>
        <w:pStyle w:val="BodyParagraph"/>
        <w:numPr>
          <w:ilvl w:val="1"/>
          <w:numId w:val="34"/>
        </w:numPr>
        <w:spacing w:line="264" w:lineRule="auto"/>
        <w:rPr>
          <w:sz w:val="21"/>
          <w:szCs w:val="21"/>
        </w:rPr>
      </w:pPr>
      <m:oMath>
        <m:sSub>
          <m:sSubPr>
            <m:ctrlPr>
              <w:rPr>
                <w:rFonts w:ascii="Cambria Math" w:hAnsi="Cambria Math"/>
                <w:i/>
                <w:iCs/>
                <w:sz w:val="21"/>
                <w:szCs w:val="21"/>
              </w:rPr>
            </m:ctrlPr>
          </m:sSubPr>
          <m:e>
            <m:r>
              <w:rPr>
                <w:rFonts w:ascii="Cambria Math" w:hAnsi="Cambria Math"/>
                <w:sz w:val="21"/>
                <w:szCs w:val="21"/>
              </w:rPr>
              <m:t>treatment</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0</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1</m:t>
            </m:r>
          </m:sub>
        </m:sSub>
        <m:sSub>
          <m:sSubPr>
            <m:ctrlPr>
              <w:rPr>
                <w:rFonts w:ascii="Cambria Math" w:hAnsi="Cambria Math"/>
                <w:i/>
                <w:iCs/>
                <w:sz w:val="21"/>
                <w:szCs w:val="21"/>
              </w:rPr>
            </m:ctrlPr>
          </m:sSubPr>
          <m:e>
            <m:r>
              <w:rPr>
                <w:rFonts w:ascii="Cambria Math" w:hAnsi="Cambria Math"/>
                <w:sz w:val="21"/>
                <w:szCs w:val="21"/>
              </w:rPr>
              <m:t>avgdaily kwh</m:t>
            </m:r>
          </m:e>
          <m:sub>
            <m:r>
              <w:rPr>
                <w:rFonts w:ascii="Cambria Math" w:hAnsi="Cambria Math"/>
                <w:sz w:val="21"/>
                <w:szCs w:val="21"/>
              </w:rPr>
              <m:t>i</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2</m:t>
            </m:r>
          </m:sub>
        </m:sSub>
        <m:sSub>
          <m:sSubPr>
            <m:ctrlPr>
              <w:rPr>
                <w:rFonts w:ascii="Cambria Math" w:hAnsi="Cambria Math"/>
                <w:i/>
                <w:iCs/>
                <w:sz w:val="21"/>
                <w:szCs w:val="21"/>
              </w:rPr>
            </m:ctrlPr>
          </m:sSubPr>
          <m:e>
            <m:r>
              <w:rPr>
                <w:rFonts w:ascii="Cambria Math" w:hAnsi="Cambria Math"/>
                <w:sz w:val="21"/>
                <w:szCs w:val="21"/>
              </w:rPr>
              <m:t>avg_peakshare</m:t>
            </m:r>
          </m:e>
          <m:sub>
            <m:r>
              <w:rPr>
                <w:rFonts w:ascii="Cambria Math" w:hAnsi="Cambria Math"/>
                <w:sz w:val="21"/>
                <w:szCs w:val="21"/>
              </w:rPr>
              <m:t>i,t=jul-oct</m:t>
            </m:r>
          </m:sub>
        </m:sSub>
        <m:r>
          <w:rPr>
            <w:rFonts w:ascii="Cambria Math" w:hAnsi="Cambria Math"/>
            <w:sz w:val="21"/>
            <w:szCs w:val="21"/>
          </w:rPr>
          <m:t>+</m:t>
        </m:r>
        <m:sSub>
          <m:sSubPr>
            <m:ctrlPr>
              <w:rPr>
                <w:rFonts w:ascii="Cambria Math" w:hAnsi="Cambria Math"/>
                <w:i/>
                <w:iCs/>
                <w:sz w:val="21"/>
                <w:szCs w:val="21"/>
              </w:rPr>
            </m:ctrlPr>
          </m:sSubPr>
          <m:e>
            <m:r>
              <w:rPr>
                <w:rFonts w:ascii="Cambria Math" w:hAnsi="Cambria Math"/>
                <w:sz w:val="21"/>
                <w:szCs w:val="21"/>
              </w:rPr>
              <m:t>β</m:t>
            </m:r>
          </m:e>
          <m:sub>
            <m:r>
              <w:rPr>
                <w:rFonts w:ascii="Cambria Math" w:hAnsi="Cambria Math"/>
                <w:sz w:val="21"/>
                <w:szCs w:val="21"/>
              </w:rPr>
              <m:t>3</m:t>
            </m:r>
          </m:sub>
        </m:sSub>
        <m:sSub>
          <m:sSubPr>
            <m:ctrlPr>
              <w:rPr>
                <w:rFonts w:ascii="Cambria Math" w:hAnsi="Cambria Math"/>
                <w:i/>
                <w:iCs/>
                <w:sz w:val="21"/>
                <w:szCs w:val="21"/>
              </w:rPr>
            </m:ctrlPr>
          </m:sSubPr>
          <m:e>
            <m:r>
              <w:rPr>
                <w:rFonts w:ascii="Cambria Math" w:hAnsi="Cambria Math"/>
                <w:sz w:val="21"/>
                <w:szCs w:val="21"/>
              </w:rPr>
              <m:t>avg_pm_shouldershare</m:t>
            </m:r>
          </m:e>
          <m:sub>
            <m:r>
              <w:rPr>
                <w:rFonts w:ascii="Cambria Math" w:hAnsi="Cambria Math"/>
                <w:sz w:val="21"/>
                <w:szCs w:val="21"/>
              </w:rPr>
              <m:t>i,t=jul-oct</m:t>
            </m:r>
          </m:sub>
        </m:sSub>
      </m:oMath>
    </w:p>
    <w:p w:rsidR="00AC351F" w:rsidRPr="00AC351F" w:rsidRDefault="00AC351F" w:rsidP="00AC351F">
      <w:pPr>
        <w:pStyle w:val="BodyParagraph"/>
        <w:spacing w:after="0" w:line="276" w:lineRule="auto"/>
        <w:rPr>
          <w:rFonts w:ascii="Times New Roman" w:hAnsi="Times New Roman"/>
          <w:sz w:val="24"/>
          <w:szCs w:val="24"/>
        </w:rPr>
      </w:pPr>
      <w:r w:rsidRPr="00AC351F">
        <w:rPr>
          <w:rFonts w:ascii="Times New Roman" w:hAnsi="Times New Roman"/>
          <w:sz w:val="24"/>
          <w:szCs w:val="24"/>
        </w:rPr>
        <w:t xml:space="preserve">In the equations listed above, the dependent variable is a binary variable representing whether or not customer </w:t>
      </w:r>
      <w:r w:rsidRPr="00AC351F">
        <w:rPr>
          <w:rFonts w:ascii="Times New Roman" w:hAnsi="Times New Roman"/>
          <w:i/>
          <w:sz w:val="24"/>
          <w:szCs w:val="24"/>
        </w:rPr>
        <w:t xml:space="preserve">i </w:t>
      </w:r>
      <w:r w:rsidRPr="00AC351F">
        <w:rPr>
          <w:rFonts w:ascii="Times New Roman" w:hAnsi="Times New Roman"/>
          <w:sz w:val="24"/>
          <w:szCs w:val="24"/>
        </w:rPr>
        <w:t>opted in to an SPP rate.</w:t>
      </w:r>
      <w:r w:rsidRPr="00AC351F">
        <w:rPr>
          <w:rStyle w:val="FootnoteReference"/>
          <w:rFonts w:ascii="Times New Roman" w:hAnsi="Times New Roman"/>
          <w:sz w:val="24"/>
          <w:szCs w:val="24"/>
        </w:rPr>
        <w:footnoteReference w:id="13"/>
      </w:r>
      <w:r w:rsidRPr="00AC351F">
        <w:rPr>
          <w:rFonts w:ascii="Times New Roman" w:hAnsi="Times New Roman"/>
          <w:sz w:val="24"/>
          <w:szCs w:val="24"/>
        </w:rPr>
        <w:t xml:space="preserve"> Explanatory variables include average daily consumption (</w:t>
      </w:r>
      <w:r w:rsidRPr="00AC351F">
        <w:rPr>
          <w:rFonts w:ascii="Times New Roman" w:hAnsi="Times New Roman"/>
          <w:i/>
          <w:sz w:val="24"/>
          <w:szCs w:val="24"/>
        </w:rPr>
        <w:t>avgdailykwh</w:t>
      </w:r>
      <w:r w:rsidRPr="00AC351F">
        <w:rPr>
          <w:rFonts w:ascii="Times New Roman" w:hAnsi="Times New Roman"/>
          <w:sz w:val="24"/>
          <w:szCs w:val="24"/>
        </w:rPr>
        <w:t>), the ratio of peak-to-offpeak consumption for summer months (</w:t>
      </w:r>
      <w:r w:rsidRPr="00AC351F">
        <w:rPr>
          <w:rFonts w:ascii="Times New Roman" w:hAnsi="Times New Roman"/>
          <w:i/>
          <w:sz w:val="24"/>
          <w:szCs w:val="24"/>
        </w:rPr>
        <w:t>avg_peakratio</w:t>
      </w:r>
      <w:r w:rsidRPr="00AC351F">
        <w:rPr>
          <w:rFonts w:ascii="Times New Roman" w:hAnsi="Times New Roman"/>
          <w:sz w:val="24"/>
          <w:szCs w:val="24"/>
        </w:rPr>
        <w:t>), consumption in individual hours (</w:t>
      </w:r>
      <w:r w:rsidRPr="00AC351F">
        <w:rPr>
          <w:rFonts w:ascii="Times New Roman" w:hAnsi="Times New Roman"/>
          <w:i/>
          <w:sz w:val="24"/>
          <w:szCs w:val="24"/>
        </w:rPr>
        <w:t>hourlykwh</w:t>
      </w:r>
      <w:r w:rsidRPr="00AC351F">
        <w:rPr>
          <w:rFonts w:ascii="Times New Roman" w:hAnsi="Times New Roman"/>
          <w:sz w:val="24"/>
          <w:szCs w:val="24"/>
        </w:rPr>
        <w:t>), the percentage of electricity consumed during individual hours (</w:t>
      </w:r>
      <w:r w:rsidRPr="00AC351F">
        <w:rPr>
          <w:rFonts w:ascii="Times New Roman" w:hAnsi="Times New Roman"/>
          <w:i/>
          <w:sz w:val="24"/>
          <w:szCs w:val="24"/>
        </w:rPr>
        <w:t>percentofdailykwh</w:t>
      </w:r>
      <w:r w:rsidRPr="00AC351F">
        <w:rPr>
          <w:rFonts w:ascii="Times New Roman" w:hAnsi="Times New Roman"/>
          <w:sz w:val="24"/>
          <w:szCs w:val="24"/>
        </w:rPr>
        <w:t>), and the share of total electricity consumed during different rate periods (</w:t>
      </w:r>
      <w:r w:rsidRPr="00AC351F">
        <w:rPr>
          <w:rFonts w:ascii="Times New Roman" w:hAnsi="Times New Roman"/>
          <w:i/>
          <w:sz w:val="24"/>
          <w:szCs w:val="24"/>
        </w:rPr>
        <w:t>avg_peakshare</w:t>
      </w:r>
      <w:r w:rsidRPr="00AC351F">
        <w:rPr>
          <w:rFonts w:ascii="Times New Roman" w:hAnsi="Times New Roman"/>
          <w:sz w:val="24"/>
          <w:szCs w:val="24"/>
        </w:rPr>
        <w:t xml:space="preserve"> and </w:t>
      </w:r>
      <w:r w:rsidRPr="00AC351F">
        <w:rPr>
          <w:rFonts w:ascii="Times New Roman" w:hAnsi="Times New Roman"/>
          <w:i/>
          <w:sz w:val="24"/>
          <w:szCs w:val="24"/>
        </w:rPr>
        <w:t>avg_shouldershare</w:t>
      </w:r>
      <w:r w:rsidRPr="00AC351F">
        <w:rPr>
          <w:rStyle w:val="FootnoteReference"/>
          <w:rFonts w:ascii="Times New Roman" w:hAnsi="Times New Roman"/>
          <w:i/>
          <w:sz w:val="24"/>
          <w:szCs w:val="24"/>
        </w:rPr>
        <w:footnoteReference w:id="14"/>
      </w:r>
      <w:r w:rsidRPr="00AC351F">
        <w:rPr>
          <w:rFonts w:ascii="Times New Roman" w:hAnsi="Times New Roman"/>
          <w:sz w:val="24"/>
          <w:szCs w:val="24"/>
        </w:rPr>
        <w:t xml:space="preserve">). The pool of possible control customers consisted of a random sample of approximately 20,000 SDG&amp;E small commercial customers and each treatment-control pair was restricted to be in the same industry as identified by the first two digits of their NAICS codes. </w:t>
      </w:r>
    </w:p>
    <w:p w:rsidR="00AC351F" w:rsidRPr="00AC351F" w:rsidRDefault="00AC351F" w:rsidP="00AC351F">
      <w:pPr>
        <w:pStyle w:val="BodyBeforeBullet"/>
        <w:rPr>
          <w:rFonts w:ascii="Times New Roman" w:hAnsi="Times New Roman"/>
          <w:sz w:val="24"/>
          <w:szCs w:val="24"/>
        </w:rPr>
      </w:pPr>
      <w:r w:rsidRPr="00AC351F">
        <w:rPr>
          <w:rFonts w:ascii="Times New Roman" w:hAnsi="Times New Roman"/>
          <w:sz w:val="24"/>
          <w:szCs w:val="24"/>
        </w:rPr>
        <w:lastRenderedPageBreak/>
        <w:t>The 6 matching models were estimated using pre-treatment data from the summer of 2013 (June–October) and were evaluated on the basis of differences in consumption between treatment and each matched control group for a pre-determined holdout period (May 2013). Two statistics were calculated to represent the performance of each model during the holdout period:</w:t>
      </w:r>
    </w:p>
    <w:p w:rsidR="00AC351F" w:rsidRPr="00272C9F" w:rsidRDefault="00AC351F" w:rsidP="00AC351F">
      <w:pPr>
        <w:pStyle w:val="Bullets"/>
        <w:tabs>
          <w:tab w:val="clear" w:pos="720"/>
        </w:tabs>
        <w:rPr>
          <w:sz w:val="21"/>
        </w:rPr>
      </w:pPr>
      <w:r w:rsidRPr="00272C9F">
        <w:rPr>
          <w:sz w:val="21"/>
        </w:rPr>
        <w:t xml:space="preserve">Average Percent Error = </w:t>
      </w:r>
      <m:oMath>
        <m:r>
          <w:rPr>
            <w:rFonts w:ascii="Cambria Math" w:hAnsi="Cambria Math"/>
            <w:sz w:val="21"/>
          </w:rPr>
          <m:t>APE</m:t>
        </m:r>
        <m:r>
          <m:rPr>
            <m:sty m:val="p"/>
          </m:rPr>
          <w:rPr>
            <w:rFonts w:ascii="Cambria Math" w:hAnsi="Cambria Math"/>
            <w:sz w:val="21"/>
          </w:rPr>
          <m:t>=</m:t>
        </m:r>
        <m:f>
          <m:fPr>
            <m:ctrlPr>
              <w:rPr>
                <w:rFonts w:ascii="Cambria Math" w:hAnsi="Cambria Math"/>
                <w:iCs/>
                <w:sz w:val="21"/>
              </w:rPr>
            </m:ctrlPr>
          </m:fPr>
          <m:num>
            <m:nary>
              <m:naryPr>
                <m:chr m:val="∑"/>
                <m:subHide m:val="1"/>
                <m:supHide m:val="1"/>
                <m:ctrlPr>
                  <w:rPr>
                    <w:rFonts w:ascii="Cambria Math" w:hAnsi="Cambria Math"/>
                    <w:iCs/>
                    <w:sz w:val="21"/>
                  </w:rPr>
                </m:ctrlPr>
              </m:naryPr>
              <m:sub/>
              <m:sup/>
              <m:e>
                <m:sSub>
                  <m:sSubPr>
                    <m:ctrlPr>
                      <w:rPr>
                        <w:rFonts w:ascii="Cambria Math" w:hAnsi="Cambria Math"/>
                        <w:iCs/>
                        <w:sz w:val="21"/>
                      </w:rPr>
                    </m:ctrlPr>
                  </m:sSubPr>
                  <m:e>
                    <m:r>
                      <w:rPr>
                        <w:rFonts w:ascii="Cambria Math" w:hAnsi="Cambria Math"/>
                        <w:sz w:val="21"/>
                      </w:rPr>
                      <m:t>kWh</m:t>
                    </m:r>
                  </m:e>
                  <m:sub>
                    <m:r>
                      <w:rPr>
                        <w:rFonts w:ascii="Cambria Math" w:hAnsi="Cambria Math"/>
                        <w:sz w:val="21"/>
                      </w:rPr>
                      <m:t>treat</m:t>
                    </m:r>
                  </m:sub>
                </m:sSub>
              </m:e>
            </m:nary>
          </m:num>
          <m:den>
            <m:nary>
              <m:naryPr>
                <m:chr m:val="∑"/>
                <m:subHide m:val="1"/>
                <m:supHide m:val="1"/>
                <m:ctrlPr>
                  <w:rPr>
                    <w:rFonts w:ascii="Cambria Math" w:hAnsi="Cambria Math"/>
                    <w:iCs/>
                    <w:sz w:val="21"/>
                  </w:rPr>
                </m:ctrlPr>
              </m:naryPr>
              <m:sub/>
              <m:sup/>
              <m:e>
                <m:sSub>
                  <m:sSubPr>
                    <m:ctrlPr>
                      <w:rPr>
                        <w:rFonts w:ascii="Cambria Math" w:hAnsi="Cambria Math"/>
                        <w:iCs/>
                        <w:sz w:val="21"/>
                      </w:rPr>
                    </m:ctrlPr>
                  </m:sSubPr>
                  <m:e>
                    <m:r>
                      <w:rPr>
                        <w:rFonts w:ascii="Cambria Math" w:hAnsi="Cambria Math"/>
                        <w:sz w:val="21"/>
                      </w:rPr>
                      <m:t>kWh</m:t>
                    </m:r>
                  </m:e>
                  <m:sub>
                    <m:r>
                      <w:rPr>
                        <w:rFonts w:ascii="Cambria Math" w:hAnsi="Cambria Math"/>
                        <w:sz w:val="21"/>
                      </w:rPr>
                      <m:t>control</m:t>
                    </m:r>
                  </m:sub>
                </m:sSub>
              </m:e>
            </m:nary>
          </m:den>
        </m:f>
        <m:r>
          <m:rPr>
            <m:sty m:val="p"/>
          </m:rPr>
          <w:rPr>
            <w:rFonts w:ascii="Cambria Math" w:hAnsi="Cambria Math"/>
            <w:sz w:val="21"/>
          </w:rPr>
          <m:t> -1</m:t>
        </m:r>
      </m:oMath>
    </w:p>
    <w:p w:rsidR="00AC351F" w:rsidRPr="00272C9F" w:rsidRDefault="00AC351F" w:rsidP="00AC351F">
      <w:pPr>
        <w:pStyle w:val="BulletLast"/>
        <w:tabs>
          <w:tab w:val="clear" w:pos="720"/>
        </w:tabs>
        <w:spacing w:after="240"/>
        <w:rPr>
          <w:sz w:val="21"/>
        </w:rPr>
      </w:pPr>
      <w:r w:rsidRPr="00272C9F">
        <w:rPr>
          <w:sz w:val="21"/>
        </w:rPr>
        <w:t xml:space="preserve">Absolute Sum of Errors = </w:t>
      </w:r>
      <m:oMath>
        <m:r>
          <w:rPr>
            <w:rFonts w:ascii="Cambria Math" w:hAnsi="Cambria Math"/>
            <w:sz w:val="21"/>
          </w:rPr>
          <m:t>ASE</m:t>
        </m:r>
        <m:r>
          <m:rPr>
            <m:sty m:val="p"/>
          </m:rPr>
          <w:rPr>
            <w:rFonts w:ascii="Cambria Math" w:hAnsi="Cambria Math"/>
            <w:sz w:val="21"/>
          </w:rPr>
          <m:t>=</m:t>
        </m:r>
        <m:nary>
          <m:naryPr>
            <m:chr m:val="∑"/>
            <m:ctrlPr>
              <w:rPr>
                <w:rFonts w:ascii="Cambria Math" w:hAnsi="Cambria Math"/>
                <w:sz w:val="21"/>
              </w:rPr>
            </m:ctrlPr>
          </m:naryPr>
          <m:sub>
            <m:r>
              <w:rPr>
                <w:rFonts w:ascii="Cambria Math" w:hAnsi="Cambria Math"/>
                <w:sz w:val="21"/>
              </w:rPr>
              <m:t>i</m:t>
            </m:r>
            <m:r>
              <m:rPr>
                <m:sty m:val="p"/>
              </m:rPr>
              <w:rPr>
                <w:rFonts w:ascii="Cambria Math" w:hAnsi="Cambria Math"/>
                <w:sz w:val="21"/>
              </w:rPr>
              <m:t>=1</m:t>
            </m:r>
          </m:sub>
          <m:sup>
            <m:r>
              <w:rPr>
                <w:rFonts w:ascii="Cambria Math" w:hAnsi="Cambria Math"/>
                <w:sz w:val="21"/>
              </w:rPr>
              <m:t>N</m:t>
            </m:r>
          </m:sup>
          <m:e>
            <m:sSub>
              <m:sSubPr>
                <m:ctrlPr>
                  <w:rPr>
                    <w:rFonts w:ascii="Cambria Math" w:hAnsi="Cambria Math"/>
                    <w:sz w:val="21"/>
                  </w:rPr>
                </m:ctrlPr>
              </m:sSubPr>
              <m:e>
                <m:sSub>
                  <m:sSubPr>
                    <m:ctrlPr>
                      <w:rPr>
                        <w:rFonts w:ascii="Cambria Math" w:hAnsi="Cambria Math"/>
                        <w:sz w:val="21"/>
                      </w:rPr>
                    </m:ctrlPr>
                  </m:sSubPr>
                  <m:e>
                    <m:r>
                      <m:rPr>
                        <m:sty m:val="p"/>
                      </m:rPr>
                      <w:rPr>
                        <w:rFonts w:ascii="Cambria Math" w:hAnsi="Cambria Math"/>
                        <w:sz w:val="21"/>
                      </w:rPr>
                      <m:t>(</m:t>
                    </m:r>
                    <m:r>
                      <w:rPr>
                        <w:rFonts w:ascii="Cambria Math" w:hAnsi="Cambria Math"/>
                        <w:sz w:val="21"/>
                      </w:rPr>
                      <m:t>kWh</m:t>
                    </m:r>
                  </m:e>
                  <m:sub>
                    <m:r>
                      <w:rPr>
                        <w:rFonts w:ascii="Cambria Math" w:hAnsi="Cambria Math"/>
                        <w:sz w:val="21"/>
                      </w:rPr>
                      <m:t>treat</m:t>
                    </m:r>
                    <m:r>
                      <m:rPr>
                        <m:sty m:val="p"/>
                      </m:rPr>
                      <w:rPr>
                        <w:rFonts w:ascii="Cambria Math" w:hAnsi="Cambria Math"/>
                        <w:sz w:val="21"/>
                      </w:rPr>
                      <m:t>,</m:t>
                    </m:r>
                    <m:r>
                      <w:rPr>
                        <w:rFonts w:ascii="Cambria Math" w:hAnsi="Cambria Math"/>
                        <w:sz w:val="21"/>
                      </w:rPr>
                      <m:t>i</m:t>
                    </m:r>
                  </m:sub>
                </m:sSub>
                <m:r>
                  <m:rPr>
                    <m:sty m:val="p"/>
                  </m:rPr>
                  <w:rPr>
                    <w:rFonts w:ascii="Cambria Math" w:hAnsi="Cambria Math"/>
                    <w:sz w:val="21"/>
                  </w:rPr>
                  <m:t>-</m:t>
                </m:r>
                <m:r>
                  <w:rPr>
                    <w:rFonts w:ascii="Cambria Math" w:hAnsi="Cambria Math"/>
                    <w:sz w:val="21"/>
                  </w:rPr>
                  <m:t>kWh</m:t>
                </m:r>
              </m:e>
              <m:sub>
                <m:r>
                  <w:rPr>
                    <w:rFonts w:ascii="Cambria Math" w:hAnsi="Cambria Math"/>
                    <w:sz w:val="21"/>
                  </w:rPr>
                  <m:t>control</m:t>
                </m:r>
                <m:r>
                  <m:rPr>
                    <m:sty m:val="p"/>
                  </m:rPr>
                  <w:rPr>
                    <w:rFonts w:ascii="Cambria Math" w:hAnsi="Cambria Math"/>
                    <w:sz w:val="21"/>
                  </w:rPr>
                  <m:t>,</m:t>
                </m:r>
                <m:r>
                  <w:rPr>
                    <w:rFonts w:ascii="Cambria Math" w:hAnsi="Cambria Math"/>
                    <w:sz w:val="21"/>
                  </w:rPr>
                  <m:t>i</m:t>
                </m:r>
              </m:sub>
            </m:sSub>
          </m:e>
        </m:nary>
        <m:r>
          <m:rPr>
            <m:sty m:val="p"/>
          </m:rPr>
          <w:rPr>
            <w:rFonts w:ascii="Cambria Math" w:hAnsi="Cambria Math"/>
            <w:sz w:val="21"/>
          </w:rPr>
          <m:t>)</m:t>
        </m:r>
      </m:oMath>
    </w:p>
    <w:p w:rsidR="00AC351F" w:rsidRDefault="00AC351F" w:rsidP="00AC351F">
      <w:pPr>
        <w:pStyle w:val="BodyBeforeBullet"/>
      </w:pPr>
      <w:r w:rsidRPr="00AC351F">
        <w:rPr>
          <w:rFonts w:ascii="Times New Roman" w:hAnsi="Times New Roman"/>
          <w:sz w:val="24"/>
          <w:szCs w:val="24"/>
        </w:rPr>
        <w:t xml:space="preserve">For both APE and ASE, the kWh terms represent the average daily peak usage for a customer (i.e., total kWh between 11 AM and 6 PM). Better performing models have relatively lower values of APE and ASE, indicating that the consumption of the matched control group is similar to the consumption of the enrolled SPP group. These error calculations for the TOU treatment group are presented in Table </w:t>
      </w:r>
      <w:r w:rsidR="00F345DA">
        <w:rPr>
          <w:rFonts w:ascii="Times New Roman" w:hAnsi="Times New Roman"/>
          <w:sz w:val="24"/>
          <w:szCs w:val="24"/>
        </w:rPr>
        <w:t>9</w:t>
      </w:r>
      <w:r>
        <w:rPr>
          <w:rFonts w:ascii="Times New Roman" w:hAnsi="Times New Roman"/>
          <w:sz w:val="24"/>
          <w:szCs w:val="24"/>
        </w:rPr>
        <w:t>-3</w:t>
      </w:r>
      <w:r w:rsidRPr="00AC351F">
        <w:rPr>
          <w:rFonts w:ascii="Times New Roman" w:hAnsi="Times New Roman"/>
          <w:sz w:val="24"/>
          <w:szCs w:val="24"/>
        </w:rPr>
        <w:t>.</w:t>
      </w:r>
      <w:r w:rsidR="00116253">
        <w:rPr>
          <w:rFonts w:ascii="Times New Roman" w:hAnsi="Times New Roman"/>
          <w:sz w:val="24"/>
          <w:szCs w:val="24"/>
        </w:rPr>
        <w:t xml:space="preserve"> </w:t>
      </w:r>
    </w:p>
    <w:p w:rsidR="00AC351F" w:rsidRPr="00AC351F" w:rsidRDefault="00AC351F" w:rsidP="00AC351F">
      <w:pPr>
        <w:pStyle w:val="TableFigureCaption"/>
        <w:rPr>
          <w:rFonts w:ascii="Times New Roman" w:hAnsi="Times New Roman"/>
          <w:sz w:val="20"/>
          <w:szCs w:val="20"/>
        </w:rPr>
      </w:pPr>
      <w:r w:rsidRPr="00AC351F">
        <w:rPr>
          <w:rFonts w:ascii="Times New Roman" w:hAnsi="Times New Roman"/>
          <w:sz w:val="20"/>
          <w:szCs w:val="20"/>
        </w:rPr>
        <w:t xml:space="preserve">Table </w:t>
      </w:r>
      <w:r w:rsidR="00F345DA">
        <w:rPr>
          <w:rFonts w:ascii="Times New Roman" w:hAnsi="Times New Roman"/>
          <w:sz w:val="20"/>
          <w:szCs w:val="20"/>
        </w:rPr>
        <w:t>9</w:t>
      </w:r>
      <w:r w:rsidRPr="00AC351F">
        <w:rPr>
          <w:rFonts w:ascii="Times New Roman" w:hAnsi="Times New Roman"/>
          <w:sz w:val="20"/>
          <w:szCs w:val="20"/>
        </w:rPr>
        <w:t>-3: Propensity Score Matching Model Assessment for TOU Treatment Cohort</w:t>
      </w:r>
    </w:p>
    <w:tbl>
      <w:tblPr>
        <w:tblW w:w="0" w:type="auto"/>
        <w:jc w:val="center"/>
        <w:tblLayout w:type="fixed"/>
        <w:tblLook w:val="04A0" w:firstRow="1" w:lastRow="0" w:firstColumn="1" w:lastColumn="0" w:noHBand="0" w:noVBand="1"/>
      </w:tblPr>
      <w:tblGrid>
        <w:gridCol w:w="1134"/>
        <w:gridCol w:w="1169"/>
        <w:gridCol w:w="1746"/>
        <w:gridCol w:w="1746"/>
        <w:gridCol w:w="1746"/>
        <w:gridCol w:w="1744"/>
      </w:tblGrid>
      <w:tr w:rsidR="00AC351F" w:rsidRPr="00272C9F" w:rsidTr="00AC351F">
        <w:trPr>
          <w:trHeight w:val="773"/>
          <w:tblHeader/>
          <w:jc w:val="center"/>
        </w:trPr>
        <w:tc>
          <w:tcPr>
            <w:tcW w:w="1134" w:type="dxa"/>
            <w:tcBorders>
              <w:top w:val="single" w:sz="4" w:space="0" w:color="000000"/>
              <w:left w:val="single" w:sz="4" w:space="0" w:color="000000"/>
              <w:bottom w:val="single" w:sz="4" w:space="0" w:color="000000"/>
              <w:right w:val="single" w:sz="4" w:space="0" w:color="FFFFFF"/>
            </w:tcBorders>
            <w:shd w:val="clear" w:color="auto" w:fill="0070CD"/>
            <w:tcMar>
              <w:left w:w="43" w:type="dxa"/>
              <w:right w:w="43" w:type="dxa"/>
            </w:tcMar>
            <w:vAlign w:val="center"/>
          </w:tcPr>
          <w:p w:rsidR="00AC351F" w:rsidRPr="00AC351F" w:rsidRDefault="00AC351F" w:rsidP="00324486">
            <w:pPr>
              <w:pStyle w:val="TableHeader"/>
              <w:rPr>
                <w:rFonts w:cs="Arial"/>
                <w:sz w:val="18"/>
                <w:szCs w:val="18"/>
              </w:rPr>
            </w:pPr>
            <w:r w:rsidRPr="00AC351F">
              <w:rPr>
                <w:rFonts w:cs="Arial"/>
                <w:sz w:val="18"/>
                <w:szCs w:val="18"/>
              </w:rPr>
              <w:t>Statistic</w:t>
            </w:r>
          </w:p>
        </w:tc>
        <w:tc>
          <w:tcPr>
            <w:tcW w:w="1169" w:type="dxa"/>
            <w:tcBorders>
              <w:top w:val="single" w:sz="4" w:space="0" w:color="000000"/>
              <w:left w:val="single" w:sz="4" w:space="0" w:color="FFFFFF"/>
              <w:bottom w:val="single" w:sz="4" w:space="0" w:color="000000"/>
              <w:right w:val="single" w:sz="4" w:space="0" w:color="FFFFFF"/>
            </w:tcBorders>
            <w:shd w:val="clear" w:color="auto" w:fill="0070CD"/>
            <w:tcMar>
              <w:left w:w="43" w:type="dxa"/>
              <w:right w:w="43" w:type="dxa"/>
            </w:tcMar>
            <w:vAlign w:val="center"/>
          </w:tcPr>
          <w:p w:rsidR="00AC351F" w:rsidRPr="00AC351F" w:rsidRDefault="00AC351F" w:rsidP="00324486">
            <w:pPr>
              <w:pStyle w:val="TableHeader"/>
              <w:rPr>
                <w:rFonts w:cs="Arial"/>
                <w:sz w:val="18"/>
                <w:szCs w:val="18"/>
              </w:rPr>
            </w:pPr>
            <w:r w:rsidRPr="00AC351F">
              <w:rPr>
                <w:rFonts w:cs="Arial"/>
                <w:sz w:val="18"/>
                <w:szCs w:val="18"/>
              </w:rPr>
              <w:t>Model</w:t>
            </w:r>
          </w:p>
        </w:tc>
        <w:tc>
          <w:tcPr>
            <w:tcW w:w="1746" w:type="dxa"/>
            <w:tcBorders>
              <w:top w:val="single" w:sz="4" w:space="0" w:color="000000"/>
              <w:left w:val="single" w:sz="4" w:space="0" w:color="FFFFFF"/>
              <w:bottom w:val="single" w:sz="4" w:space="0" w:color="000000"/>
              <w:right w:val="single" w:sz="4" w:space="0" w:color="FFFFFF"/>
            </w:tcBorders>
            <w:shd w:val="clear" w:color="auto" w:fill="0070CD"/>
            <w:tcMar>
              <w:left w:w="43" w:type="dxa"/>
              <w:right w:w="43" w:type="dxa"/>
            </w:tcMar>
            <w:vAlign w:val="center"/>
          </w:tcPr>
          <w:p w:rsidR="00AC351F" w:rsidRPr="00AC351F" w:rsidRDefault="00AC351F" w:rsidP="00324486">
            <w:pPr>
              <w:pStyle w:val="TableHeader"/>
              <w:rPr>
                <w:rFonts w:cs="Arial"/>
                <w:sz w:val="18"/>
                <w:szCs w:val="18"/>
              </w:rPr>
            </w:pPr>
            <w:r w:rsidRPr="00AC351F">
              <w:rPr>
                <w:rFonts w:cs="Arial"/>
                <w:sz w:val="18"/>
                <w:szCs w:val="18"/>
              </w:rPr>
              <w:t>Overall</w:t>
            </w:r>
          </w:p>
        </w:tc>
        <w:tc>
          <w:tcPr>
            <w:tcW w:w="1746" w:type="dxa"/>
            <w:tcBorders>
              <w:top w:val="single" w:sz="4" w:space="0" w:color="000000"/>
              <w:left w:val="single" w:sz="4" w:space="0" w:color="FFFFFF"/>
              <w:bottom w:val="single" w:sz="4" w:space="0" w:color="auto"/>
              <w:right w:val="single" w:sz="4" w:space="0" w:color="FFFFFF"/>
            </w:tcBorders>
            <w:shd w:val="clear" w:color="auto" w:fill="0070CD"/>
            <w:vAlign w:val="center"/>
          </w:tcPr>
          <w:p w:rsidR="00AC351F" w:rsidRPr="00AC351F" w:rsidRDefault="00AC351F" w:rsidP="00324486">
            <w:pPr>
              <w:pStyle w:val="TableHeader"/>
              <w:rPr>
                <w:rFonts w:cs="Arial"/>
                <w:sz w:val="18"/>
                <w:szCs w:val="18"/>
              </w:rPr>
            </w:pPr>
            <w:r w:rsidRPr="00AC351F">
              <w:rPr>
                <w:rFonts w:cs="Arial"/>
                <w:sz w:val="18"/>
                <w:szCs w:val="18"/>
              </w:rPr>
              <w:t>Information</w:t>
            </w:r>
          </w:p>
        </w:tc>
        <w:tc>
          <w:tcPr>
            <w:tcW w:w="1746" w:type="dxa"/>
            <w:tcBorders>
              <w:top w:val="single" w:sz="4" w:space="0" w:color="000000"/>
              <w:left w:val="single" w:sz="4" w:space="0" w:color="FFFFFF"/>
              <w:bottom w:val="single" w:sz="4" w:space="0" w:color="000000"/>
              <w:right w:val="single" w:sz="4" w:space="0" w:color="FFFFFF"/>
            </w:tcBorders>
            <w:shd w:val="clear" w:color="auto" w:fill="0070CD"/>
            <w:tcMar>
              <w:left w:w="43" w:type="dxa"/>
              <w:right w:w="43" w:type="dxa"/>
            </w:tcMar>
            <w:vAlign w:val="center"/>
          </w:tcPr>
          <w:p w:rsidR="00AC351F" w:rsidRPr="00AC351F" w:rsidRDefault="00AC351F" w:rsidP="00324486">
            <w:pPr>
              <w:pStyle w:val="TableHeader"/>
              <w:rPr>
                <w:rFonts w:cs="Arial"/>
                <w:sz w:val="18"/>
                <w:szCs w:val="18"/>
              </w:rPr>
            </w:pPr>
            <w:r w:rsidRPr="00AC351F">
              <w:rPr>
                <w:rFonts w:cs="Arial"/>
                <w:sz w:val="18"/>
                <w:szCs w:val="18"/>
              </w:rPr>
              <w:t>Public Administration</w:t>
            </w:r>
          </w:p>
        </w:tc>
        <w:tc>
          <w:tcPr>
            <w:tcW w:w="1744" w:type="dxa"/>
            <w:tcBorders>
              <w:top w:val="single" w:sz="4" w:space="0" w:color="000000"/>
              <w:left w:val="single" w:sz="4" w:space="0" w:color="FFFFFF"/>
              <w:bottom w:val="single" w:sz="4" w:space="0" w:color="000000"/>
              <w:right w:val="single" w:sz="4" w:space="0" w:color="auto"/>
            </w:tcBorders>
            <w:shd w:val="clear" w:color="auto" w:fill="0070CD"/>
            <w:tcMar>
              <w:left w:w="43" w:type="dxa"/>
              <w:right w:w="43" w:type="dxa"/>
            </w:tcMar>
            <w:vAlign w:val="center"/>
          </w:tcPr>
          <w:p w:rsidR="00AC351F" w:rsidRPr="00AC351F" w:rsidRDefault="00AC351F" w:rsidP="00324486">
            <w:pPr>
              <w:pStyle w:val="TableHeader"/>
              <w:rPr>
                <w:rFonts w:cs="Arial"/>
                <w:sz w:val="18"/>
                <w:szCs w:val="18"/>
              </w:rPr>
            </w:pPr>
            <w:r w:rsidRPr="00AC351F">
              <w:rPr>
                <w:rFonts w:cs="Arial"/>
                <w:sz w:val="18"/>
                <w:szCs w:val="18"/>
              </w:rPr>
              <w:t>Other</w:t>
            </w:r>
          </w:p>
        </w:tc>
      </w:tr>
      <w:tr w:rsidR="00AC351F" w:rsidRPr="00272C9F" w:rsidTr="00116253">
        <w:trPr>
          <w:trHeight w:val="288"/>
          <w:jc w:val="center"/>
        </w:trPr>
        <w:tc>
          <w:tcPr>
            <w:tcW w:w="1134"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APE</w:t>
            </w:r>
          </w:p>
        </w:tc>
        <w:tc>
          <w:tcPr>
            <w:tcW w:w="1169"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w:t>
            </w:r>
          </w:p>
        </w:tc>
        <w:tc>
          <w:tcPr>
            <w:tcW w:w="1746"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6.7%</w:t>
            </w:r>
          </w:p>
        </w:tc>
        <w:tc>
          <w:tcPr>
            <w:tcW w:w="1746" w:type="dxa"/>
            <w:tcBorders>
              <w:top w:val="single" w:sz="4"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-9.9%</w:t>
            </w:r>
          </w:p>
        </w:tc>
        <w:tc>
          <w:tcPr>
            <w:tcW w:w="1746"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37.2%</w:t>
            </w:r>
          </w:p>
        </w:tc>
        <w:tc>
          <w:tcPr>
            <w:tcW w:w="1744"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9.9%</w:t>
            </w:r>
          </w:p>
        </w:tc>
      </w:tr>
      <w:tr w:rsidR="00AC351F" w:rsidRPr="00272C9F" w:rsidTr="00116253">
        <w:trPr>
          <w:trHeight w:val="288"/>
          <w:jc w:val="center"/>
        </w:trPr>
        <w:tc>
          <w:tcPr>
            <w:tcW w:w="1134" w:type="dxa"/>
            <w:vMerge/>
            <w:tcBorders>
              <w:left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p>
        </w:tc>
        <w:tc>
          <w:tcPr>
            <w:tcW w:w="1169"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w:t>
            </w:r>
          </w:p>
        </w:tc>
        <w:tc>
          <w:tcPr>
            <w:tcW w:w="1746"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-4.1%</w:t>
            </w:r>
          </w:p>
        </w:tc>
        <w:tc>
          <w:tcPr>
            <w:tcW w:w="1746" w:type="dxa"/>
            <w:tcBorders>
              <w:top w:val="single" w:sz="4"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-20.7%</w:t>
            </w:r>
          </w:p>
        </w:tc>
        <w:tc>
          <w:tcPr>
            <w:tcW w:w="1746"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42.3%</w:t>
            </w:r>
          </w:p>
        </w:tc>
        <w:tc>
          <w:tcPr>
            <w:tcW w:w="1744"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-4.8%</w:t>
            </w:r>
          </w:p>
        </w:tc>
      </w:tr>
      <w:tr w:rsidR="00AC351F" w:rsidRPr="00272C9F" w:rsidTr="00116253">
        <w:trPr>
          <w:trHeight w:val="288"/>
          <w:jc w:val="center"/>
        </w:trPr>
        <w:tc>
          <w:tcPr>
            <w:tcW w:w="1134" w:type="dxa"/>
            <w:vMerge/>
            <w:tcBorders>
              <w:left w:val="single" w:sz="4" w:space="0" w:color="auto"/>
              <w:right w:val="single" w:sz="4" w:space="0" w:color="auto"/>
            </w:tcBorders>
            <w:shd w:val="clear" w:color="000000" w:fill="FFFFFF"/>
            <w:noWrap/>
            <w:tcMar>
              <w:left w:w="43" w:type="dxa"/>
              <w:right w:w="43" w:type="dxa"/>
            </w:tcMar>
            <w:vAlign w:val="center"/>
          </w:tcPr>
          <w:p w:rsidR="00AC351F" w:rsidRPr="00AC351F" w:rsidRDefault="00AC351F" w:rsidP="00AC351F">
            <w:pPr>
              <w:pStyle w:val="TableText"/>
              <w:spacing w:before="0" w:after="0"/>
              <w:jc w:val="center"/>
              <w:rPr>
                <w:rFonts w:cs="Arial"/>
                <w:szCs w:val="18"/>
              </w:rPr>
            </w:pPr>
          </w:p>
        </w:tc>
        <w:tc>
          <w:tcPr>
            <w:tcW w:w="1169" w:type="dxa"/>
            <w:tcBorders>
              <w:top w:val="nil"/>
              <w:left w:val="nil"/>
              <w:bottom w:val="single" w:sz="4" w:space="0" w:color="auto"/>
              <w:right w:val="single" w:sz="4" w:space="0" w:color="auto"/>
            </w:tcBorders>
            <w:shd w:val="clear" w:color="000000" w:fill="FFFFFF"/>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3</w:t>
            </w:r>
          </w:p>
        </w:tc>
        <w:tc>
          <w:tcPr>
            <w:tcW w:w="1746" w:type="dxa"/>
            <w:tcBorders>
              <w:top w:val="nil"/>
              <w:left w:val="nil"/>
              <w:bottom w:val="single" w:sz="4" w:space="0" w:color="auto"/>
              <w:right w:val="single" w:sz="4" w:space="0" w:color="auto"/>
            </w:tcBorders>
            <w:shd w:val="clear" w:color="000000" w:fill="FFFFFF"/>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-1.2%</w:t>
            </w:r>
          </w:p>
        </w:tc>
        <w:tc>
          <w:tcPr>
            <w:tcW w:w="1746" w:type="dxa"/>
            <w:tcBorders>
              <w:top w:val="single" w:sz="4" w:space="0" w:color="auto"/>
              <w:left w:val="nil"/>
              <w:bottom w:val="single" w:sz="4" w:space="0" w:color="auto"/>
              <w:right w:val="single" w:sz="4" w:space="0" w:color="auto"/>
            </w:tcBorders>
            <w:shd w:val="clear" w:color="000000" w:fill="FFFFFF"/>
            <w:vAlign w:val="center"/>
          </w:tcPr>
          <w:p w:rsidR="00AC351F" w:rsidRPr="00AC351F" w:rsidRDefault="00AC351F" w:rsidP="00AC351F">
            <w:pPr>
              <w:pStyle w:val="TableText"/>
              <w:spacing w:before="0" w:after="0"/>
              <w:jc w:val="center"/>
              <w:rPr>
                <w:rFonts w:cs="Arial"/>
                <w:szCs w:val="18"/>
              </w:rPr>
            </w:pPr>
            <w:r w:rsidRPr="00AC351F">
              <w:rPr>
                <w:rFonts w:cs="Arial"/>
                <w:szCs w:val="18"/>
              </w:rPr>
              <w:t>3.5%</w:t>
            </w:r>
          </w:p>
        </w:tc>
        <w:tc>
          <w:tcPr>
            <w:tcW w:w="1746" w:type="dxa"/>
            <w:tcBorders>
              <w:top w:val="nil"/>
              <w:left w:val="single" w:sz="4" w:space="0" w:color="auto"/>
              <w:bottom w:val="single" w:sz="4" w:space="0" w:color="auto"/>
              <w:right w:val="single" w:sz="4" w:space="0" w:color="auto"/>
            </w:tcBorders>
            <w:shd w:val="clear" w:color="000000" w:fill="FFFFFF"/>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13.3%</w:t>
            </w:r>
          </w:p>
        </w:tc>
        <w:tc>
          <w:tcPr>
            <w:tcW w:w="1744" w:type="dxa"/>
            <w:tcBorders>
              <w:top w:val="nil"/>
              <w:left w:val="nil"/>
              <w:bottom w:val="single" w:sz="4" w:space="0" w:color="auto"/>
              <w:right w:val="single" w:sz="4" w:space="0" w:color="auto"/>
            </w:tcBorders>
            <w:shd w:val="clear" w:color="000000" w:fill="FFFFFF"/>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-11.0%</w:t>
            </w:r>
          </w:p>
        </w:tc>
      </w:tr>
      <w:tr w:rsidR="00AC351F" w:rsidRPr="00272C9F" w:rsidTr="00116253">
        <w:trPr>
          <w:trHeight w:val="288"/>
          <w:jc w:val="center"/>
        </w:trPr>
        <w:tc>
          <w:tcPr>
            <w:tcW w:w="1134" w:type="dxa"/>
            <w:vMerge/>
            <w:tcBorders>
              <w:left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p>
        </w:tc>
        <w:tc>
          <w:tcPr>
            <w:tcW w:w="1169"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w:t>
            </w:r>
          </w:p>
        </w:tc>
        <w:tc>
          <w:tcPr>
            <w:tcW w:w="1746"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-15.4%</w:t>
            </w:r>
          </w:p>
        </w:tc>
        <w:tc>
          <w:tcPr>
            <w:tcW w:w="1746" w:type="dxa"/>
            <w:tcBorders>
              <w:top w:val="single" w:sz="4"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-0.9%</w:t>
            </w:r>
          </w:p>
        </w:tc>
        <w:tc>
          <w:tcPr>
            <w:tcW w:w="1746"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-36.3%</w:t>
            </w:r>
          </w:p>
        </w:tc>
        <w:tc>
          <w:tcPr>
            <w:tcW w:w="1744"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-9.9%</w:t>
            </w:r>
          </w:p>
        </w:tc>
      </w:tr>
      <w:tr w:rsidR="00AC351F" w:rsidRPr="00272C9F" w:rsidTr="00116253">
        <w:trPr>
          <w:trHeight w:val="288"/>
          <w:jc w:val="center"/>
        </w:trPr>
        <w:tc>
          <w:tcPr>
            <w:tcW w:w="1134" w:type="dxa"/>
            <w:vMerge/>
            <w:tcBorders>
              <w:left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p>
        </w:tc>
        <w:tc>
          <w:tcPr>
            <w:tcW w:w="1169"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5</w:t>
            </w:r>
          </w:p>
        </w:tc>
        <w:tc>
          <w:tcPr>
            <w:tcW w:w="1746"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-2.6%</w:t>
            </w:r>
          </w:p>
        </w:tc>
        <w:tc>
          <w:tcPr>
            <w:tcW w:w="1746" w:type="dxa"/>
            <w:tcBorders>
              <w:top w:val="single" w:sz="4"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-20.1%</w:t>
            </w:r>
          </w:p>
        </w:tc>
        <w:tc>
          <w:tcPr>
            <w:tcW w:w="1746"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42.7%</w:t>
            </w:r>
          </w:p>
        </w:tc>
        <w:tc>
          <w:tcPr>
            <w:tcW w:w="1744"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-2.0%</w:t>
            </w:r>
          </w:p>
        </w:tc>
      </w:tr>
      <w:tr w:rsidR="00AC351F" w:rsidRPr="00272C9F" w:rsidTr="00116253">
        <w:trPr>
          <w:trHeight w:val="288"/>
          <w:jc w:val="center"/>
        </w:trPr>
        <w:tc>
          <w:tcPr>
            <w:tcW w:w="1134"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p>
        </w:tc>
        <w:tc>
          <w:tcPr>
            <w:tcW w:w="1169"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6</w:t>
            </w:r>
          </w:p>
        </w:tc>
        <w:tc>
          <w:tcPr>
            <w:tcW w:w="1746"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-11.5%</w:t>
            </w:r>
          </w:p>
        </w:tc>
        <w:tc>
          <w:tcPr>
            <w:tcW w:w="1746" w:type="dxa"/>
            <w:tcBorders>
              <w:top w:val="single" w:sz="4" w:space="0" w:color="auto"/>
              <w:left w:val="nil"/>
              <w:bottom w:val="single" w:sz="12"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-15.9%</w:t>
            </w:r>
          </w:p>
        </w:tc>
        <w:tc>
          <w:tcPr>
            <w:tcW w:w="1746"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21.2%</w:t>
            </w:r>
          </w:p>
        </w:tc>
        <w:tc>
          <w:tcPr>
            <w:tcW w:w="1744"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-20.0%</w:t>
            </w:r>
          </w:p>
        </w:tc>
      </w:tr>
      <w:tr w:rsidR="00AC351F" w:rsidRPr="00272C9F" w:rsidTr="00116253">
        <w:trPr>
          <w:trHeight w:val="288"/>
          <w:jc w:val="center"/>
        </w:trPr>
        <w:tc>
          <w:tcPr>
            <w:tcW w:w="1134"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ASE</w:t>
            </w:r>
          </w:p>
        </w:tc>
        <w:tc>
          <w:tcPr>
            <w:tcW w:w="1169" w:type="dxa"/>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w:t>
            </w:r>
          </w:p>
        </w:tc>
        <w:tc>
          <w:tcPr>
            <w:tcW w:w="1746" w:type="dxa"/>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4,304</w:t>
            </w:r>
          </w:p>
        </w:tc>
        <w:tc>
          <w:tcPr>
            <w:tcW w:w="1746" w:type="dxa"/>
            <w:tcBorders>
              <w:top w:val="single" w:sz="12"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950</w:t>
            </w:r>
          </w:p>
        </w:tc>
        <w:tc>
          <w:tcPr>
            <w:tcW w:w="1746"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875</w:t>
            </w:r>
          </w:p>
        </w:tc>
        <w:tc>
          <w:tcPr>
            <w:tcW w:w="1744" w:type="dxa"/>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2,479</w:t>
            </w:r>
          </w:p>
        </w:tc>
      </w:tr>
      <w:tr w:rsidR="00AC351F" w:rsidRPr="00272C9F" w:rsidTr="00116253">
        <w:trPr>
          <w:trHeight w:val="288"/>
          <w:jc w:val="center"/>
        </w:trPr>
        <w:tc>
          <w:tcPr>
            <w:tcW w:w="1134" w:type="dxa"/>
            <w:vMerge/>
            <w:tcBorders>
              <w:left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rPr>
                <w:rFonts w:cs="Arial"/>
                <w:szCs w:val="18"/>
              </w:rPr>
            </w:pPr>
          </w:p>
        </w:tc>
        <w:tc>
          <w:tcPr>
            <w:tcW w:w="1169"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w:t>
            </w:r>
          </w:p>
        </w:tc>
        <w:tc>
          <w:tcPr>
            <w:tcW w:w="1746"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4,777</w:t>
            </w:r>
          </w:p>
        </w:tc>
        <w:tc>
          <w:tcPr>
            <w:tcW w:w="1746" w:type="dxa"/>
            <w:tcBorders>
              <w:top w:val="single" w:sz="4"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1,331</w:t>
            </w:r>
          </w:p>
        </w:tc>
        <w:tc>
          <w:tcPr>
            <w:tcW w:w="1746"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1,107</w:t>
            </w:r>
          </w:p>
        </w:tc>
        <w:tc>
          <w:tcPr>
            <w:tcW w:w="1744"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2,339</w:t>
            </w:r>
          </w:p>
        </w:tc>
      </w:tr>
      <w:tr w:rsidR="00AC351F" w:rsidRPr="00272C9F" w:rsidTr="00116253">
        <w:trPr>
          <w:trHeight w:val="288"/>
          <w:jc w:val="center"/>
        </w:trPr>
        <w:tc>
          <w:tcPr>
            <w:tcW w:w="1134" w:type="dxa"/>
            <w:vMerge/>
            <w:tcBorders>
              <w:left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rPr>
                <w:rFonts w:cs="Arial"/>
                <w:szCs w:val="18"/>
              </w:rPr>
            </w:pPr>
          </w:p>
        </w:tc>
        <w:tc>
          <w:tcPr>
            <w:tcW w:w="1169"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3</w:t>
            </w:r>
          </w:p>
        </w:tc>
        <w:tc>
          <w:tcPr>
            <w:tcW w:w="1746"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5,091</w:t>
            </w:r>
          </w:p>
        </w:tc>
        <w:tc>
          <w:tcPr>
            <w:tcW w:w="1746" w:type="dxa"/>
            <w:tcBorders>
              <w:top w:val="single" w:sz="4"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1,016</w:t>
            </w:r>
          </w:p>
        </w:tc>
        <w:tc>
          <w:tcPr>
            <w:tcW w:w="1746"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1,625</w:t>
            </w:r>
          </w:p>
        </w:tc>
        <w:tc>
          <w:tcPr>
            <w:tcW w:w="1744"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2,450</w:t>
            </w:r>
          </w:p>
        </w:tc>
      </w:tr>
      <w:tr w:rsidR="00AC351F" w:rsidRPr="00272C9F" w:rsidTr="00116253">
        <w:trPr>
          <w:trHeight w:val="288"/>
          <w:jc w:val="center"/>
        </w:trPr>
        <w:tc>
          <w:tcPr>
            <w:tcW w:w="1134" w:type="dxa"/>
            <w:vMerge/>
            <w:tcBorders>
              <w:left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rPr>
                <w:rFonts w:cs="Arial"/>
                <w:szCs w:val="18"/>
              </w:rPr>
            </w:pPr>
          </w:p>
        </w:tc>
        <w:tc>
          <w:tcPr>
            <w:tcW w:w="1169"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w:t>
            </w:r>
          </w:p>
        </w:tc>
        <w:tc>
          <w:tcPr>
            <w:tcW w:w="1746"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6,001</w:t>
            </w:r>
          </w:p>
        </w:tc>
        <w:tc>
          <w:tcPr>
            <w:tcW w:w="1746" w:type="dxa"/>
            <w:tcBorders>
              <w:top w:val="single" w:sz="4"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957</w:t>
            </w:r>
          </w:p>
        </w:tc>
        <w:tc>
          <w:tcPr>
            <w:tcW w:w="1746"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2,231</w:t>
            </w:r>
          </w:p>
        </w:tc>
        <w:tc>
          <w:tcPr>
            <w:tcW w:w="1744"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2,812</w:t>
            </w:r>
          </w:p>
        </w:tc>
      </w:tr>
      <w:tr w:rsidR="00AC351F" w:rsidRPr="00272C9F" w:rsidTr="00116253">
        <w:trPr>
          <w:trHeight w:val="288"/>
          <w:jc w:val="center"/>
        </w:trPr>
        <w:tc>
          <w:tcPr>
            <w:tcW w:w="1134" w:type="dxa"/>
            <w:vMerge/>
            <w:tcBorders>
              <w:left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rPr>
                <w:rFonts w:cs="Arial"/>
                <w:szCs w:val="18"/>
              </w:rPr>
            </w:pPr>
          </w:p>
        </w:tc>
        <w:tc>
          <w:tcPr>
            <w:tcW w:w="1169"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5</w:t>
            </w:r>
          </w:p>
        </w:tc>
        <w:tc>
          <w:tcPr>
            <w:tcW w:w="1746"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4,665</w:t>
            </w:r>
          </w:p>
        </w:tc>
        <w:tc>
          <w:tcPr>
            <w:tcW w:w="1746" w:type="dxa"/>
            <w:tcBorders>
              <w:top w:val="single" w:sz="4"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1,262</w:t>
            </w:r>
          </w:p>
        </w:tc>
        <w:tc>
          <w:tcPr>
            <w:tcW w:w="1746"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997</w:t>
            </w:r>
          </w:p>
        </w:tc>
        <w:tc>
          <w:tcPr>
            <w:tcW w:w="1744"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2,405</w:t>
            </w:r>
          </w:p>
        </w:tc>
      </w:tr>
      <w:tr w:rsidR="00AC351F" w:rsidRPr="00272C9F" w:rsidTr="00116253">
        <w:trPr>
          <w:trHeight w:val="288"/>
          <w:jc w:val="center"/>
        </w:trPr>
        <w:tc>
          <w:tcPr>
            <w:tcW w:w="1134" w:type="dxa"/>
            <w:vMerge/>
            <w:tcBorders>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rPr>
                <w:rFonts w:cs="Arial"/>
                <w:szCs w:val="18"/>
              </w:rPr>
            </w:pPr>
          </w:p>
        </w:tc>
        <w:tc>
          <w:tcPr>
            <w:tcW w:w="1169"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6</w:t>
            </w:r>
          </w:p>
        </w:tc>
        <w:tc>
          <w:tcPr>
            <w:tcW w:w="1746"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4,949</w:t>
            </w:r>
          </w:p>
        </w:tc>
        <w:tc>
          <w:tcPr>
            <w:tcW w:w="1746" w:type="dxa"/>
            <w:tcBorders>
              <w:top w:val="single" w:sz="4" w:space="0" w:color="auto"/>
              <w:left w:val="nil"/>
              <w:bottom w:val="single" w:sz="4" w:space="0" w:color="auto"/>
              <w:right w:val="single" w:sz="4" w:space="0" w:color="auto"/>
            </w:tcBorders>
            <w:vAlign w:val="center"/>
          </w:tcPr>
          <w:p w:rsidR="00AC351F" w:rsidRPr="00AC351F" w:rsidRDefault="00AC351F" w:rsidP="00AC351F">
            <w:pPr>
              <w:pStyle w:val="TableText"/>
              <w:spacing w:before="0" w:after="0"/>
              <w:jc w:val="center"/>
              <w:rPr>
                <w:rFonts w:cs="Arial"/>
                <w:szCs w:val="18"/>
              </w:rPr>
            </w:pPr>
            <w:r w:rsidRPr="00AC351F">
              <w:rPr>
                <w:rFonts w:cs="Arial"/>
                <w:szCs w:val="18"/>
              </w:rPr>
              <w:t>1,123</w:t>
            </w:r>
          </w:p>
        </w:tc>
        <w:tc>
          <w:tcPr>
            <w:tcW w:w="1746"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1,126</w:t>
            </w:r>
          </w:p>
        </w:tc>
        <w:tc>
          <w:tcPr>
            <w:tcW w:w="1744" w:type="dxa"/>
            <w:tcBorders>
              <w:top w:val="nil"/>
              <w:left w:val="nil"/>
              <w:bottom w:val="single" w:sz="4" w:space="0" w:color="auto"/>
              <w:right w:val="single" w:sz="4" w:space="0" w:color="auto"/>
            </w:tcBorders>
            <w:shd w:val="clear" w:color="auto" w:fill="auto"/>
            <w:noWrap/>
            <w:tcMar>
              <w:left w:w="43" w:type="dxa"/>
              <w:right w:w="43" w:type="dxa"/>
            </w:tcMar>
            <w:vAlign w:val="center"/>
          </w:tcPr>
          <w:p w:rsidR="00AC351F" w:rsidRPr="00AC351F" w:rsidRDefault="00AC351F" w:rsidP="00AC351F">
            <w:pPr>
              <w:pStyle w:val="TableText"/>
              <w:spacing w:before="0" w:after="0"/>
              <w:jc w:val="center"/>
              <w:rPr>
                <w:rFonts w:cs="Arial"/>
                <w:szCs w:val="18"/>
              </w:rPr>
            </w:pPr>
            <w:r w:rsidRPr="00AC351F">
              <w:rPr>
                <w:rFonts w:cs="Arial"/>
                <w:szCs w:val="18"/>
              </w:rPr>
              <w:t>2,700</w:t>
            </w:r>
          </w:p>
        </w:tc>
      </w:tr>
    </w:tbl>
    <w:p w:rsidR="00AC351F" w:rsidRDefault="00AC351F" w:rsidP="00EA606B">
      <w:pPr>
        <w:pStyle w:val="BodyParagraph"/>
      </w:pPr>
    </w:p>
    <w:p w:rsidR="00AC351F" w:rsidRPr="00EA606B" w:rsidRDefault="00AC351F" w:rsidP="00EA606B">
      <w:pPr>
        <w:pStyle w:val="BodyParagraph"/>
        <w:rPr>
          <w:rFonts w:ascii="Times New Roman" w:hAnsi="Times New Roman"/>
          <w:sz w:val="24"/>
          <w:szCs w:val="24"/>
        </w:rPr>
      </w:pPr>
      <w:r w:rsidRPr="00AC351F">
        <w:rPr>
          <w:rFonts w:ascii="Times New Roman" w:hAnsi="Times New Roman"/>
          <w:sz w:val="24"/>
          <w:szCs w:val="24"/>
        </w:rPr>
        <w:t xml:space="preserve">The metrics in Table </w:t>
      </w:r>
      <w:r w:rsidR="00F345DA">
        <w:rPr>
          <w:rFonts w:ascii="Times New Roman" w:hAnsi="Times New Roman"/>
          <w:sz w:val="24"/>
          <w:szCs w:val="24"/>
        </w:rPr>
        <w:t>9</w:t>
      </w:r>
      <w:r w:rsidRPr="00AC351F">
        <w:rPr>
          <w:rFonts w:ascii="Times New Roman" w:hAnsi="Times New Roman"/>
          <w:sz w:val="24"/>
          <w:szCs w:val="24"/>
        </w:rPr>
        <w:t>-3 show that model performance varies significantly both within and across different industries. For this reason, the best performing models for each industry</w:t>
      </w:r>
      <w:r w:rsidRPr="00AC351F">
        <w:rPr>
          <w:rFonts w:ascii="Times New Roman" w:hAnsi="Times New Roman"/>
          <w:sz w:val="24"/>
          <w:szCs w:val="24"/>
        </w:rPr>
        <w:footnoteReference w:id="15"/>
      </w:r>
      <w:r w:rsidRPr="00AC351F">
        <w:rPr>
          <w:rFonts w:ascii="Times New Roman" w:hAnsi="Times New Roman"/>
          <w:sz w:val="24"/>
          <w:szCs w:val="24"/>
        </w:rPr>
        <w:t xml:space="preserve"> were used to select the matched control group for each analysis: Model 4 for Information, Model 3 for Public Administration and Model 2 for Other Industries.</w:t>
      </w:r>
    </w:p>
    <w:p w:rsidR="0003743F" w:rsidRDefault="0003743F" w:rsidP="0003743F"/>
    <w:p w:rsidR="0003743F" w:rsidRDefault="0003743F" w:rsidP="0003743F"/>
    <w:p w:rsidR="003D2A6B" w:rsidRPr="003D2A6B" w:rsidRDefault="003D2A6B" w:rsidP="003D2A6B">
      <w:pPr>
        <w:pStyle w:val="Heading3"/>
        <w:rPr>
          <w:rFonts w:ascii="Times New Roman" w:hAnsi="Times New Roman" w:cs="Times New Roman"/>
          <w:szCs w:val="24"/>
        </w:rPr>
      </w:pPr>
      <w:bookmarkStart w:id="245" w:name="_Toc415749031"/>
      <w:r w:rsidRPr="003D2A6B">
        <w:rPr>
          <w:rFonts w:ascii="Times New Roman" w:hAnsi="Times New Roman" w:cs="Times New Roman"/>
          <w:szCs w:val="24"/>
        </w:rPr>
        <w:lastRenderedPageBreak/>
        <w:t>Difference-in-differences Estimation</w:t>
      </w:r>
      <w:bookmarkEnd w:id="245"/>
    </w:p>
    <w:p w:rsidR="003D2A6B" w:rsidRDefault="003D2A6B" w:rsidP="0003743F"/>
    <w:p w:rsidR="003D2A6B" w:rsidRPr="003D2A6B" w:rsidRDefault="003D2A6B" w:rsidP="003D2A6B">
      <w:pPr>
        <w:pStyle w:val="BodyParagraph"/>
        <w:spacing w:after="0" w:line="276" w:lineRule="auto"/>
        <w:ind w:firstLine="720"/>
        <w:rPr>
          <w:rFonts w:ascii="Times New Roman" w:hAnsi="Times New Roman"/>
          <w:sz w:val="24"/>
          <w:szCs w:val="24"/>
        </w:rPr>
      </w:pPr>
      <w:r w:rsidRPr="003D2A6B">
        <w:rPr>
          <w:rFonts w:ascii="Times New Roman" w:hAnsi="Times New Roman"/>
          <w:sz w:val="24"/>
          <w:szCs w:val="24"/>
        </w:rPr>
        <w:t xml:space="preserve">After identifying matched control groups for each treatment cohort (TOU and TOU-CPP), impact estimates were obtained using difference-in-differences. This approach uses comparisons of the control and treatment groups both before and after implementation of the rate to identify the load impacts. </w:t>
      </w:r>
    </w:p>
    <w:p w:rsidR="003D2A6B" w:rsidRDefault="003D2A6B" w:rsidP="003D2A6B">
      <w:pPr>
        <w:pStyle w:val="BodyParagraph"/>
        <w:spacing w:after="0" w:line="276" w:lineRule="auto"/>
        <w:rPr>
          <w:rFonts w:ascii="Times New Roman" w:hAnsi="Times New Roman"/>
          <w:sz w:val="24"/>
          <w:szCs w:val="24"/>
        </w:rPr>
      </w:pPr>
    </w:p>
    <w:p w:rsidR="003D2A6B" w:rsidRPr="003D2A6B" w:rsidRDefault="003D2A6B" w:rsidP="003D2A6B">
      <w:pPr>
        <w:pStyle w:val="BodyParagraph"/>
        <w:spacing w:after="0" w:line="276" w:lineRule="auto"/>
        <w:ind w:firstLine="720"/>
        <w:rPr>
          <w:rFonts w:ascii="Times New Roman" w:hAnsi="Times New Roman"/>
          <w:sz w:val="24"/>
          <w:szCs w:val="24"/>
        </w:rPr>
      </w:pPr>
      <w:r w:rsidRPr="003D2A6B">
        <w:rPr>
          <w:rFonts w:ascii="Times New Roman" w:hAnsi="Times New Roman"/>
          <w:sz w:val="24"/>
          <w:szCs w:val="24"/>
        </w:rPr>
        <w:t xml:space="preserve">Using difference-in-differences means that the matched control group does not need to perfectly match the treatment group in the pre-treatment period. This is because any differences that may be due to unobservable factors that could not be included in the matching model will be netted out by the differencing. This feature, however, is not a cure-all and therefore it is still desirable for pre-treatment consumption for the treatment and matched control groups to be as similar as possible.  </w:t>
      </w:r>
    </w:p>
    <w:p w:rsidR="003D2A6B" w:rsidRPr="003D2A6B" w:rsidRDefault="003D2A6B" w:rsidP="003D2A6B">
      <w:pPr>
        <w:pStyle w:val="BodyParaAfterTableFigure"/>
        <w:ind w:firstLine="720"/>
        <w:rPr>
          <w:rFonts w:ascii="Times New Roman" w:hAnsi="Times New Roman"/>
          <w:sz w:val="24"/>
          <w:szCs w:val="24"/>
        </w:rPr>
      </w:pPr>
      <w:r w:rsidRPr="003D2A6B">
        <w:rPr>
          <w:rFonts w:ascii="Times New Roman" w:hAnsi="Times New Roman"/>
          <w:sz w:val="24"/>
          <w:szCs w:val="24"/>
        </w:rPr>
        <w:t>Difference-in-differences estimation can be implemented using either simple means or a panel regression with fixed effects and time effects. For robustness, both methods were used in this evaluation, but the estimates from the regression model are reported due to their increased precision. The increased precision is achieved by including variables that explain energy use, such as temperature and day-of-week effects, which filter background noise (variation) and allow the signal (the response to TOU rates) to be more easily detected. Separate regression equations were estimated for each hour to produce load impact estimates for all hours of the day. The dependent variable in the regression equation is hourly electricity use and only non-holiday weekdays were included in the analysis. The full panel model specification is presented as Equation 1:</w:t>
      </w:r>
    </w:p>
    <w:p w:rsidR="003D2A6B" w:rsidRPr="00CF558E" w:rsidRDefault="00947B52" w:rsidP="003D2A6B">
      <w:pPr>
        <w:pStyle w:val="BodyParagraph"/>
      </w:pPr>
      <m:oMathPara>
        <m:oMath>
          <m:sSub>
            <m:sSubPr>
              <m:ctrlPr>
                <w:rPr>
                  <w:rFonts w:ascii="Cambria Math" w:hAnsi="Cambria Math"/>
                  <w:i/>
                  <w:iCs/>
                  <w:sz w:val="19"/>
                  <w:szCs w:val="19"/>
                </w:rPr>
              </m:ctrlPr>
            </m:sSubPr>
            <m:e>
              <m:r>
                <w:rPr>
                  <w:rFonts w:ascii="Cambria Math" w:hAnsi="Cambria Math"/>
                  <w:sz w:val="19"/>
                  <w:szCs w:val="19"/>
                </w:rPr>
                <m:t>avgpeakkwh</m:t>
              </m:r>
            </m:e>
            <m:sub>
              <m:r>
                <w:rPr>
                  <w:rFonts w:ascii="Cambria Math" w:hAnsi="Cambria Math"/>
                  <w:sz w:val="19"/>
                  <w:szCs w:val="19"/>
                </w:rPr>
                <m:t>i,t</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0</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1</m:t>
              </m:r>
            </m:sub>
          </m:sSub>
          <m:d>
            <m:dPr>
              <m:ctrlPr>
                <w:rPr>
                  <w:rFonts w:ascii="Cambria Math" w:hAnsi="Cambria Math"/>
                  <w:i/>
                  <w:iCs/>
                  <w:sz w:val="19"/>
                  <w:szCs w:val="19"/>
                </w:rPr>
              </m:ctrlPr>
            </m:dPr>
            <m:e>
              <m:sSub>
                <m:sSubPr>
                  <m:ctrlPr>
                    <w:rPr>
                      <w:rFonts w:ascii="Cambria Math" w:hAnsi="Cambria Math"/>
                      <w:i/>
                      <w:iCs/>
                      <w:sz w:val="19"/>
                      <w:szCs w:val="19"/>
                    </w:rPr>
                  </m:ctrlPr>
                </m:sSubPr>
                <m:e>
                  <m:r>
                    <w:rPr>
                      <w:rFonts w:ascii="Cambria Math" w:hAnsi="Cambria Math"/>
                      <w:sz w:val="19"/>
                      <w:szCs w:val="19"/>
                    </w:rPr>
                    <m:t>posttreatment</m:t>
                  </m:r>
                </m:e>
                <m:sub>
                  <m:r>
                    <w:rPr>
                      <w:rFonts w:ascii="Cambria Math" w:hAnsi="Cambria Math"/>
                      <w:sz w:val="19"/>
                      <w:szCs w:val="19"/>
                    </w:rPr>
                    <m:t>t</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treatment</m:t>
                  </m:r>
                </m:e>
                <m:sub>
                  <m:r>
                    <w:rPr>
                      <w:rFonts w:ascii="Cambria Math" w:hAnsi="Cambria Math"/>
                      <w:sz w:val="19"/>
                      <w:szCs w:val="19"/>
                    </w:rPr>
                    <m:t>i</m:t>
                  </m:r>
                </m:sub>
              </m:sSub>
            </m:e>
          </m:d>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2</m:t>
              </m:r>
            </m:sub>
          </m:sSub>
          <m:sSub>
            <m:sSubPr>
              <m:ctrlPr>
                <w:rPr>
                  <w:rFonts w:ascii="Cambria Math" w:hAnsi="Cambria Math"/>
                  <w:i/>
                  <w:iCs/>
                  <w:sz w:val="19"/>
                  <w:szCs w:val="19"/>
                </w:rPr>
              </m:ctrlPr>
            </m:sSubPr>
            <m:e>
              <m:r>
                <w:rPr>
                  <w:rFonts w:ascii="Cambria Math" w:hAnsi="Cambria Math"/>
                  <w:sz w:val="19"/>
                  <w:szCs w:val="19"/>
                </w:rPr>
                <m:t>posttreatment</m:t>
              </m:r>
            </m:e>
            <m:sub>
              <m:r>
                <w:rPr>
                  <w:rFonts w:ascii="Cambria Math" w:hAnsi="Cambria Math"/>
                  <w:sz w:val="19"/>
                  <w:szCs w:val="19"/>
                </w:rPr>
                <m:t>t</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3</m:t>
              </m:r>
            </m:sub>
          </m:sSub>
          <m:sSub>
            <m:sSubPr>
              <m:ctrlPr>
                <w:rPr>
                  <w:rFonts w:ascii="Cambria Math" w:hAnsi="Cambria Math"/>
                  <w:i/>
                  <w:iCs/>
                  <w:sz w:val="19"/>
                  <w:szCs w:val="19"/>
                </w:rPr>
              </m:ctrlPr>
            </m:sSubPr>
            <m:e>
              <m:r>
                <w:rPr>
                  <w:rFonts w:ascii="Cambria Math" w:hAnsi="Cambria Math"/>
                  <w:sz w:val="19"/>
                  <w:szCs w:val="19"/>
                </w:rPr>
                <m:t>mean17</m:t>
              </m:r>
            </m:e>
            <m:sub>
              <m:r>
                <w:rPr>
                  <w:rFonts w:ascii="Cambria Math" w:hAnsi="Cambria Math"/>
                  <w:sz w:val="19"/>
                  <w:szCs w:val="19"/>
                </w:rPr>
                <m:t>i,t</m:t>
              </m:r>
            </m:sub>
          </m:sSub>
          <m:r>
            <w:rPr>
              <w:rFonts w:ascii="Cambria Math" w:hAnsi="Cambria Math"/>
              <w:sz w:val="19"/>
              <w:szCs w:val="19"/>
            </w:rPr>
            <m:t>+</m:t>
          </m:r>
          <m:sSub>
            <m:sSubPr>
              <m:ctrlPr>
                <w:rPr>
                  <w:rFonts w:ascii="Cambria Math" w:hAnsi="Cambria Math"/>
                  <w:i/>
                  <w:iCs/>
                  <w:sz w:val="19"/>
                  <w:szCs w:val="19"/>
                </w:rPr>
              </m:ctrlPr>
            </m:sSubPr>
            <m:e>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4</m:t>
                  </m:r>
                </m:sub>
              </m:sSub>
              <m:r>
                <w:rPr>
                  <w:rFonts w:ascii="Cambria Math" w:hAnsi="Cambria Math"/>
                  <w:sz w:val="19"/>
                  <w:szCs w:val="19"/>
                </w:rPr>
                <m:t>month</m:t>
              </m:r>
            </m:e>
            <m:sub>
              <m:r>
                <w:rPr>
                  <w:rFonts w:ascii="Cambria Math" w:hAnsi="Cambria Math"/>
                  <w:sz w:val="19"/>
                  <w:szCs w:val="19"/>
                </w:rPr>
                <m:t>t</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ε</m:t>
              </m:r>
            </m:e>
            <m:sub>
              <m:r>
                <w:rPr>
                  <w:rFonts w:ascii="Cambria Math" w:hAnsi="Cambria Math"/>
                  <w:sz w:val="19"/>
                  <w:szCs w:val="19"/>
                </w:rPr>
                <m:t>i,t</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u</m:t>
              </m:r>
            </m:e>
            <m:sub>
              <m:r>
                <w:rPr>
                  <w:rFonts w:ascii="Cambria Math" w:hAnsi="Cambria Math"/>
                  <w:sz w:val="19"/>
                  <w:szCs w:val="19"/>
                </w:rPr>
                <m:t>i</m:t>
              </m:r>
            </m:sub>
          </m:sSub>
          <m:r>
            <w:rPr>
              <w:rFonts w:ascii="Cambria Math" w:hAnsi="Cambria Math"/>
              <w:sz w:val="19"/>
              <w:szCs w:val="19"/>
            </w:rPr>
            <m:t> </m:t>
          </m:r>
        </m:oMath>
      </m:oMathPara>
    </w:p>
    <w:tbl>
      <w:tblPr>
        <w:tblStyle w:val="TableGrid"/>
        <w:tblW w:w="0" w:type="auto"/>
        <w:shd w:val="clear" w:color="auto" w:fill="C1BED1"/>
        <w:tblLook w:val="04A0" w:firstRow="1" w:lastRow="0" w:firstColumn="1" w:lastColumn="0" w:noHBand="0" w:noVBand="1"/>
      </w:tblPr>
      <w:tblGrid>
        <w:gridCol w:w="1601"/>
        <w:gridCol w:w="7975"/>
      </w:tblGrid>
      <w:tr w:rsidR="003D2A6B" w:rsidRPr="00272C9F" w:rsidTr="00324486">
        <w:trPr>
          <w:cantSplit/>
          <w:tblHeader/>
        </w:trPr>
        <w:tc>
          <w:tcPr>
            <w:tcW w:w="1601" w:type="dxa"/>
            <w:tcBorders>
              <w:top w:val="single" w:sz="4" w:space="0" w:color="auto"/>
              <w:left w:val="single" w:sz="4" w:space="0" w:color="auto"/>
              <w:bottom w:val="single" w:sz="4" w:space="0" w:color="1F497D" w:themeColor="text2"/>
              <w:right w:val="single" w:sz="4" w:space="0" w:color="FFFFFF" w:themeColor="background1"/>
            </w:tcBorders>
            <w:shd w:val="clear" w:color="auto" w:fill="0070CD"/>
            <w:hideMark/>
          </w:tcPr>
          <w:p w:rsidR="003D2A6B" w:rsidRPr="00564A8C" w:rsidRDefault="003D2A6B" w:rsidP="00324486">
            <w:pPr>
              <w:pStyle w:val="TableHeader"/>
            </w:pPr>
            <w:r w:rsidRPr="00564A8C">
              <w:t>Variable</w:t>
            </w:r>
          </w:p>
        </w:tc>
        <w:tc>
          <w:tcPr>
            <w:tcW w:w="7975" w:type="dxa"/>
            <w:tcBorders>
              <w:top w:val="single" w:sz="4" w:space="0" w:color="auto"/>
              <w:left w:val="single" w:sz="4" w:space="0" w:color="FFFFFF" w:themeColor="background1"/>
              <w:bottom w:val="single" w:sz="4" w:space="0" w:color="1F497D" w:themeColor="text2"/>
              <w:right w:val="single" w:sz="4" w:space="0" w:color="auto"/>
            </w:tcBorders>
            <w:shd w:val="clear" w:color="auto" w:fill="0070CD"/>
            <w:hideMark/>
          </w:tcPr>
          <w:p w:rsidR="003D2A6B" w:rsidRPr="00564A8C" w:rsidRDefault="003D2A6B" w:rsidP="00324486">
            <w:pPr>
              <w:pStyle w:val="TableHeader"/>
            </w:pPr>
            <w:r w:rsidRPr="00564A8C">
              <w:t>Definition</w:t>
            </w:r>
          </w:p>
        </w:tc>
      </w:tr>
      <w:tr w:rsidR="003D2A6B" w:rsidRPr="00272C9F" w:rsidTr="00324486">
        <w:tc>
          <w:tcPr>
            <w:tcW w:w="1601" w:type="dxa"/>
            <w:tcBorders>
              <w:top w:val="single" w:sz="4" w:space="0" w:color="1F497D" w:themeColor="text2"/>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3D2A6B" w:rsidP="00324486">
            <w:pPr>
              <w:pStyle w:val="BodyParagraph"/>
              <w:spacing w:after="0"/>
              <w:jc w:val="center"/>
              <w:rPr>
                <w:rFonts w:ascii="Times New Roman" w:hAnsi="Times New Roman"/>
                <w:i/>
                <w:sz w:val="21"/>
                <w:szCs w:val="21"/>
              </w:rPr>
            </w:pPr>
            <w:r w:rsidRPr="00272C9F">
              <w:rPr>
                <w:rFonts w:ascii="Times New Roman" w:hAnsi="Times New Roman"/>
                <w:i/>
                <w:sz w:val="21"/>
                <w:szCs w:val="21"/>
              </w:rPr>
              <w:t>i, t</w:t>
            </w:r>
          </w:p>
        </w:tc>
        <w:tc>
          <w:tcPr>
            <w:tcW w:w="7975" w:type="dxa"/>
            <w:tcBorders>
              <w:top w:val="single" w:sz="4" w:space="0" w:color="1F497D" w:themeColor="text2"/>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Indicate observations for each individual (i) and date (t).</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0</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The model constant.</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1</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The change in electricity use due to the treatment. This change is only experienced by the treatment group after TOU is implemented. The parameter represents the difference-in-differences.</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2</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The difference pre and post TOU implementation period unrelated to treatment.</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3</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 xml:space="preserve">Change in electricity use due to weather (Avg. temperature during first 17 hours of </w:t>
            </w:r>
            <w:r>
              <w:br/>
            </w:r>
            <w:r w:rsidRPr="00564A8C">
              <w:t>the day)</w:t>
            </w:r>
            <w:r>
              <w:t>.</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4</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Change in electricity use due to month</w:t>
            </w:r>
            <w:r>
              <w:t>.</w:t>
            </w:r>
          </w:p>
        </w:tc>
      </w:tr>
      <w:tr w:rsidR="003D2A6B" w:rsidRPr="00272C9F" w:rsidTr="00324486">
        <w:trPr>
          <w:cantSplit/>
        </w:trPr>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u</m:t>
                    </m:r>
                  </m:e>
                  <m:sub>
                    <m:r>
                      <w:rPr>
                        <w:rFonts w:ascii="Cambria Math" w:hAnsi="Cambria Math"/>
                        <w:sz w:val="19"/>
                        <w:szCs w:val="19"/>
                      </w:rPr>
                      <m:t>i</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Customer fixed effects, which control for unobserved factors that are time invariant and unique to each customer. They do not control for fixed characteristics such as air conditioning that interact with time varying factors like weather.</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ε</m:t>
                    </m:r>
                  </m:e>
                  <m:sub>
                    <m:r>
                      <w:rPr>
                        <w:rFonts w:ascii="Cambria Math" w:hAnsi="Cambria Math"/>
                        <w:sz w:val="19"/>
                        <w:szCs w:val="19"/>
                      </w:rPr>
                      <m:t>i,t</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The idiosyncratic (white-noise) error for each individual customer and time period.</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treatment</m:t>
                    </m:r>
                  </m:e>
                  <m:sub>
                    <m:r>
                      <w:rPr>
                        <w:rFonts w:ascii="Cambria Math" w:hAnsi="Cambria Math"/>
                        <w:sz w:val="19"/>
                        <w:szCs w:val="19"/>
                      </w:rPr>
                      <m:t>i</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A binary indicator of whether or not the customer is part of the treatment or control</w:t>
            </w:r>
            <w:r>
              <w:t> </w:t>
            </w:r>
            <w:r w:rsidRPr="00564A8C">
              <w:t>group.</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posttreatment</m:t>
                    </m:r>
                  </m:e>
                  <m:sub>
                    <m:r>
                      <w:rPr>
                        <w:rFonts w:ascii="Cambria Math" w:hAnsi="Cambria Math"/>
                        <w:sz w:val="19"/>
                        <w:szCs w:val="19"/>
                      </w:rPr>
                      <m:t>t</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A binary indicator of whether the time period occurs before (0) or after (1) implementation of TOU.</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mean17</m:t>
                    </m:r>
                  </m:e>
                  <m:sub>
                    <m:r>
                      <w:rPr>
                        <w:rFonts w:ascii="Cambria Math" w:hAnsi="Cambria Math"/>
                        <w:sz w:val="19"/>
                        <w:szCs w:val="19"/>
                      </w:rPr>
                      <m:t>i,t</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Average temperature during first 17 hours of the day</w:t>
            </w:r>
            <w:r>
              <w:t>.</w:t>
            </w:r>
          </w:p>
        </w:tc>
      </w:tr>
      <w:tr w:rsidR="003D2A6B" w:rsidRPr="00272C9F" w:rsidTr="00324486">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month</m:t>
                    </m:r>
                  </m:e>
                  <m:sub>
                    <m:r>
                      <w:rPr>
                        <w:rFonts w:ascii="Cambria Math" w:hAnsi="Cambria Math"/>
                        <w:sz w:val="19"/>
                        <w:szCs w:val="19"/>
                      </w:rPr>
                      <m:t>t</m:t>
                    </m:r>
                  </m:sub>
                </m:sSub>
              </m:oMath>
            </m:oMathPara>
          </w:p>
        </w:tc>
        <w:tc>
          <w:tcPr>
            <w:tcW w:w="7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D2A6B" w:rsidRPr="00564A8C" w:rsidRDefault="003D2A6B" w:rsidP="00324486">
            <w:pPr>
              <w:pStyle w:val="TableText"/>
            </w:pPr>
            <w:r w:rsidRPr="00564A8C">
              <w:t>Set of dummy variables for each summer month</w:t>
            </w:r>
            <w:r>
              <w:t>.</w:t>
            </w:r>
          </w:p>
        </w:tc>
      </w:tr>
    </w:tbl>
    <w:p w:rsidR="003D2A6B" w:rsidRPr="00272C9F" w:rsidRDefault="003D2A6B" w:rsidP="003D2A6B">
      <w:pPr>
        <w:pStyle w:val="BodyParagraph"/>
        <w:rPr>
          <w:sz w:val="21"/>
          <w:szCs w:val="21"/>
        </w:rPr>
      </w:pPr>
    </w:p>
    <w:p w:rsidR="00EE1F7E" w:rsidRDefault="00EE1F7E" w:rsidP="00EE1F7E">
      <w:pPr>
        <w:pStyle w:val="Heading2"/>
        <w:rPr>
          <w:rFonts w:ascii="Times New Roman" w:hAnsi="Times New Roman" w:cs="Times New Roman"/>
          <w:color w:val="000000" w:themeColor="text1"/>
        </w:rPr>
      </w:pPr>
      <w:bookmarkStart w:id="246" w:name="_Toc415749032"/>
      <w:r w:rsidRPr="00463C7B">
        <w:rPr>
          <w:rFonts w:ascii="Times New Roman" w:hAnsi="Times New Roman" w:cs="Times New Roman"/>
          <w:color w:val="000000" w:themeColor="text1"/>
        </w:rPr>
        <w:t>Non-Residential SPP Rates</w:t>
      </w:r>
      <w:r>
        <w:rPr>
          <w:rFonts w:ascii="Times New Roman" w:hAnsi="Times New Roman" w:cs="Times New Roman"/>
          <w:color w:val="000000" w:themeColor="text1"/>
        </w:rPr>
        <w:t xml:space="preserve"> </w:t>
      </w:r>
      <w:r w:rsidRPr="0003743F">
        <w:rPr>
          <w:rFonts w:ascii="Times New Roman" w:hAnsi="Times New Roman" w:cs="Times New Roman"/>
          <w:color w:val="000000" w:themeColor="text1"/>
        </w:rPr>
        <w:t xml:space="preserve">Ex-Post </w:t>
      </w:r>
      <w:r>
        <w:rPr>
          <w:rFonts w:ascii="Times New Roman" w:hAnsi="Times New Roman" w:cs="Times New Roman"/>
          <w:color w:val="000000" w:themeColor="text1"/>
        </w:rPr>
        <w:t>Load Impact Estimates</w:t>
      </w:r>
      <w:bookmarkEnd w:id="246"/>
    </w:p>
    <w:p w:rsidR="00FB5AEC" w:rsidRPr="00FB5AEC" w:rsidRDefault="00FB5AEC" w:rsidP="00FB5AEC">
      <w:pPr>
        <w:pStyle w:val="BodyParagraph"/>
        <w:spacing w:after="0" w:line="276" w:lineRule="auto"/>
        <w:rPr>
          <w:rFonts w:ascii="Times New Roman" w:hAnsi="Times New Roman"/>
          <w:noProof/>
          <w:sz w:val="24"/>
          <w:szCs w:val="24"/>
        </w:rPr>
      </w:pPr>
    </w:p>
    <w:p w:rsidR="00FB5AEC" w:rsidRDefault="00FB5AEC" w:rsidP="00FB5AEC">
      <w:pPr>
        <w:pStyle w:val="BodyParagraph"/>
        <w:spacing w:after="0" w:line="276" w:lineRule="auto"/>
        <w:rPr>
          <w:rFonts w:ascii="Times New Roman" w:hAnsi="Times New Roman"/>
          <w:noProof/>
          <w:sz w:val="24"/>
          <w:szCs w:val="24"/>
        </w:rPr>
      </w:pPr>
      <w:r w:rsidRPr="00FB5AEC">
        <w:rPr>
          <w:rFonts w:ascii="Times New Roman" w:hAnsi="Times New Roman"/>
          <w:noProof/>
          <w:sz w:val="24"/>
          <w:szCs w:val="24"/>
        </w:rPr>
        <w:t>This section presen</w:t>
      </w:r>
      <w:r w:rsidRPr="00FB5AEC">
        <w:rPr>
          <w:rFonts w:ascii="Times New Roman" w:hAnsi="Times New Roman"/>
          <w:sz w:val="24"/>
          <w:szCs w:val="24"/>
        </w:rPr>
        <w:t>t the results of the ex post impact evaluation for each SPP rate along with interpretations of the</w:t>
      </w:r>
      <w:r w:rsidRPr="00FB5AEC">
        <w:rPr>
          <w:rFonts w:ascii="Times New Roman" w:hAnsi="Times New Roman"/>
          <w:noProof/>
          <w:sz w:val="24"/>
          <w:szCs w:val="24"/>
        </w:rPr>
        <w:t xml:space="preserve"> estimates. </w:t>
      </w:r>
    </w:p>
    <w:p w:rsidR="00FB5AEC" w:rsidRPr="00FB5AEC" w:rsidRDefault="00FB5AEC" w:rsidP="0080224B">
      <w:pPr>
        <w:pStyle w:val="BodyParagraph"/>
        <w:spacing w:after="0" w:line="276" w:lineRule="auto"/>
        <w:rPr>
          <w:rFonts w:ascii="Times New Roman" w:hAnsi="Times New Roman"/>
          <w:sz w:val="24"/>
          <w:szCs w:val="24"/>
        </w:rPr>
      </w:pPr>
    </w:p>
    <w:p w:rsidR="00FB5AEC" w:rsidRPr="00FB5AEC" w:rsidRDefault="00FB5AEC" w:rsidP="0080224B">
      <w:pPr>
        <w:pStyle w:val="Heading3"/>
        <w:spacing w:before="0" w:after="0" w:line="276" w:lineRule="auto"/>
        <w:ind w:hanging="360"/>
        <w:rPr>
          <w:rFonts w:ascii="Times New Roman" w:hAnsi="Times New Roman" w:cs="Times New Roman"/>
        </w:rPr>
      </w:pPr>
      <w:bookmarkStart w:id="247" w:name="_Toc414350778"/>
      <w:bookmarkStart w:id="248" w:name="_Toc414441445"/>
      <w:bookmarkStart w:id="249" w:name="_Toc415749033"/>
      <w:r w:rsidRPr="00FB5AEC">
        <w:rPr>
          <w:rFonts w:ascii="Times New Roman" w:hAnsi="Times New Roman" w:cs="Times New Roman"/>
        </w:rPr>
        <w:t>TOU</w:t>
      </w:r>
      <w:bookmarkEnd w:id="247"/>
      <w:bookmarkEnd w:id="248"/>
      <w:bookmarkEnd w:id="249"/>
    </w:p>
    <w:p w:rsidR="00FB5AEC" w:rsidRDefault="00FB5AEC" w:rsidP="0080224B">
      <w:pPr>
        <w:pStyle w:val="BodyParagraph"/>
        <w:spacing w:after="0" w:line="276" w:lineRule="auto"/>
        <w:rPr>
          <w:rFonts w:ascii="Times New Roman" w:hAnsi="Times New Roman"/>
          <w:noProof/>
          <w:sz w:val="24"/>
          <w:szCs w:val="24"/>
        </w:rPr>
      </w:pPr>
    </w:p>
    <w:p w:rsidR="00FB5AEC" w:rsidRPr="00FB5AEC" w:rsidRDefault="00FB5AEC" w:rsidP="00FB5AEC">
      <w:pPr>
        <w:pStyle w:val="BodyParagraph"/>
        <w:spacing w:after="0" w:line="276" w:lineRule="auto"/>
        <w:rPr>
          <w:rFonts w:ascii="Times New Roman" w:hAnsi="Times New Roman"/>
          <w:noProof/>
          <w:sz w:val="24"/>
          <w:szCs w:val="24"/>
        </w:rPr>
      </w:pPr>
      <w:r w:rsidRPr="00FB5AEC">
        <w:rPr>
          <w:rFonts w:ascii="Times New Roman" w:hAnsi="Times New Roman"/>
          <w:noProof/>
          <w:sz w:val="24"/>
          <w:szCs w:val="24"/>
        </w:rPr>
        <w:t xml:space="preserve">Estimates of the peak period load impacts on average summer weekdays for the TOU rate are shown in Table </w:t>
      </w:r>
      <w:r w:rsidR="00F345DA">
        <w:rPr>
          <w:rFonts w:ascii="Times New Roman" w:hAnsi="Times New Roman"/>
          <w:noProof/>
          <w:sz w:val="24"/>
          <w:szCs w:val="24"/>
        </w:rPr>
        <w:t>9</w:t>
      </w:r>
      <w:r>
        <w:rPr>
          <w:rFonts w:ascii="Times New Roman" w:hAnsi="Times New Roman"/>
          <w:noProof/>
          <w:sz w:val="24"/>
          <w:szCs w:val="24"/>
        </w:rPr>
        <w:t>-</w:t>
      </w:r>
      <w:r w:rsidRPr="00FB5AEC">
        <w:rPr>
          <w:rFonts w:ascii="Times New Roman" w:hAnsi="Times New Roman"/>
          <w:noProof/>
          <w:sz w:val="24"/>
          <w:szCs w:val="24"/>
        </w:rPr>
        <w:t>4 for each industry. None of the impacts were found to be statistically significant at even the 90% confidence level and some point estimates were negative (i.e., load increases</w:t>
      </w:r>
      <w:r w:rsidRPr="00FB5AEC">
        <w:rPr>
          <w:rFonts w:ascii="Times New Roman" w:hAnsi="Times New Roman"/>
          <w:noProof/>
          <w:sz w:val="24"/>
          <w:szCs w:val="24"/>
        </w:rPr>
        <w:footnoteReference w:id="16"/>
      </w:r>
      <w:r w:rsidRPr="00FB5AEC">
        <w:rPr>
          <w:rFonts w:ascii="Times New Roman" w:hAnsi="Times New Roman"/>
          <w:noProof/>
          <w:sz w:val="24"/>
          <w:szCs w:val="24"/>
        </w:rPr>
        <w:t xml:space="preserve">). </w:t>
      </w:r>
    </w:p>
    <w:p w:rsidR="00653FC5" w:rsidRDefault="00653FC5">
      <w:pPr>
        <w:rPr>
          <w:b/>
          <w:sz w:val="20"/>
          <w:szCs w:val="20"/>
        </w:rPr>
      </w:pPr>
      <w:r>
        <w:rPr>
          <w:sz w:val="20"/>
          <w:szCs w:val="20"/>
        </w:rPr>
        <w:br w:type="page"/>
      </w:r>
    </w:p>
    <w:p w:rsidR="00FB5AEC" w:rsidRPr="00FB5AEC" w:rsidRDefault="00FB5AEC" w:rsidP="00FB5AEC">
      <w:pPr>
        <w:pStyle w:val="TableFigureCaption"/>
        <w:rPr>
          <w:rFonts w:ascii="Times New Roman" w:hAnsi="Times New Roman"/>
          <w:sz w:val="20"/>
          <w:szCs w:val="20"/>
        </w:rPr>
      </w:pPr>
      <w:r w:rsidRPr="00FB5AEC">
        <w:rPr>
          <w:rFonts w:ascii="Times New Roman" w:hAnsi="Times New Roman"/>
          <w:sz w:val="20"/>
          <w:szCs w:val="20"/>
        </w:rPr>
        <w:lastRenderedPageBreak/>
        <w:t xml:space="preserve">Table </w:t>
      </w:r>
      <w:r w:rsidR="00F345DA">
        <w:rPr>
          <w:rFonts w:ascii="Times New Roman" w:hAnsi="Times New Roman"/>
          <w:sz w:val="20"/>
          <w:szCs w:val="20"/>
        </w:rPr>
        <w:t>9</w:t>
      </w:r>
      <w:r w:rsidRPr="00FB5AEC">
        <w:rPr>
          <w:rFonts w:ascii="Times New Roman" w:hAnsi="Times New Roman"/>
          <w:sz w:val="20"/>
          <w:szCs w:val="20"/>
        </w:rPr>
        <w:t>-4: Peak Period Load Impacts for TOU Customers</w:t>
      </w:r>
    </w:p>
    <w:tbl>
      <w:tblPr>
        <w:tblW w:w="9139" w:type="dxa"/>
        <w:jc w:val="center"/>
        <w:tblLayout w:type="fixed"/>
        <w:tblCellMar>
          <w:left w:w="0" w:type="dxa"/>
          <w:right w:w="0" w:type="dxa"/>
        </w:tblCellMar>
        <w:tblLook w:val="04A0" w:firstRow="1" w:lastRow="0" w:firstColumn="1" w:lastColumn="0" w:noHBand="0" w:noVBand="1"/>
      </w:tblPr>
      <w:tblGrid>
        <w:gridCol w:w="1600"/>
        <w:gridCol w:w="1658"/>
        <w:gridCol w:w="1176"/>
        <w:gridCol w:w="1176"/>
        <w:gridCol w:w="1120"/>
        <w:gridCol w:w="1232"/>
        <w:gridCol w:w="1177"/>
      </w:tblGrid>
      <w:tr w:rsidR="00FB5AEC" w:rsidRPr="00272C9F" w:rsidTr="00324486">
        <w:trPr>
          <w:trHeight w:val="755"/>
          <w:jc w:val="center"/>
        </w:trPr>
        <w:tc>
          <w:tcPr>
            <w:tcW w:w="1600" w:type="dxa"/>
            <w:tcBorders>
              <w:top w:val="single" w:sz="8" w:space="0" w:color="auto"/>
              <w:left w:val="single" w:sz="8" w:space="0" w:color="auto"/>
              <w:bottom w:val="single" w:sz="8" w:space="0" w:color="auto"/>
              <w:right w:val="single" w:sz="8" w:space="0" w:color="FFFFFF"/>
            </w:tcBorders>
            <w:shd w:val="clear" w:color="auto" w:fill="0070CD"/>
            <w:tcMar>
              <w:top w:w="0" w:type="dxa"/>
              <w:left w:w="108" w:type="dxa"/>
              <w:bottom w:w="0" w:type="dxa"/>
              <w:right w:w="108" w:type="dxa"/>
            </w:tcMar>
            <w:vAlign w:val="center"/>
            <w:hideMark/>
          </w:tcPr>
          <w:p w:rsidR="00FB5AEC" w:rsidRPr="00272C9F" w:rsidRDefault="00FB5AEC" w:rsidP="00324486">
            <w:pPr>
              <w:pStyle w:val="TableHeader"/>
              <w:contextualSpacing/>
              <w:rPr>
                <w:sz w:val="19"/>
                <w:szCs w:val="19"/>
              </w:rPr>
            </w:pPr>
            <w:r w:rsidRPr="00272C9F">
              <w:rPr>
                <w:sz w:val="19"/>
                <w:szCs w:val="19"/>
              </w:rPr>
              <w:t>Industry</w:t>
            </w:r>
          </w:p>
        </w:tc>
        <w:tc>
          <w:tcPr>
            <w:tcW w:w="1658" w:type="dxa"/>
            <w:tcBorders>
              <w:top w:val="single" w:sz="8" w:space="0" w:color="auto"/>
              <w:left w:val="nil"/>
              <w:bottom w:val="single" w:sz="8" w:space="0" w:color="auto"/>
              <w:right w:val="single" w:sz="8" w:space="0" w:color="FFFFFF"/>
            </w:tcBorders>
            <w:shd w:val="clear" w:color="auto" w:fill="0070CD"/>
            <w:noWrap/>
            <w:tcMar>
              <w:top w:w="0" w:type="dxa"/>
              <w:left w:w="108" w:type="dxa"/>
              <w:bottom w:w="0" w:type="dxa"/>
              <w:right w:w="108" w:type="dxa"/>
            </w:tcMar>
            <w:vAlign w:val="center"/>
            <w:hideMark/>
          </w:tcPr>
          <w:p w:rsidR="00FB5AEC" w:rsidRPr="00272C9F" w:rsidRDefault="00FB5AEC" w:rsidP="00324486">
            <w:pPr>
              <w:pStyle w:val="TableHeader"/>
              <w:contextualSpacing/>
              <w:rPr>
                <w:sz w:val="19"/>
                <w:szCs w:val="19"/>
              </w:rPr>
            </w:pPr>
            <w:r w:rsidRPr="00272C9F">
              <w:rPr>
                <w:sz w:val="19"/>
                <w:szCs w:val="19"/>
              </w:rPr>
              <w:t>Month</w:t>
            </w:r>
          </w:p>
        </w:tc>
        <w:tc>
          <w:tcPr>
            <w:tcW w:w="1176" w:type="dxa"/>
            <w:tcBorders>
              <w:top w:val="single" w:sz="8" w:space="0" w:color="auto"/>
              <w:left w:val="nil"/>
              <w:bottom w:val="single" w:sz="8" w:space="0" w:color="auto"/>
              <w:right w:val="single" w:sz="8" w:space="0" w:color="FFFFFF"/>
            </w:tcBorders>
            <w:shd w:val="clear" w:color="auto" w:fill="0070CD"/>
            <w:tcMar>
              <w:top w:w="0" w:type="dxa"/>
              <w:left w:w="108" w:type="dxa"/>
              <w:bottom w:w="0" w:type="dxa"/>
              <w:right w:w="108" w:type="dxa"/>
            </w:tcMar>
            <w:vAlign w:val="center"/>
            <w:hideMark/>
          </w:tcPr>
          <w:p w:rsidR="00FB5AEC" w:rsidRPr="00272C9F" w:rsidRDefault="00FB5AEC" w:rsidP="00324486">
            <w:pPr>
              <w:pStyle w:val="TableHeader"/>
              <w:contextualSpacing/>
              <w:rPr>
                <w:sz w:val="19"/>
                <w:szCs w:val="19"/>
              </w:rPr>
            </w:pPr>
            <w:r w:rsidRPr="00272C9F">
              <w:rPr>
                <w:sz w:val="19"/>
                <w:szCs w:val="19"/>
              </w:rPr>
              <w:t>Reference</w:t>
            </w:r>
            <w:r w:rsidRPr="00272C9F">
              <w:rPr>
                <w:sz w:val="19"/>
                <w:szCs w:val="19"/>
              </w:rPr>
              <w:br/>
              <w:t>Load (kW)</w:t>
            </w:r>
          </w:p>
        </w:tc>
        <w:tc>
          <w:tcPr>
            <w:tcW w:w="1176" w:type="dxa"/>
            <w:tcBorders>
              <w:top w:val="single" w:sz="8" w:space="0" w:color="auto"/>
              <w:left w:val="nil"/>
              <w:bottom w:val="single" w:sz="8" w:space="0" w:color="auto"/>
              <w:right w:val="single" w:sz="4" w:space="0" w:color="FFFFFF" w:themeColor="background1"/>
            </w:tcBorders>
            <w:shd w:val="clear" w:color="auto" w:fill="0070CD"/>
            <w:noWrap/>
            <w:tcMar>
              <w:top w:w="0" w:type="dxa"/>
              <w:left w:w="108" w:type="dxa"/>
              <w:bottom w:w="0" w:type="dxa"/>
              <w:right w:w="108" w:type="dxa"/>
            </w:tcMar>
            <w:vAlign w:val="center"/>
            <w:hideMark/>
          </w:tcPr>
          <w:p w:rsidR="00FB5AEC" w:rsidRPr="00272C9F" w:rsidRDefault="00FB5AEC" w:rsidP="00324486">
            <w:pPr>
              <w:pStyle w:val="TableHeader"/>
              <w:contextualSpacing/>
              <w:rPr>
                <w:sz w:val="19"/>
                <w:szCs w:val="19"/>
              </w:rPr>
            </w:pPr>
            <w:r w:rsidRPr="00272C9F">
              <w:rPr>
                <w:sz w:val="19"/>
                <w:szCs w:val="19"/>
              </w:rPr>
              <w:t>Impact (kW)</w:t>
            </w:r>
          </w:p>
        </w:tc>
        <w:tc>
          <w:tcPr>
            <w:tcW w:w="112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D"/>
            <w:noWrap/>
            <w:tcMar>
              <w:top w:w="0" w:type="dxa"/>
              <w:left w:w="108" w:type="dxa"/>
              <w:bottom w:w="0" w:type="dxa"/>
              <w:right w:w="108" w:type="dxa"/>
            </w:tcMar>
            <w:vAlign w:val="center"/>
          </w:tcPr>
          <w:p w:rsidR="00FB5AEC" w:rsidRPr="00272C9F" w:rsidRDefault="00FB5AEC" w:rsidP="00324486">
            <w:pPr>
              <w:pStyle w:val="TableHeader"/>
              <w:contextualSpacing/>
              <w:rPr>
                <w:sz w:val="19"/>
                <w:szCs w:val="19"/>
              </w:rPr>
            </w:pPr>
            <w:r w:rsidRPr="00272C9F">
              <w:rPr>
                <w:sz w:val="19"/>
                <w:szCs w:val="19"/>
              </w:rPr>
              <w:t>Std. Error of Impact</w:t>
            </w:r>
          </w:p>
        </w:tc>
        <w:tc>
          <w:tcPr>
            <w:tcW w:w="123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70CD"/>
            <w:vAlign w:val="center"/>
          </w:tcPr>
          <w:p w:rsidR="00FB5AEC" w:rsidRPr="00272C9F" w:rsidRDefault="00FB5AEC" w:rsidP="00324486">
            <w:pPr>
              <w:pStyle w:val="TableHeader"/>
              <w:contextualSpacing/>
              <w:rPr>
                <w:sz w:val="19"/>
                <w:szCs w:val="19"/>
              </w:rPr>
            </w:pPr>
            <w:r w:rsidRPr="00272C9F">
              <w:rPr>
                <w:sz w:val="19"/>
                <w:szCs w:val="19"/>
              </w:rPr>
              <w:t xml:space="preserve">% </w:t>
            </w:r>
            <w:r w:rsidRPr="00272C9F">
              <w:rPr>
                <w:sz w:val="19"/>
                <w:szCs w:val="19"/>
              </w:rPr>
              <w:br/>
              <w:t>Reduction</w:t>
            </w:r>
          </w:p>
        </w:tc>
        <w:tc>
          <w:tcPr>
            <w:tcW w:w="1177" w:type="dxa"/>
            <w:tcBorders>
              <w:top w:val="single" w:sz="4" w:space="0" w:color="auto"/>
              <w:left w:val="single" w:sz="4" w:space="0" w:color="FFFFFF" w:themeColor="background1"/>
              <w:bottom w:val="single" w:sz="4" w:space="0" w:color="auto"/>
              <w:right w:val="single" w:sz="4" w:space="0" w:color="auto"/>
            </w:tcBorders>
            <w:shd w:val="clear" w:color="auto" w:fill="0070CD"/>
            <w:vAlign w:val="center"/>
          </w:tcPr>
          <w:p w:rsidR="00FB5AEC" w:rsidRPr="00272C9F" w:rsidRDefault="00FB5AEC" w:rsidP="00324486">
            <w:pPr>
              <w:pStyle w:val="TableHeader"/>
              <w:contextualSpacing/>
              <w:rPr>
                <w:sz w:val="19"/>
                <w:szCs w:val="19"/>
              </w:rPr>
            </w:pPr>
            <w:r w:rsidRPr="00272C9F">
              <w:rPr>
                <w:sz w:val="19"/>
                <w:szCs w:val="19"/>
              </w:rPr>
              <w:t>Aggregate Impact (kW)</w:t>
            </w:r>
          </w:p>
        </w:tc>
      </w:tr>
      <w:tr w:rsidR="00FB5AEC" w:rsidRPr="00272C9F" w:rsidTr="00324486">
        <w:trPr>
          <w:trHeight w:val="288"/>
          <w:jc w:val="center"/>
        </w:trPr>
        <w:tc>
          <w:tcPr>
            <w:tcW w:w="1600" w:type="dxa"/>
            <w:vMerge w:val="restart"/>
            <w:tcBorders>
              <w:top w:val="nil"/>
              <w:left w:val="single" w:sz="8" w:space="0" w:color="auto"/>
              <w:right w:val="single" w:sz="8" w:space="0" w:color="auto"/>
            </w:tcBorders>
            <w:shd w:val="clear" w:color="auto" w:fill="FFFFFF"/>
            <w:noWrap/>
            <w:tcMar>
              <w:top w:w="0" w:type="dxa"/>
              <w:left w:w="108" w:type="dxa"/>
              <w:bottom w:w="0" w:type="dxa"/>
              <w:right w:w="108" w:type="dxa"/>
            </w:tcMar>
            <w:vAlign w:val="center"/>
            <w:hideMark/>
          </w:tcPr>
          <w:p w:rsidR="00FB5AEC" w:rsidRPr="00272C9F" w:rsidRDefault="00FB5AEC" w:rsidP="00324486">
            <w:pPr>
              <w:pStyle w:val="TableText"/>
              <w:contextualSpacing/>
            </w:pPr>
            <w:r w:rsidRPr="00272C9F">
              <w:t>Information</w:t>
            </w:r>
            <w:r w:rsidRPr="00272C9F">
              <w:br/>
              <w:t>(Treatment N=173)</w:t>
            </w: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July</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1.41</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0.13</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0.52</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9%</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22</w:t>
            </w:r>
          </w:p>
        </w:tc>
      </w:tr>
      <w:tr w:rsidR="00FB5AEC" w:rsidRPr="00272C9F" w:rsidTr="00324486">
        <w:trPr>
          <w:trHeight w:val="288"/>
          <w:jc w:val="center"/>
        </w:trPr>
        <w:tc>
          <w:tcPr>
            <w:tcW w:w="1600" w:type="dxa"/>
            <w:vMerge/>
            <w:tcBorders>
              <w:left w:val="single" w:sz="8" w:space="0" w:color="auto"/>
              <w:right w:val="single" w:sz="8" w:space="0" w:color="auto"/>
            </w:tcBorders>
            <w:shd w:val="clear" w:color="auto" w:fill="FFFFFF"/>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August</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1.39</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0.17</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0.46</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12%</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30</w:t>
            </w:r>
          </w:p>
        </w:tc>
      </w:tr>
      <w:tr w:rsidR="00FB5AEC" w:rsidRPr="00272C9F" w:rsidTr="00324486">
        <w:trPr>
          <w:trHeight w:val="288"/>
          <w:jc w:val="center"/>
        </w:trPr>
        <w:tc>
          <w:tcPr>
            <w:tcW w:w="1600" w:type="dxa"/>
            <w:vMerge/>
            <w:tcBorders>
              <w:left w:val="single" w:sz="8" w:space="0" w:color="auto"/>
              <w:right w:val="single" w:sz="8" w:space="0" w:color="auto"/>
            </w:tcBorders>
            <w:shd w:val="clear" w:color="auto" w:fill="FFFFFF"/>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September</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1.45</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0.14</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0.58</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25</w:t>
            </w:r>
          </w:p>
        </w:tc>
      </w:tr>
      <w:tr w:rsidR="00FB5AEC" w:rsidRPr="00272C9F" w:rsidTr="00324486">
        <w:trPr>
          <w:trHeight w:val="288"/>
          <w:jc w:val="center"/>
        </w:trPr>
        <w:tc>
          <w:tcPr>
            <w:tcW w:w="1600" w:type="dxa"/>
            <w:vMerge/>
            <w:tcBorders>
              <w:left w:val="single" w:sz="8" w:space="0" w:color="auto"/>
              <w:right w:val="single" w:sz="8" w:space="0" w:color="auto"/>
            </w:tcBorders>
            <w:shd w:val="clear" w:color="auto" w:fill="FFFFFF"/>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October</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1.39</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0.11</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0.53</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8%</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19</w:t>
            </w:r>
          </w:p>
        </w:tc>
      </w:tr>
      <w:tr w:rsidR="00FB5AEC" w:rsidRPr="00272C9F" w:rsidTr="00324486">
        <w:trPr>
          <w:trHeight w:val="288"/>
          <w:jc w:val="center"/>
        </w:trPr>
        <w:tc>
          <w:tcPr>
            <w:tcW w:w="1600" w:type="dxa"/>
            <w:vMerge/>
            <w:tcBorders>
              <w:left w:val="single" w:sz="8" w:space="0" w:color="auto"/>
              <w:bottom w:val="single" w:sz="8" w:space="0" w:color="000000"/>
              <w:right w:val="single" w:sz="8" w:space="0" w:color="auto"/>
            </w:tcBorders>
            <w:shd w:val="clear" w:color="auto" w:fill="FFFFFF"/>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rPr>
                <w:b/>
              </w:rPr>
            </w:pPr>
            <w:r w:rsidRPr="00272C9F">
              <w:rPr>
                <w:b/>
              </w:rPr>
              <w:t>Avg. Summer</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1.41</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0.14</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0.52</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10%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24</w:t>
            </w:r>
          </w:p>
        </w:tc>
      </w:tr>
      <w:tr w:rsidR="00FB5AEC" w:rsidRPr="00272C9F" w:rsidTr="00324486">
        <w:trPr>
          <w:trHeight w:val="288"/>
          <w:jc w:val="center"/>
        </w:trPr>
        <w:tc>
          <w:tcPr>
            <w:tcW w:w="160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FB5AEC" w:rsidRPr="00272C9F" w:rsidRDefault="00FB5AEC" w:rsidP="00324486">
            <w:pPr>
              <w:pStyle w:val="TableText"/>
              <w:contextualSpacing/>
            </w:pPr>
            <w:r w:rsidRPr="00272C9F">
              <w:t xml:space="preserve">Public </w:t>
            </w:r>
            <w:r w:rsidRPr="00272C9F">
              <w:br/>
              <w:t>Administration (Treatment N=191)</w:t>
            </w: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July</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0.86</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0.06</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0.26</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7%</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11</w:t>
            </w:r>
          </w:p>
        </w:tc>
      </w:tr>
      <w:tr w:rsidR="00FB5AEC" w:rsidRPr="00272C9F" w:rsidTr="00324486">
        <w:trPr>
          <w:trHeight w:val="288"/>
          <w:jc w:val="center"/>
        </w:trPr>
        <w:tc>
          <w:tcPr>
            <w:tcW w:w="1600" w:type="dxa"/>
            <w:vMerge/>
            <w:tcBorders>
              <w:left w:val="single" w:sz="8" w:space="0" w:color="auto"/>
              <w:right w:val="single" w:sz="8" w:space="0" w:color="auto"/>
            </w:tcBorders>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August</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0.86</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0.06</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0.29</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7%</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12</w:t>
            </w:r>
          </w:p>
        </w:tc>
      </w:tr>
      <w:tr w:rsidR="00FB5AEC" w:rsidRPr="00272C9F" w:rsidTr="00324486">
        <w:trPr>
          <w:trHeight w:val="288"/>
          <w:jc w:val="center"/>
        </w:trPr>
        <w:tc>
          <w:tcPr>
            <w:tcW w:w="1600" w:type="dxa"/>
            <w:vMerge/>
            <w:tcBorders>
              <w:left w:val="single" w:sz="8" w:space="0" w:color="auto"/>
              <w:right w:val="single" w:sz="8" w:space="0" w:color="auto"/>
            </w:tcBorders>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September</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0.90</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0.02</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0.35</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2%</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3</w:t>
            </w:r>
          </w:p>
        </w:tc>
      </w:tr>
      <w:tr w:rsidR="00FB5AEC" w:rsidRPr="00272C9F" w:rsidTr="00324486">
        <w:trPr>
          <w:trHeight w:val="288"/>
          <w:jc w:val="center"/>
        </w:trPr>
        <w:tc>
          <w:tcPr>
            <w:tcW w:w="1600" w:type="dxa"/>
            <w:vMerge/>
            <w:tcBorders>
              <w:left w:val="single" w:sz="8" w:space="0" w:color="auto"/>
              <w:right w:val="single" w:sz="8" w:space="0" w:color="auto"/>
            </w:tcBorders>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October</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0.77</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0.04</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0.34</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5%</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7</w:t>
            </w:r>
          </w:p>
        </w:tc>
      </w:tr>
      <w:tr w:rsidR="00FB5AEC" w:rsidRPr="00272C9F" w:rsidTr="00324486">
        <w:trPr>
          <w:trHeight w:val="288"/>
          <w:jc w:val="center"/>
        </w:trPr>
        <w:tc>
          <w:tcPr>
            <w:tcW w:w="1600" w:type="dxa"/>
            <w:vMerge/>
            <w:tcBorders>
              <w:left w:val="single" w:sz="8" w:space="0" w:color="auto"/>
              <w:bottom w:val="single" w:sz="8" w:space="0" w:color="000000"/>
              <w:right w:val="single" w:sz="8" w:space="0" w:color="auto"/>
            </w:tcBorders>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rPr>
                <w:b/>
              </w:rPr>
            </w:pPr>
            <w:r w:rsidRPr="00272C9F">
              <w:rPr>
                <w:b/>
              </w:rPr>
              <w:t>Avg. Summer</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0.85</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0.05</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0.31</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5%</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8</w:t>
            </w:r>
          </w:p>
        </w:tc>
      </w:tr>
      <w:tr w:rsidR="00FB5AEC" w:rsidRPr="00272C9F" w:rsidTr="00324486">
        <w:trPr>
          <w:trHeight w:val="288"/>
          <w:jc w:val="center"/>
        </w:trPr>
        <w:tc>
          <w:tcPr>
            <w:tcW w:w="160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FB5AEC" w:rsidRPr="00272C9F" w:rsidRDefault="00FB5AEC" w:rsidP="00324486">
            <w:pPr>
              <w:pStyle w:val="TableText"/>
              <w:contextualSpacing/>
            </w:pPr>
            <w:r w:rsidRPr="00272C9F">
              <w:t>Other</w:t>
            </w:r>
            <w:r w:rsidRPr="00272C9F">
              <w:br/>
              <w:t>(Treatment N=89)</w:t>
            </w: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July</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3.84</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-0.12</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0.84</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-3%</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-11</w:t>
            </w:r>
          </w:p>
        </w:tc>
      </w:tr>
      <w:tr w:rsidR="00FB5AEC" w:rsidRPr="00272C9F" w:rsidTr="00324486">
        <w:trPr>
          <w:trHeight w:val="288"/>
          <w:jc w:val="center"/>
        </w:trPr>
        <w:tc>
          <w:tcPr>
            <w:tcW w:w="1600" w:type="dxa"/>
            <w:vMerge/>
            <w:tcBorders>
              <w:left w:val="single" w:sz="8" w:space="0" w:color="auto"/>
              <w:right w:val="single" w:sz="8" w:space="0" w:color="auto"/>
            </w:tcBorders>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August</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3.84</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-0.01</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0.91</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w:t>
            </w:r>
          </w:p>
        </w:tc>
      </w:tr>
      <w:tr w:rsidR="00FB5AEC" w:rsidRPr="00272C9F" w:rsidTr="00324486">
        <w:trPr>
          <w:trHeight w:val="288"/>
          <w:jc w:val="center"/>
        </w:trPr>
        <w:tc>
          <w:tcPr>
            <w:tcW w:w="1600" w:type="dxa"/>
            <w:vMerge/>
            <w:tcBorders>
              <w:left w:val="single" w:sz="8" w:space="0" w:color="auto"/>
              <w:right w:val="single" w:sz="8" w:space="0" w:color="auto"/>
            </w:tcBorders>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September</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3.80</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-0.09</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1.05</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-3%</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-8</w:t>
            </w:r>
          </w:p>
        </w:tc>
      </w:tr>
      <w:tr w:rsidR="00FB5AEC" w:rsidRPr="00272C9F" w:rsidTr="00324486">
        <w:trPr>
          <w:trHeight w:val="288"/>
          <w:jc w:val="center"/>
        </w:trPr>
        <w:tc>
          <w:tcPr>
            <w:tcW w:w="1600" w:type="dxa"/>
            <w:vMerge/>
            <w:tcBorders>
              <w:left w:val="single" w:sz="8" w:space="0" w:color="auto"/>
              <w:right w:val="single" w:sz="8" w:space="0" w:color="auto"/>
            </w:tcBorders>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pPr>
            <w:r w:rsidRPr="00272C9F">
              <w:t>October</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3.47</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-0.28</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0.97</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-8%</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-25</w:t>
            </w:r>
          </w:p>
        </w:tc>
      </w:tr>
      <w:tr w:rsidR="00FB5AEC" w:rsidRPr="00272C9F" w:rsidTr="00324486">
        <w:trPr>
          <w:trHeight w:val="288"/>
          <w:jc w:val="center"/>
        </w:trPr>
        <w:tc>
          <w:tcPr>
            <w:tcW w:w="1600" w:type="dxa"/>
            <w:vMerge/>
            <w:tcBorders>
              <w:left w:val="single" w:sz="8" w:space="0" w:color="auto"/>
              <w:bottom w:val="single" w:sz="8" w:space="0" w:color="000000"/>
              <w:right w:val="single" w:sz="8" w:space="0" w:color="auto"/>
            </w:tcBorders>
            <w:vAlign w:val="center"/>
            <w:hideMark/>
          </w:tcPr>
          <w:p w:rsidR="00FB5AEC" w:rsidRPr="00272C9F" w:rsidRDefault="00FB5AEC" w:rsidP="00324486">
            <w:pPr>
              <w:pStyle w:val="TableText"/>
              <w:contextualSpacing/>
              <w:rPr>
                <w:rFonts w:eastAsiaTheme="minorHAnsi" w:cs="Calibri"/>
              </w:rPr>
            </w:pPr>
          </w:p>
        </w:tc>
        <w:tc>
          <w:tcPr>
            <w:tcW w:w="1658"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rsidR="00FB5AEC" w:rsidRPr="00272C9F" w:rsidRDefault="00FB5AEC" w:rsidP="00324486">
            <w:pPr>
              <w:pStyle w:val="TableText"/>
              <w:rPr>
                <w:b/>
                <w:bCs/>
              </w:rPr>
            </w:pPr>
            <w:r w:rsidRPr="00272C9F">
              <w:rPr>
                <w:b/>
                <w:bCs/>
              </w:rPr>
              <w:t>Avg. Summer</w:t>
            </w:r>
          </w:p>
        </w:tc>
        <w:tc>
          <w:tcPr>
            <w:tcW w:w="11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3.74</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-0.13</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0.95</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-4%</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-11</w:t>
            </w:r>
          </w:p>
        </w:tc>
      </w:tr>
      <w:tr w:rsidR="00FB5AEC" w:rsidRPr="00272C9F" w:rsidTr="00324486">
        <w:trPr>
          <w:trHeight w:val="288"/>
          <w:jc w:val="center"/>
        </w:trPr>
        <w:tc>
          <w:tcPr>
            <w:tcW w:w="1600"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FB5AEC" w:rsidRPr="00272C9F" w:rsidRDefault="00FB5AEC" w:rsidP="00324486">
            <w:pPr>
              <w:pStyle w:val="TableText"/>
              <w:contextualSpacing/>
            </w:pPr>
            <w:r w:rsidRPr="00272C9F">
              <w:t>All Customers</w:t>
            </w:r>
            <w:r w:rsidRPr="00272C9F">
              <w:br/>
              <w:t>(Treatment N=453)</w:t>
            </w:r>
          </w:p>
        </w:tc>
        <w:tc>
          <w:tcPr>
            <w:tcW w:w="1658" w:type="dxa"/>
            <w:tcBorders>
              <w:top w:val="nil"/>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July</w:t>
            </w:r>
          </w:p>
        </w:tc>
        <w:tc>
          <w:tcPr>
            <w:tcW w:w="1176"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1.66</w:t>
            </w:r>
          </w:p>
        </w:tc>
        <w:tc>
          <w:tcPr>
            <w:tcW w:w="1176" w:type="dxa"/>
            <w:tcBorders>
              <w:top w:val="nil"/>
              <w:left w:val="nil"/>
              <w:bottom w:val="single" w:sz="4"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0.05</w:t>
            </w:r>
          </w:p>
        </w:tc>
        <w:tc>
          <w:tcPr>
            <w:tcW w:w="1120" w:type="dxa"/>
            <w:tcBorders>
              <w:top w:val="nil"/>
              <w:left w:val="nil"/>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0.28</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Cs/>
              </w:rPr>
            </w:pPr>
            <w:r w:rsidRPr="00272C9F">
              <w:rPr>
                <w:bCs/>
              </w:rPr>
              <w:t>3%</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Cs/>
              </w:rPr>
            </w:pPr>
            <w:r w:rsidRPr="00272C9F">
              <w:rPr>
                <w:bCs/>
              </w:rPr>
              <w:t>23</w:t>
            </w:r>
          </w:p>
        </w:tc>
      </w:tr>
      <w:tr w:rsidR="00FB5AEC" w:rsidRPr="00272C9F" w:rsidTr="00324486">
        <w:trPr>
          <w:trHeight w:val="288"/>
          <w:jc w:val="center"/>
        </w:trPr>
        <w:tc>
          <w:tcPr>
            <w:tcW w:w="1600" w:type="dxa"/>
            <w:vMerge/>
            <w:tcBorders>
              <w:left w:val="single" w:sz="8" w:space="0" w:color="auto"/>
              <w:right w:val="single" w:sz="8" w:space="0" w:color="auto"/>
            </w:tcBorders>
            <w:tcMar>
              <w:top w:w="0" w:type="dxa"/>
              <w:left w:w="108" w:type="dxa"/>
              <w:bottom w:w="0" w:type="dxa"/>
              <w:right w:w="108" w:type="dxa"/>
            </w:tcMar>
            <w:vAlign w:val="center"/>
          </w:tcPr>
          <w:p w:rsidR="00FB5AEC" w:rsidRPr="00272C9F" w:rsidRDefault="00FB5AEC" w:rsidP="00324486">
            <w:pPr>
              <w:pStyle w:val="TableText"/>
              <w:contextualSpacing/>
            </w:pPr>
          </w:p>
        </w:tc>
        <w:tc>
          <w:tcPr>
            <w:tcW w:w="1658"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August</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1.65</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0.09</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0.28</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Cs/>
              </w:rPr>
            </w:pPr>
            <w:r w:rsidRPr="00272C9F">
              <w:rPr>
                <w:bCs/>
              </w:rPr>
              <w:t>6%</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Cs/>
              </w:rPr>
            </w:pPr>
            <w:r w:rsidRPr="00272C9F">
              <w:rPr>
                <w:bCs/>
              </w:rPr>
              <w:t>41</w:t>
            </w:r>
          </w:p>
        </w:tc>
      </w:tr>
      <w:tr w:rsidR="00FB5AEC" w:rsidRPr="00272C9F" w:rsidTr="00324486">
        <w:trPr>
          <w:trHeight w:val="288"/>
          <w:jc w:val="center"/>
        </w:trPr>
        <w:tc>
          <w:tcPr>
            <w:tcW w:w="1600" w:type="dxa"/>
            <w:vMerge/>
            <w:tcBorders>
              <w:left w:val="single" w:sz="8" w:space="0" w:color="auto"/>
              <w:right w:val="single" w:sz="8" w:space="0" w:color="auto"/>
            </w:tcBorders>
            <w:tcMar>
              <w:top w:w="0" w:type="dxa"/>
              <w:left w:w="108" w:type="dxa"/>
              <w:bottom w:w="0" w:type="dxa"/>
              <w:right w:w="108" w:type="dxa"/>
            </w:tcMar>
            <w:vAlign w:val="center"/>
          </w:tcPr>
          <w:p w:rsidR="00FB5AEC" w:rsidRPr="00272C9F" w:rsidRDefault="00FB5AEC" w:rsidP="00324486">
            <w:pPr>
              <w:pStyle w:val="TableText"/>
              <w:contextualSpacing/>
            </w:pPr>
          </w:p>
        </w:tc>
        <w:tc>
          <w:tcPr>
            <w:tcW w:w="1658"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September</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1.68</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0.04</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0.34</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Cs/>
              </w:rPr>
            </w:pPr>
            <w:r w:rsidRPr="00272C9F">
              <w:rPr>
                <w:bCs/>
              </w:rPr>
              <w:t>3%</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Cs/>
              </w:rPr>
            </w:pPr>
            <w:r w:rsidRPr="00272C9F">
              <w:rPr>
                <w:bCs/>
              </w:rPr>
              <w:t>19</w:t>
            </w:r>
          </w:p>
        </w:tc>
      </w:tr>
      <w:tr w:rsidR="00FB5AEC" w:rsidRPr="00272C9F" w:rsidTr="00324486">
        <w:trPr>
          <w:trHeight w:val="288"/>
          <w:jc w:val="center"/>
        </w:trPr>
        <w:tc>
          <w:tcPr>
            <w:tcW w:w="1600" w:type="dxa"/>
            <w:vMerge/>
            <w:tcBorders>
              <w:left w:val="single" w:sz="8" w:space="0" w:color="auto"/>
              <w:right w:val="single" w:sz="8" w:space="0" w:color="auto"/>
            </w:tcBorders>
            <w:tcMar>
              <w:top w:w="0" w:type="dxa"/>
              <w:left w:w="108" w:type="dxa"/>
              <w:bottom w:w="0" w:type="dxa"/>
              <w:right w:w="108" w:type="dxa"/>
            </w:tcMar>
            <w:vAlign w:val="center"/>
          </w:tcPr>
          <w:p w:rsidR="00FB5AEC" w:rsidRPr="00272C9F" w:rsidRDefault="00FB5AEC" w:rsidP="00324486">
            <w:pPr>
              <w:pStyle w:val="TableText"/>
              <w:contextualSpacing/>
            </w:pPr>
          </w:p>
        </w:tc>
        <w:tc>
          <w:tcPr>
            <w:tcW w:w="1658"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October</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1.54</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Cs/>
              </w:rPr>
            </w:pPr>
            <w:r w:rsidRPr="00272C9F">
              <w:rPr>
                <w:bCs/>
              </w:rPr>
              <w:t>0.31</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Cs/>
              </w:rPr>
            </w:pPr>
            <w:r w:rsidRPr="00272C9F">
              <w:rPr>
                <w:bCs/>
              </w:rPr>
              <w:t>0%</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Cs/>
              </w:rPr>
            </w:pPr>
            <w:r w:rsidRPr="00272C9F">
              <w:rPr>
                <w:bCs/>
              </w:rPr>
              <w:t>2</w:t>
            </w:r>
          </w:p>
        </w:tc>
      </w:tr>
      <w:tr w:rsidR="00FB5AEC" w:rsidRPr="00272C9F" w:rsidTr="00324486">
        <w:trPr>
          <w:trHeight w:val="288"/>
          <w:jc w:val="center"/>
        </w:trPr>
        <w:tc>
          <w:tcPr>
            <w:tcW w:w="1600"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FB5AEC" w:rsidRPr="00272C9F" w:rsidRDefault="00FB5AEC" w:rsidP="00324486">
            <w:pPr>
              <w:pStyle w:val="TableText"/>
              <w:contextualSpacing/>
            </w:pPr>
          </w:p>
        </w:tc>
        <w:tc>
          <w:tcPr>
            <w:tcW w:w="1658"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rPr>
                <w:b/>
              </w:rPr>
            </w:pPr>
            <w:r w:rsidRPr="00272C9F">
              <w:rPr>
                <w:b/>
              </w:rPr>
              <w:t>Avg. Summer</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
                <w:bCs/>
              </w:rPr>
            </w:pPr>
            <w:r w:rsidRPr="00272C9F">
              <w:rPr>
                <w:b/>
                <w:bCs/>
              </w:rPr>
              <w:t>1.63</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bCs/>
              </w:rPr>
            </w:pPr>
            <w:r w:rsidRPr="00272C9F">
              <w:rPr>
                <w:b/>
                <w:bCs/>
              </w:rPr>
              <w:t>0.05</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bCs/>
              </w:rPr>
            </w:pPr>
            <w:r w:rsidRPr="00272C9F">
              <w:rPr>
                <w:b/>
                <w:bCs/>
              </w:rPr>
              <w:t>0.30</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bCs/>
              </w:rPr>
            </w:pPr>
            <w:r w:rsidRPr="00272C9F">
              <w:rPr>
                <w:b/>
                <w:bCs/>
              </w:rPr>
              <w:t>3%</w:t>
            </w:r>
          </w:p>
        </w:tc>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bCs/>
              </w:rPr>
            </w:pPr>
            <w:r w:rsidRPr="00272C9F">
              <w:rPr>
                <w:b/>
                <w:bCs/>
              </w:rPr>
              <w:t>21</w:t>
            </w:r>
          </w:p>
        </w:tc>
      </w:tr>
    </w:tbl>
    <w:p w:rsidR="00FB5AEC" w:rsidRPr="00272C9F" w:rsidRDefault="00FB5AEC" w:rsidP="00FB5AEC">
      <w:pPr>
        <w:pStyle w:val="Footnote"/>
        <w:ind w:firstLine="180"/>
        <w:rPr>
          <w:sz w:val="17"/>
          <w:szCs w:val="17"/>
        </w:rPr>
      </w:pPr>
      <w:r w:rsidRPr="00272C9F">
        <w:rPr>
          <w:sz w:val="17"/>
          <w:szCs w:val="17"/>
        </w:rPr>
        <w:t>* = Significant at 90% confidence, ** = Significant at 95% confidence</w:t>
      </w:r>
    </w:p>
    <w:p w:rsidR="0073605C" w:rsidRDefault="0073605C" w:rsidP="00FB5AEC">
      <w:pPr>
        <w:pStyle w:val="BodyParaAfterTableFigure"/>
        <w:spacing w:before="0" w:after="0" w:line="276" w:lineRule="auto"/>
        <w:rPr>
          <w:rFonts w:ascii="Times New Roman" w:hAnsi="Times New Roman"/>
          <w:sz w:val="24"/>
          <w:szCs w:val="24"/>
        </w:rPr>
      </w:pPr>
    </w:p>
    <w:p w:rsidR="00FB5AEC" w:rsidRDefault="00FB5AEC" w:rsidP="0073605C">
      <w:pPr>
        <w:pStyle w:val="BodyParaAfterTableFigure"/>
        <w:spacing w:before="0" w:after="0" w:line="276" w:lineRule="auto"/>
        <w:rPr>
          <w:rFonts w:ascii="Times New Roman" w:hAnsi="Times New Roman"/>
          <w:sz w:val="24"/>
          <w:szCs w:val="24"/>
        </w:rPr>
      </w:pPr>
      <w:r w:rsidRPr="00FB5AEC">
        <w:rPr>
          <w:rFonts w:ascii="Times New Roman" w:hAnsi="Times New Roman"/>
          <w:sz w:val="24"/>
          <w:szCs w:val="24"/>
        </w:rPr>
        <w:t xml:space="preserve">It is important to note that the lack of statistical significance does not mean that small customers in general do not respond to time-varying price signals. The lack of statistical significance may be due to a combination of small sample sizes, unique load shapes that prove difficult to match, and diverse customers within each industry that increase the amount of noise in the average load shape. The robustness of the ex post results was tested by using different models to identify the matched control groups for the analysis. Using different models did not have any material effect on the results—that is, in all cases, impact estimates turned out to be small and statistically insignificant. </w:t>
      </w:r>
    </w:p>
    <w:p w:rsidR="00FB5AEC" w:rsidRPr="00FB5AEC" w:rsidRDefault="00FB5AEC" w:rsidP="00A82DA1">
      <w:pPr>
        <w:pStyle w:val="BodyParagraph"/>
        <w:spacing w:after="0" w:line="276" w:lineRule="auto"/>
      </w:pPr>
    </w:p>
    <w:p w:rsidR="00FB5AEC" w:rsidRDefault="00FB5AEC" w:rsidP="00A82DA1">
      <w:pPr>
        <w:pStyle w:val="Heading3"/>
        <w:spacing w:before="0" w:after="0" w:line="276" w:lineRule="auto"/>
        <w:ind w:hanging="270"/>
      </w:pPr>
      <w:bookmarkStart w:id="250" w:name="_Toc414350779"/>
      <w:bookmarkStart w:id="251" w:name="_Toc414441446"/>
      <w:bookmarkStart w:id="252" w:name="_Toc415749034"/>
      <w:r w:rsidRPr="00FB5AEC">
        <w:t>TOU-CPP</w:t>
      </w:r>
      <w:bookmarkEnd w:id="250"/>
      <w:bookmarkEnd w:id="251"/>
      <w:bookmarkEnd w:id="252"/>
    </w:p>
    <w:p w:rsidR="00FB5AEC" w:rsidRPr="00FB5AEC" w:rsidRDefault="00FB5AEC" w:rsidP="00A82DA1">
      <w:pPr>
        <w:spacing w:line="276" w:lineRule="auto"/>
      </w:pPr>
    </w:p>
    <w:p w:rsidR="00FB5AEC" w:rsidRDefault="00FB5AEC" w:rsidP="00FB5AEC">
      <w:pPr>
        <w:pStyle w:val="BodyParagraph"/>
        <w:spacing w:after="0" w:line="276" w:lineRule="auto"/>
        <w:rPr>
          <w:rFonts w:ascii="Times New Roman" w:hAnsi="Times New Roman"/>
          <w:sz w:val="24"/>
          <w:szCs w:val="24"/>
        </w:rPr>
      </w:pPr>
      <w:r w:rsidRPr="00FB5AEC">
        <w:rPr>
          <w:rFonts w:ascii="Times New Roman" w:hAnsi="Times New Roman"/>
          <w:sz w:val="24"/>
          <w:szCs w:val="24"/>
        </w:rPr>
        <w:t xml:space="preserve">Due to the nature of the TOU-CPP rate, there are two separate analyses to be considered: one for non-event weekdays and a second for event days. The non-event day analysis is identical to the </w:t>
      </w:r>
      <w:r w:rsidRPr="00FB5AEC">
        <w:rPr>
          <w:rFonts w:ascii="Times New Roman" w:hAnsi="Times New Roman"/>
          <w:sz w:val="24"/>
          <w:szCs w:val="24"/>
        </w:rPr>
        <w:lastRenderedPageBreak/>
        <w:t xml:space="preserve">TOU analysis since TOU and TOU-CPP rates are equivalent on those days. For event days, several modifications to the analysis must be made. The simplest of these is that the post-treatment days of interest for the TOU-CPP rate are each of the two CPP event days called during the summer of 2014 (September 15 and September 16). Because CPP events are typically called on days that are particularly hot, it is also important to identify “event-like” days in the pre-treatment period and remove all other days in the pre-treatment period from the analysis dataset. The four hottest days in September 2013 were chosen as “event-like” days and a comparison of these days with other hot September days in 2014 (including the CPP days) is shown in Table </w:t>
      </w:r>
      <w:r w:rsidR="00F345DA">
        <w:rPr>
          <w:rFonts w:ascii="Times New Roman" w:hAnsi="Times New Roman"/>
          <w:sz w:val="24"/>
          <w:szCs w:val="24"/>
        </w:rPr>
        <w:t>9</w:t>
      </w:r>
      <w:r>
        <w:rPr>
          <w:rFonts w:ascii="Times New Roman" w:hAnsi="Times New Roman"/>
          <w:sz w:val="24"/>
          <w:szCs w:val="24"/>
        </w:rPr>
        <w:t>-5</w:t>
      </w:r>
      <w:r w:rsidRPr="00FB5AEC">
        <w:rPr>
          <w:rFonts w:ascii="Times New Roman" w:hAnsi="Times New Roman"/>
          <w:sz w:val="24"/>
          <w:szCs w:val="24"/>
        </w:rPr>
        <w:t xml:space="preserve">. Although the “event-like” days are not quite as hot as the actual events, they will suffice as a pre-treatment period in the difference-in-differences estimation.   </w:t>
      </w:r>
    </w:p>
    <w:p w:rsidR="00FB5AEC" w:rsidRPr="00FB5AEC" w:rsidRDefault="00FB5AEC" w:rsidP="00FB5AEC">
      <w:pPr>
        <w:pStyle w:val="BodyParagraph"/>
        <w:spacing w:after="0" w:line="276" w:lineRule="auto"/>
        <w:rPr>
          <w:rFonts w:ascii="Times New Roman" w:hAnsi="Times New Roman"/>
          <w:sz w:val="24"/>
          <w:szCs w:val="24"/>
        </w:rPr>
      </w:pPr>
    </w:p>
    <w:p w:rsidR="00FB5AEC" w:rsidRPr="00FB5AEC" w:rsidRDefault="00FB5AEC" w:rsidP="00FB5AEC">
      <w:pPr>
        <w:pStyle w:val="TableFigureCaption"/>
        <w:rPr>
          <w:rFonts w:ascii="Times New Roman" w:hAnsi="Times New Roman"/>
          <w:sz w:val="20"/>
          <w:szCs w:val="20"/>
        </w:rPr>
      </w:pPr>
      <w:r w:rsidRPr="00FB5AEC">
        <w:rPr>
          <w:rFonts w:ascii="Times New Roman" w:hAnsi="Times New Roman"/>
          <w:sz w:val="20"/>
          <w:szCs w:val="20"/>
        </w:rPr>
        <w:t xml:space="preserve">Table </w:t>
      </w:r>
      <w:r w:rsidR="00F345DA">
        <w:rPr>
          <w:rFonts w:ascii="Times New Roman" w:hAnsi="Times New Roman"/>
          <w:sz w:val="20"/>
          <w:szCs w:val="20"/>
        </w:rPr>
        <w:t>9</w:t>
      </w:r>
      <w:r w:rsidRPr="00FB5AEC">
        <w:rPr>
          <w:rFonts w:ascii="Times New Roman" w:hAnsi="Times New Roman"/>
          <w:sz w:val="20"/>
          <w:szCs w:val="20"/>
        </w:rPr>
        <w:t>-5: Ten Hottest September Days in 2013 and 2014 by Mean17</w:t>
      </w:r>
      <w:r w:rsidRPr="00FB5AEC">
        <w:rPr>
          <w:rStyle w:val="FootnoteReference"/>
          <w:rFonts w:ascii="Times New Roman" w:hAnsi="Times New Roman"/>
          <w:sz w:val="20"/>
          <w:szCs w:val="20"/>
        </w:rPr>
        <w:footnoteReference w:id="17"/>
      </w:r>
    </w:p>
    <w:tbl>
      <w:tblPr>
        <w:tblW w:w="4281" w:type="dxa"/>
        <w:jc w:val="center"/>
        <w:tblInd w:w="-1" w:type="dxa"/>
        <w:tblCellMar>
          <w:left w:w="0" w:type="dxa"/>
          <w:right w:w="0" w:type="dxa"/>
        </w:tblCellMar>
        <w:tblLook w:val="0600" w:firstRow="0" w:lastRow="0" w:firstColumn="0" w:lastColumn="0" w:noHBand="1" w:noVBand="1"/>
      </w:tblPr>
      <w:tblGrid>
        <w:gridCol w:w="646"/>
        <w:gridCol w:w="794"/>
        <w:gridCol w:w="1429"/>
        <w:gridCol w:w="1412"/>
      </w:tblGrid>
      <w:tr w:rsidR="00FB5AEC" w:rsidRPr="00272C9F" w:rsidTr="00324486">
        <w:trPr>
          <w:trHeight w:val="281"/>
          <w:jc w:val="center"/>
        </w:trPr>
        <w:tc>
          <w:tcPr>
            <w:tcW w:w="1440" w:type="dxa"/>
            <w:gridSpan w:val="2"/>
            <w:tcBorders>
              <w:top w:val="single" w:sz="4" w:space="0" w:color="auto"/>
              <w:left w:val="single" w:sz="4" w:space="0" w:color="auto"/>
              <w:bottom w:val="single" w:sz="4" w:space="0" w:color="auto"/>
              <w:right w:val="single" w:sz="8" w:space="0" w:color="FFFFFF"/>
            </w:tcBorders>
            <w:shd w:val="clear" w:color="auto" w:fill="0070CD"/>
            <w:tcMar>
              <w:top w:w="15" w:type="dxa"/>
              <w:left w:w="15" w:type="dxa"/>
              <w:bottom w:w="0" w:type="dxa"/>
              <w:right w:w="15" w:type="dxa"/>
            </w:tcMar>
            <w:vAlign w:val="center"/>
            <w:hideMark/>
          </w:tcPr>
          <w:p w:rsidR="00FB5AEC" w:rsidRPr="00272C9F" w:rsidRDefault="00FB5AEC" w:rsidP="00324486">
            <w:pPr>
              <w:pStyle w:val="TableHeader"/>
              <w:spacing w:before="0" w:after="0"/>
              <w:contextualSpacing/>
              <w:rPr>
                <w:sz w:val="19"/>
                <w:szCs w:val="19"/>
              </w:rPr>
            </w:pPr>
            <w:r w:rsidRPr="00272C9F">
              <w:rPr>
                <w:sz w:val="19"/>
                <w:szCs w:val="19"/>
              </w:rPr>
              <w:t>Rank</w:t>
            </w:r>
          </w:p>
        </w:tc>
        <w:tc>
          <w:tcPr>
            <w:tcW w:w="1429" w:type="dxa"/>
            <w:tcBorders>
              <w:top w:val="single" w:sz="4" w:space="0" w:color="auto"/>
              <w:left w:val="single" w:sz="8" w:space="0" w:color="FFFFFF"/>
              <w:bottom w:val="single" w:sz="4" w:space="0" w:color="auto"/>
              <w:right w:val="single" w:sz="8" w:space="0" w:color="FFFFFF"/>
            </w:tcBorders>
            <w:shd w:val="clear" w:color="auto" w:fill="0070CD"/>
            <w:tcMar>
              <w:top w:w="15" w:type="dxa"/>
              <w:left w:w="15" w:type="dxa"/>
              <w:bottom w:w="0" w:type="dxa"/>
              <w:right w:w="15" w:type="dxa"/>
            </w:tcMar>
            <w:vAlign w:val="center"/>
            <w:hideMark/>
          </w:tcPr>
          <w:p w:rsidR="00FB5AEC" w:rsidRPr="00272C9F" w:rsidRDefault="00FB5AEC" w:rsidP="00324486">
            <w:pPr>
              <w:pStyle w:val="TableHeader"/>
              <w:spacing w:before="0" w:after="0"/>
              <w:contextualSpacing/>
              <w:rPr>
                <w:sz w:val="19"/>
                <w:szCs w:val="19"/>
              </w:rPr>
            </w:pPr>
            <w:r w:rsidRPr="00272C9F">
              <w:rPr>
                <w:sz w:val="19"/>
                <w:szCs w:val="19"/>
              </w:rPr>
              <w:t>Date</w:t>
            </w:r>
          </w:p>
        </w:tc>
        <w:tc>
          <w:tcPr>
            <w:tcW w:w="1412" w:type="dxa"/>
            <w:tcBorders>
              <w:top w:val="single" w:sz="4" w:space="0" w:color="auto"/>
              <w:left w:val="single" w:sz="8" w:space="0" w:color="FFFFFF"/>
              <w:bottom w:val="single" w:sz="4" w:space="0" w:color="auto"/>
              <w:right w:val="single" w:sz="4" w:space="0" w:color="auto"/>
            </w:tcBorders>
            <w:shd w:val="clear" w:color="auto" w:fill="0070CD"/>
            <w:tcMar>
              <w:top w:w="15" w:type="dxa"/>
              <w:left w:w="15" w:type="dxa"/>
              <w:bottom w:w="0" w:type="dxa"/>
              <w:right w:w="15" w:type="dxa"/>
            </w:tcMar>
            <w:vAlign w:val="center"/>
            <w:hideMark/>
          </w:tcPr>
          <w:p w:rsidR="00FB5AEC" w:rsidRPr="00272C9F" w:rsidRDefault="00FB5AEC" w:rsidP="00324486">
            <w:pPr>
              <w:pStyle w:val="TableHeader"/>
              <w:spacing w:before="0" w:after="0"/>
              <w:contextualSpacing/>
              <w:rPr>
                <w:sz w:val="19"/>
                <w:szCs w:val="19"/>
              </w:rPr>
            </w:pPr>
            <w:r w:rsidRPr="00272C9F">
              <w:rPr>
                <w:sz w:val="19"/>
                <w:szCs w:val="19"/>
              </w:rPr>
              <w:t>Mean17</w:t>
            </w:r>
          </w:p>
        </w:tc>
      </w:tr>
      <w:tr w:rsidR="00FB5AEC" w:rsidRPr="00272C9F" w:rsidTr="00324486">
        <w:trPr>
          <w:trHeight w:val="326"/>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1</w:t>
            </w:r>
          </w:p>
        </w:tc>
        <w:tc>
          <w:tcPr>
            <w:tcW w:w="1429" w:type="dxa"/>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16-Sep-14</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83.4</w:t>
            </w:r>
          </w:p>
        </w:tc>
      </w:tr>
      <w:tr w:rsidR="00FB5AEC" w:rsidRPr="00272C9F" w:rsidTr="00324486">
        <w:trPr>
          <w:trHeight w:val="335"/>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2</w:t>
            </w:r>
          </w:p>
        </w:tc>
        <w:tc>
          <w:tcPr>
            <w:tcW w:w="14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17-Sep-14</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83.4</w:t>
            </w:r>
          </w:p>
        </w:tc>
      </w:tr>
      <w:tr w:rsidR="00FB5AEC" w:rsidRPr="00272C9F" w:rsidTr="00324486">
        <w:trPr>
          <w:trHeight w:val="431"/>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3</w:t>
            </w:r>
          </w:p>
        </w:tc>
        <w:tc>
          <w:tcPr>
            <w:tcW w:w="1429" w:type="dxa"/>
            <w:tcBorders>
              <w:top w:val="single" w:sz="4" w:space="0" w:color="auto"/>
              <w:left w:val="single" w:sz="4" w:space="0" w:color="auto"/>
              <w:bottom w:val="single" w:sz="4" w:space="0" w:color="auto"/>
              <w:right w:val="single" w:sz="4" w:space="0" w:color="auto"/>
            </w:tcBorders>
            <w:shd w:val="clear" w:color="auto" w:fill="FFFF99"/>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15-Sep-14</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81.7</w:t>
            </w:r>
          </w:p>
        </w:tc>
      </w:tr>
      <w:tr w:rsidR="00FB5AEC" w:rsidRPr="00272C9F" w:rsidTr="00324486">
        <w:trPr>
          <w:trHeight w:val="431"/>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4</w:t>
            </w:r>
          </w:p>
        </w:tc>
        <w:tc>
          <w:tcPr>
            <w:tcW w:w="1429" w:type="dxa"/>
            <w:tcBorders>
              <w:top w:val="single" w:sz="4" w:space="0" w:color="auto"/>
              <w:left w:val="single" w:sz="4" w:space="0" w:color="auto"/>
              <w:bottom w:val="single" w:sz="4" w:space="0" w:color="auto"/>
              <w:right w:val="single" w:sz="4" w:space="0" w:color="auto"/>
            </w:tcBorders>
            <w:shd w:val="clear" w:color="auto" w:fill="AFE669"/>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6-Sep-13</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80.1</w:t>
            </w:r>
          </w:p>
        </w:tc>
      </w:tr>
      <w:tr w:rsidR="00FB5AEC" w:rsidRPr="00272C9F" w:rsidTr="00324486">
        <w:trPr>
          <w:trHeight w:val="431"/>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5</w:t>
            </w:r>
          </w:p>
        </w:tc>
        <w:tc>
          <w:tcPr>
            <w:tcW w:w="14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8-Sep-14</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79.9</w:t>
            </w:r>
          </w:p>
        </w:tc>
      </w:tr>
      <w:tr w:rsidR="00FB5AEC" w:rsidRPr="00272C9F" w:rsidTr="00324486">
        <w:trPr>
          <w:trHeight w:val="431"/>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6</w:t>
            </w:r>
          </w:p>
        </w:tc>
        <w:tc>
          <w:tcPr>
            <w:tcW w:w="1429" w:type="dxa"/>
            <w:tcBorders>
              <w:top w:val="single" w:sz="4" w:space="0" w:color="auto"/>
              <w:left w:val="single" w:sz="4" w:space="0" w:color="auto"/>
              <w:bottom w:val="single" w:sz="4" w:space="0" w:color="auto"/>
              <w:right w:val="single" w:sz="4" w:space="0" w:color="auto"/>
            </w:tcBorders>
            <w:shd w:val="clear" w:color="auto" w:fill="AFE669"/>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4-Sep-13</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79.7</w:t>
            </w:r>
          </w:p>
        </w:tc>
      </w:tr>
      <w:tr w:rsidR="00FB5AEC" w:rsidRPr="00272C9F" w:rsidTr="00324486">
        <w:trPr>
          <w:trHeight w:val="431"/>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7</w:t>
            </w:r>
          </w:p>
        </w:tc>
        <w:tc>
          <w:tcPr>
            <w:tcW w:w="1429" w:type="dxa"/>
            <w:tcBorders>
              <w:top w:val="single" w:sz="4" w:space="0" w:color="auto"/>
              <w:left w:val="single" w:sz="4" w:space="0" w:color="auto"/>
              <w:bottom w:val="single" w:sz="4" w:space="0" w:color="auto"/>
              <w:right w:val="single" w:sz="4" w:space="0" w:color="auto"/>
            </w:tcBorders>
            <w:shd w:val="clear" w:color="auto" w:fill="AFE669"/>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5-Sep-13</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79.3</w:t>
            </w:r>
          </w:p>
        </w:tc>
      </w:tr>
      <w:tr w:rsidR="00FB5AEC" w:rsidRPr="00272C9F" w:rsidTr="00324486">
        <w:trPr>
          <w:trHeight w:val="431"/>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8</w:t>
            </w:r>
          </w:p>
        </w:tc>
        <w:tc>
          <w:tcPr>
            <w:tcW w:w="1429" w:type="dxa"/>
            <w:tcBorders>
              <w:top w:val="single" w:sz="4" w:space="0" w:color="auto"/>
              <w:left w:val="single" w:sz="4" w:space="0" w:color="auto"/>
              <w:bottom w:val="single" w:sz="4" w:space="0" w:color="auto"/>
              <w:right w:val="single" w:sz="4" w:space="0" w:color="auto"/>
            </w:tcBorders>
            <w:shd w:val="clear" w:color="auto" w:fill="AFE669"/>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3-Sep-13</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78.1</w:t>
            </w:r>
          </w:p>
        </w:tc>
      </w:tr>
      <w:tr w:rsidR="00FB5AEC" w:rsidRPr="00272C9F" w:rsidTr="00324486">
        <w:trPr>
          <w:trHeight w:val="431"/>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9</w:t>
            </w:r>
          </w:p>
        </w:tc>
        <w:tc>
          <w:tcPr>
            <w:tcW w:w="14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9-Sep-14</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77.9</w:t>
            </w:r>
          </w:p>
        </w:tc>
      </w:tr>
      <w:tr w:rsidR="00FB5AEC" w:rsidRPr="00272C9F" w:rsidTr="00324486">
        <w:trPr>
          <w:trHeight w:val="431"/>
          <w:jc w:val="center"/>
        </w:trPr>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10</w:t>
            </w:r>
          </w:p>
        </w:tc>
        <w:tc>
          <w:tcPr>
            <w:tcW w:w="14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12-Sep-14</w:t>
            </w:r>
          </w:p>
        </w:tc>
        <w:tc>
          <w:tcPr>
            <w:tcW w:w="14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B5AEC" w:rsidRPr="00272C9F" w:rsidRDefault="00FB5AEC" w:rsidP="0073605C">
            <w:pPr>
              <w:pStyle w:val="TableText"/>
              <w:spacing w:before="0" w:after="0"/>
              <w:contextualSpacing/>
              <w:jc w:val="center"/>
              <w:rPr>
                <w:sz w:val="19"/>
                <w:szCs w:val="19"/>
              </w:rPr>
            </w:pPr>
            <w:r w:rsidRPr="00272C9F">
              <w:rPr>
                <w:sz w:val="19"/>
                <w:szCs w:val="19"/>
              </w:rPr>
              <w:t>77.0</w:t>
            </w:r>
          </w:p>
        </w:tc>
      </w:tr>
      <w:tr w:rsidR="00FB5AEC" w:rsidRPr="00272C9F" w:rsidTr="00324486">
        <w:trPr>
          <w:trHeight w:val="431"/>
          <w:jc w:val="center"/>
        </w:trPr>
        <w:tc>
          <w:tcPr>
            <w:tcW w:w="646" w:type="dxa"/>
            <w:tcBorders>
              <w:top w:val="single" w:sz="4" w:space="0" w:color="auto"/>
            </w:tcBorders>
            <w:shd w:val="clear" w:color="auto" w:fill="FFFF99"/>
            <w:tcMar>
              <w:top w:w="15" w:type="dxa"/>
              <w:left w:w="15" w:type="dxa"/>
              <w:bottom w:w="0" w:type="dxa"/>
              <w:right w:w="15" w:type="dxa"/>
            </w:tcMar>
            <w:vAlign w:val="center"/>
          </w:tcPr>
          <w:p w:rsidR="00FB5AEC" w:rsidRPr="00272C9F" w:rsidRDefault="00FB5AEC" w:rsidP="00324486">
            <w:pPr>
              <w:pStyle w:val="TableText"/>
              <w:rPr>
                <w:sz w:val="19"/>
                <w:szCs w:val="19"/>
              </w:rPr>
            </w:pPr>
          </w:p>
        </w:tc>
        <w:tc>
          <w:tcPr>
            <w:tcW w:w="3635" w:type="dxa"/>
            <w:gridSpan w:val="3"/>
            <w:tcBorders>
              <w:top w:val="single" w:sz="4" w:space="0" w:color="auto"/>
            </w:tcBorders>
            <w:shd w:val="clear" w:color="auto" w:fill="auto"/>
            <w:tcMar>
              <w:top w:w="15" w:type="dxa"/>
              <w:left w:w="15" w:type="dxa"/>
              <w:bottom w:w="0" w:type="dxa"/>
              <w:right w:w="15" w:type="dxa"/>
            </w:tcMar>
            <w:vAlign w:val="center"/>
          </w:tcPr>
          <w:p w:rsidR="00FB5AEC" w:rsidRPr="00272C9F" w:rsidRDefault="00FB5AEC" w:rsidP="00324486">
            <w:pPr>
              <w:pStyle w:val="TableText"/>
              <w:rPr>
                <w:sz w:val="19"/>
                <w:szCs w:val="19"/>
              </w:rPr>
            </w:pPr>
            <w:r w:rsidRPr="00272C9F">
              <w:rPr>
                <w:sz w:val="19"/>
                <w:szCs w:val="19"/>
              </w:rPr>
              <w:t xml:space="preserve">  CPP event days</w:t>
            </w:r>
          </w:p>
        </w:tc>
      </w:tr>
      <w:tr w:rsidR="00FB5AEC" w:rsidRPr="00272C9F" w:rsidTr="00324486">
        <w:trPr>
          <w:trHeight w:val="431"/>
          <w:jc w:val="center"/>
        </w:trPr>
        <w:tc>
          <w:tcPr>
            <w:tcW w:w="646" w:type="dxa"/>
            <w:shd w:val="clear" w:color="auto" w:fill="92D050"/>
            <w:tcMar>
              <w:top w:w="15" w:type="dxa"/>
              <w:left w:w="15" w:type="dxa"/>
              <w:bottom w:w="0" w:type="dxa"/>
              <w:right w:w="15" w:type="dxa"/>
            </w:tcMar>
            <w:vAlign w:val="center"/>
          </w:tcPr>
          <w:p w:rsidR="00FB5AEC" w:rsidRPr="00272C9F" w:rsidRDefault="00FB5AEC" w:rsidP="00324486">
            <w:pPr>
              <w:pStyle w:val="TableText"/>
              <w:rPr>
                <w:sz w:val="19"/>
                <w:szCs w:val="19"/>
              </w:rPr>
            </w:pPr>
          </w:p>
        </w:tc>
        <w:tc>
          <w:tcPr>
            <w:tcW w:w="3635" w:type="dxa"/>
            <w:gridSpan w:val="3"/>
            <w:shd w:val="clear" w:color="auto" w:fill="auto"/>
            <w:tcMar>
              <w:top w:w="15" w:type="dxa"/>
              <w:left w:w="15" w:type="dxa"/>
              <w:bottom w:w="0" w:type="dxa"/>
              <w:right w:w="15" w:type="dxa"/>
            </w:tcMar>
            <w:vAlign w:val="center"/>
          </w:tcPr>
          <w:p w:rsidR="00FB5AEC" w:rsidRPr="00272C9F" w:rsidRDefault="00FB5AEC" w:rsidP="00324486">
            <w:pPr>
              <w:pStyle w:val="TableText"/>
              <w:rPr>
                <w:sz w:val="19"/>
                <w:szCs w:val="19"/>
              </w:rPr>
            </w:pPr>
            <w:r w:rsidRPr="00272C9F">
              <w:rPr>
                <w:sz w:val="19"/>
                <w:szCs w:val="19"/>
              </w:rPr>
              <w:t xml:space="preserve">  Pre-treatment “event-like” days</w:t>
            </w:r>
          </w:p>
        </w:tc>
      </w:tr>
    </w:tbl>
    <w:p w:rsidR="00FB5AEC" w:rsidRDefault="00FB5AEC" w:rsidP="00FB5AEC">
      <w:pPr>
        <w:pStyle w:val="BodyParaAfterTableFigure"/>
        <w:spacing w:before="0" w:after="0" w:line="276" w:lineRule="auto"/>
        <w:rPr>
          <w:rFonts w:ascii="Times New Roman" w:hAnsi="Times New Roman"/>
          <w:sz w:val="24"/>
          <w:szCs w:val="24"/>
        </w:rPr>
      </w:pPr>
    </w:p>
    <w:p w:rsidR="00FB5AEC" w:rsidRDefault="00FB5AEC" w:rsidP="00FB5AEC">
      <w:pPr>
        <w:pStyle w:val="BodyParaAfterTableFigure"/>
        <w:spacing w:before="0" w:after="0" w:line="276" w:lineRule="auto"/>
        <w:rPr>
          <w:rFonts w:ascii="Times New Roman" w:hAnsi="Times New Roman"/>
          <w:sz w:val="24"/>
          <w:szCs w:val="24"/>
        </w:rPr>
      </w:pPr>
      <w:r w:rsidRPr="00FB5AEC">
        <w:rPr>
          <w:rFonts w:ascii="Times New Roman" w:hAnsi="Times New Roman"/>
          <w:sz w:val="24"/>
          <w:szCs w:val="24"/>
        </w:rPr>
        <w:t xml:space="preserve">Load impacts for TOU-CPP customers on non-event days are presented in Table </w:t>
      </w:r>
      <w:r w:rsidR="00F345DA">
        <w:rPr>
          <w:rFonts w:ascii="Times New Roman" w:hAnsi="Times New Roman"/>
          <w:sz w:val="24"/>
          <w:szCs w:val="24"/>
        </w:rPr>
        <w:t>9</w:t>
      </w:r>
      <w:r>
        <w:rPr>
          <w:rFonts w:ascii="Times New Roman" w:hAnsi="Times New Roman"/>
          <w:sz w:val="24"/>
          <w:szCs w:val="24"/>
        </w:rPr>
        <w:t>-6</w:t>
      </w:r>
      <w:r w:rsidRPr="00FB5AEC">
        <w:rPr>
          <w:rFonts w:ascii="Times New Roman" w:hAnsi="Times New Roman"/>
          <w:sz w:val="24"/>
          <w:szCs w:val="24"/>
        </w:rPr>
        <w:t>. The results are very similar to those for TOU customers, with impacts generally being small in absolute terms and statistically indistinguishable from zero. Although percent impacts appear large, this is entirely due to relatively small loads during the peak period. Estimated standard errors are substantially larger than the absolute impacts, indicating that the estimates are very noisy and should not be interpreted with a high degree of confidence.</w:t>
      </w:r>
    </w:p>
    <w:p w:rsidR="00FB5AEC" w:rsidRDefault="00FB5AEC" w:rsidP="00FB5AEC">
      <w:pPr>
        <w:pStyle w:val="TableFigureCaption"/>
        <w:rPr>
          <w:rFonts w:ascii="Times New Roman" w:hAnsi="Times New Roman"/>
          <w:sz w:val="20"/>
          <w:szCs w:val="20"/>
        </w:rPr>
      </w:pPr>
    </w:p>
    <w:p w:rsidR="00FB5AEC" w:rsidRPr="00FB5AEC" w:rsidRDefault="00FB5AEC" w:rsidP="00FB5AEC">
      <w:pPr>
        <w:pStyle w:val="TableFigureCaption"/>
        <w:rPr>
          <w:rFonts w:ascii="Times New Roman" w:hAnsi="Times New Roman"/>
          <w:sz w:val="20"/>
          <w:szCs w:val="20"/>
        </w:rPr>
      </w:pPr>
      <w:r w:rsidRPr="00FB5AEC">
        <w:rPr>
          <w:rFonts w:ascii="Times New Roman" w:hAnsi="Times New Roman"/>
          <w:sz w:val="20"/>
          <w:szCs w:val="20"/>
        </w:rPr>
        <w:t xml:space="preserve">Table </w:t>
      </w:r>
      <w:r w:rsidR="00F345DA">
        <w:rPr>
          <w:rFonts w:ascii="Times New Roman" w:hAnsi="Times New Roman"/>
          <w:sz w:val="20"/>
          <w:szCs w:val="20"/>
        </w:rPr>
        <w:t>9</w:t>
      </w:r>
      <w:r w:rsidRPr="00FB5AEC">
        <w:rPr>
          <w:rFonts w:ascii="Times New Roman" w:hAnsi="Times New Roman"/>
          <w:sz w:val="20"/>
          <w:szCs w:val="20"/>
        </w:rPr>
        <w:t xml:space="preserve">-6: Peak Period Load Impacts for TOU-CPP Customers on </w:t>
      </w:r>
      <w:r w:rsidRPr="00FB5AEC">
        <w:rPr>
          <w:rFonts w:ascii="Times New Roman" w:hAnsi="Times New Roman"/>
          <w:sz w:val="20"/>
          <w:szCs w:val="20"/>
        </w:rPr>
        <w:br/>
        <w:t>Non-event Summer Weekdays</w:t>
      </w:r>
    </w:p>
    <w:tbl>
      <w:tblPr>
        <w:tblW w:w="9139" w:type="dxa"/>
        <w:jc w:val="center"/>
        <w:tblLayout w:type="fixed"/>
        <w:tblCellMar>
          <w:left w:w="0" w:type="dxa"/>
          <w:right w:w="0" w:type="dxa"/>
        </w:tblCellMar>
        <w:tblLook w:val="04A0" w:firstRow="1" w:lastRow="0" w:firstColumn="1" w:lastColumn="0" w:noHBand="0" w:noVBand="1"/>
      </w:tblPr>
      <w:tblGrid>
        <w:gridCol w:w="1867"/>
        <w:gridCol w:w="1263"/>
        <w:gridCol w:w="1304"/>
        <w:gridCol w:w="1176"/>
        <w:gridCol w:w="1120"/>
        <w:gridCol w:w="1170"/>
        <w:gridCol w:w="1239"/>
      </w:tblGrid>
      <w:tr w:rsidR="00FB5AEC" w:rsidRPr="00272C9F" w:rsidTr="00324486">
        <w:trPr>
          <w:trHeight w:val="755"/>
          <w:jc w:val="center"/>
        </w:trPr>
        <w:tc>
          <w:tcPr>
            <w:tcW w:w="1867" w:type="dxa"/>
            <w:tcBorders>
              <w:top w:val="single" w:sz="8" w:space="0" w:color="auto"/>
              <w:left w:val="single" w:sz="8" w:space="0" w:color="auto"/>
              <w:bottom w:val="single" w:sz="8" w:space="0" w:color="auto"/>
              <w:right w:val="single" w:sz="8" w:space="0" w:color="FFFFFF"/>
            </w:tcBorders>
            <w:shd w:val="clear" w:color="auto" w:fill="0070CD"/>
            <w:tcMar>
              <w:top w:w="0" w:type="dxa"/>
              <w:left w:w="108" w:type="dxa"/>
              <w:bottom w:w="0" w:type="dxa"/>
              <w:right w:w="108" w:type="dxa"/>
            </w:tcMar>
            <w:vAlign w:val="center"/>
            <w:hideMark/>
          </w:tcPr>
          <w:p w:rsidR="00FB5AEC" w:rsidRPr="00BA1BE7" w:rsidRDefault="00FB5AEC" w:rsidP="00324486">
            <w:pPr>
              <w:pStyle w:val="TableHeader"/>
            </w:pPr>
            <w:r w:rsidRPr="00BA1BE7">
              <w:t>Industry</w:t>
            </w:r>
          </w:p>
        </w:tc>
        <w:tc>
          <w:tcPr>
            <w:tcW w:w="1263" w:type="dxa"/>
            <w:tcBorders>
              <w:top w:val="single" w:sz="8" w:space="0" w:color="auto"/>
              <w:left w:val="nil"/>
              <w:bottom w:val="single" w:sz="8" w:space="0" w:color="auto"/>
              <w:right w:val="single" w:sz="8" w:space="0" w:color="FFFFFF"/>
            </w:tcBorders>
            <w:shd w:val="clear" w:color="auto" w:fill="0070CD"/>
            <w:noWrap/>
            <w:tcMar>
              <w:top w:w="0" w:type="dxa"/>
              <w:left w:w="108" w:type="dxa"/>
              <w:bottom w:w="0" w:type="dxa"/>
              <w:right w:w="108" w:type="dxa"/>
            </w:tcMar>
            <w:vAlign w:val="center"/>
            <w:hideMark/>
          </w:tcPr>
          <w:p w:rsidR="00FB5AEC" w:rsidRPr="00BA1BE7" w:rsidRDefault="00FB5AEC" w:rsidP="00324486">
            <w:pPr>
              <w:pStyle w:val="TableHeader"/>
            </w:pPr>
            <w:r w:rsidRPr="00BA1BE7">
              <w:t>Month</w:t>
            </w:r>
          </w:p>
        </w:tc>
        <w:tc>
          <w:tcPr>
            <w:tcW w:w="1304" w:type="dxa"/>
            <w:tcBorders>
              <w:top w:val="single" w:sz="8" w:space="0" w:color="auto"/>
              <w:left w:val="nil"/>
              <w:bottom w:val="single" w:sz="8" w:space="0" w:color="auto"/>
              <w:right w:val="single" w:sz="8" w:space="0" w:color="FFFFFF"/>
            </w:tcBorders>
            <w:shd w:val="clear" w:color="auto" w:fill="0070CD"/>
            <w:tcMar>
              <w:top w:w="0" w:type="dxa"/>
              <w:left w:w="108" w:type="dxa"/>
              <w:bottom w:w="0" w:type="dxa"/>
              <w:right w:w="108" w:type="dxa"/>
            </w:tcMar>
            <w:vAlign w:val="center"/>
            <w:hideMark/>
          </w:tcPr>
          <w:p w:rsidR="00FB5AEC" w:rsidRPr="00BA1BE7" w:rsidRDefault="00FB5AEC" w:rsidP="00324486">
            <w:pPr>
              <w:pStyle w:val="TableHeader"/>
            </w:pPr>
            <w:r w:rsidRPr="00BA1BE7">
              <w:t>Reference Load (kW)</w:t>
            </w:r>
          </w:p>
        </w:tc>
        <w:tc>
          <w:tcPr>
            <w:tcW w:w="1176" w:type="dxa"/>
            <w:tcBorders>
              <w:top w:val="single" w:sz="8" w:space="0" w:color="auto"/>
              <w:left w:val="nil"/>
              <w:bottom w:val="single" w:sz="8" w:space="0" w:color="auto"/>
              <w:right w:val="single" w:sz="4" w:space="0" w:color="FFFFFF" w:themeColor="background1"/>
            </w:tcBorders>
            <w:shd w:val="clear" w:color="auto" w:fill="0070CD"/>
            <w:noWrap/>
            <w:tcMar>
              <w:top w:w="0" w:type="dxa"/>
              <w:left w:w="108" w:type="dxa"/>
              <w:bottom w:w="0" w:type="dxa"/>
              <w:right w:w="108" w:type="dxa"/>
            </w:tcMar>
            <w:vAlign w:val="center"/>
            <w:hideMark/>
          </w:tcPr>
          <w:p w:rsidR="00FB5AEC" w:rsidRPr="00BA1BE7" w:rsidRDefault="00FB5AEC" w:rsidP="00324486">
            <w:pPr>
              <w:pStyle w:val="TableHeader"/>
            </w:pPr>
            <w:r w:rsidRPr="00BA1BE7">
              <w:t>Avg. Impact (kW)</w:t>
            </w:r>
          </w:p>
        </w:tc>
        <w:tc>
          <w:tcPr>
            <w:tcW w:w="112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D"/>
            <w:noWrap/>
            <w:tcMar>
              <w:top w:w="0" w:type="dxa"/>
              <w:left w:w="108" w:type="dxa"/>
              <w:bottom w:w="0" w:type="dxa"/>
              <w:right w:w="108" w:type="dxa"/>
            </w:tcMar>
            <w:vAlign w:val="center"/>
          </w:tcPr>
          <w:p w:rsidR="00FB5AEC" w:rsidRPr="00BA1BE7" w:rsidRDefault="00FB5AEC" w:rsidP="00324486">
            <w:pPr>
              <w:pStyle w:val="TableHeader"/>
            </w:pPr>
            <w:r w:rsidRPr="00BA1BE7">
              <w:t>Std. Error of Impact</w:t>
            </w:r>
          </w:p>
        </w:tc>
        <w:tc>
          <w:tcPr>
            <w:tcW w:w="11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70CD"/>
            <w:vAlign w:val="center"/>
          </w:tcPr>
          <w:p w:rsidR="00FB5AEC" w:rsidRPr="00BA1BE7" w:rsidRDefault="00FB5AEC" w:rsidP="00324486">
            <w:pPr>
              <w:pStyle w:val="TableHeader"/>
            </w:pPr>
            <w:r w:rsidRPr="00BA1BE7">
              <w:t>% Reduction</w:t>
            </w:r>
          </w:p>
        </w:tc>
        <w:tc>
          <w:tcPr>
            <w:tcW w:w="1239" w:type="dxa"/>
            <w:tcBorders>
              <w:top w:val="single" w:sz="4" w:space="0" w:color="auto"/>
              <w:left w:val="single" w:sz="4" w:space="0" w:color="FFFFFF" w:themeColor="background1"/>
              <w:bottom w:val="single" w:sz="4" w:space="0" w:color="auto"/>
              <w:right w:val="single" w:sz="4" w:space="0" w:color="auto"/>
            </w:tcBorders>
            <w:shd w:val="clear" w:color="auto" w:fill="0070CD"/>
            <w:vAlign w:val="center"/>
          </w:tcPr>
          <w:p w:rsidR="00FB5AEC" w:rsidRPr="00BA1BE7" w:rsidRDefault="00FB5AEC" w:rsidP="00324486">
            <w:pPr>
              <w:pStyle w:val="TableHeader"/>
            </w:pPr>
            <w:r w:rsidRPr="00BA1BE7">
              <w:t>Aggregate Impact (kW)</w:t>
            </w:r>
          </w:p>
        </w:tc>
      </w:tr>
      <w:tr w:rsidR="00FB5AEC" w:rsidRPr="00272C9F" w:rsidTr="00324486">
        <w:trPr>
          <w:trHeight w:val="288"/>
          <w:jc w:val="center"/>
        </w:trPr>
        <w:tc>
          <w:tcPr>
            <w:tcW w:w="1867" w:type="dxa"/>
            <w:vMerge w:val="restart"/>
            <w:tcBorders>
              <w:top w:val="single" w:sz="4" w:space="0" w:color="auto"/>
              <w:left w:val="single" w:sz="8" w:space="0" w:color="auto"/>
              <w:right w:val="single" w:sz="8" w:space="0" w:color="auto"/>
            </w:tcBorders>
            <w:vAlign w:val="center"/>
            <w:hideMark/>
          </w:tcPr>
          <w:p w:rsidR="00FB5AEC" w:rsidRPr="00272C9F" w:rsidRDefault="00FB5AEC" w:rsidP="00324486">
            <w:pPr>
              <w:pStyle w:val="TableText"/>
              <w:rPr>
                <w:rFonts w:eastAsiaTheme="minorHAnsi" w:cs="Calibri"/>
              </w:rPr>
            </w:pPr>
            <w:r w:rsidRPr="00272C9F">
              <w:t>Public Administration (Treatment N=190)</w:t>
            </w:r>
          </w:p>
        </w:tc>
        <w:tc>
          <w:tcPr>
            <w:tcW w:w="1263" w:type="dxa"/>
            <w:tcBorders>
              <w:top w:val="single" w:sz="4"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August</w:t>
            </w:r>
          </w:p>
        </w:tc>
        <w:tc>
          <w:tcPr>
            <w:tcW w:w="130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0.52</w:t>
            </w:r>
          </w:p>
        </w:tc>
        <w:tc>
          <w:tcPr>
            <w:tcW w:w="1176" w:type="dxa"/>
            <w:tcBorders>
              <w:top w:val="single" w:sz="4"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-0.07</w:t>
            </w:r>
          </w:p>
        </w:tc>
        <w:tc>
          <w:tcPr>
            <w:tcW w:w="1120" w:type="dxa"/>
            <w:tcBorders>
              <w:top w:val="single" w:sz="4" w:space="0" w:color="auto"/>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0.21</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-14%</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-14</w:t>
            </w:r>
          </w:p>
        </w:tc>
      </w:tr>
      <w:tr w:rsidR="00FB5AEC" w:rsidRPr="00272C9F" w:rsidTr="00324486">
        <w:trPr>
          <w:trHeight w:val="288"/>
          <w:jc w:val="center"/>
        </w:trPr>
        <w:tc>
          <w:tcPr>
            <w:tcW w:w="1867" w:type="dxa"/>
            <w:vMerge/>
            <w:tcBorders>
              <w:left w:val="single" w:sz="8" w:space="0" w:color="auto"/>
              <w:right w:val="single" w:sz="8" w:space="0" w:color="auto"/>
            </w:tcBorders>
            <w:vAlign w:val="center"/>
            <w:hideMark/>
          </w:tcPr>
          <w:p w:rsidR="00FB5AEC" w:rsidRPr="00272C9F" w:rsidRDefault="00FB5AEC" w:rsidP="00324486">
            <w:pPr>
              <w:pStyle w:val="TableText"/>
              <w:rPr>
                <w:rFonts w:eastAsiaTheme="minorHAnsi" w:cs="Calibri"/>
              </w:rPr>
            </w:pPr>
          </w:p>
        </w:tc>
        <w:tc>
          <w:tcPr>
            <w:tcW w:w="126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September</w:t>
            </w:r>
          </w:p>
        </w:tc>
        <w:tc>
          <w:tcPr>
            <w:tcW w:w="13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0.53</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-0.05</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0.43</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-10%</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-10</w:t>
            </w:r>
          </w:p>
        </w:tc>
      </w:tr>
      <w:tr w:rsidR="00FB5AEC" w:rsidRPr="00272C9F" w:rsidTr="00324486">
        <w:trPr>
          <w:trHeight w:val="288"/>
          <w:jc w:val="center"/>
        </w:trPr>
        <w:tc>
          <w:tcPr>
            <w:tcW w:w="1867" w:type="dxa"/>
            <w:vMerge/>
            <w:tcBorders>
              <w:left w:val="single" w:sz="8" w:space="0" w:color="auto"/>
              <w:right w:val="single" w:sz="8" w:space="0" w:color="auto"/>
            </w:tcBorders>
            <w:vAlign w:val="center"/>
            <w:hideMark/>
          </w:tcPr>
          <w:p w:rsidR="00FB5AEC" w:rsidRPr="00272C9F" w:rsidRDefault="00FB5AEC" w:rsidP="00324486">
            <w:pPr>
              <w:pStyle w:val="TableText"/>
              <w:rPr>
                <w:rFonts w:eastAsiaTheme="minorHAnsi" w:cs="Calibri"/>
              </w:rPr>
            </w:pPr>
          </w:p>
        </w:tc>
        <w:tc>
          <w:tcPr>
            <w:tcW w:w="126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October</w:t>
            </w:r>
          </w:p>
        </w:tc>
        <w:tc>
          <w:tcPr>
            <w:tcW w:w="13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0.50</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-0.07</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0.25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-14%</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-13</w:t>
            </w:r>
          </w:p>
        </w:tc>
      </w:tr>
      <w:tr w:rsidR="00FB5AEC" w:rsidRPr="00272C9F" w:rsidTr="00324486">
        <w:trPr>
          <w:trHeight w:val="288"/>
          <w:jc w:val="center"/>
        </w:trPr>
        <w:tc>
          <w:tcPr>
            <w:tcW w:w="1867" w:type="dxa"/>
            <w:vMerge/>
            <w:tcBorders>
              <w:left w:val="single" w:sz="8" w:space="0" w:color="auto"/>
              <w:bottom w:val="single" w:sz="8" w:space="0" w:color="000000"/>
              <w:right w:val="single" w:sz="8" w:space="0" w:color="auto"/>
            </w:tcBorders>
            <w:vAlign w:val="center"/>
            <w:hideMark/>
          </w:tcPr>
          <w:p w:rsidR="00FB5AEC" w:rsidRPr="00272C9F" w:rsidRDefault="00FB5AEC" w:rsidP="00324486">
            <w:pPr>
              <w:pStyle w:val="TableText"/>
              <w:rPr>
                <w:rFonts w:eastAsiaTheme="minorHAnsi" w:cs="Calibri"/>
              </w:rPr>
            </w:pPr>
          </w:p>
        </w:tc>
        <w:tc>
          <w:tcPr>
            <w:tcW w:w="126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rPr>
                <w:b/>
              </w:rPr>
            </w:pPr>
            <w:r w:rsidRPr="00272C9F">
              <w:rPr>
                <w:b/>
              </w:rPr>
              <w:t>Avg. Summer</w:t>
            </w:r>
          </w:p>
        </w:tc>
        <w:tc>
          <w:tcPr>
            <w:tcW w:w="13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0.52</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-0.06</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0.30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-13%</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-12</w:t>
            </w:r>
          </w:p>
        </w:tc>
      </w:tr>
      <w:tr w:rsidR="00FB5AEC" w:rsidRPr="00272C9F" w:rsidTr="00324486">
        <w:trPr>
          <w:trHeight w:val="288"/>
          <w:jc w:val="center"/>
        </w:trPr>
        <w:tc>
          <w:tcPr>
            <w:tcW w:w="1867" w:type="dxa"/>
            <w:vMerge w:val="restart"/>
            <w:tcBorders>
              <w:left w:val="single" w:sz="8" w:space="0" w:color="auto"/>
              <w:right w:val="single" w:sz="8" w:space="0" w:color="auto"/>
            </w:tcBorders>
            <w:vAlign w:val="center"/>
            <w:hideMark/>
          </w:tcPr>
          <w:p w:rsidR="00FB5AEC" w:rsidRPr="00272C9F" w:rsidRDefault="00FB5AEC" w:rsidP="00324486">
            <w:pPr>
              <w:pStyle w:val="TableText"/>
              <w:rPr>
                <w:rFonts w:eastAsiaTheme="minorHAnsi" w:cs="Calibri"/>
              </w:rPr>
            </w:pPr>
            <w:r w:rsidRPr="00272C9F">
              <w:t>Other</w:t>
            </w:r>
            <w:r w:rsidRPr="00272C9F">
              <w:br/>
              <w:t>(Treatment N=102)</w:t>
            </w:r>
          </w:p>
        </w:tc>
        <w:tc>
          <w:tcPr>
            <w:tcW w:w="126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August</w:t>
            </w:r>
          </w:p>
        </w:tc>
        <w:tc>
          <w:tcPr>
            <w:tcW w:w="130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1.71</w:t>
            </w:r>
          </w:p>
        </w:tc>
        <w:tc>
          <w:tcPr>
            <w:tcW w:w="117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0.31</w:t>
            </w:r>
          </w:p>
        </w:tc>
        <w:tc>
          <w:tcPr>
            <w:tcW w:w="1120" w:type="dxa"/>
            <w:tcBorders>
              <w:top w:val="nil"/>
              <w:left w:val="nil"/>
              <w:bottom w:val="single" w:sz="8"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0.97</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18%</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31</w:t>
            </w:r>
          </w:p>
        </w:tc>
      </w:tr>
      <w:tr w:rsidR="00FB5AEC" w:rsidRPr="00272C9F" w:rsidTr="00324486">
        <w:trPr>
          <w:trHeight w:val="288"/>
          <w:jc w:val="center"/>
        </w:trPr>
        <w:tc>
          <w:tcPr>
            <w:tcW w:w="1867" w:type="dxa"/>
            <w:vMerge/>
            <w:tcBorders>
              <w:left w:val="single" w:sz="8" w:space="0" w:color="auto"/>
              <w:right w:val="single" w:sz="8" w:space="0" w:color="auto"/>
            </w:tcBorders>
            <w:vAlign w:val="center"/>
            <w:hideMark/>
          </w:tcPr>
          <w:p w:rsidR="00FB5AEC" w:rsidRPr="00272C9F" w:rsidRDefault="00FB5AEC" w:rsidP="00324486">
            <w:pPr>
              <w:pStyle w:val="TableText"/>
              <w:rPr>
                <w:rFonts w:eastAsiaTheme="minorHAnsi" w:cs="Calibri"/>
              </w:rPr>
            </w:pPr>
          </w:p>
        </w:tc>
        <w:tc>
          <w:tcPr>
            <w:tcW w:w="1263"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September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1.73</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0.35</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0.94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20%</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35</w:t>
            </w:r>
          </w:p>
        </w:tc>
      </w:tr>
      <w:tr w:rsidR="00FB5AEC" w:rsidRPr="00272C9F" w:rsidTr="00324486">
        <w:trPr>
          <w:trHeight w:val="288"/>
          <w:jc w:val="center"/>
        </w:trPr>
        <w:tc>
          <w:tcPr>
            <w:tcW w:w="1867" w:type="dxa"/>
            <w:vMerge/>
            <w:tcBorders>
              <w:left w:val="single" w:sz="8" w:space="0" w:color="auto"/>
              <w:right w:val="single" w:sz="8" w:space="0" w:color="auto"/>
            </w:tcBorders>
            <w:vAlign w:val="center"/>
            <w:hideMark/>
          </w:tcPr>
          <w:p w:rsidR="00FB5AEC" w:rsidRPr="00272C9F" w:rsidRDefault="00FB5AEC" w:rsidP="00324486">
            <w:pPr>
              <w:pStyle w:val="TableText"/>
              <w:rPr>
                <w:rFonts w:eastAsiaTheme="minorHAnsi" w:cs="Calibri"/>
              </w:rPr>
            </w:pPr>
          </w:p>
        </w:tc>
        <w:tc>
          <w:tcPr>
            <w:tcW w:w="1263"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October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1.60</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0.31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1.04</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19%</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31</w:t>
            </w:r>
          </w:p>
        </w:tc>
      </w:tr>
      <w:tr w:rsidR="00FB5AEC" w:rsidRPr="00272C9F" w:rsidTr="00324486">
        <w:trPr>
          <w:trHeight w:val="288"/>
          <w:jc w:val="center"/>
        </w:trPr>
        <w:tc>
          <w:tcPr>
            <w:tcW w:w="1867" w:type="dxa"/>
            <w:vMerge/>
            <w:tcBorders>
              <w:left w:val="single" w:sz="8" w:space="0" w:color="auto"/>
              <w:bottom w:val="single" w:sz="8" w:space="0" w:color="000000"/>
              <w:right w:val="single" w:sz="8" w:space="0" w:color="auto"/>
            </w:tcBorders>
            <w:vAlign w:val="center"/>
            <w:hideMark/>
          </w:tcPr>
          <w:p w:rsidR="00FB5AEC" w:rsidRPr="00272C9F" w:rsidRDefault="00FB5AEC" w:rsidP="00324486">
            <w:pPr>
              <w:pStyle w:val="TableText"/>
              <w:rPr>
                <w:rFonts w:eastAsiaTheme="minorHAnsi" w:cs="Calibri"/>
              </w:rPr>
            </w:pPr>
          </w:p>
        </w:tc>
        <w:tc>
          <w:tcPr>
            <w:tcW w:w="1263"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rPr>
                <w:b/>
              </w:rPr>
            </w:pPr>
            <w:r w:rsidRPr="00272C9F">
              <w:rPr>
                <w:b/>
                <w:bCs/>
              </w:rPr>
              <w:t>Avg. Summer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1.68</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0.32</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rPr>
            </w:pPr>
            <w:r w:rsidRPr="00272C9F">
              <w:rPr>
                <w:b/>
              </w:rPr>
              <w:t>0.98</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19%</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rPr>
            </w:pPr>
            <w:r w:rsidRPr="00272C9F">
              <w:rPr>
                <w:b/>
              </w:rPr>
              <w:t>32</w:t>
            </w:r>
          </w:p>
        </w:tc>
      </w:tr>
      <w:tr w:rsidR="00FB5AEC" w:rsidRPr="00272C9F" w:rsidTr="00324486">
        <w:trPr>
          <w:trHeight w:val="288"/>
          <w:jc w:val="center"/>
        </w:trPr>
        <w:tc>
          <w:tcPr>
            <w:tcW w:w="1867" w:type="dxa"/>
            <w:vMerge w:val="restart"/>
            <w:tcBorders>
              <w:left w:val="single" w:sz="8" w:space="0" w:color="auto"/>
              <w:right w:val="single" w:sz="8" w:space="0" w:color="auto"/>
            </w:tcBorders>
            <w:tcMar>
              <w:top w:w="0" w:type="dxa"/>
              <w:left w:w="108" w:type="dxa"/>
              <w:bottom w:w="0" w:type="dxa"/>
              <w:right w:w="108" w:type="dxa"/>
            </w:tcMar>
            <w:vAlign w:val="center"/>
          </w:tcPr>
          <w:p w:rsidR="00FB5AEC" w:rsidRPr="00272C9F" w:rsidRDefault="00FB5AEC" w:rsidP="00324486">
            <w:pPr>
              <w:pStyle w:val="TableText"/>
            </w:pPr>
            <w:r w:rsidRPr="00272C9F">
              <w:t>All Customers</w:t>
            </w:r>
            <w:r w:rsidRPr="00272C9F">
              <w:br/>
              <w:t>(Treatment N=292)</w:t>
            </w:r>
          </w:p>
        </w:tc>
        <w:tc>
          <w:tcPr>
            <w:tcW w:w="1263"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August</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0.94</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0.37</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6%</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17</w:t>
            </w:r>
          </w:p>
        </w:tc>
      </w:tr>
      <w:tr w:rsidR="00FB5AEC" w:rsidRPr="00272C9F" w:rsidTr="00324486">
        <w:trPr>
          <w:trHeight w:val="288"/>
          <w:jc w:val="center"/>
        </w:trPr>
        <w:tc>
          <w:tcPr>
            <w:tcW w:w="1867" w:type="dxa"/>
            <w:vMerge/>
            <w:tcBorders>
              <w:left w:val="single" w:sz="8" w:space="0" w:color="auto"/>
              <w:right w:val="single" w:sz="8" w:space="0" w:color="auto"/>
            </w:tcBorders>
            <w:tcMar>
              <w:top w:w="0" w:type="dxa"/>
              <w:left w:w="108" w:type="dxa"/>
              <w:bottom w:w="0" w:type="dxa"/>
              <w:right w:w="108" w:type="dxa"/>
            </w:tcMar>
            <w:vAlign w:val="center"/>
          </w:tcPr>
          <w:p w:rsidR="00FB5AEC" w:rsidRPr="00272C9F" w:rsidRDefault="00FB5AEC" w:rsidP="00324486">
            <w:pPr>
              <w:pStyle w:val="TableText"/>
            </w:pPr>
          </w:p>
        </w:tc>
        <w:tc>
          <w:tcPr>
            <w:tcW w:w="1263"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pPr>
            <w:r w:rsidRPr="00272C9F">
              <w:t>September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0.95</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0.09</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0.43</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9%</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26</w:t>
            </w:r>
          </w:p>
        </w:tc>
      </w:tr>
      <w:tr w:rsidR="00FB5AEC" w:rsidRPr="00272C9F" w:rsidTr="00324486">
        <w:trPr>
          <w:trHeight w:val="288"/>
          <w:jc w:val="center"/>
        </w:trPr>
        <w:tc>
          <w:tcPr>
            <w:tcW w:w="1867" w:type="dxa"/>
            <w:vMerge/>
            <w:tcBorders>
              <w:left w:val="single" w:sz="8" w:space="0" w:color="auto"/>
              <w:right w:val="single" w:sz="8" w:space="0" w:color="auto"/>
            </w:tcBorders>
            <w:tcMar>
              <w:top w:w="0" w:type="dxa"/>
              <w:left w:w="108" w:type="dxa"/>
              <w:bottom w:w="0" w:type="dxa"/>
              <w:right w:w="108" w:type="dxa"/>
            </w:tcMar>
            <w:vAlign w:val="center"/>
          </w:tcPr>
          <w:p w:rsidR="00FB5AEC" w:rsidRPr="00272C9F" w:rsidRDefault="00FB5AEC" w:rsidP="00324486">
            <w:pPr>
              <w:pStyle w:val="TableText"/>
            </w:pPr>
          </w:p>
        </w:tc>
        <w:tc>
          <w:tcPr>
            <w:tcW w:w="1263"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rPr>
                <w:bCs/>
              </w:rPr>
            </w:pPr>
            <w:r w:rsidRPr="00272C9F">
              <w:t>October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pPr>
            <w:r w:rsidRPr="00272C9F">
              <w:t>0.88</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0.06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pPr>
            <w:r w:rsidRPr="00272C9F">
              <w:t>0.40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7%</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pPr>
            <w:r w:rsidRPr="00272C9F">
              <w:t>17</w:t>
            </w:r>
          </w:p>
        </w:tc>
      </w:tr>
      <w:tr w:rsidR="00FB5AEC" w:rsidRPr="00272C9F" w:rsidTr="00324486">
        <w:trPr>
          <w:trHeight w:val="288"/>
          <w:jc w:val="center"/>
        </w:trPr>
        <w:tc>
          <w:tcPr>
            <w:tcW w:w="1867"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rsidR="00FB5AEC" w:rsidRPr="00272C9F" w:rsidRDefault="00FB5AEC" w:rsidP="00324486">
            <w:pPr>
              <w:pStyle w:val="TableText"/>
            </w:pPr>
          </w:p>
        </w:tc>
        <w:tc>
          <w:tcPr>
            <w:tcW w:w="1263" w:type="dxa"/>
            <w:tcBorders>
              <w:top w:val="single" w:sz="4" w:space="0" w:color="auto"/>
              <w:left w:val="single" w:sz="8"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324486">
            <w:pPr>
              <w:pStyle w:val="TableText"/>
              <w:rPr>
                <w:b/>
              </w:rPr>
            </w:pPr>
            <w:r w:rsidRPr="00272C9F">
              <w:rPr>
                <w:b/>
              </w:rPr>
              <w:t>Avg. Summer</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FB5AEC" w:rsidRPr="00272C9F" w:rsidRDefault="00FB5AEC" w:rsidP="0073605C">
            <w:pPr>
              <w:pStyle w:val="TableText"/>
              <w:jc w:val="center"/>
              <w:rPr>
                <w:b/>
                <w:bCs/>
              </w:rPr>
            </w:pPr>
            <w:r w:rsidRPr="00272C9F">
              <w:rPr>
                <w:b/>
                <w:bCs/>
              </w:rPr>
              <w:t>0.92</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bCs/>
              </w:rPr>
            </w:pPr>
            <w:r w:rsidRPr="00272C9F">
              <w:rPr>
                <w:b/>
                <w:bCs/>
              </w:rPr>
              <w:t>0.07</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FB5AEC" w:rsidRPr="00272C9F" w:rsidRDefault="00FB5AEC" w:rsidP="0073605C">
            <w:pPr>
              <w:pStyle w:val="TableText"/>
              <w:jc w:val="center"/>
              <w:rPr>
                <w:b/>
                <w:bCs/>
              </w:rPr>
            </w:pPr>
            <w:r w:rsidRPr="00272C9F">
              <w:rPr>
                <w:b/>
                <w:bCs/>
              </w:rPr>
              <w:t>0.40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bCs/>
              </w:rPr>
            </w:pPr>
            <w:r w:rsidRPr="00272C9F">
              <w:rPr>
                <w:b/>
                <w:bCs/>
              </w:rPr>
              <w:t>7%</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5AEC" w:rsidRPr="00272C9F" w:rsidRDefault="00FB5AEC" w:rsidP="0073605C">
            <w:pPr>
              <w:pStyle w:val="TableText"/>
              <w:jc w:val="center"/>
              <w:rPr>
                <w:b/>
                <w:bCs/>
              </w:rPr>
            </w:pPr>
            <w:r w:rsidRPr="00272C9F">
              <w:rPr>
                <w:b/>
                <w:bCs/>
              </w:rPr>
              <w:t>20</w:t>
            </w:r>
          </w:p>
        </w:tc>
      </w:tr>
    </w:tbl>
    <w:p w:rsidR="00FB5AEC" w:rsidRPr="007B101A" w:rsidRDefault="00FB5AEC" w:rsidP="00FB5AEC">
      <w:pPr>
        <w:pStyle w:val="Footnote"/>
        <w:ind w:firstLine="180"/>
      </w:pPr>
      <w:r w:rsidRPr="007B101A">
        <w:t>* = Significant at 90% confidence, ** = Significant at 95% confidence</w:t>
      </w:r>
    </w:p>
    <w:p w:rsidR="00FB5AEC" w:rsidRDefault="00FB5AEC" w:rsidP="00FB5AEC">
      <w:pPr>
        <w:pStyle w:val="BodyParaAfterTableFigure"/>
        <w:ind w:firstLine="180"/>
        <w:rPr>
          <w:rFonts w:ascii="Times New Roman" w:hAnsi="Times New Roman"/>
          <w:sz w:val="24"/>
          <w:szCs w:val="24"/>
        </w:rPr>
      </w:pPr>
      <w:r w:rsidRPr="00FB5AEC">
        <w:rPr>
          <w:rFonts w:ascii="Times New Roman" w:hAnsi="Times New Roman"/>
          <w:sz w:val="24"/>
          <w:szCs w:val="24"/>
        </w:rPr>
        <w:t xml:space="preserve">Peak period impacts for the two CPP event days are presented in Table </w:t>
      </w:r>
      <w:r w:rsidR="00F345DA">
        <w:rPr>
          <w:rFonts w:ascii="Times New Roman" w:hAnsi="Times New Roman"/>
          <w:sz w:val="24"/>
          <w:szCs w:val="24"/>
        </w:rPr>
        <w:t>9</w:t>
      </w:r>
      <w:r>
        <w:rPr>
          <w:rFonts w:ascii="Times New Roman" w:hAnsi="Times New Roman"/>
          <w:sz w:val="24"/>
          <w:szCs w:val="24"/>
        </w:rPr>
        <w:t>-7</w:t>
      </w:r>
      <w:r w:rsidRPr="00FB5AEC">
        <w:rPr>
          <w:rFonts w:ascii="Times New Roman" w:hAnsi="Times New Roman"/>
          <w:sz w:val="24"/>
          <w:szCs w:val="24"/>
        </w:rPr>
        <w:t xml:space="preserve">. Estimates are again very noisy and do not show any statistically significant impacts for individual industries or all customers taken as a whole. Based on these results, combined with those in Table </w:t>
      </w:r>
      <w:r>
        <w:rPr>
          <w:rFonts w:ascii="Times New Roman" w:hAnsi="Times New Roman"/>
          <w:sz w:val="24"/>
          <w:szCs w:val="24"/>
        </w:rPr>
        <w:t>11-6</w:t>
      </w:r>
      <w:r w:rsidRPr="00FB5AEC">
        <w:rPr>
          <w:rFonts w:ascii="Times New Roman" w:hAnsi="Times New Roman"/>
          <w:sz w:val="24"/>
          <w:szCs w:val="24"/>
        </w:rPr>
        <w:t>, there is no evidence of any load reductions that can be attributed to the SPP rates. Given the strategic targeting of structural winners and the unique subset of customers who chose to enroll, these results should not be interpreted as what might happen if these rates were offered to the broader population as either opt-in or default tariffs.</w:t>
      </w:r>
    </w:p>
    <w:p w:rsidR="00653FC5" w:rsidRDefault="00653FC5">
      <w:pPr>
        <w:rPr>
          <w:b/>
          <w:sz w:val="20"/>
          <w:szCs w:val="20"/>
        </w:rPr>
      </w:pPr>
      <w:r>
        <w:rPr>
          <w:b/>
          <w:szCs w:val="20"/>
        </w:rPr>
        <w:br w:type="page"/>
      </w:r>
    </w:p>
    <w:p w:rsidR="00FB5AEC" w:rsidRPr="00FB5AEC" w:rsidRDefault="00FB5AEC" w:rsidP="00FB5AEC">
      <w:pPr>
        <w:pStyle w:val="BodyParaAfterTableFigure"/>
        <w:spacing w:before="0" w:after="0" w:line="240" w:lineRule="auto"/>
        <w:jc w:val="center"/>
        <w:rPr>
          <w:rFonts w:ascii="Times New Roman" w:hAnsi="Times New Roman"/>
          <w:b/>
          <w:szCs w:val="20"/>
        </w:rPr>
      </w:pPr>
      <w:r w:rsidRPr="00FB5AEC">
        <w:rPr>
          <w:rFonts w:ascii="Times New Roman" w:hAnsi="Times New Roman"/>
          <w:b/>
          <w:szCs w:val="20"/>
        </w:rPr>
        <w:lastRenderedPageBreak/>
        <w:t xml:space="preserve">Table </w:t>
      </w:r>
      <w:r w:rsidR="00F345DA">
        <w:rPr>
          <w:rFonts w:ascii="Times New Roman" w:hAnsi="Times New Roman"/>
          <w:b/>
          <w:szCs w:val="20"/>
        </w:rPr>
        <w:t>9</w:t>
      </w:r>
      <w:r w:rsidRPr="00FB5AEC">
        <w:rPr>
          <w:rFonts w:ascii="Times New Roman" w:hAnsi="Times New Roman"/>
          <w:b/>
          <w:szCs w:val="20"/>
        </w:rPr>
        <w:t>-7: Peak Period Load Impacts for TOU-CPP Customers on Event Days</w:t>
      </w:r>
    </w:p>
    <w:tbl>
      <w:tblPr>
        <w:tblpPr w:leftFromText="180" w:rightFromText="180" w:vertAnchor="text" w:horzAnchor="margin" w:tblpXSpec="center" w:tblpY="173"/>
        <w:tblW w:w="9139" w:type="dxa"/>
        <w:tblLayout w:type="fixed"/>
        <w:tblCellMar>
          <w:left w:w="0" w:type="dxa"/>
          <w:right w:w="0" w:type="dxa"/>
        </w:tblCellMar>
        <w:tblLook w:val="04A0" w:firstRow="1" w:lastRow="0" w:firstColumn="1" w:lastColumn="0" w:noHBand="0" w:noVBand="1"/>
      </w:tblPr>
      <w:tblGrid>
        <w:gridCol w:w="1867"/>
        <w:gridCol w:w="1301"/>
        <w:gridCol w:w="1266"/>
        <w:gridCol w:w="1176"/>
        <w:gridCol w:w="1120"/>
        <w:gridCol w:w="1118"/>
        <w:gridCol w:w="1291"/>
      </w:tblGrid>
      <w:tr w:rsidR="00FB5AEC" w:rsidRPr="00272C9F" w:rsidTr="00324486">
        <w:trPr>
          <w:trHeight w:val="755"/>
        </w:trPr>
        <w:tc>
          <w:tcPr>
            <w:tcW w:w="1867" w:type="dxa"/>
            <w:tcBorders>
              <w:top w:val="single" w:sz="8" w:space="0" w:color="auto"/>
              <w:left w:val="single" w:sz="8" w:space="0" w:color="auto"/>
              <w:bottom w:val="single" w:sz="8" w:space="0" w:color="auto"/>
              <w:right w:val="single" w:sz="8" w:space="0" w:color="FFFFFF"/>
            </w:tcBorders>
            <w:shd w:val="clear" w:color="auto" w:fill="0070CD"/>
            <w:tcMar>
              <w:top w:w="0" w:type="dxa"/>
              <w:left w:w="108" w:type="dxa"/>
              <w:bottom w:w="0" w:type="dxa"/>
              <w:right w:w="108" w:type="dxa"/>
            </w:tcMar>
            <w:vAlign w:val="center"/>
            <w:hideMark/>
          </w:tcPr>
          <w:p w:rsidR="00FB5AEC" w:rsidRPr="00BA1BE7" w:rsidRDefault="00FB5AEC" w:rsidP="00FB5AEC">
            <w:pPr>
              <w:pStyle w:val="TableHeader"/>
              <w:spacing w:before="0" w:after="0"/>
            </w:pPr>
            <w:r w:rsidRPr="00BA1BE7">
              <w:t>Industry</w:t>
            </w:r>
          </w:p>
        </w:tc>
        <w:tc>
          <w:tcPr>
            <w:tcW w:w="1301" w:type="dxa"/>
            <w:tcBorders>
              <w:top w:val="single" w:sz="8" w:space="0" w:color="auto"/>
              <w:left w:val="nil"/>
              <w:bottom w:val="single" w:sz="8" w:space="0" w:color="auto"/>
              <w:right w:val="single" w:sz="8" w:space="0" w:color="FFFFFF"/>
            </w:tcBorders>
            <w:shd w:val="clear" w:color="auto" w:fill="0070CD"/>
            <w:noWrap/>
            <w:tcMar>
              <w:top w:w="0" w:type="dxa"/>
              <w:left w:w="108" w:type="dxa"/>
              <w:bottom w:w="0" w:type="dxa"/>
              <w:right w:w="108" w:type="dxa"/>
            </w:tcMar>
            <w:vAlign w:val="center"/>
            <w:hideMark/>
          </w:tcPr>
          <w:p w:rsidR="00FB5AEC" w:rsidRPr="00BA1BE7" w:rsidRDefault="00FB5AEC" w:rsidP="00FB5AEC">
            <w:pPr>
              <w:pStyle w:val="TableHeader"/>
              <w:spacing w:before="0" w:after="0"/>
            </w:pPr>
            <w:r w:rsidRPr="00BA1BE7">
              <w:t>Event</w:t>
            </w:r>
          </w:p>
        </w:tc>
        <w:tc>
          <w:tcPr>
            <w:tcW w:w="1266" w:type="dxa"/>
            <w:tcBorders>
              <w:top w:val="single" w:sz="8" w:space="0" w:color="auto"/>
              <w:left w:val="nil"/>
              <w:bottom w:val="single" w:sz="8" w:space="0" w:color="auto"/>
              <w:right w:val="single" w:sz="8" w:space="0" w:color="FFFFFF"/>
            </w:tcBorders>
            <w:shd w:val="clear" w:color="auto" w:fill="0070CD"/>
            <w:tcMar>
              <w:top w:w="0" w:type="dxa"/>
              <w:left w:w="108" w:type="dxa"/>
              <w:bottom w:w="0" w:type="dxa"/>
              <w:right w:w="108" w:type="dxa"/>
            </w:tcMar>
            <w:vAlign w:val="center"/>
            <w:hideMark/>
          </w:tcPr>
          <w:p w:rsidR="00FB5AEC" w:rsidRPr="00BA1BE7" w:rsidRDefault="00FB5AEC" w:rsidP="00FB5AEC">
            <w:pPr>
              <w:pStyle w:val="TableHeader"/>
              <w:spacing w:before="0" w:after="0"/>
            </w:pPr>
            <w:r w:rsidRPr="00BA1BE7">
              <w:t>Reference Load</w:t>
            </w:r>
          </w:p>
        </w:tc>
        <w:tc>
          <w:tcPr>
            <w:tcW w:w="1176" w:type="dxa"/>
            <w:tcBorders>
              <w:top w:val="single" w:sz="8" w:space="0" w:color="auto"/>
              <w:left w:val="nil"/>
              <w:bottom w:val="single" w:sz="8" w:space="0" w:color="auto"/>
              <w:right w:val="single" w:sz="4" w:space="0" w:color="FFFFFF" w:themeColor="background1"/>
            </w:tcBorders>
            <w:shd w:val="clear" w:color="auto" w:fill="0070CD"/>
            <w:noWrap/>
            <w:tcMar>
              <w:top w:w="0" w:type="dxa"/>
              <w:left w:w="108" w:type="dxa"/>
              <w:bottom w:w="0" w:type="dxa"/>
              <w:right w:w="108" w:type="dxa"/>
            </w:tcMar>
            <w:vAlign w:val="center"/>
            <w:hideMark/>
          </w:tcPr>
          <w:p w:rsidR="00FB5AEC" w:rsidRPr="00BA1BE7" w:rsidRDefault="00FB5AEC" w:rsidP="00FB5AEC">
            <w:pPr>
              <w:pStyle w:val="TableHeader"/>
              <w:spacing w:before="0" w:after="0"/>
            </w:pPr>
            <w:r w:rsidRPr="00BA1BE7">
              <w:t>Impact (kW)</w:t>
            </w:r>
          </w:p>
        </w:tc>
        <w:tc>
          <w:tcPr>
            <w:tcW w:w="112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0070CD"/>
            <w:noWrap/>
            <w:tcMar>
              <w:top w:w="0" w:type="dxa"/>
              <w:left w:w="108" w:type="dxa"/>
              <w:bottom w:w="0" w:type="dxa"/>
              <w:right w:w="108" w:type="dxa"/>
            </w:tcMar>
            <w:vAlign w:val="center"/>
          </w:tcPr>
          <w:p w:rsidR="00FB5AEC" w:rsidRPr="00BA1BE7" w:rsidRDefault="00FB5AEC" w:rsidP="00FB5AEC">
            <w:pPr>
              <w:pStyle w:val="TableHeader"/>
              <w:spacing w:before="0" w:after="0"/>
            </w:pPr>
            <w:r w:rsidRPr="00BA1BE7">
              <w:t>Std. Error of Impact</w:t>
            </w:r>
          </w:p>
        </w:tc>
        <w:tc>
          <w:tcPr>
            <w:tcW w:w="111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70CD"/>
            <w:vAlign w:val="center"/>
          </w:tcPr>
          <w:p w:rsidR="00FB5AEC" w:rsidRPr="00BA1BE7" w:rsidRDefault="00FB5AEC" w:rsidP="00FB5AEC">
            <w:pPr>
              <w:pStyle w:val="TableHeader"/>
              <w:spacing w:before="0" w:after="0"/>
            </w:pPr>
            <w:r w:rsidRPr="00BA1BE7">
              <w:t>% Reduction</w:t>
            </w:r>
          </w:p>
        </w:tc>
        <w:tc>
          <w:tcPr>
            <w:tcW w:w="1291" w:type="dxa"/>
            <w:tcBorders>
              <w:top w:val="single" w:sz="4" w:space="0" w:color="auto"/>
              <w:left w:val="single" w:sz="4" w:space="0" w:color="FFFFFF" w:themeColor="background1"/>
              <w:bottom w:val="single" w:sz="4" w:space="0" w:color="auto"/>
              <w:right w:val="single" w:sz="4" w:space="0" w:color="auto"/>
            </w:tcBorders>
            <w:shd w:val="clear" w:color="auto" w:fill="0070CD"/>
            <w:vAlign w:val="center"/>
          </w:tcPr>
          <w:p w:rsidR="00FB5AEC" w:rsidRPr="00BA1BE7" w:rsidRDefault="00FB5AEC" w:rsidP="00FB5AEC">
            <w:pPr>
              <w:pStyle w:val="TableHeader"/>
              <w:spacing w:before="0" w:after="0"/>
            </w:pPr>
            <w:r w:rsidRPr="00BA1BE7">
              <w:t>Aggregate Impact (kW)</w:t>
            </w:r>
          </w:p>
        </w:tc>
      </w:tr>
      <w:tr w:rsidR="00FB5AEC" w:rsidRPr="00272C9F" w:rsidTr="00324486">
        <w:trPr>
          <w:trHeight w:val="288"/>
        </w:trPr>
        <w:tc>
          <w:tcPr>
            <w:tcW w:w="1867" w:type="dxa"/>
            <w:vMerge w:val="restart"/>
            <w:tcBorders>
              <w:top w:val="single" w:sz="8" w:space="0" w:color="auto"/>
              <w:left w:val="single" w:sz="8" w:space="0" w:color="auto"/>
              <w:right w:val="single" w:sz="8" w:space="0" w:color="auto"/>
            </w:tcBorders>
            <w:shd w:val="clear" w:color="auto" w:fill="FFFFFF"/>
            <w:noWrap/>
            <w:tcMar>
              <w:top w:w="0" w:type="dxa"/>
              <w:left w:w="108" w:type="dxa"/>
              <w:bottom w:w="0" w:type="dxa"/>
              <w:right w:w="108" w:type="dxa"/>
            </w:tcMar>
            <w:vAlign w:val="center"/>
            <w:hideMark/>
          </w:tcPr>
          <w:p w:rsidR="00FB5AEC" w:rsidRPr="00272C9F" w:rsidRDefault="00FB5AEC" w:rsidP="00324486">
            <w:pPr>
              <w:pStyle w:val="TableText"/>
              <w:rPr>
                <w:rFonts w:eastAsiaTheme="minorHAnsi" w:cs="Calibri"/>
              </w:rPr>
            </w:pPr>
            <w:r w:rsidRPr="00272C9F">
              <w:t>Public Administration (Treatment N=190)</w:t>
            </w:r>
          </w:p>
        </w:tc>
        <w:tc>
          <w:tcPr>
            <w:tcW w:w="130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B5AEC" w:rsidRPr="00272C9F" w:rsidRDefault="00FB5AEC" w:rsidP="00324486">
            <w:pPr>
              <w:pStyle w:val="TableText"/>
            </w:pPr>
            <w:r w:rsidRPr="00272C9F">
              <w:t>15-Sept</w:t>
            </w:r>
          </w:p>
        </w:tc>
        <w:tc>
          <w:tcPr>
            <w:tcW w:w="12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5AEC" w:rsidRPr="00272C9F" w:rsidRDefault="00FB5AEC" w:rsidP="008B1872">
            <w:pPr>
              <w:pStyle w:val="TableText"/>
              <w:jc w:val="center"/>
            </w:pPr>
            <w:r w:rsidRPr="00272C9F">
              <w:t>0.57</w:t>
            </w: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0.05</w:t>
            </w:r>
          </w:p>
        </w:tc>
        <w:tc>
          <w:tcPr>
            <w:tcW w:w="1120"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0.54</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8%</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9</w:t>
            </w:r>
          </w:p>
        </w:tc>
      </w:tr>
      <w:tr w:rsidR="00FB5AEC" w:rsidRPr="00272C9F" w:rsidTr="00324486">
        <w:trPr>
          <w:trHeight w:val="288"/>
        </w:trPr>
        <w:tc>
          <w:tcPr>
            <w:tcW w:w="1867" w:type="dxa"/>
            <w:vMerge/>
            <w:tcBorders>
              <w:left w:val="single" w:sz="8" w:space="0" w:color="auto"/>
              <w:right w:val="single" w:sz="8" w:space="0" w:color="auto"/>
            </w:tcBorders>
            <w:shd w:val="clear" w:color="auto" w:fill="FFFFFF"/>
            <w:vAlign w:val="center"/>
            <w:hideMark/>
          </w:tcPr>
          <w:p w:rsidR="00FB5AEC" w:rsidRPr="00272C9F" w:rsidRDefault="00FB5AEC" w:rsidP="00324486">
            <w:pPr>
              <w:pStyle w:val="TableText"/>
              <w:rPr>
                <w:rFonts w:eastAsiaTheme="minorHAnsi" w:cs="Calibri"/>
              </w:rPr>
            </w:pPr>
          </w:p>
        </w:tc>
        <w:tc>
          <w:tcPr>
            <w:tcW w:w="130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B5AEC" w:rsidRPr="00272C9F" w:rsidRDefault="00FB5AEC" w:rsidP="00324486">
            <w:pPr>
              <w:pStyle w:val="TableText"/>
            </w:pPr>
            <w:r w:rsidRPr="00272C9F">
              <w:t>16-Sept</w:t>
            </w:r>
          </w:p>
        </w:tc>
        <w:tc>
          <w:tcPr>
            <w:tcW w:w="12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5AEC" w:rsidRPr="00272C9F" w:rsidRDefault="00FB5AEC" w:rsidP="008B1872">
            <w:pPr>
              <w:pStyle w:val="TableText"/>
              <w:jc w:val="center"/>
            </w:pPr>
            <w:r w:rsidRPr="00272C9F">
              <w:t>0.61</w:t>
            </w: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-0.02</w:t>
            </w:r>
          </w:p>
        </w:tc>
        <w:tc>
          <w:tcPr>
            <w:tcW w:w="1120"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0.50</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-4%</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-4</w:t>
            </w:r>
          </w:p>
        </w:tc>
      </w:tr>
      <w:tr w:rsidR="00FB5AEC" w:rsidRPr="00272C9F" w:rsidTr="00324486">
        <w:trPr>
          <w:trHeight w:val="288"/>
        </w:trPr>
        <w:tc>
          <w:tcPr>
            <w:tcW w:w="1867" w:type="dxa"/>
            <w:vMerge/>
            <w:tcBorders>
              <w:left w:val="single" w:sz="8" w:space="0" w:color="auto"/>
              <w:bottom w:val="single" w:sz="8" w:space="0" w:color="auto"/>
              <w:right w:val="single" w:sz="8" w:space="0" w:color="auto"/>
            </w:tcBorders>
            <w:shd w:val="clear" w:color="auto" w:fill="FFFFFF"/>
            <w:vAlign w:val="center"/>
          </w:tcPr>
          <w:p w:rsidR="00FB5AEC" w:rsidRPr="00272C9F" w:rsidRDefault="00FB5AEC" w:rsidP="00324486">
            <w:pPr>
              <w:pStyle w:val="TableText"/>
              <w:rPr>
                <w:rFonts w:eastAsiaTheme="minorHAnsi" w:cs="Calibri"/>
              </w:rPr>
            </w:pPr>
          </w:p>
        </w:tc>
        <w:tc>
          <w:tcPr>
            <w:tcW w:w="130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B5AEC" w:rsidRPr="00272C9F" w:rsidRDefault="00FB5AEC" w:rsidP="00324486">
            <w:pPr>
              <w:pStyle w:val="TableText"/>
              <w:rPr>
                <w:b/>
              </w:rPr>
            </w:pPr>
            <w:r w:rsidRPr="00272C9F">
              <w:rPr>
                <w:b/>
              </w:rPr>
              <w:t>Average</w:t>
            </w:r>
          </w:p>
        </w:tc>
        <w:tc>
          <w:tcPr>
            <w:tcW w:w="12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5AEC" w:rsidRPr="00272C9F" w:rsidRDefault="00FB5AEC" w:rsidP="008B1872">
            <w:pPr>
              <w:pStyle w:val="TableText"/>
              <w:jc w:val="center"/>
              <w:rPr>
                <w:b/>
              </w:rPr>
            </w:pPr>
            <w:r w:rsidRPr="00272C9F">
              <w:rPr>
                <w:b/>
              </w:rPr>
              <w:t>0.59</w:t>
            </w: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rPr>
                <w:b/>
              </w:rPr>
            </w:pPr>
            <w:r w:rsidRPr="00272C9F">
              <w:rPr>
                <w:b/>
              </w:rPr>
              <w:t>0.01</w:t>
            </w:r>
          </w:p>
        </w:tc>
        <w:tc>
          <w:tcPr>
            <w:tcW w:w="1120"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rPr>
                <w:b/>
              </w:rPr>
            </w:pPr>
            <w:r w:rsidRPr="00272C9F">
              <w:rPr>
                <w:b/>
              </w:rPr>
              <w:t>0.38</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rPr>
                <w:b/>
              </w:rPr>
            </w:pPr>
            <w:r w:rsidRPr="00272C9F">
              <w:rPr>
                <w:b/>
              </w:rPr>
              <w:t>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rPr>
                <w:b/>
              </w:rPr>
            </w:pPr>
            <w:r w:rsidRPr="00272C9F">
              <w:rPr>
                <w:b/>
              </w:rPr>
              <w:t>2</w:t>
            </w:r>
          </w:p>
        </w:tc>
      </w:tr>
      <w:tr w:rsidR="00FB5AEC" w:rsidRPr="00272C9F" w:rsidTr="00324486">
        <w:trPr>
          <w:trHeight w:val="288"/>
        </w:trPr>
        <w:tc>
          <w:tcPr>
            <w:tcW w:w="1867" w:type="dxa"/>
            <w:vMerge w:val="restart"/>
            <w:tcBorders>
              <w:top w:val="single" w:sz="8" w:space="0" w:color="auto"/>
              <w:left w:val="single" w:sz="8" w:space="0" w:color="auto"/>
              <w:right w:val="single" w:sz="8" w:space="0" w:color="auto"/>
            </w:tcBorders>
            <w:shd w:val="clear" w:color="auto" w:fill="FFFFFF"/>
            <w:vAlign w:val="center"/>
            <w:hideMark/>
          </w:tcPr>
          <w:p w:rsidR="00FB5AEC" w:rsidRPr="00272C9F" w:rsidRDefault="00FB5AEC" w:rsidP="00324486">
            <w:pPr>
              <w:pStyle w:val="TableText"/>
              <w:rPr>
                <w:rFonts w:eastAsiaTheme="minorHAnsi" w:cs="Calibri"/>
              </w:rPr>
            </w:pPr>
          </w:p>
          <w:p w:rsidR="00FB5AEC" w:rsidRPr="00272C9F" w:rsidRDefault="00FB5AEC" w:rsidP="00324486">
            <w:pPr>
              <w:pStyle w:val="TableText"/>
            </w:pPr>
            <w:r w:rsidRPr="00272C9F">
              <w:t>Other</w:t>
            </w:r>
          </w:p>
          <w:p w:rsidR="00FB5AEC" w:rsidRPr="00272C9F" w:rsidRDefault="00FB5AEC" w:rsidP="00324486">
            <w:pPr>
              <w:pStyle w:val="TableText"/>
              <w:rPr>
                <w:rFonts w:eastAsiaTheme="minorHAnsi" w:cs="Calibri"/>
              </w:rPr>
            </w:pPr>
            <w:r w:rsidRPr="00272C9F">
              <w:t>(Treatment N=102)</w:t>
            </w:r>
          </w:p>
        </w:tc>
        <w:tc>
          <w:tcPr>
            <w:tcW w:w="130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B5AEC" w:rsidRPr="00272C9F" w:rsidRDefault="00FB5AEC" w:rsidP="00324486">
            <w:pPr>
              <w:pStyle w:val="TableText"/>
            </w:pPr>
            <w:r w:rsidRPr="00272C9F">
              <w:t>15-Sept</w:t>
            </w:r>
          </w:p>
        </w:tc>
        <w:tc>
          <w:tcPr>
            <w:tcW w:w="12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5AEC" w:rsidRPr="00272C9F" w:rsidRDefault="00FB5AEC" w:rsidP="008B1872">
            <w:pPr>
              <w:pStyle w:val="TableText"/>
              <w:jc w:val="center"/>
            </w:pPr>
            <w:r w:rsidRPr="00272C9F">
              <w:t>1.97</w:t>
            </w: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-0.35</w:t>
            </w:r>
          </w:p>
        </w:tc>
        <w:tc>
          <w:tcPr>
            <w:tcW w:w="1120"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1.35</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-18%</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-36</w:t>
            </w:r>
          </w:p>
        </w:tc>
      </w:tr>
      <w:tr w:rsidR="00FB5AEC" w:rsidRPr="00272C9F" w:rsidTr="00324486">
        <w:trPr>
          <w:trHeight w:val="288"/>
        </w:trPr>
        <w:tc>
          <w:tcPr>
            <w:tcW w:w="1867" w:type="dxa"/>
            <w:vMerge/>
            <w:tcBorders>
              <w:left w:val="single" w:sz="8" w:space="0" w:color="auto"/>
              <w:right w:val="single" w:sz="8" w:space="0" w:color="auto"/>
            </w:tcBorders>
            <w:shd w:val="clear" w:color="auto" w:fill="FFFFFF"/>
            <w:vAlign w:val="center"/>
            <w:hideMark/>
          </w:tcPr>
          <w:p w:rsidR="00FB5AEC" w:rsidRPr="00272C9F" w:rsidRDefault="00FB5AEC" w:rsidP="00324486">
            <w:pPr>
              <w:pStyle w:val="TableText"/>
              <w:rPr>
                <w:rFonts w:eastAsiaTheme="minorHAnsi" w:cs="Calibri"/>
              </w:rPr>
            </w:pPr>
          </w:p>
        </w:tc>
        <w:tc>
          <w:tcPr>
            <w:tcW w:w="130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FB5AEC" w:rsidRPr="00272C9F" w:rsidRDefault="00FB5AEC" w:rsidP="00324486">
            <w:pPr>
              <w:pStyle w:val="TableText"/>
            </w:pPr>
            <w:r w:rsidRPr="00272C9F">
              <w:t>16-Sept</w:t>
            </w:r>
          </w:p>
        </w:tc>
        <w:tc>
          <w:tcPr>
            <w:tcW w:w="12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FB5AEC" w:rsidRPr="00272C9F" w:rsidRDefault="00FB5AEC" w:rsidP="008B1872">
            <w:pPr>
              <w:pStyle w:val="TableText"/>
              <w:jc w:val="center"/>
            </w:pPr>
            <w:r w:rsidRPr="00272C9F">
              <w:t>2.06</w:t>
            </w:r>
          </w:p>
        </w:tc>
        <w:tc>
          <w:tcPr>
            <w:tcW w:w="11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-0.36</w:t>
            </w:r>
          </w:p>
        </w:tc>
        <w:tc>
          <w:tcPr>
            <w:tcW w:w="1120" w:type="dxa"/>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1.34</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-17%</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-36</w:t>
            </w:r>
          </w:p>
        </w:tc>
      </w:tr>
      <w:tr w:rsidR="00FB5AEC" w:rsidRPr="00272C9F" w:rsidTr="00324486">
        <w:trPr>
          <w:trHeight w:val="288"/>
        </w:trPr>
        <w:tc>
          <w:tcPr>
            <w:tcW w:w="1867" w:type="dxa"/>
            <w:vMerge/>
            <w:tcBorders>
              <w:left w:val="single" w:sz="8" w:space="0" w:color="auto"/>
              <w:bottom w:val="single" w:sz="4" w:space="0" w:color="auto"/>
              <w:right w:val="single" w:sz="8" w:space="0" w:color="auto"/>
            </w:tcBorders>
            <w:shd w:val="clear" w:color="auto" w:fill="FFFFFF"/>
            <w:vAlign w:val="center"/>
            <w:hideMark/>
          </w:tcPr>
          <w:p w:rsidR="00FB5AEC" w:rsidRPr="00272C9F" w:rsidRDefault="00FB5AEC" w:rsidP="00324486">
            <w:pPr>
              <w:pStyle w:val="TableText"/>
              <w:rPr>
                <w:rFonts w:eastAsiaTheme="minorHAnsi" w:cs="Calibri"/>
              </w:rPr>
            </w:pPr>
          </w:p>
        </w:tc>
        <w:tc>
          <w:tcPr>
            <w:tcW w:w="1301"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rsidR="00FB5AEC" w:rsidRPr="00272C9F" w:rsidRDefault="00FB5AEC" w:rsidP="00324486">
            <w:pPr>
              <w:pStyle w:val="TableText"/>
              <w:rPr>
                <w:b/>
              </w:rPr>
            </w:pPr>
            <w:r w:rsidRPr="00272C9F">
              <w:rPr>
                <w:b/>
              </w:rPr>
              <w:t>Average</w:t>
            </w:r>
          </w:p>
        </w:tc>
        <w:tc>
          <w:tcPr>
            <w:tcW w:w="12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FB5AEC" w:rsidRPr="00272C9F" w:rsidRDefault="00FB5AEC" w:rsidP="008B1872">
            <w:pPr>
              <w:pStyle w:val="TableText"/>
              <w:jc w:val="center"/>
              <w:rPr>
                <w:b/>
              </w:rPr>
            </w:pPr>
            <w:r w:rsidRPr="00272C9F">
              <w:rPr>
                <w:b/>
              </w:rPr>
              <w:t>2.02</w:t>
            </w:r>
          </w:p>
        </w:tc>
        <w:tc>
          <w:tcPr>
            <w:tcW w:w="1176"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rPr>
                <w:b/>
              </w:rPr>
            </w:pPr>
            <w:r w:rsidRPr="00272C9F">
              <w:rPr>
                <w:b/>
              </w:rPr>
              <w:t>-0.35</w:t>
            </w:r>
          </w:p>
        </w:tc>
        <w:tc>
          <w:tcPr>
            <w:tcW w:w="1120" w:type="dxa"/>
            <w:tcBorders>
              <w:top w:val="nil"/>
              <w:left w:val="nil"/>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rPr>
                <w:b/>
              </w:rPr>
            </w:pPr>
            <w:r w:rsidRPr="00272C9F">
              <w:rPr>
                <w:b/>
              </w:rPr>
              <w:t>1.28</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rPr>
                <w:b/>
              </w:rPr>
            </w:pPr>
            <w:r w:rsidRPr="00272C9F">
              <w:rPr>
                <w:b/>
              </w:rPr>
              <w:t>-17%</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rPr>
                <w:b/>
              </w:rPr>
            </w:pPr>
            <w:r w:rsidRPr="00272C9F">
              <w:rPr>
                <w:b/>
              </w:rPr>
              <w:t>-36</w:t>
            </w:r>
          </w:p>
        </w:tc>
      </w:tr>
      <w:tr w:rsidR="00FB5AEC" w:rsidRPr="00272C9F" w:rsidTr="00324486">
        <w:trPr>
          <w:trHeight w:val="288"/>
        </w:trPr>
        <w:tc>
          <w:tcPr>
            <w:tcW w:w="1867" w:type="dxa"/>
            <w:tcBorders>
              <w:top w:val="single" w:sz="4" w:space="0" w:color="auto"/>
              <w:left w:val="single" w:sz="8" w:space="0" w:color="auto"/>
              <w:right w:val="single" w:sz="4" w:space="0" w:color="auto"/>
            </w:tcBorders>
            <w:shd w:val="clear" w:color="auto" w:fill="FFFFFF"/>
            <w:vAlign w:val="center"/>
          </w:tcPr>
          <w:p w:rsidR="00FB5AEC" w:rsidRPr="00272C9F" w:rsidRDefault="00FB5AEC" w:rsidP="00324486">
            <w:pPr>
              <w:pStyle w:val="TableText"/>
              <w:rPr>
                <w:rFonts w:eastAsiaTheme="minorHAnsi" w:cs="Calibri"/>
              </w:rPr>
            </w:pPr>
          </w:p>
        </w:tc>
        <w:tc>
          <w:tcPr>
            <w:tcW w:w="130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324486">
            <w:pPr>
              <w:pStyle w:val="TableText"/>
            </w:pPr>
            <w:r w:rsidRPr="00272C9F">
              <w:t>15-Sept</w:t>
            </w:r>
          </w:p>
        </w:tc>
        <w:tc>
          <w:tcPr>
            <w:tcW w:w="12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5AEC" w:rsidRPr="00272C9F" w:rsidRDefault="00FB5AEC" w:rsidP="008B1872">
            <w:pPr>
              <w:pStyle w:val="TableText"/>
              <w:jc w:val="center"/>
            </w:pPr>
            <w:r w:rsidRPr="00272C9F">
              <w:t>1.06</w:t>
            </w:r>
          </w:p>
        </w:tc>
        <w:tc>
          <w:tcPr>
            <w:tcW w:w="11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-0.10</w:t>
            </w:r>
          </w:p>
        </w:tc>
        <w:tc>
          <w:tcPr>
            <w:tcW w:w="112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0.59</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-9%</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-28</w:t>
            </w:r>
          </w:p>
        </w:tc>
      </w:tr>
      <w:tr w:rsidR="00FB5AEC" w:rsidRPr="00272C9F" w:rsidTr="00324486">
        <w:trPr>
          <w:trHeight w:val="392"/>
        </w:trPr>
        <w:tc>
          <w:tcPr>
            <w:tcW w:w="1867" w:type="dxa"/>
            <w:tcBorders>
              <w:left w:val="single" w:sz="8" w:space="0" w:color="auto"/>
              <w:right w:val="single" w:sz="4" w:space="0" w:color="auto"/>
            </w:tcBorders>
            <w:shd w:val="clear" w:color="auto" w:fill="FFFFFF"/>
            <w:vAlign w:val="center"/>
          </w:tcPr>
          <w:p w:rsidR="00FB5AEC" w:rsidRPr="00272C9F" w:rsidRDefault="00FB5AEC" w:rsidP="00324486">
            <w:pPr>
              <w:pStyle w:val="TableText"/>
              <w:rPr>
                <w:rFonts w:eastAsiaTheme="minorHAnsi" w:cs="Calibri"/>
              </w:rPr>
            </w:pPr>
            <w:r w:rsidRPr="00272C9F">
              <w:rPr>
                <w:rFonts w:eastAsiaTheme="minorHAnsi" w:cs="Calibri"/>
              </w:rPr>
              <w:t>All Industries (Treatment N = 292)</w:t>
            </w:r>
          </w:p>
        </w:tc>
        <w:tc>
          <w:tcPr>
            <w:tcW w:w="130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324486">
            <w:pPr>
              <w:pStyle w:val="TableText"/>
            </w:pPr>
            <w:r w:rsidRPr="00272C9F">
              <w:t>16-Sept</w:t>
            </w:r>
          </w:p>
        </w:tc>
        <w:tc>
          <w:tcPr>
            <w:tcW w:w="12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5AEC" w:rsidRPr="00272C9F" w:rsidRDefault="00FB5AEC" w:rsidP="008B1872">
            <w:pPr>
              <w:pStyle w:val="TableText"/>
              <w:jc w:val="center"/>
            </w:pPr>
            <w:r w:rsidRPr="00272C9F">
              <w:t>1.12</w:t>
            </w:r>
          </w:p>
        </w:tc>
        <w:tc>
          <w:tcPr>
            <w:tcW w:w="11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-0.14</w:t>
            </w:r>
          </w:p>
        </w:tc>
        <w:tc>
          <w:tcPr>
            <w:tcW w:w="112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pPr>
            <w:r w:rsidRPr="00272C9F">
              <w:t>0.57</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-12%</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pPr>
            <w:r w:rsidRPr="00272C9F">
              <w:t>-40</w:t>
            </w:r>
          </w:p>
        </w:tc>
      </w:tr>
      <w:tr w:rsidR="00FB5AEC" w:rsidRPr="00272C9F" w:rsidTr="00324486">
        <w:trPr>
          <w:trHeight w:val="288"/>
        </w:trPr>
        <w:tc>
          <w:tcPr>
            <w:tcW w:w="1867" w:type="dxa"/>
            <w:tcBorders>
              <w:left w:val="single" w:sz="8" w:space="0" w:color="auto"/>
              <w:bottom w:val="single" w:sz="8" w:space="0" w:color="auto"/>
              <w:right w:val="single" w:sz="4" w:space="0" w:color="auto"/>
            </w:tcBorders>
            <w:shd w:val="clear" w:color="auto" w:fill="FFFFFF"/>
            <w:vAlign w:val="center"/>
          </w:tcPr>
          <w:p w:rsidR="00FB5AEC" w:rsidRPr="00272C9F" w:rsidRDefault="00FB5AEC" w:rsidP="00324486">
            <w:pPr>
              <w:pStyle w:val="TableText"/>
              <w:rPr>
                <w:rFonts w:eastAsiaTheme="minorHAnsi" w:cs="Calibri"/>
              </w:rPr>
            </w:pPr>
          </w:p>
        </w:tc>
        <w:tc>
          <w:tcPr>
            <w:tcW w:w="1301"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324486">
            <w:pPr>
              <w:pStyle w:val="TableText"/>
              <w:rPr>
                <w:b/>
              </w:rPr>
            </w:pPr>
            <w:r w:rsidRPr="00272C9F">
              <w:rPr>
                <w:b/>
              </w:rPr>
              <w:t>Average</w:t>
            </w:r>
          </w:p>
        </w:tc>
        <w:tc>
          <w:tcPr>
            <w:tcW w:w="12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5AEC" w:rsidRPr="00272C9F" w:rsidRDefault="00FB5AEC" w:rsidP="008B1872">
            <w:pPr>
              <w:pStyle w:val="TableText"/>
              <w:jc w:val="center"/>
              <w:rPr>
                <w:b/>
              </w:rPr>
            </w:pPr>
            <w:r w:rsidRPr="00272C9F">
              <w:rPr>
                <w:b/>
              </w:rPr>
              <w:t>1.09</w:t>
            </w:r>
          </w:p>
        </w:tc>
        <w:tc>
          <w:tcPr>
            <w:tcW w:w="11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rPr>
                <w:b/>
              </w:rPr>
            </w:pPr>
            <w:r w:rsidRPr="00272C9F">
              <w:rPr>
                <w:b/>
              </w:rPr>
              <w:t>-0.12</w:t>
            </w:r>
          </w:p>
        </w:tc>
        <w:tc>
          <w:tcPr>
            <w:tcW w:w="112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FB5AEC" w:rsidRPr="00272C9F" w:rsidRDefault="00FB5AEC" w:rsidP="008B1872">
            <w:pPr>
              <w:pStyle w:val="TableText"/>
              <w:jc w:val="center"/>
              <w:rPr>
                <w:b/>
              </w:rPr>
            </w:pPr>
            <w:r w:rsidRPr="00272C9F">
              <w:rPr>
                <w:b/>
              </w:rPr>
              <w:t>0.51</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rPr>
                <w:b/>
              </w:rPr>
            </w:pPr>
            <w:r w:rsidRPr="00272C9F">
              <w:rPr>
                <w:b/>
              </w:rPr>
              <w:t>-11%</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FB5AEC" w:rsidRPr="00272C9F" w:rsidRDefault="00FB5AEC" w:rsidP="008B1872">
            <w:pPr>
              <w:pStyle w:val="TableText"/>
              <w:jc w:val="center"/>
              <w:rPr>
                <w:b/>
              </w:rPr>
            </w:pPr>
            <w:r w:rsidRPr="00272C9F">
              <w:rPr>
                <w:b/>
              </w:rPr>
              <w:t>-34</w:t>
            </w:r>
          </w:p>
        </w:tc>
      </w:tr>
    </w:tbl>
    <w:p w:rsidR="00FB5AEC" w:rsidRPr="00272C9F" w:rsidRDefault="00FB5AEC" w:rsidP="00FB5AEC">
      <w:pPr>
        <w:pStyle w:val="Footnote"/>
        <w:ind w:firstLine="180"/>
        <w:rPr>
          <w:sz w:val="17"/>
          <w:szCs w:val="17"/>
        </w:rPr>
      </w:pPr>
      <w:r w:rsidRPr="00272C9F">
        <w:rPr>
          <w:sz w:val="17"/>
          <w:szCs w:val="17"/>
        </w:rPr>
        <w:t>* = Significant at 90% confidence, ** = Significant at 95% confidence</w:t>
      </w:r>
    </w:p>
    <w:p w:rsidR="003D2A6B" w:rsidRDefault="003D2A6B" w:rsidP="0003743F"/>
    <w:p w:rsidR="00F82A94" w:rsidRDefault="00F82A94" w:rsidP="00DE4A06">
      <w:pPr>
        <w:pStyle w:val="Heading2"/>
        <w:spacing w:before="0" w:after="0" w:line="276" w:lineRule="auto"/>
        <w:rPr>
          <w:rFonts w:ascii="Times New Roman" w:hAnsi="Times New Roman" w:cs="Times New Roman"/>
          <w:color w:val="000000" w:themeColor="text1"/>
        </w:rPr>
      </w:pPr>
      <w:bookmarkStart w:id="253" w:name="_Toc415749035"/>
      <w:r w:rsidRPr="00463C7B">
        <w:rPr>
          <w:rFonts w:ascii="Times New Roman" w:hAnsi="Times New Roman" w:cs="Times New Roman"/>
          <w:color w:val="000000" w:themeColor="text1"/>
        </w:rPr>
        <w:t>Non-Residential SPP Rates</w:t>
      </w:r>
      <w:r>
        <w:rPr>
          <w:rFonts w:ascii="Times New Roman" w:hAnsi="Times New Roman" w:cs="Times New Roman"/>
          <w:color w:val="000000" w:themeColor="text1"/>
        </w:rPr>
        <w:t xml:space="preserve"> </w:t>
      </w:r>
      <w:r w:rsidRPr="0003743F">
        <w:rPr>
          <w:rFonts w:ascii="Times New Roman" w:hAnsi="Times New Roman" w:cs="Times New Roman"/>
          <w:color w:val="000000" w:themeColor="text1"/>
        </w:rPr>
        <w:t>Ex-</w:t>
      </w:r>
      <w:r>
        <w:rPr>
          <w:rFonts w:ascii="Times New Roman" w:hAnsi="Times New Roman" w:cs="Times New Roman"/>
          <w:color w:val="000000" w:themeColor="text1"/>
        </w:rPr>
        <w:t xml:space="preserve">Ante </w:t>
      </w:r>
      <w:r w:rsidRPr="0003743F">
        <w:rPr>
          <w:rFonts w:ascii="Times New Roman" w:hAnsi="Times New Roman" w:cs="Times New Roman"/>
          <w:color w:val="000000" w:themeColor="text1"/>
        </w:rPr>
        <w:t>Evaluation Methodology</w:t>
      </w:r>
      <w:bookmarkEnd w:id="253"/>
    </w:p>
    <w:p w:rsidR="00F82A94" w:rsidRDefault="00F82A94" w:rsidP="00DE4A06">
      <w:pPr>
        <w:spacing w:line="276" w:lineRule="auto"/>
      </w:pPr>
    </w:p>
    <w:p w:rsidR="00DE4A06" w:rsidRDefault="00DE4A06" w:rsidP="00DE4A06">
      <w:pPr>
        <w:spacing w:line="276" w:lineRule="auto"/>
      </w:pPr>
      <w:r w:rsidRPr="007B101A">
        <w:t>As mentioned earlier in this report, the CPUC Load Impact Protocols</w:t>
      </w:r>
      <w:r w:rsidRPr="00CF558E">
        <w:rPr>
          <w:rStyle w:val="FootnoteReference"/>
        </w:rPr>
        <w:footnoteReference w:id="18"/>
      </w:r>
      <w:r w:rsidRPr="007B101A">
        <w:t xml:space="preserve"> require that ex ante load impacts be estimated assuming weather conditions associated with both normal and extreme utility operating conditions</w:t>
      </w:r>
      <w:r>
        <w:t xml:space="preserve">. </w:t>
      </w:r>
      <w:r w:rsidRPr="007B101A">
        <w:t xml:space="preserve">Normal conditions are defined as those that would be expected to occur once every </w:t>
      </w:r>
      <w:r>
        <w:t>2</w:t>
      </w:r>
      <w:r w:rsidRPr="007B101A">
        <w:t xml:space="preserve"> years (1-in-2 conditions) and extreme conditions are those that would be expected to occur once every </w:t>
      </w:r>
      <w:r>
        <w:t>10</w:t>
      </w:r>
      <w:r w:rsidRPr="007B101A">
        <w:t xml:space="preserve"> years (1-in-10 conditions)</w:t>
      </w:r>
      <w:r>
        <w:t>.</w:t>
      </w:r>
    </w:p>
    <w:p w:rsidR="00DE4A06" w:rsidRDefault="00DE4A06" w:rsidP="0003743F"/>
    <w:p w:rsidR="00DE4A06" w:rsidRPr="00272C9F" w:rsidRDefault="00DE4A06" w:rsidP="00DE4A06">
      <w:pPr>
        <w:pStyle w:val="Heading3"/>
        <w:keepLines/>
        <w:spacing w:before="0" w:after="0" w:line="276" w:lineRule="auto"/>
        <w:ind w:hanging="180"/>
      </w:pPr>
      <w:bookmarkStart w:id="254" w:name="_Toc414350783"/>
      <w:bookmarkStart w:id="255" w:name="_Toc414441450"/>
      <w:bookmarkStart w:id="256" w:name="_Toc415749036"/>
      <w:r w:rsidRPr="007B101A">
        <w:t>Reference</w:t>
      </w:r>
      <w:r w:rsidRPr="00272C9F">
        <w:t xml:space="preserve"> Loads</w:t>
      </w:r>
      <w:bookmarkEnd w:id="254"/>
      <w:bookmarkEnd w:id="255"/>
      <w:bookmarkEnd w:id="256"/>
    </w:p>
    <w:p w:rsidR="00DE4A06" w:rsidRDefault="00DE4A06" w:rsidP="00DE4A06">
      <w:pPr>
        <w:spacing w:line="276" w:lineRule="auto"/>
      </w:pPr>
    </w:p>
    <w:p w:rsidR="00DE4A06" w:rsidRDefault="00DE4A06" w:rsidP="00DE4A06">
      <w:pPr>
        <w:pStyle w:val="BodyParagraph"/>
        <w:spacing w:after="0" w:line="276" w:lineRule="auto"/>
        <w:ind w:firstLine="540"/>
        <w:rPr>
          <w:rFonts w:ascii="Times New Roman" w:hAnsi="Times New Roman"/>
          <w:sz w:val="24"/>
          <w:szCs w:val="24"/>
        </w:rPr>
      </w:pPr>
      <w:r w:rsidRPr="00DE4A06">
        <w:rPr>
          <w:rFonts w:ascii="Times New Roman" w:hAnsi="Times New Roman"/>
          <w:sz w:val="24"/>
          <w:szCs w:val="24"/>
        </w:rPr>
        <w:t xml:space="preserve">Reference loads provide a baseline level of consumption for customers representing what their electricity usage would be in the future if they did not switch to an SPP rate, but rather remained on their current rate (i.e., they are an estimate of counterfactual consumption). Reference loads can be compared to the predicted loads for customers after they transition to SPP rates to assess the effect of the new rates. </w:t>
      </w:r>
    </w:p>
    <w:p w:rsidR="00DE4A06" w:rsidRPr="00DE4A06" w:rsidRDefault="00DE4A06" w:rsidP="00DE4A06">
      <w:pPr>
        <w:pStyle w:val="BodyParagraph"/>
        <w:spacing w:after="0" w:line="276" w:lineRule="auto"/>
        <w:rPr>
          <w:rFonts w:ascii="Times New Roman" w:hAnsi="Times New Roman"/>
          <w:sz w:val="24"/>
          <w:szCs w:val="24"/>
        </w:rPr>
      </w:pPr>
    </w:p>
    <w:p w:rsidR="00DE4A06" w:rsidRPr="00DE4A06" w:rsidRDefault="00DE4A06" w:rsidP="00DE4A06">
      <w:pPr>
        <w:pStyle w:val="BodyParagraph"/>
        <w:spacing w:after="0" w:line="276" w:lineRule="auto"/>
        <w:ind w:firstLine="540"/>
        <w:rPr>
          <w:rFonts w:ascii="Times New Roman" w:hAnsi="Times New Roman"/>
          <w:sz w:val="24"/>
          <w:szCs w:val="24"/>
        </w:rPr>
      </w:pPr>
      <w:r w:rsidRPr="00DE4A06">
        <w:rPr>
          <w:rFonts w:ascii="Times New Roman" w:hAnsi="Times New Roman"/>
          <w:sz w:val="24"/>
          <w:szCs w:val="24"/>
        </w:rPr>
        <w:t xml:space="preserve">Since nearly all small commercial customers in SDG&amp;E’s service territory are currently on a non-time-varying rate, there is ample data that can be used to model reference loads. The best approach for this modeling (in the absence of holding back a control group) is to develop a regression model that predicts electricity consumption as a function of weather conditions, month, day of week, hour of day, and other variables that influence usage. To develop the best possible model, 10 specifications were tested and the one that most accurately predicted </w:t>
      </w:r>
      <w:r w:rsidRPr="00DE4A06">
        <w:rPr>
          <w:rFonts w:ascii="Times New Roman" w:hAnsi="Times New Roman"/>
          <w:sz w:val="24"/>
          <w:szCs w:val="24"/>
        </w:rPr>
        <w:lastRenderedPageBreak/>
        <w:t>loads during an out-of-sample test was selected as the final model. This model is shown as Equation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7296"/>
        <w:gridCol w:w="679"/>
      </w:tblGrid>
      <w:tr w:rsidR="00DE4A06" w:rsidRPr="00272C9F" w:rsidTr="00324486">
        <w:trPr>
          <w:gridAfter w:val="1"/>
          <w:wAfter w:w="679" w:type="dxa"/>
          <w:trHeight w:val="720"/>
        </w:trPr>
        <w:tc>
          <w:tcPr>
            <w:tcW w:w="1601" w:type="dxa"/>
            <w:hideMark/>
          </w:tcPr>
          <w:p w:rsidR="00DE4A06" w:rsidRPr="00272C9F" w:rsidRDefault="00DE4A06" w:rsidP="00324486">
            <w:pPr>
              <w:pStyle w:val="BodyParagraph"/>
              <w:spacing w:after="0"/>
              <w:rPr>
                <w:sz w:val="21"/>
                <w:szCs w:val="21"/>
              </w:rPr>
            </w:pPr>
          </w:p>
        </w:tc>
        <w:tc>
          <w:tcPr>
            <w:tcW w:w="7296" w:type="dxa"/>
            <w:vAlign w:val="center"/>
            <w:hideMark/>
          </w:tcPr>
          <w:p w:rsidR="00DE4A06" w:rsidRPr="00272C9F" w:rsidRDefault="00947B52" w:rsidP="00324486">
            <w:pPr>
              <w:pStyle w:val="BodyParagraph"/>
              <w:spacing w:after="0"/>
              <w:ind w:left="1440"/>
              <w:rPr>
                <w:sz w:val="19"/>
                <w:szCs w:val="19"/>
              </w:rPr>
            </w:pPr>
            <m:oMath>
              <m:sSub>
                <m:sSubPr>
                  <m:ctrlPr>
                    <w:rPr>
                      <w:rFonts w:ascii="Cambria Math" w:hAnsi="Cambria Math"/>
                      <w:i/>
                      <w:iCs/>
                      <w:sz w:val="19"/>
                      <w:szCs w:val="19"/>
                    </w:rPr>
                  </m:ctrlPr>
                </m:sSubPr>
                <m:e>
                  <m:r>
                    <w:rPr>
                      <w:rFonts w:ascii="Cambria Math" w:hAnsi="Cambria Math"/>
                      <w:sz w:val="19"/>
                      <w:szCs w:val="19"/>
                    </w:rPr>
                    <m:t>kwh</m:t>
                  </m:r>
                </m:e>
                <m:sub>
                  <m:r>
                    <w:rPr>
                      <w:rFonts w:ascii="Cambria Math" w:hAnsi="Cambria Math"/>
                      <w:sz w:val="19"/>
                      <w:szCs w:val="19"/>
                    </w:rPr>
                    <m:t>i,  h</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0</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1</m:t>
                  </m:r>
                </m:sub>
              </m:sSub>
              <m:d>
                <m:dPr>
                  <m:ctrlPr>
                    <w:rPr>
                      <w:rFonts w:ascii="Cambria Math" w:hAnsi="Cambria Math"/>
                      <w:i/>
                      <w:iCs/>
                      <w:sz w:val="19"/>
                      <w:szCs w:val="19"/>
                    </w:rPr>
                  </m:ctrlPr>
                </m:dPr>
                <m:e>
                  <m:sSub>
                    <m:sSubPr>
                      <m:ctrlPr>
                        <w:rPr>
                          <w:rFonts w:ascii="Cambria Math" w:hAnsi="Cambria Math"/>
                          <w:i/>
                          <w:iCs/>
                          <w:sz w:val="19"/>
                          <w:szCs w:val="19"/>
                        </w:rPr>
                      </m:ctrlPr>
                    </m:sSubPr>
                    <m:e>
                      <m:r>
                        <w:rPr>
                          <w:rFonts w:ascii="Cambria Math" w:hAnsi="Cambria Math"/>
                          <w:sz w:val="19"/>
                          <w:szCs w:val="19"/>
                        </w:rPr>
                        <m:t>CDD</m:t>
                      </m:r>
                    </m:e>
                    <m:sub>
                      <m:r>
                        <w:rPr>
                          <w:rFonts w:ascii="Cambria Math" w:hAnsi="Cambria Math"/>
                          <w:sz w:val="19"/>
                          <w:szCs w:val="19"/>
                        </w:rPr>
                        <m:t>d</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weekday</m:t>
                      </m:r>
                    </m:e>
                    <m:sub>
                      <m:r>
                        <w:rPr>
                          <w:rFonts w:ascii="Cambria Math" w:hAnsi="Cambria Math"/>
                          <w:sz w:val="19"/>
                          <w:szCs w:val="19"/>
                        </w:rPr>
                        <m:t>d</m:t>
                      </m:r>
                    </m:sub>
                  </m:sSub>
                </m:e>
              </m:d>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2</m:t>
                  </m:r>
                </m:sub>
              </m:sSub>
              <m:d>
                <m:dPr>
                  <m:ctrlPr>
                    <w:rPr>
                      <w:rFonts w:ascii="Cambria Math" w:hAnsi="Cambria Math"/>
                      <w:i/>
                      <w:iCs/>
                      <w:sz w:val="19"/>
                      <w:szCs w:val="19"/>
                    </w:rPr>
                  </m:ctrlPr>
                </m:dPr>
                <m:e>
                  <m:sSubSup>
                    <m:sSubSupPr>
                      <m:ctrlPr>
                        <w:rPr>
                          <w:rFonts w:ascii="Cambria Math" w:hAnsi="Cambria Math"/>
                          <w:i/>
                          <w:iCs/>
                          <w:sz w:val="19"/>
                          <w:szCs w:val="19"/>
                        </w:rPr>
                      </m:ctrlPr>
                    </m:sSubSupPr>
                    <m:e>
                      <m:r>
                        <w:rPr>
                          <w:rFonts w:ascii="Cambria Math" w:hAnsi="Cambria Math"/>
                          <w:sz w:val="19"/>
                          <w:szCs w:val="19"/>
                        </w:rPr>
                        <m:t>CDD</m:t>
                      </m:r>
                    </m:e>
                    <m:sub>
                      <m:r>
                        <w:rPr>
                          <w:rFonts w:ascii="Cambria Math" w:hAnsi="Cambria Math"/>
                          <w:sz w:val="19"/>
                          <w:szCs w:val="19"/>
                        </w:rPr>
                        <m:t>d</m:t>
                      </m:r>
                    </m:sub>
                    <m:sup>
                      <m:r>
                        <w:rPr>
                          <w:rFonts w:ascii="Cambria Math" w:hAnsi="Cambria Math"/>
                          <w:sz w:val="19"/>
                          <w:szCs w:val="19"/>
                        </w:rPr>
                        <m:t>2</m:t>
                      </m:r>
                    </m:sup>
                  </m:sSubSup>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weekday</m:t>
                      </m:r>
                    </m:e>
                    <m:sub>
                      <m:r>
                        <w:rPr>
                          <w:rFonts w:ascii="Cambria Math" w:hAnsi="Cambria Math"/>
                          <w:sz w:val="19"/>
                          <w:szCs w:val="19"/>
                        </w:rPr>
                        <m:t>d</m:t>
                      </m:r>
                    </m:sub>
                  </m:sSub>
                </m:e>
              </m:d>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3</m:t>
                  </m:r>
                </m:sub>
              </m:sSub>
              <m:sSub>
                <m:sSubPr>
                  <m:ctrlPr>
                    <w:rPr>
                      <w:rFonts w:ascii="Cambria Math" w:hAnsi="Cambria Math"/>
                      <w:i/>
                      <w:iCs/>
                      <w:sz w:val="19"/>
                      <w:szCs w:val="19"/>
                    </w:rPr>
                  </m:ctrlPr>
                </m:sSubPr>
                <m:e>
                  <m:r>
                    <w:rPr>
                      <w:rFonts w:ascii="Cambria Math" w:hAnsi="Cambria Math"/>
                      <w:sz w:val="19"/>
                      <w:szCs w:val="19"/>
                    </w:rPr>
                    <m:t>weekday</m:t>
                  </m:r>
                </m:e>
                <m:sub>
                  <m:r>
                    <w:rPr>
                      <w:rFonts w:ascii="Cambria Math" w:hAnsi="Cambria Math"/>
                      <w:sz w:val="19"/>
                      <w:szCs w:val="19"/>
                    </w:rPr>
                    <m:t>d</m:t>
                  </m:r>
                </m:sub>
              </m:sSub>
              <m:r>
                <w:rPr>
                  <w:rFonts w:ascii="Cambria Math" w:hAnsi="Cambria Math"/>
                  <w:sz w:val="19"/>
                  <w:szCs w:val="19"/>
                </w:rPr>
                <m:t>+</m:t>
              </m:r>
              <m:sSub>
                <m:sSubPr>
                  <m:ctrlPr>
                    <w:rPr>
                      <w:rFonts w:ascii="Cambria Math" w:hAnsi="Cambria Math"/>
                      <w:i/>
                      <w:iCs/>
                      <w:sz w:val="19"/>
                      <w:szCs w:val="19"/>
                    </w:rPr>
                  </m:ctrlPr>
                </m:sSubPr>
                <m:e>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4</m:t>
                      </m:r>
                    </m:sub>
                  </m:sSub>
                  <m:r>
                    <w:rPr>
                      <w:rFonts w:ascii="Cambria Math" w:hAnsi="Cambria Math"/>
                      <w:sz w:val="19"/>
                      <w:szCs w:val="19"/>
                    </w:rPr>
                    <m:t>month</m:t>
                  </m:r>
                </m:e>
                <m:sub>
                  <m:r>
                    <w:rPr>
                      <w:rFonts w:ascii="Cambria Math" w:hAnsi="Cambria Math"/>
                      <w:sz w:val="19"/>
                      <w:szCs w:val="19"/>
                    </w:rPr>
                    <m:t>d</m:t>
                  </m:r>
                </m:sub>
              </m:sSub>
              <m:r>
                <w:rPr>
                  <w:rFonts w:ascii="Cambria Math" w:hAnsi="Cambria Math"/>
                  <w:sz w:val="19"/>
                  <w:szCs w:val="19"/>
                </w:rPr>
                <m:t>+</m:t>
              </m:r>
              <m:sSub>
                <m:sSubPr>
                  <m:ctrlPr>
                    <w:rPr>
                      <w:rFonts w:ascii="Cambria Math" w:hAnsi="Cambria Math"/>
                      <w:i/>
                      <w:iCs/>
                      <w:sz w:val="19"/>
                      <w:szCs w:val="19"/>
                    </w:rPr>
                  </m:ctrlPr>
                </m:sSubPr>
                <m:e>
                  <m:r>
                    <w:rPr>
                      <w:rFonts w:ascii="Cambria Math" w:hAnsi="Cambria Math"/>
                      <w:sz w:val="19"/>
                      <w:szCs w:val="19"/>
                    </w:rPr>
                    <m:t>ε</m:t>
                  </m:r>
                </m:e>
                <m:sub>
                  <m:r>
                    <w:rPr>
                      <w:rFonts w:ascii="Cambria Math" w:hAnsi="Cambria Math"/>
                      <w:sz w:val="19"/>
                      <w:szCs w:val="19"/>
                    </w:rPr>
                    <m:t>i,h</m:t>
                  </m:r>
                </m:sub>
              </m:sSub>
              <m:r>
                <w:rPr>
                  <w:rFonts w:ascii="Cambria Math" w:hAnsi="Cambria Math"/>
                  <w:sz w:val="19"/>
                  <w:szCs w:val="19"/>
                </w:rPr>
                <m:t> </m:t>
              </m:r>
            </m:oMath>
            <w:r w:rsidR="00DE4A06" w:rsidRPr="00272C9F">
              <w:rPr>
                <w:sz w:val="19"/>
                <w:szCs w:val="19"/>
              </w:rPr>
              <w:t xml:space="preserve"> </w:t>
            </w:r>
          </w:p>
          <w:p w:rsidR="00DE4A06" w:rsidRPr="00272C9F" w:rsidRDefault="00DE4A06" w:rsidP="00324486">
            <w:pPr>
              <w:pStyle w:val="BodyParagraph"/>
              <w:spacing w:after="0"/>
              <w:rPr>
                <w:sz w:val="19"/>
                <w:szCs w:val="19"/>
              </w:rPr>
            </w:pPr>
          </w:p>
        </w:tc>
      </w:tr>
      <w:tr w:rsidR="00DE4A06" w:rsidRPr="00272C9F" w:rsidTr="00324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BED1"/>
        </w:tblPrEx>
        <w:trPr>
          <w:cantSplit/>
          <w:tblHeader/>
        </w:trPr>
        <w:tc>
          <w:tcPr>
            <w:tcW w:w="1601" w:type="dxa"/>
            <w:tcBorders>
              <w:top w:val="single" w:sz="4" w:space="0" w:color="auto"/>
              <w:left w:val="single" w:sz="4" w:space="0" w:color="auto"/>
              <w:bottom w:val="single" w:sz="4" w:space="0" w:color="1F497D" w:themeColor="text2"/>
              <w:right w:val="single" w:sz="4" w:space="0" w:color="FFFFFF" w:themeColor="background1"/>
            </w:tcBorders>
            <w:shd w:val="clear" w:color="auto" w:fill="0070CD"/>
            <w:hideMark/>
          </w:tcPr>
          <w:p w:rsidR="00DE4A06" w:rsidRPr="00E25E3F" w:rsidRDefault="00DE4A06" w:rsidP="00324486">
            <w:pPr>
              <w:pStyle w:val="TableHeader"/>
            </w:pPr>
            <w:r w:rsidRPr="00E25E3F">
              <w:t>Variable</w:t>
            </w:r>
          </w:p>
        </w:tc>
        <w:tc>
          <w:tcPr>
            <w:tcW w:w="7975" w:type="dxa"/>
            <w:gridSpan w:val="2"/>
            <w:tcBorders>
              <w:top w:val="single" w:sz="4" w:space="0" w:color="auto"/>
              <w:left w:val="single" w:sz="4" w:space="0" w:color="FFFFFF" w:themeColor="background1"/>
              <w:bottom w:val="single" w:sz="4" w:space="0" w:color="1F497D" w:themeColor="text2"/>
              <w:right w:val="single" w:sz="4" w:space="0" w:color="auto"/>
            </w:tcBorders>
            <w:shd w:val="clear" w:color="auto" w:fill="0070CD"/>
            <w:hideMark/>
          </w:tcPr>
          <w:p w:rsidR="00DE4A06" w:rsidRPr="00E25E3F" w:rsidRDefault="00DE4A06" w:rsidP="00324486">
            <w:pPr>
              <w:pStyle w:val="TableHeader"/>
            </w:pPr>
            <w:r w:rsidRPr="00E25E3F">
              <w:t>Definition</w:t>
            </w:r>
          </w:p>
        </w:tc>
      </w:tr>
      <w:tr w:rsidR="00DE4A06" w:rsidRPr="00272C9F" w:rsidTr="00324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BED1"/>
        </w:tblPrEx>
        <w:tc>
          <w:tcPr>
            <w:tcW w:w="1601" w:type="dxa"/>
            <w:tcBorders>
              <w:top w:val="single" w:sz="4" w:space="0" w:color="1F497D" w:themeColor="text2"/>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272C9F" w:rsidRDefault="00DE4A06" w:rsidP="00324486">
            <w:pPr>
              <w:pStyle w:val="BodyParagraph"/>
              <w:spacing w:after="0"/>
              <w:jc w:val="center"/>
              <w:rPr>
                <w:rFonts w:ascii="Times New Roman" w:hAnsi="Times New Roman"/>
                <w:i/>
                <w:sz w:val="21"/>
                <w:szCs w:val="21"/>
              </w:rPr>
            </w:pPr>
            <w:r w:rsidRPr="00272C9F">
              <w:rPr>
                <w:rFonts w:ascii="Times New Roman" w:hAnsi="Times New Roman"/>
                <w:i/>
                <w:sz w:val="21"/>
                <w:szCs w:val="21"/>
              </w:rPr>
              <w:t>h, i, d</w:t>
            </w:r>
          </w:p>
        </w:tc>
        <w:tc>
          <w:tcPr>
            <w:tcW w:w="7975" w:type="dxa"/>
            <w:gridSpan w:val="2"/>
            <w:tcBorders>
              <w:top w:val="single" w:sz="4" w:space="0" w:color="1F497D" w:themeColor="text2"/>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E25E3F" w:rsidRDefault="00DE4A06" w:rsidP="00324486">
            <w:pPr>
              <w:pStyle w:val="TableText"/>
            </w:pPr>
            <w:r w:rsidRPr="00E25E3F">
              <w:t>Indicate observations for each hour (h), industry (i) and day (d).</w:t>
            </w:r>
          </w:p>
        </w:tc>
      </w:tr>
      <w:tr w:rsidR="00DE4A06" w:rsidRPr="00272C9F" w:rsidTr="00324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BED1"/>
        </w:tblPrEx>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β</m:t>
                    </m:r>
                  </m:e>
                  <m:sub>
                    <m:r>
                      <w:rPr>
                        <w:rFonts w:ascii="Cambria Math" w:hAnsi="Cambria Math"/>
                        <w:sz w:val="19"/>
                        <w:szCs w:val="19"/>
                      </w:rPr>
                      <m:t>0</m:t>
                    </m:r>
                  </m:sub>
                </m:sSub>
              </m:oMath>
            </m:oMathPara>
          </w:p>
        </w:tc>
        <w:tc>
          <w:tcPr>
            <w:tcW w:w="79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E25E3F" w:rsidRDefault="00DE4A06" w:rsidP="00324486">
            <w:pPr>
              <w:pStyle w:val="TableText"/>
            </w:pPr>
            <w:r w:rsidRPr="00E25E3F">
              <w:t>The model constant.</w:t>
            </w:r>
          </w:p>
        </w:tc>
      </w:tr>
      <w:tr w:rsidR="00DE4A06" w:rsidRPr="00272C9F" w:rsidTr="00324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BED1"/>
        </w:tblPrEx>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CDD</m:t>
                    </m:r>
                  </m:e>
                  <m:sub>
                    <m:r>
                      <w:rPr>
                        <w:rFonts w:ascii="Cambria Math" w:hAnsi="Cambria Math"/>
                        <w:sz w:val="19"/>
                        <w:szCs w:val="19"/>
                      </w:rPr>
                      <m:t>d</m:t>
                    </m:r>
                  </m:sub>
                </m:sSub>
              </m:oMath>
            </m:oMathPara>
          </w:p>
        </w:tc>
        <w:tc>
          <w:tcPr>
            <w:tcW w:w="79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E25E3F" w:rsidRDefault="00DE4A06" w:rsidP="00324486">
            <w:pPr>
              <w:pStyle w:val="TableText"/>
            </w:pPr>
            <w:r w:rsidRPr="00E25E3F">
              <w:t>Cooling degree days on day d, defined as max(0, Avg. daily temp – 60)</w:t>
            </w:r>
            <w:r>
              <w:t>.</w:t>
            </w:r>
          </w:p>
        </w:tc>
      </w:tr>
      <w:tr w:rsidR="00DE4A06" w:rsidRPr="00272C9F" w:rsidTr="00324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BED1"/>
        </w:tblPrEx>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weekday</m:t>
                    </m:r>
                  </m:e>
                  <m:sub>
                    <m:r>
                      <w:rPr>
                        <w:rFonts w:ascii="Cambria Math" w:hAnsi="Cambria Math"/>
                        <w:sz w:val="19"/>
                        <w:szCs w:val="19"/>
                      </w:rPr>
                      <m:t>d</m:t>
                    </m:r>
                  </m:sub>
                </m:sSub>
              </m:oMath>
            </m:oMathPara>
          </w:p>
        </w:tc>
        <w:tc>
          <w:tcPr>
            <w:tcW w:w="79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E25E3F" w:rsidRDefault="00DE4A06" w:rsidP="00324486">
            <w:pPr>
              <w:pStyle w:val="TableText"/>
            </w:pPr>
            <w:r w:rsidRPr="00E25E3F">
              <w:t>A binary indicator of whether the day of the observation is a weekday (0=weekend, 1=weekday).</w:t>
            </w:r>
          </w:p>
        </w:tc>
      </w:tr>
      <w:tr w:rsidR="00DE4A06" w:rsidRPr="00272C9F" w:rsidTr="00324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BED1"/>
        </w:tblPrEx>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272C9F" w:rsidRDefault="00947B52" w:rsidP="00324486">
            <w:pPr>
              <w:pStyle w:val="BodyParagraph"/>
              <w:spacing w:after="0"/>
              <w:jc w:val="center"/>
              <w:rPr>
                <w:rFonts w:ascii="Times New Roman" w:hAnsi="Times New Roman"/>
                <w:i/>
                <w:sz w:val="21"/>
                <w:szCs w:val="21"/>
              </w:rPr>
            </w:pPr>
            <m:oMathPara>
              <m:oMath>
                <m:sSub>
                  <m:sSubPr>
                    <m:ctrlPr>
                      <w:rPr>
                        <w:rFonts w:ascii="Cambria Math" w:hAnsi="Cambria Math"/>
                        <w:i/>
                        <w:iCs/>
                        <w:sz w:val="19"/>
                        <w:szCs w:val="19"/>
                      </w:rPr>
                    </m:ctrlPr>
                  </m:sSubPr>
                  <m:e>
                    <m:r>
                      <w:rPr>
                        <w:rFonts w:ascii="Cambria Math" w:hAnsi="Cambria Math"/>
                        <w:sz w:val="19"/>
                        <w:szCs w:val="19"/>
                      </w:rPr>
                      <m:t>month</m:t>
                    </m:r>
                  </m:e>
                  <m:sub>
                    <m:r>
                      <w:rPr>
                        <w:rFonts w:ascii="Cambria Math" w:hAnsi="Cambria Math"/>
                        <w:sz w:val="19"/>
                        <w:szCs w:val="19"/>
                      </w:rPr>
                      <m:t>d</m:t>
                    </m:r>
                  </m:sub>
                </m:sSub>
              </m:oMath>
            </m:oMathPara>
          </w:p>
        </w:tc>
        <w:tc>
          <w:tcPr>
            <w:tcW w:w="79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E4A06" w:rsidRPr="00E25E3F" w:rsidRDefault="00DE4A06" w:rsidP="00324486">
            <w:pPr>
              <w:pStyle w:val="TableText"/>
            </w:pPr>
            <w:r w:rsidRPr="00E25E3F">
              <w:t>Set of dummy variables for each month of the year</w:t>
            </w:r>
            <w:r>
              <w:t>.</w:t>
            </w:r>
          </w:p>
        </w:tc>
      </w:tr>
      <w:tr w:rsidR="00DE4A06" w:rsidRPr="00272C9F" w:rsidTr="003244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BED1"/>
        </w:tblPrEx>
        <w:tc>
          <w:tcPr>
            <w:tcW w:w="16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E4A06" w:rsidRPr="00272C9F" w:rsidRDefault="00947B52" w:rsidP="00324486">
            <w:pPr>
              <w:pStyle w:val="BodyParagraph"/>
              <w:spacing w:after="0"/>
              <w:jc w:val="center"/>
              <w:rPr>
                <w:rFonts w:ascii="Calibri" w:eastAsia="SimSun" w:hAnsi="Calibri" w:cs="Arial"/>
                <w:iCs/>
                <w:sz w:val="19"/>
                <w:szCs w:val="19"/>
              </w:rPr>
            </w:pPr>
            <m:oMathPara>
              <m:oMath>
                <m:sSub>
                  <m:sSubPr>
                    <m:ctrlPr>
                      <w:rPr>
                        <w:rFonts w:ascii="Cambria Math" w:hAnsi="Cambria Math"/>
                        <w:i/>
                        <w:iCs/>
                        <w:sz w:val="19"/>
                        <w:szCs w:val="19"/>
                      </w:rPr>
                    </m:ctrlPr>
                  </m:sSubPr>
                  <m:e>
                    <m:r>
                      <w:rPr>
                        <w:rFonts w:ascii="Cambria Math" w:hAnsi="Cambria Math"/>
                        <w:sz w:val="19"/>
                        <w:szCs w:val="19"/>
                      </w:rPr>
                      <m:t>ε</m:t>
                    </m:r>
                  </m:e>
                  <m:sub>
                    <m:r>
                      <w:rPr>
                        <w:rFonts w:ascii="Cambria Math" w:hAnsi="Cambria Math"/>
                        <w:sz w:val="19"/>
                        <w:szCs w:val="19"/>
                      </w:rPr>
                      <m:t>h</m:t>
                    </m:r>
                  </m:sub>
                </m:sSub>
              </m:oMath>
            </m:oMathPara>
          </w:p>
        </w:tc>
        <w:tc>
          <w:tcPr>
            <w:tcW w:w="79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E4A06" w:rsidRPr="00E25E3F" w:rsidRDefault="00DE4A06" w:rsidP="00324486">
            <w:pPr>
              <w:pStyle w:val="TableText"/>
            </w:pPr>
            <w:r w:rsidRPr="00E25E3F">
              <w:t>Error term (assumed to be mean zero and independent of all other regressors)</w:t>
            </w:r>
            <w:r>
              <w:t>.</w:t>
            </w:r>
          </w:p>
        </w:tc>
      </w:tr>
    </w:tbl>
    <w:p w:rsidR="00DE4A06" w:rsidRPr="00DE4A06" w:rsidRDefault="00DE4A06" w:rsidP="00DE4A06">
      <w:pPr>
        <w:pStyle w:val="BodyParaAfterTableFigure"/>
        <w:ind w:firstLine="720"/>
        <w:rPr>
          <w:rFonts w:ascii="Times New Roman" w:hAnsi="Times New Roman"/>
          <w:sz w:val="24"/>
          <w:szCs w:val="24"/>
        </w:rPr>
      </w:pPr>
      <w:r w:rsidRPr="00DE4A06">
        <w:rPr>
          <w:rFonts w:ascii="Times New Roman" w:hAnsi="Times New Roman"/>
          <w:sz w:val="24"/>
          <w:szCs w:val="24"/>
        </w:rPr>
        <w:t xml:space="preserve">The reference load model was estimated separately for each small commercial industry type for each hour of the day and includes terms for a weekday dummy variable interacted with cooling degree days, the same weekday dummy interacted with cooling degree days squared, the weekday dummy by itself, and a set of dummy variables for the months of the year. This specification captures changes in weather conditions as well as seasonal variation in electricity usage and was used to estimate reference loads for every combination of industry, day type (weekday or weekend), month, and set of weather conditions. Estimated reference loads for the average small commercial customer throughout the year are presented in Table </w:t>
      </w:r>
      <w:r w:rsidR="00F345DA">
        <w:rPr>
          <w:rFonts w:ascii="Times New Roman" w:hAnsi="Times New Roman"/>
          <w:sz w:val="24"/>
          <w:szCs w:val="24"/>
        </w:rPr>
        <w:t>9</w:t>
      </w:r>
      <w:r>
        <w:rPr>
          <w:rFonts w:ascii="Times New Roman" w:hAnsi="Times New Roman"/>
          <w:sz w:val="24"/>
          <w:szCs w:val="24"/>
        </w:rPr>
        <w:t>-8</w:t>
      </w:r>
      <w:r w:rsidRPr="00DE4A06">
        <w:rPr>
          <w:rFonts w:ascii="Times New Roman" w:hAnsi="Times New Roman"/>
          <w:sz w:val="24"/>
          <w:szCs w:val="24"/>
        </w:rPr>
        <w:t xml:space="preserve">. </w:t>
      </w:r>
    </w:p>
    <w:p w:rsidR="00DE4A06" w:rsidRPr="00DE4A06" w:rsidRDefault="00DE4A06" w:rsidP="00DE4A06">
      <w:pPr>
        <w:pStyle w:val="BodyParagraph"/>
        <w:ind w:firstLine="720"/>
        <w:rPr>
          <w:rFonts w:ascii="Times New Roman" w:hAnsi="Times New Roman"/>
          <w:sz w:val="24"/>
          <w:szCs w:val="24"/>
        </w:rPr>
      </w:pPr>
      <w:r w:rsidRPr="00DE4A06">
        <w:rPr>
          <w:rFonts w:ascii="Times New Roman" w:hAnsi="Times New Roman"/>
          <w:sz w:val="24"/>
          <w:szCs w:val="24"/>
        </w:rPr>
        <w:t xml:space="preserve">The values in the table represent average load during the peak period for monthly peak days under each set of weather conditions. The highest reference loads during the peak period for this group of customers occur in September for each of the weather scenarios. During the summer months, the CAISO and SDG&amp;E based reference loads (and underlying weather) are quite similar under 1-in-2 year conditions. For 1-in-10 year conditions, the SDG&amp;E based weather conditions are typically a bit higher than the CAISO based conditions. </w:t>
      </w:r>
    </w:p>
    <w:p w:rsidR="00653FC5" w:rsidRDefault="00653FC5">
      <w:pPr>
        <w:rPr>
          <w:b/>
          <w:sz w:val="20"/>
          <w:szCs w:val="20"/>
        </w:rPr>
      </w:pPr>
      <w:r>
        <w:rPr>
          <w:b/>
          <w:sz w:val="20"/>
          <w:szCs w:val="20"/>
        </w:rPr>
        <w:br w:type="page"/>
      </w:r>
    </w:p>
    <w:p w:rsidR="00DE4A06" w:rsidRDefault="00DE4A06" w:rsidP="00DE4A06">
      <w:pPr>
        <w:jc w:val="center"/>
        <w:rPr>
          <w:b/>
          <w:sz w:val="20"/>
          <w:szCs w:val="20"/>
        </w:rPr>
      </w:pPr>
      <w:r w:rsidRPr="00DE4A06">
        <w:rPr>
          <w:b/>
          <w:sz w:val="20"/>
          <w:szCs w:val="20"/>
        </w:rPr>
        <w:lastRenderedPageBreak/>
        <w:t xml:space="preserve">Table </w:t>
      </w:r>
      <w:r w:rsidR="00F345DA">
        <w:rPr>
          <w:b/>
          <w:sz w:val="20"/>
          <w:szCs w:val="20"/>
        </w:rPr>
        <w:t>9</w:t>
      </w:r>
      <w:r w:rsidRPr="00DE4A06">
        <w:rPr>
          <w:b/>
          <w:sz w:val="20"/>
          <w:szCs w:val="20"/>
        </w:rPr>
        <w:t xml:space="preserve">-8: Estimated Reference Loads for Small Commercial Customer </w:t>
      </w:r>
    </w:p>
    <w:p w:rsidR="00DE4A06" w:rsidRPr="00DE4A06" w:rsidRDefault="00DE4A06" w:rsidP="00DE4A06">
      <w:pPr>
        <w:jc w:val="center"/>
        <w:rPr>
          <w:b/>
          <w:sz w:val="20"/>
          <w:szCs w:val="20"/>
        </w:rPr>
      </w:pPr>
      <w:r>
        <w:rPr>
          <w:b/>
          <w:sz w:val="20"/>
          <w:szCs w:val="20"/>
        </w:rPr>
        <w:t>u</w:t>
      </w:r>
      <w:r w:rsidRPr="00DE4A06">
        <w:rPr>
          <w:b/>
          <w:sz w:val="20"/>
          <w:szCs w:val="20"/>
        </w:rPr>
        <w:t>nder Ex Ante Weather Conditions</w:t>
      </w:r>
    </w:p>
    <w:tbl>
      <w:tblPr>
        <w:tblW w:w="5990" w:type="dxa"/>
        <w:jc w:val="center"/>
        <w:tblInd w:w="1053" w:type="dxa"/>
        <w:tblLook w:val="04A0" w:firstRow="1" w:lastRow="0" w:firstColumn="1" w:lastColumn="0" w:noHBand="0" w:noVBand="1"/>
      </w:tblPr>
      <w:tblGrid>
        <w:gridCol w:w="1510"/>
        <w:gridCol w:w="1012"/>
        <w:gridCol w:w="1228"/>
        <w:gridCol w:w="1012"/>
        <w:gridCol w:w="1228"/>
      </w:tblGrid>
      <w:tr w:rsidR="00DE4A06" w:rsidRPr="00272C9F" w:rsidTr="00324486">
        <w:trPr>
          <w:trHeight w:val="285"/>
          <w:jc w:val="center"/>
        </w:trPr>
        <w:tc>
          <w:tcPr>
            <w:tcW w:w="1510" w:type="dxa"/>
            <w:vMerge w:val="restart"/>
            <w:tcBorders>
              <w:top w:val="single" w:sz="4" w:space="0" w:color="auto"/>
              <w:left w:val="single" w:sz="4" w:space="0" w:color="auto"/>
              <w:bottom w:val="single" w:sz="4" w:space="0" w:color="000000"/>
              <w:right w:val="single" w:sz="4" w:space="0" w:color="FFFFFF"/>
            </w:tcBorders>
            <w:shd w:val="clear" w:color="auto" w:fill="0070CD"/>
            <w:vAlign w:val="center"/>
            <w:hideMark/>
          </w:tcPr>
          <w:p w:rsidR="00DE4A06" w:rsidRPr="00272C9F" w:rsidRDefault="00DE4A06" w:rsidP="00324486">
            <w:pPr>
              <w:pStyle w:val="TableHeader"/>
            </w:pPr>
            <w:r w:rsidRPr="00272C9F">
              <w:t>Month</w:t>
            </w:r>
          </w:p>
        </w:tc>
        <w:tc>
          <w:tcPr>
            <w:tcW w:w="4480" w:type="dxa"/>
            <w:gridSpan w:val="4"/>
            <w:tcBorders>
              <w:top w:val="single" w:sz="4" w:space="0" w:color="auto"/>
              <w:left w:val="nil"/>
              <w:bottom w:val="single" w:sz="4" w:space="0" w:color="FFFFFF"/>
              <w:right w:val="single" w:sz="4" w:space="0" w:color="000000"/>
            </w:tcBorders>
            <w:shd w:val="clear" w:color="auto" w:fill="0070CD"/>
            <w:vAlign w:val="center"/>
            <w:hideMark/>
          </w:tcPr>
          <w:p w:rsidR="00DE4A06" w:rsidRPr="00272C9F" w:rsidRDefault="00DE4A06" w:rsidP="00324486">
            <w:pPr>
              <w:pStyle w:val="TableHeader"/>
            </w:pPr>
            <w:r w:rsidRPr="00272C9F">
              <w:t>Reference Loads (kW)</w:t>
            </w:r>
          </w:p>
        </w:tc>
      </w:tr>
      <w:tr w:rsidR="00DE4A06" w:rsidRPr="00272C9F" w:rsidTr="00324486">
        <w:trPr>
          <w:trHeight w:val="285"/>
          <w:jc w:val="center"/>
        </w:trPr>
        <w:tc>
          <w:tcPr>
            <w:tcW w:w="1510" w:type="dxa"/>
            <w:vMerge/>
            <w:tcBorders>
              <w:top w:val="single" w:sz="4" w:space="0" w:color="auto"/>
              <w:left w:val="single" w:sz="4" w:space="0" w:color="auto"/>
              <w:bottom w:val="single" w:sz="4" w:space="0" w:color="000000"/>
              <w:right w:val="single" w:sz="4" w:space="0" w:color="FFFFFF"/>
            </w:tcBorders>
            <w:shd w:val="clear" w:color="auto" w:fill="0070CD"/>
            <w:vAlign w:val="center"/>
            <w:hideMark/>
          </w:tcPr>
          <w:p w:rsidR="00DE4A06" w:rsidRPr="00272C9F" w:rsidRDefault="00DE4A06" w:rsidP="00324486">
            <w:pPr>
              <w:pStyle w:val="TableHeader"/>
            </w:pPr>
          </w:p>
        </w:tc>
        <w:tc>
          <w:tcPr>
            <w:tcW w:w="2240" w:type="dxa"/>
            <w:gridSpan w:val="2"/>
            <w:tcBorders>
              <w:top w:val="single" w:sz="4" w:space="0" w:color="FFFFFF"/>
              <w:left w:val="nil"/>
              <w:bottom w:val="single" w:sz="4" w:space="0" w:color="FFFFFF"/>
              <w:right w:val="single" w:sz="4" w:space="0" w:color="FFFFFF"/>
            </w:tcBorders>
            <w:shd w:val="clear" w:color="auto" w:fill="0070CD"/>
            <w:noWrap/>
            <w:vAlign w:val="center"/>
            <w:hideMark/>
          </w:tcPr>
          <w:p w:rsidR="00DE4A06" w:rsidRPr="00272C9F" w:rsidRDefault="00DE4A06" w:rsidP="00324486">
            <w:pPr>
              <w:pStyle w:val="TableHeader"/>
            </w:pPr>
            <w:r w:rsidRPr="00272C9F">
              <w:t>CAISO</w:t>
            </w:r>
          </w:p>
        </w:tc>
        <w:tc>
          <w:tcPr>
            <w:tcW w:w="2240" w:type="dxa"/>
            <w:gridSpan w:val="2"/>
            <w:tcBorders>
              <w:top w:val="single" w:sz="4" w:space="0" w:color="FFFFFF"/>
              <w:left w:val="nil"/>
              <w:bottom w:val="single" w:sz="4" w:space="0" w:color="FFFFFF"/>
              <w:right w:val="single" w:sz="4" w:space="0" w:color="000000"/>
            </w:tcBorders>
            <w:shd w:val="clear" w:color="auto" w:fill="0070CD"/>
            <w:noWrap/>
            <w:vAlign w:val="center"/>
            <w:hideMark/>
          </w:tcPr>
          <w:p w:rsidR="00DE4A06" w:rsidRPr="00272C9F" w:rsidRDefault="00DE4A06" w:rsidP="00324486">
            <w:pPr>
              <w:pStyle w:val="TableHeader"/>
            </w:pPr>
            <w:r w:rsidRPr="00272C9F">
              <w:t>SDG&amp;E</w:t>
            </w:r>
          </w:p>
        </w:tc>
      </w:tr>
      <w:tr w:rsidR="00DE4A06" w:rsidRPr="00272C9F" w:rsidTr="00324486">
        <w:trPr>
          <w:trHeight w:val="285"/>
          <w:jc w:val="center"/>
        </w:trPr>
        <w:tc>
          <w:tcPr>
            <w:tcW w:w="1510" w:type="dxa"/>
            <w:vMerge/>
            <w:tcBorders>
              <w:top w:val="single" w:sz="4" w:space="0" w:color="auto"/>
              <w:left w:val="single" w:sz="4" w:space="0" w:color="auto"/>
              <w:bottom w:val="single" w:sz="4" w:space="0" w:color="000000"/>
              <w:right w:val="single" w:sz="4" w:space="0" w:color="FFFFFF"/>
            </w:tcBorders>
            <w:shd w:val="clear" w:color="auto" w:fill="0070CD"/>
            <w:vAlign w:val="center"/>
            <w:hideMark/>
          </w:tcPr>
          <w:p w:rsidR="00DE4A06" w:rsidRPr="00272C9F" w:rsidRDefault="00DE4A06" w:rsidP="00324486">
            <w:pPr>
              <w:pStyle w:val="TableHeader"/>
            </w:pPr>
          </w:p>
        </w:tc>
        <w:tc>
          <w:tcPr>
            <w:tcW w:w="1012" w:type="dxa"/>
            <w:tcBorders>
              <w:top w:val="nil"/>
              <w:left w:val="nil"/>
              <w:bottom w:val="single" w:sz="4" w:space="0" w:color="auto"/>
              <w:right w:val="single" w:sz="4" w:space="0" w:color="FFFFFF"/>
            </w:tcBorders>
            <w:shd w:val="clear" w:color="auto" w:fill="0070CD"/>
            <w:noWrap/>
            <w:vAlign w:val="center"/>
            <w:hideMark/>
          </w:tcPr>
          <w:p w:rsidR="00DE4A06" w:rsidRPr="00272C9F" w:rsidRDefault="00DE4A06" w:rsidP="00324486">
            <w:pPr>
              <w:pStyle w:val="TableHeader"/>
            </w:pPr>
            <w:r w:rsidRPr="00272C9F">
              <w:t>1-in-2</w:t>
            </w:r>
          </w:p>
        </w:tc>
        <w:tc>
          <w:tcPr>
            <w:tcW w:w="1228" w:type="dxa"/>
            <w:tcBorders>
              <w:top w:val="nil"/>
              <w:left w:val="nil"/>
              <w:bottom w:val="single" w:sz="4" w:space="0" w:color="auto"/>
              <w:right w:val="single" w:sz="4" w:space="0" w:color="FFFFFF"/>
            </w:tcBorders>
            <w:shd w:val="clear" w:color="auto" w:fill="0070CD"/>
            <w:noWrap/>
            <w:vAlign w:val="center"/>
            <w:hideMark/>
          </w:tcPr>
          <w:p w:rsidR="00DE4A06" w:rsidRPr="00272C9F" w:rsidRDefault="00DE4A06" w:rsidP="00324486">
            <w:pPr>
              <w:pStyle w:val="TableHeader"/>
            </w:pPr>
            <w:r w:rsidRPr="00272C9F">
              <w:t>1-in-10</w:t>
            </w:r>
          </w:p>
        </w:tc>
        <w:tc>
          <w:tcPr>
            <w:tcW w:w="1012" w:type="dxa"/>
            <w:tcBorders>
              <w:top w:val="nil"/>
              <w:left w:val="nil"/>
              <w:bottom w:val="single" w:sz="4" w:space="0" w:color="auto"/>
              <w:right w:val="single" w:sz="4" w:space="0" w:color="FFFFFF"/>
            </w:tcBorders>
            <w:shd w:val="clear" w:color="auto" w:fill="0070CD"/>
            <w:noWrap/>
            <w:vAlign w:val="center"/>
            <w:hideMark/>
          </w:tcPr>
          <w:p w:rsidR="00DE4A06" w:rsidRPr="00272C9F" w:rsidRDefault="00DE4A06" w:rsidP="00324486">
            <w:pPr>
              <w:pStyle w:val="TableHeader"/>
            </w:pPr>
            <w:r w:rsidRPr="00272C9F">
              <w:t>1-in-2</w:t>
            </w:r>
          </w:p>
        </w:tc>
        <w:tc>
          <w:tcPr>
            <w:tcW w:w="1228" w:type="dxa"/>
            <w:tcBorders>
              <w:top w:val="nil"/>
              <w:left w:val="nil"/>
              <w:bottom w:val="single" w:sz="4" w:space="0" w:color="auto"/>
              <w:right w:val="single" w:sz="4" w:space="0" w:color="auto"/>
            </w:tcBorders>
            <w:shd w:val="clear" w:color="auto" w:fill="0070CD"/>
            <w:noWrap/>
            <w:vAlign w:val="center"/>
            <w:hideMark/>
          </w:tcPr>
          <w:p w:rsidR="00DE4A06" w:rsidRPr="00272C9F" w:rsidRDefault="00DE4A06" w:rsidP="00324486">
            <w:pPr>
              <w:pStyle w:val="TableHeader"/>
            </w:pPr>
            <w:r w:rsidRPr="00272C9F">
              <w:t>1-in-10</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January</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1.70</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1.70</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1.70</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1.70</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February</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1.71</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1.71</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1.71</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1.71</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March</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1.70</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2.01</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1.70</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1.92</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April</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1.86</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2.27</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1.94</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2.36</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May</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1.93</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2.37</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2.10</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2.47</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June</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2.20</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2.44</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2.20</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2.45</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July</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2.44</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2.52</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2.44</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2.70</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August</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2.66</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2.69</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2.61</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2.80</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September</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2.71</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2.92</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2.68</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2.90</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October</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2.20</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2.47</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2.30</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2.56</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November</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1.81</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2.09</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1.85</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2.21</w:t>
            </w:r>
          </w:p>
        </w:tc>
      </w:tr>
      <w:tr w:rsidR="00DE4A06" w:rsidRPr="00272C9F" w:rsidTr="00324486">
        <w:trPr>
          <w:trHeight w:val="285"/>
          <w:jc w:val="center"/>
        </w:trPr>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DE4A06" w:rsidRPr="00272C9F" w:rsidRDefault="00DE4A06" w:rsidP="00324486">
            <w:pPr>
              <w:pStyle w:val="TableText"/>
            </w:pPr>
            <w:r w:rsidRPr="00272C9F">
              <w:t>December</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1.67</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1.67</w:t>
            </w:r>
          </w:p>
        </w:tc>
        <w:tc>
          <w:tcPr>
            <w:tcW w:w="1012"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1.67</w:t>
            </w:r>
          </w:p>
        </w:tc>
        <w:tc>
          <w:tcPr>
            <w:tcW w:w="1228" w:type="dxa"/>
            <w:tcBorders>
              <w:top w:val="nil"/>
              <w:left w:val="nil"/>
              <w:bottom w:val="single" w:sz="4" w:space="0" w:color="auto"/>
              <w:right w:val="single" w:sz="4" w:space="0" w:color="auto"/>
            </w:tcBorders>
            <w:shd w:val="clear" w:color="auto" w:fill="auto"/>
            <w:noWrap/>
            <w:vAlign w:val="center"/>
            <w:hideMark/>
          </w:tcPr>
          <w:p w:rsidR="00DE4A06" w:rsidRPr="00272C9F" w:rsidRDefault="00DE4A06" w:rsidP="00CA4440">
            <w:pPr>
              <w:pStyle w:val="TableText"/>
              <w:jc w:val="center"/>
            </w:pPr>
            <w:r w:rsidRPr="00272C9F">
              <w:t>1.67</w:t>
            </w:r>
          </w:p>
        </w:tc>
      </w:tr>
    </w:tbl>
    <w:p w:rsidR="00DE4A06" w:rsidRDefault="00DE4A06" w:rsidP="0003743F"/>
    <w:p w:rsidR="00CC59CF" w:rsidRDefault="00CC59CF" w:rsidP="00CC59CF">
      <w:pPr>
        <w:pStyle w:val="Heading2"/>
        <w:spacing w:before="0" w:after="0" w:line="276" w:lineRule="auto"/>
        <w:rPr>
          <w:rFonts w:ascii="Times New Roman" w:hAnsi="Times New Roman" w:cs="Times New Roman"/>
          <w:color w:val="000000" w:themeColor="text1"/>
        </w:rPr>
      </w:pPr>
      <w:bookmarkStart w:id="257" w:name="_Toc415749037"/>
      <w:r w:rsidRPr="00463C7B">
        <w:rPr>
          <w:rFonts w:ascii="Times New Roman" w:hAnsi="Times New Roman" w:cs="Times New Roman"/>
          <w:color w:val="000000" w:themeColor="text1"/>
        </w:rPr>
        <w:t>Non-Residential SPP Rates</w:t>
      </w:r>
      <w:r>
        <w:rPr>
          <w:rFonts w:ascii="Times New Roman" w:hAnsi="Times New Roman" w:cs="Times New Roman"/>
          <w:color w:val="000000" w:themeColor="text1"/>
        </w:rPr>
        <w:t xml:space="preserve"> </w:t>
      </w:r>
      <w:r w:rsidRPr="0003743F">
        <w:rPr>
          <w:rFonts w:ascii="Times New Roman" w:hAnsi="Times New Roman" w:cs="Times New Roman"/>
          <w:color w:val="000000" w:themeColor="text1"/>
        </w:rPr>
        <w:t>Ex-</w:t>
      </w:r>
      <w:r>
        <w:rPr>
          <w:rFonts w:ascii="Times New Roman" w:hAnsi="Times New Roman" w:cs="Times New Roman"/>
          <w:color w:val="000000" w:themeColor="text1"/>
        </w:rPr>
        <w:t>Ante</w:t>
      </w:r>
      <w:r w:rsidRPr="0003743F">
        <w:rPr>
          <w:rFonts w:ascii="Times New Roman" w:hAnsi="Times New Roman" w:cs="Times New Roman"/>
          <w:color w:val="000000" w:themeColor="text1"/>
        </w:rPr>
        <w:t xml:space="preserve"> </w:t>
      </w:r>
      <w:r>
        <w:rPr>
          <w:rFonts w:ascii="Times New Roman" w:hAnsi="Times New Roman" w:cs="Times New Roman"/>
          <w:color w:val="000000" w:themeColor="text1"/>
        </w:rPr>
        <w:t>Load Impact Estimates</w:t>
      </w:r>
      <w:bookmarkEnd w:id="257"/>
    </w:p>
    <w:p w:rsidR="00CC59CF" w:rsidRPr="00CC59CF" w:rsidRDefault="00CC59CF" w:rsidP="00CC59CF"/>
    <w:p w:rsidR="00CC59CF" w:rsidRDefault="00CC59CF" w:rsidP="008E3378">
      <w:pPr>
        <w:pStyle w:val="BodyParagraph"/>
        <w:spacing w:after="0" w:line="276" w:lineRule="auto"/>
        <w:rPr>
          <w:rFonts w:ascii="Times New Roman" w:hAnsi="Times New Roman"/>
          <w:sz w:val="24"/>
          <w:szCs w:val="24"/>
        </w:rPr>
      </w:pPr>
      <w:r w:rsidRPr="00CC59CF">
        <w:rPr>
          <w:rFonts w:ascii="Times New Roman" w:hAnsi="Times New Roman"/>
          <w:sz w:val="24"/>
          <w:szCs w:val="24"/>
        </w:rPr>
        <w:t>This section presents the results of the ex ante impact evaluation for each class of SDG&amp;E customer that will transition to the SPP rates.</w:t>
      </w:r>
    </w:p>
    <w:p w:rsidR="00CC59CF" w:rsidRPr="00CC59CF" w:rsidRDefault="00CC59CF" w:rsidP="008E3378">
      <w:pPr>
        <w:pStyle w:val="BodyParagraph"/>
        <w:spacing w:after="0" w:line="276" w:lineRule="auto"/>
        <w:rPr>
          <w:rFonts w:ascii="Times New Roman" w:hAnsi="Times New Roman"/>
          <w:sz w:val="24"/>
          <w:szCs w:val="24"/>
        </w:rPr>
      </w:pPr>
    </w:p>
    <w:p w:rsidR="00CC59CF" w:rsidRPr="00CC59CF" w:rsidRDefault="00CC59CF" w:rsidP="008E3378">
      <w:pPr>
        <w:pStyle w:val="Heading3"/>
        <w:spacing w:before="0" w:after="0" w:line="276" w:lineRule="auto"/>
        <w:ind w:hanging="270"/>
        <w:rPr>
          <w:rFonts w:ascii="Times New Roman" w:hAnsi="Times New Roman" w:cs="Times New Roman"/>
        </w:rPr>
      </w:pPr>
      <w:bookmarkStart w:id="258" w:name="_Toc414350790"/>
      <w:bookmarkStart w:id="259" w:name="_Toc414441457"/>
      <w:bookmarkStart w:id="260" w:name="_Toc415749038"/>
      <w:r w:rsidRPr="00CC59CF">
        <w:rPr>
          <w:rFonts w:ascii="Times New Roman" w:hAnsi="Times New Roman" w:cs="Times New Roman"/>
        </w:rPr>
        <w:t>Small Commercial Customers (Approved Rate Windows)</w:t>
      </w:r>
      <w:bookmarkEnd w:id="258"/>
      <w:bookmarkEnd w:id="259"/>
      <w:bookmarkEnd w:id="260"/>
    </w:p>
    <w:p w:rsidR="00CC59CF" w:rsidRDefault="00CC59CF" w:rsidP="008E3378">
      <w:pPr>
        <w:pStyle w:val="BodyParagraph"/>
        <w:spacing w:after="0" w:line="276" w:lineRule="auto"/>
        <w:rPr>
          <w:rFonts w:ascii="Times New Roman" w:hAnsi="Times New Roman"/>
          <w:sz w:val="24"/>
          <w:szCs w:val="24"/>
        </w:rPr>
      </w:pPr>
    </w:p>
    <w:p w:rsidR="00CC59CF" w:rsidRDefault="00CC59CF" w:rsidP="008E3378">
      <w:pPr>
        <w:pStyle w:val="BodyParagraph"/>
        <w:spacing w:after="0" w:line="276" w:lineRule="auto"/>
        <w:ind w:firstLine="450"/>
        <w:rPr>
          <w:rFonts w:ascii="Times New Roman" w:hAnsi="Times New Roman"/>
          <w:sz w:val="24"/>
          <w:szCs w:val="24"/>
        </w:rPr>
      </w:pPr>
      <w:r w:rsidRPr="00CC59CF">
        <w:rPr>
          <w:rFonts w:ascii="Times New Roman" w:hAnsi="Times New Roman"/>
          <w:sz w:val="24"/>
          <w:szCs w:val="24"/>
        </w:rPr>
        <w:t xml:space="preserve">Peak period load impact estimates attributable to the TOU component of the SPP rates on a July system peak day (SDG&amp;E weather conditions) are presented in Table </w:t>
      </w:r>
      <w:r>
        <w:rPr>
          <w:rFonts w:ascii="Times New Roman" w:hAnsi="Times New Roman"/>
          <w:sz w:val="24"/>
          <w:szCs w:val="24"/>
        </w:rPr>
        <w:t>11-9</w:t>
      </w:r>
      <w:r w:rsidRPr="00CC59CF">
        <w:rPr>
          <w:rFonts w:ascii="Times New Roman" w:hAnsi="Times New Roman"/>
          <w:sz w:val="24"/>
          <w:szCs w:val="24"/>
        </w:rPr>
        <w:t xml:space="preserve"> for each industry. Percent impacts range from -6% for Manufacturing (load increase) to 9% for Agriculture, Mining &amp; Construction. The forecasted aggregate impact for all small commercial customers is about 11 MW under 1-in-2 conditions and approximately 9% higher (11 MW) under 1-in-10 conditions. </w:t>
      </w:r>
    </w:p>
    <w:p w:rsidR="00CC59CF" w:rsidRPr="00CC59CF" w:rsidRDefault="00CC59CF" w:rsidP="00CC59CF">
      <w:pPr>
        <w:pStyle w:val="BodyParagraph"/>
        <w:spacing w:after="0" w:line="276" w:lineRule="auto"/>
        <w:ind w:firstLine="450"/>
        <w:rPr>
          <w:rFonts w:ascii="Times New Roman" w:hAnsi="Times New Roman"/>
          <w:sz w:val="24"/>
          <w:szCs w:val="24"/>
        </w:rPr>
      </w:pPr>
    </w:p>
    <w:p w:rsidR="00653FC5" w:rsidRDefault="00653FC5">
      <w:pPr>
        <w:rPr>
          <w:b/>
          <w:sz w:val="20"/>
          <w:szCs w:val="20"/>
        </w:rPr>
      </w:pPr>
      <w:r>
        <w:rPr>
          <w:sz w:val="20"/>
          <w:szCs w:val="20"/>
        </w:rPr>
        <w:br w:type="page"/>
      </w:r>
    </w:p>
    <w:p w:rsidR="00CC59CF" w:rsidRPr="00CC59CF" w:rsidRDefault="00CC59CF" w:rsidP="00CC59CF">
      <w:pPr>
        <w:pStyle w:val="TableFigureCaption"/>
        <w:rPr>
          <w:rFonts w:ascii="Times New Roman" w:hAnsi="Times New Roman"/>
          <w:sz w:val="20"/>
          <w:szCs w:val="20"/>
        </w:rPr>
      </w:pPr>
      <w:r w:rsidRPr="00CC59CF">
        <w:rPr>
          <w:rFonts w:ascii="Times New Roman" w:hAnsi="Times New Roman"/>
          <w:sz w:val="20"/>
          <w:szCs w:val="20"/>
        </w:rPr>
        <w:lastRenderedPageBreak/>
        <w:t xml:space="preserve">Table </w:t>
      </w:r>
      <w:r w:rsidR="00F345DA">
        <w:rPr>
          <w:rFonts w:ascii="Times New Roman" w:hAnsi="Times New Roman"/>
          <w:sz w:val="20"/>
          <w:szCs w:val="20"/>
        </w:rPr>
        <w:t>9</w:t>
      </w:r>
      <w:r w:rsidRPr="00CC59CF">
        <w:rPr>
          <w:rFonts w:ascii="Times New Roman" w:hAnsi="Times New Roman"/>
          <w:sz w:val="20"/>
          <w:szCs w:val="20"/>
        </w:rPr>
        <w:t xml:space="preserve">-9: Ex Ante TOU Load Impacts for Small Commercial Customers </w:t>
      </w:r>
      <w:r w:rsidRPr="00CC59CF">
        <w:rPr>
          <w:rFonts w:ascii="Times New Roman" w:hAnsi="Times New Roman"/>
          <w:sz w:val="20"/>
          <w:szCs w:val="20"/>
        </w:rPr>
        <w:br/>
        <w:t>on September Monthly System Peak Day (SDG&amp;E Weather Conditions)</w:t>
      </w:r>
    </w:p>
    <w:tbl>
      <w:tblPr>
        <w:tblW w:w="10106" w:type="dxa"/>
        <w:jc w:val="center"/>
        <w:tblInd w:w="-2046" w:type="dxa"/>
        <w:tblLayout w:type="fixed"/>
        <w:tblCellMar>
          <w:left w:w="0" w:type="dxa"/>
          <w:right w:w="0" w:type="dxa"/>
        </w:tblCellMar>
        <w:tblLook w:val="04A0" w:firstRow="1" w:lastRow="0" w:firstColumn="1" w:lastColumn="0" w:noHBand="0" w:noVBand="1"/>
      </w:tblPr>
      <w:tblGrid>
        <w:gridCol w:w="2263"/>
        <w:gridCol w:w="900"/>
        <w:gridCol w:w="1530"/>
        <w:gridCol w:w="1077"/>
        <w:gridCol w:w="900"/>
        <w:gridCol w:w="1263"/>
        <w:gridCol w:w="990"/>
        <w:gridCol w:w="1183"/>
      </w:tblGrid>
      <w:tr w:rsidR="00CC59CF" w:rsidRPr="00272C9F" w:rsidTr="00324486">
        <w:trPr>
          <w:trHeight w:val="448"/>
          <w:jc w:val="center"/>
        </w:trPr>
        <w:tc>
          <w:tcPr>
            <w:tcW w:w="2263" w:type="dxa"/>
            <w:vMerge w:val="restart"/>
            <w:tcBorders>
              <w:top w:val="single" w:sz="8" w:space="0" w:color="auto"/>
              <w:left w:val="single" w:sz="8" w:space="0" w:color="auto"/>
              <w:right w:val="single" w:sz="8" w:space="0" w:color="FFFFFF"/>
            </w:tcBorders>
            <w:shd w:val="clear" w:color="auto" w:fill="0070CD"/>
            <w:tcMar>
              <w:top w:w="0" w:type="dxa"/>
              <w:left w:w="108" w:type="dxa"/>
              <w:bottom w:w="0" w:type="dxa"/>
              <w:right w:w="108" w:type="dxa"/>
            </w:tcMar>
            <w:vAlign w:val="center"/>
          </w:tcPr>
          <w:p w:rsidR="00CC59CF" w:rsidRPr="00272C9F" w:rsidRDefault="00CC59CF" w:rsidP="00324486">
            <w:pPr>
              <w:pStyle w:val="TableHeader"/>
              <w:rPr>
                <w:sz w:val="19"/>
                <w:szCs w:val="19"/>
              </w:rPr>
            </w:pPr>
            <w:r w:rsidRPr="00272C9F">
              <w:rPr>
                <w:sz w:val="19"/>
                <w:szCs w:val="19"/>
              </w:rPr>
              <w:t>Industry</w:t>
            </w:r>
          </w:p>
        </w:tc>
        <w:tc>
          <w:tcPr>
            <w:tcW w:w="3507" w:type="dxa"/>
            <w:gridSpan w:val="3"/>
            <w:tcBorders>
              <w:top w:val="single" w:sz="8" w:space="0" w:color="auto"/>
              <w:left w:val="nil"/>
              <w:bottom w:val="single" w:sz="4" w:space="0" w:color="FFFFFF" w:themeColor="background1"/>
              <w:right w:val="single" w:sz="4" w:space="0" w:color="FFFFFF" w:themeColor="background1"/>
            </w:tcBorders>
            <w:shd w:val="clear" w:color="auto" w:fill="0070CD"/>
            <w:tcMar>
              <w:top w:w="0" w:type="dxa"/>
              <w:left w:w="108" w:type="dxa"/>
              <w:bottom w:w="0" w:type="dxa"/>
              <w:right w:w="108" w:type="dxa"/>
            </w:tcMar>
            <w:vAlign w:val="center"/>
          </w:tcPr>
          <w:p w:rsidR="00CC59CF" w:rsidRPr="00272C9F" w:rsidRDefault="00CC59CF" w:rsidP="00324486">
            <w:pPr>
              <w:pStyle w:val="TableHeader"/>
              <w:rPr>
                <w:sz w:val="19"/>
                <w:szCs w:val="19"/>
              </w:rPr>
            </w:pPr>
            <w:r w:rsidRPr="00272C9F">
              <w:rPr>
                <w:sz w:val="19"/>
                <w:szCs w:val="19"/>
              </w:rPr>
              <w:t xml:space="preserve"> SDG&amp;E 1-in-2</w:t>
            </w:r>
          </w:p>
        </w:tc>
        <w:tc>
          <w:tcPr>
            <w:tcW w:w="315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D"/>
            <w:vAlign w:val="center"/>
          </w:tcPr>
          <w:p w:rsidR="00CC59CF" w:rsidRPr="00272C9F" w:rsidRDefault="00CC59CF" w:rsidP="00324486">
            <w:pPr>
              <w:pStyle w:val="TableHeader"/>
              <w:rPr>
                <w:sz w:val="19"/>
                <w:szCs w:val="19"/>
              </w:rPr>
            </w:pPr>
            <w:r w:rsidRPr="00272C9F">
              <w:rPr>
                <w:sz w:val="19"/>
                <w:szCs w:val="19"/>
              </w:rPr>
              <w:t>SDG&amp;E 1-in-10</w:t>
            </w:r>
          </w:p>
        </w:tc>
        <w:tc>
          <w:tcPr>
            <w:tcW w:w="1183" w:type="dxa"/>
            <w:vMerge w:val="restart"/>
            <w:tcBorders>
              <w:top w:val="single" w:sz="4" w:space="0" w:color="auto"/>
              <w:left w:val="single" w:sz="4" w:space="0" w:color="FFFFFF" w:themeColor="background1"/>
              <w:right w:val="single" w:sz="4" w:space="0" w:color="auto"/>
            </w:tcBorders>
            <w:shd w:val="clear" w:color="auto" w:fill="0070CD"/>
            <w:vAlign w:val="center"/>
          </w:tcPr>
          <w:p w:rsidR="00CC59CF" w:rsidRPr="00272C9F" w:rsidRDefault="00CC59CF" w:rsidP="00324486">
            <w:pPr>
              <w:pStyle w:val="TableHeader"/>
              <w:rPr>
                <w:sz w:val="19"/>
                <w:szCs w:val="19"/>
              </w:rPr>
            </w:pPr>
            <w:r w:rsidRPr="00272C9F">
              <w:rPr>
                <w:sz w:val="19"/>
                <w:szCs w:val="19"/>
              </w:rPr>
              <w:t>% Impact</w:t>
            </w:r>
          </w:p>
        </w:tc>
      </w:tr>
      <w:tr w:rsidR="00CC59CF" w:rsidRPr="00272C9F" w:rsidTr="00324486">
        <w:trPr>
          <w:trHeight w:val="827"/>
          <w:jc w:val="center"/>
        </w:trPr>
        <w:tc>
          <w:tcPr>
            <w:tcW w:w="2263" w:type="dxa"/>
            <w:vMerge/>
            <w:tcBorders>
              <w:left w:val="single" w:sz="8" w:space="0" w:color="auto"/>
              <w:bottom w:val="single" w:sz="4" w:space="0" w:color="auto"/>
              <w:right w:val="single" w:sz="8" w:space="0" w:color="FFFFFF"/>
            </w:tcBorders>
            <w:shd w:val="clear" w:color="auto" w:fill="0070CD"/>
            <w:tcMar>
              <w:top w:w="0" w:type="dxa"/>
              <w:left w:w="108" w:type="dxa"/>
              <w:bottom w:w="0" w:type="dxa"/>
              <w:right w:w="108" w:type="dxa"/>
            </w:tcMar>
            <w:vAlign w:val="center"/>
            <w:hideMark/>
          </w:tcPr>
          <w:p w:rsidR="00CC59CF" w:rsidRPr="00272C9F" w:rsidRDefault="00CC59CF" w:rsidP="00324486">
            <w:pPr>
              <w:pStyle w:val="TableHeader"/>
              <w:rPr>
                <w:sz w:val="19"/>
                <w:szCs w:val="19"/>
              </w:rPr>
            </w:pPr>
          </w:p>
        </w:tc>
        <w:tc>
          <w:tcPr>
            <w:tcW w:w="900" w:type="dxa"/>
            <w:tcBorders>
              <w:top w:val="single" w:sz="4" w:space="0" w:color="FFFFFF" w:themeColor="background1"/>
              <w:left w:val="nil"/>
              <w:bottom w:val="single" w:sz="8" w:space="0" w:color="auto"/>
              <w:right w:val="single" w:sz="8" w:space="0" w:color="FFFFFF"/>
            </w:tcBorders>
            <w:shd w:val="clear" w:color="auto" w:fill="0070CD"/>
            <w:tcMar>
              <w:top w:w="0" w:type="dxa"/>
              <w:left w:w="108" w:type="dxa"/>
              <w:bottom w:w="0" w:type="dxa"/>
              <w:right w:w="108" w:type="dxa"/>
            </w:tcMar>
            <w:vAlign w:val="center"/>
            <w:hideMark/>
          </w:tcPr>
          <w:p w:rsidR="00CC59CF" w:rsidRPr="00272C9F" w:rsidRDefault="00CC59CF" w:rsidP="00324486">
            <w:pPr>
              <w:pStyle w:val="TableHeader"/>
              <w:rPr>
                <w:sz w:val="19"/>
                <w:szCs w:val="19"/>
              </w:rPr>
            </w:pPr>
            <w:r w:rsidRPr="00272C9F">
              <w:rPr>
                <w:sz w:val="19"/>
                <w:szCs w:val="19"/>
              </w:rPr>
              <w:t>Ref Load  (kW)</w:t>
            </w:r>
          </w:p>
        </w:tc>
        <w:tc>
          <w:tcPr>
            <w:tcW w:w="1530" w:type="dxa"/>
            <w:tcBorders>
              <w:top w:val="single" w:sz="4" w:space="0" w:color="FFFFFF" w:themeColor="background1"/>
              <w:left w:val="nil"/>
              <w:bottom w:val="single" w:sz="8" w:space="0" w:color="auto"/>
              <w:right w:val="single" w:sz="4" w:space="0" w:color="FFFFFF" w:themeColor="background1"/>
            </w:tcBorders>
            <w:shd w:val="clear" w:color="auto" w:fill="0070CD"/>
            <w:noWrap/>
            <w:tcMar>
              <w:top w:w="0" w:type="dxa"/>
              <w:left w:w="108" w:type="dxa"/>
              <w:bottom w:w="0" w:type="dxa"/>
              <w:right w:w="108" w:type="dxa"/>
            </w:tcMar>
            <w:vAlign w:val="center"/>
            <w:hideMark/>
          </w:tcPr>
          <w:p w:rsidR="00CC59CF" w:rsidRPr="00272C9F" w:rsidRDefault="00CC59CF" w:rsidP="00324486">
            <w:pPr>
              <w:pStyle w:val="TableHeader"/>
              <w:rPr>
                <w:sz w:val="19"/>
                <w:szCs w:val="19"/>
              </w:rPr>
            </w:pPr>
            <w:r w:rsidRPr="00272C9F">
              <w:rPr>
                <w:sz w:val="19"/>
                <w:szCs w:val="19"/>
              </w:rPr>
              <w:t>Avg. Impact per Customer (kW)</w:t>
            </w:r>
          </w:p>
        </w:tc>
        <w:tc>
          <w:tcPr>
            <w:tcW w:w="107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vAlign w:val="center"/>
          </w:tcPr>
          <w:p w:rsidR="00CC59CF" w:rsidRPr="00272C9F" w:rsidRDefault="00CC59CF" w:rsidP="00324486">
            <w:pPr>
              <w:pStyle w:val="TableHeader"/>
              <w:rPr>
                <w:sz w:val="19"/>
                <w:szCs w:val="19"/>
              </w:rPr>
            </w:pPr>
            <w:r w:rsidRPr="00272C9F">
              <w:rPr>
                <w:sz w:val="19"/>
                <w:szCs w:val="19"/>
              </w:rPr>
              <w:t>Aggregate Impact (MW)</w:t>
            </w: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vAlign w:val="center"/>
          </w:tcPr>
          <w:p w:rsidR="00CC59CF" w:rsidRPr="00272C9F" w:rsidRDefault="00CC59CF" w:rsidP="00324486">
            <w:pPr>
              <w:pStyle w:val="TableHeader"/>
              <w:rPr>
                <w:sz w:val="19"/>
                <w:szCs w:val="19"/>
              </w:rPr>
            </w:pPr>
            <w:r w:rsidRPr="00272C9F">
              <w:rPr>
                <w:sz w:val="19"/>
                <w:szCs w:val="19"/>
              </w:rPr>
              <w:t>Ref Load  (kW)</w:t>
            </w:r>
          </w:p>
        </w:tc>
        <w:tc>
          <w:tcPr>
            <w:tcW w:w="126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vAlign w:val="center"/>
          </w:tcPr>
          <w:p w:rsidR="00CC59CF" w:rsidRPr="00272C9F" w:rsidRDefault="00CC59CF" w:rsidP="00324486">
            <w:pPr>
              <w:pStyle w:val="TableHeader"/>
              <w:rPr>
                <w:sz w:val="19"/>
                <w:szCs w:val="19"/>
              </w:rPr>
            </w:pPr>
            <w:r w:rsidRPr="00272C9F">
              <w:rPr>
                <w:sz w:val="19"/>
                <w:szCs w:val="19"/>
              </w:rPr>
              <w:t>Avg. Impact per Customer (kW)</w:t>
            </w:r>
          </w:p>
        </w:tc>
        <w:tc>
          <w:tcPr>
            <w:tcW w:w="99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vAlign w:val="center"/>
          </w:tcPr>
          <w:p w:rsidR="00CC59CF" w:rsidRPr="00272C9F" w:rsidRDefault="00CC59CF" w:rsidP="00324486">
            <w:pPr>
              <w:pStyle w:val="TableHeader"/>
              <w:rPr>
                <w:sz w:val="19"/>
                <w:szCs w:val="19"/>
              </w:rPr>
            </w:pPr>
            <w:r w:rsidRPr="00272C9F">
              <w:rPr>
                <w:sz w:val="19"/>
                <w:szCs w:val="19"/>
              </w:rPr>
              <w:t>Aggregate Impact (MW)</w:t>
            </w:r>
          </w:p>
        </w:tc>
        <w:tc>
          <w:tcPr>
            <w:tcW w:w="1183" w:type="dxa"/>
            <w:vMerge/>
            <w:tcBorders>
              <w:left w:val="single" w:sz="4" w:space="0" w:color="FFFFFF" w:themeColor="background1"/>
              <w:bottom w:val="single" w:sz="4" w:space="0" w:color="auto"/>
              <w:right w:val="single" w:sz="4" w:space="0" w:color="auto"/>
            </w:tcBorders>
            <w:shd w:val="clear" w:color="auto" w:fill="0070CD"/>
            <w:vAlign w:val="center"/>
          </w:tcPr>
          <w:p w:rsidR="00CC59CF" w:rsidRPr="00272C9F" w:rsidRDefault="00CC59CF" w:rsidP="00324486">
            <w:pPr>
              <w:pStyle w:val="TableHeader"/>
              <w:rPr>
                <w:sz w:val="19"/>
                <w:szCs w:val="19"/>
              </w:rPr>
            </w:pPr>
          </w:p>
        </w:tc>
      </w:tr>
      <w:tr w:rsidR="00CC59CF" w:rsidRPr="00272C9F" w:rsidTr="00324486">
        <w:trPr>
          <w:trHeight w:val="30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CC59CF" w:rsidRPr="003F681A" w:rsidRDefault="00CC59CF" w:rsidP="00324486">
            <w:pPr>
              <w:pStyle w:val="TableText"/>
              <w:rPr>
                <w:rFonts w:cs="Arial"/>
                <w:szCs w:val="20"/>
              </w:rPr>
            </w:pPr>
            <w:r w:rsidRPr="003F681A">
              <w:rPr>
                <w:rFonts w:cs="Arial"/>
                <w:szCs w:val="20"/>
              </w:rPr>
              <w:t>Agriculture, Mining &amp; Construction</w:t>
            </w:r>
          </w:p>
        </w:tc>
        <w:tc>
          <w:tcPr>
            <w:tcW w:w="900"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2.14</w:t>
            </w:r>
          </w:p>
        </w:tc>
        <w:tc>
          <w:tcPr>
            <w:tcW w:w="1530" w:type="dxa"/>
            <w:tcBorders>
              <w:top w:val="single" w:sz="4"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0.19</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1.49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2.36</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0.21</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1.64</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8.8%</w:t>
            </w:r>
          </w:p>
        </w:tc>
      </w:tr>
      <w:tr w:rsidR="00CC59CF" w:rsidRPr="00272C9F" w:rsidTr="00324486">
        <w:trPr>
          <w:trHeight w:val="30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CC59CF" w:rsidRPr="003F681A" w:rsidRDefault="00CC59CF" w:rsidP="00324486">
            <w:pPr>
              <w:pStyle w:val="TableText"/>
              <w:rPr>
                <w:rFonts w:cs="Arial"/>
                <w:szCs w:val="20"/>
              </w:rPr>
            </w:pPr>
            <w:r w:rsidRPr="003F681A">
              <w:rPr>
                <w:rFonts w:cs="Arial"/>
                <w:szCs w:val="20"/>
              </w:rPr>
              <w:t>Manufacturing</w:t>
            </w:r>
          </w:p>
        </w:tc>
        <w:tc>
          <w:tcPr>
            <w:tcW w:w="9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2.48</w:t>
            </w:r>
          </w:p>
        </w:tc>
        <w:tc>
          <w:tcPr>
            <w:tcW w:w="153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-0.15</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-1.39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2.66</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-0.16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-1.50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-6.0%</w:t>
            </w:r>
          </w:p>
        </w:tc>
      </w:tr>
      <w:tr w:rsidR="00CC59CF" w:rsidRPr="00272C9F" w:rsidTr="00324486">
        <w:trPr>
          <w:trHeight w:val="30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CC59CF" w:rsidRPr="003F681A" w:rsidRDefault="00CC59CF" w:rsidP="00324486">
            <w:pPr>
              <w:pStyle w:val="TableText"/>
              <w:rPr>
                <w:rFonts w:cs="Arial"/>
                <w:szCs w:val="20"/>
              </w:rPr>
            </w:pPr>
            <w:r w:rsidRPr="003F681A">
              <w:rPr>
                <w:rFonts w:cs="Arial"/>
                <w:szCs w:val="20"/>
              </w:rPr>
              <w:t>Wholesale, Transport &amp; Other Utilities</w:t>
            </w:r>
          </w:p>
        </w:tc>
        <w:tc>
          <w:tcPr>
            <w:tcW w:w="9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2.61</w:t>
            </w:r>
          </w:p>
        </w:tc>
        <w:tc>
          <w:tcPr>
            <w:tcW w:w="153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0.15</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1.06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2.83</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0.16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1.14</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5.7%</w:t>
            </w:r>
          </w:p>
        </w:tc>
      </w:tr>
      <w:tr w:rsidR="00CC59CF" w:rsidRPr="00272C9F" w:rsidTr="00324486">
        <w:trPr>
          <w:trHeight w:val="30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CC59CF" w:rsidRPr="003F681A" w:rsidRDefault="00CC59CF" w:rsidP="00324486">
            <w:pPr>
              <w:pStyle w:val="TableText"/>
              <w:rPr>
                <w:rFonts w:cs="Arial"/>
                <w:szCs w:val="20"/>
              </w:rPr>
            </w:pPr>
            <w:r w:rsidRPr="003F681A">
              <w:rPr>
                <w:rFonts w:cs="Arial"/>
                <w:szCs w:val="20"/>
              </w:rPr>
              <w:t>Retail Stores</w:t>
            </w:r>
          </w:p>
        </w:tc>
        <w:tc>
          <w:tcPr>
            <w:tcW w:w="9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3.63</w:t>
            </w:r>
          </w:p>
        </w:tc>
        <w:tc>
          <w:tcPr>
            <w:tcW w:w="153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0.04</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0.50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3.91</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0.04</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0.54</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1.1%</w:t>
            </w:r>
          </w:p>
        </w:tc>
      </w:tr>
      <w:tr w:rsidR="00CC59CF" w:rsidRPr="00272C9F" w:rsidTr="00324486">
        <w:trPr>
          <w:trHeight w:val="30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CC59CF" w:rsidRPr="003F681A" w:rsidRDefault="00CC59CF" w:rsidP="00324486">
            <w:pPr>
              <w:pStyle w:val="TableText"/>
              <w:rPr>
                <w:rFonts w:cs="Arial"/>
                <w:szCs w:val="20"/>
              </w:rPr>
            </w:pPr>
            <w:r w:rsidRPr="003F681A">
              <w:rPr>
                <w:rFonts w:cs="Arial"/>
                <w:szCs w:val="20"/>
              </w:rPr>
              <w:t>Offices, Hotels, Finance, Services</w:t>
            </w:r>
          </w:p>
        </w:tc>
        <w:tc>
          <w:tcPr>
            <w:tcW w:w="9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2.87</w:t>
            </w:r>
          </w:p>
        </w:tc>
        <w:tc>
          <w:tcPr>
            <w:tcW w:w="153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0.09</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5.09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3.11</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0.10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5.51</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3.2%</w:t>
            </w:r>
          </w:p>
        </w:tc>
      </w:tr>
      <w:tr w:rsidR="00CC59CF" w:rsidRPr="00272C9F" w:rsidTr="00324486">
        <w:trPr>
          <w:trHeight w:val="30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CC59CF" w:rsidRPr="003F681A" w:rsidRDefault="00CC59CF" w:rsidP="00324486">
            <w:pPr>
              <w:pStyle w:val="TableText"/>
              <w:rPr>
                <w:rFonts w:cs="Arial"/>
                <w:szCs w:val="20"/>
              </w:rPr>
            </w:pPr>
            <w:r w:rsidRPr="003F681A">
              <w:rPr>
                <w:rFonts w:cs="Arial"/>
                <w:szCs w:val="20"/>
              </w:rPr>
              <w:t>Schools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3.24</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0.11</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3.54</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0.12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0.30</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3.4%</w:t>
            </w:r>
          </w:p>
        </w:tc>
      </w:tr>
      <w:tr w:rsidR="00CC59CF" w:rsidRPr="00272C9F" w:rsidTr="00324486">
        <w:trPr>
          <w:trHeight w:val="30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CC59CF" w:rsidRPr="003F681A" w:rsidRDefault="00CC59CF" w:rsidP="00324486">
            <w:pPr>
              <w:pStyle w:val="TableText"/>
              <w:rPr>
                <w:rFonts w:cs="Arial"/>
                <w:szCs w:val="20"/>
              </w:rPr>
            </w:pPr>
            <w:r w:rsidRPr="003F681A">
              <w:rPr>
                <w:rFonts w:cs="Arial"/>
                <w:szCs w:val="20"/>
              </w:rPr>
              <w:t>Institutional/Government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2.03</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CC59CF" w:rsidRPr="00B96285" w:rsidRDefault="00CC59CF" w:rsidP="00B96285">
            <w:pPr>
              <w:pStyle w:val="TableText"/>
              <w:jc w:val="center"/>
              <w:rPr>
                <w:rFonts w:cs="Arial"/>
                <w:szCs w:val="18"/>
              </w:rPr>
            </w:pPr>
            <w:r w:rsidRPr="00B96285">
              <w:rPr>
                <w:rFonts w:cs="Arial"/>
                <w:szCs w:val="18"/>
              </w:rPr>
              <w:t>0.15</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3.93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2.18</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0.16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4.23</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szCs w:val="18"/>
              </w:rPr>
            </w:pPr>
            <w:r w:rsidRPr="00B96285">
              <w:rPr>
                <w:rFonts w:cs="Arial"/>
                <w:szCs w:val="18"/>
              </w:rPr>
              <w:t>7.5%</w:t>
            </w:r>
          </w:p>
        </w:tc>
      </w:tr>
      <w:tr w:rsidR="00CC59CF" w:rsidRPr="00272C9F" w:rsidTr="00324486">
        <w:trPr>
          <w:trHeight w:val="30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CC59CF" w:rsidRPr="003F681A" w:rsidRDefault="00CC59CF" w:rsidP="00324486">
            <w:pPr>
              <w:pStyle w:val="TableText"/>
              <w:rPr>
                <w:rFonts w:cs="Arial"/>
                <w:b/>
                <w:szCs w:val="20"/>
              </w:rPr>
            </w:pPr>
            <w:r w:rsidRPr="003F681A">
              <w:rPr>
                <w:rFonts w:cs="Arial"/>
                <w:b/>
                <w:szCs w:val="20"/>
              </w:rPr>
              <w:t>All Small Commercial</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CC59CF" w:rsidRPr="00B96285" w:rsidRDefault="00CC59CF" w:rsidP="00B96285">
            <w:pPr>
              <w:pStyle w:val="TableText"/>
              <w:jc w:val="center"/>
              <w:rPr>
                <w:rFonts w:cs="Arial"/>
                <w:b/>
                <w:szCs w:val="18"/>
              </w:rPr>
            </w:pPr>
            <w:r w:rsidRPr="00B96285">
              <w:rPr>
                <w:rFonts w:cs="Arial"/>
                <w:b/>
                <w:szCs w:val="18"/>
              </w:rPr>
              <w:t>2.68</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108" w:type="dxa"/>
              <w:bottom w:w="0" w:type="dxa"/>
              <w:right w:w="108" w:type="dxa"/>
            </w:tcMar>
            <w:vAlign w:val="center"/>
          </w:tcPr>
          <w:p w:rsidR="00CC59CF" w:rsidRPr="00B96285" w:rsidRDefault="00CC59CF" w:rsidP="00B96285">
            <w:pPr>
              <w:pStyle w:val="TableText"/>
              <w:jc w:val="center"/>
              <w:rPr>
                <w:rFonts w:cs="Arial"/>
                <w:b/>
                <w:szCs w:val="18"/>
              </w:rPr>
            </w:pPr>
            <w:r w:rsidRPr="00B96285">
              <w:rPr>
                <w:rFonts w:cs="Arial"/>
                <w:b/>
                <w:szCs w:val="18"/>
              </w:rPr>
              <w:t>0.09</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b/>
                <w:szCs w:val="18"/>
              </w:rPr>
            </w:pPr>
            <w:r w:rsidRPr="00B96285">
              <w:rPr>
                <w:rFonts w:cs="Arial"/>
                <w:b/>
                <w:szCs w:val="18"/>
              </w:rPr>
              <w:t>10.95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b/>
                <w:szCs w:val="18"/>
              </w:rPr>
            </w:pPr>
            <w:r w:rsidRPr="00B96285">
              <w:rPr>
                <w:rFonts w:cs="Arial"/>
                <w:b/>
                <w:szCs w:val="18"/>
              </w:rPr>
              <w:t>2.90</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b/>
                <w:szCs w:val="18"/>
              </w:rPr>
            </w:pPr>
            <w:r w:rsidRPr="00B96285">
              <w:rPr>
                <w:rFonts w:cs="Arial"/>
                <w:b/>
                <w:szCs w:val="18"/>
              </w:rPr>
              <w:t>0.10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b/>
                <w:szCs w:val="18"/>
              </w:rPr>
            </w:pPr>
            <w:r w:rsidRPr="00B96285">
              <w:rPr>
                <w:rFonts w:cs="Arial"/>
                <w:b/>
                <w:szCs w:val="18"/>
              </w:rPr>
              <w:t>11.87</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B96285" w:rsidRDefault="00CC59CF" w:rsidP="00B96285">
            <w:pPr>
              <w:pStyle w:val="TableText"/>
              <w:jc w:val="center"/>
              <w:rPr>
                <w:rFonts w:cs="Arial"/>
                <w:b/>
                <w:color w:val="464749"/>
                <w:szCs w:val="18"/>
              </w:rPr>
            </w:pPr>
            <w:r w:rsidRPr="00B96285">
              <w:rPr>
                <w:rFonts w:cs="Arial"/>
                <w:b/>
                <w:color w:val="464749"/>
                <w:szCs w:val="18"/>
              </w:rPr>
              <w:t>3.4%</w:t>
            </w:r>
          </w:p>
        </w:tc>
      </w:tr>
    </w:tbl>
    <w:p w:rsidR="00CC59CF" w:rsidRPr="00B96285" w:rsidRDefault="00CC59CF" w:rsidP="00CC59CF">
      <w:pPr>
        <w:pStyle w:val="BodyParaAfterTableFigure"/>
        <w:rPr>
          <w:rFonts w:ascii="Times New Roman" w:hAnsi="Times New Roman"/>
          <w:sz w:val="24"/>
          <w:szCs w:val="24"/>
        </w:rPr>
      </w:pPr>
      <w:r w:rsidRPr="00B96285">
        <w:rPr>
          <w:rFonts w:ascii="Times New Roman" w:hAnsi="Times New Roman"/>
          <w:sz w:val="24"/>
          <w:szCs w:val="24"/>
        </w:rPr>
        <w:t xml:space="preserve">Aggregate impacts for each month of the year are presented in Table </w:t>
      </w:r>
      <w:r w:rsidR="00F345DA">
        <w:rPr>
          <w:rFonts w:ascii="Times New Roman" w:hAnsi="Times New Roman"/>
          <w:sz w:val="24"/>
          <w:szCs w:val="24"/>
        </w:rPr>
        <w:t>9</w:t>
      </w:r>
      <w:r w:rsidR="00287DB8">
        <w:rPr>
          <w:rFonts w:ascii="Times New Roman" w:hAnsi="Times New Roman"/>
          <w:sz w:val="24"/>
          <w:szCs w:val="24"/>
        </w:rPr>
        <w:t>-10</w:t>
      </w:r>
      <w:r w:rsidRPr="00B96285">
        <w:rPr>
          <w:rFonts w:ascii="Times New Roman" w:hAnsi="Times New Roman"/>
          <w:sz w:val="24"/>
          <w:szCs w:val="24"/>
        </w:rPr>
        <w:t xml:space="preserve">. The impacts range from a low of about 8 MW in May to a high of almost 13 MW in November. It should be noted that impacts are approximately 30–40% larger in the winter compared to the summer, which is a direct consequence of basing the ex ante estimates on the results from PG&amp;E. </w:t>
      </w:r>
    </w:p>
    <w:p w:rsidR="00CC59CF" w:rsidRPr="00272C9F" w:rsidRDefault="00CC59CF" w:rsidP="00CC59CF">
      <w:pPr>
        <w:rPr>
          <w:rFonts w:ascii="Calibri" w:hAnsi="Calibri"/>
          <w:b/>
          <w:sz w:val="21"/>
          <w:szCs w:val="21"/>
        </w:rPr>
      </w:pPr>
      <w:r w:rsidRPr="00272C9F">
        <w:rPr>
          <w:sz w:val="21"/>
          <w:szCs w:val="21"/>
        </w:rPr>
        <w:br w:type="page"/>
      </w:r>
    </w:p>
    <w:p w:rsidR="00CC59CF" w:rsidRPr="00287DB8" w:rsidRDefault="00CC59CF" w:rsidP="00CC59CF">
      <w:pPr>
        <w:pStyle w:val="TableFigureCaption"/>
        <w:rPr>
          <w:rFonts w:ascii="Times New Roman" w:hAnsi="Times New Roman"/>
          <w:sz w:val="20"/>
          <w:szCs w:val="20"/>
        </w:rPr>
      </w:pPr>
      <w:r w:rsidRPr="00287DB8">
        <w:rPr>
          <w:rFonts w:ascii="Times New Roman" w:hAnsi="Times New Roman"/>
          <w:sz w:val="20"/>
          <w:szCs w:val="20"/>
        </w:rPr>
        <w:lastRenderedPageBreak/>
        <w:t xml:space="preserve">Table </w:t>
      </w:r>
      <w:r w:rsidR="00F345DA">
        <w:rPr>
          <w:rFonts w:ascii="Times New Roman" w:hAnsi="Times New Roman"/>
          <w:sz w:val="20"/>
          <w:szCs w:val="20"/>
        </w:rPr>
        <w:t>9</w:t>
      </w:r>
      <w:r w:rsidR="00287DB8">
        <w:rPr>
          <w:rFonts w:ascii="Times New Roman" w:hAnsi="Times New Roman"/>
          <w:sz w:val="20"/>
          <w:szCs w:val="20"/>
        </w:rPr>
        <w:t>-10</w:t>
      </w:r>
      <w:r w:rsidRPr="00287DB8">
        <w:rPr>
          <w:rFonts w:ascii="Times New Roman" w:hAnsi="Times New Roman"/>
          <w:sz w:val="20"/>
          <w:szCs w:val="20"/>
        </w:rPr>
        <w:t xml:space="preserve">: Aggregate Ex Ante TOU Load Impacts for Small Commercial Customers on </w:t>
      </w:r>
      <w:r w:rsidRPr="00287DB8">
        <w:rPr>
          <w:rFonts w:ascii="Times New Roman" w:hAnsi="Times New Roman"/>
          <w:sz w:val="20"/>
          <w:szCs w:val="20"/>
        </w:rPr>
        <w:br/>
        <w:t>Monthly System Peak Days</w:t>
      </w:r>
    </w:p>
    <w:tbl>
      <w:tblPr>
        <w:tblW w:w="6170" w:type="dxa"/>
        <w:jc w:val="center"/>
        <w:tblInd w:w="863" w:type="dxa"/>
        <w:tblLook w:val="04A0" w:firstRow="1" w:lastRow="0" w:firstColumn="1" w:lastColumn="0" w:noHBand="0" w:noVBand="1"/>
      </w:tblPr>
      <w:tblGrid>
        <w:gridCol w:w="1690"/>
        <w:gridCol w:w="1016"/>
        <w:gridCol w:w="1224"/>
        <w:gridCol w:w="1016"/>
        <w:gridCol w:w="1224"/>
      </w:tblGrid>
      <w:tr w:rsidR="00CC59CF" w:rsidRPr="00272C9F" w:rsidTr="00324486">
        <w:trPr>
          <w:trHeight w:val="285"/>
          <w:jc w:val="center"/>
        </w:trPr>
        <w:tc>
          <w:tcPr>
            <w:tcW w:w="1690" w:type="dxa"/>
            <w:vMerge w:val="restart"/>
            <w:tcBorders>
              <w:top w:val="single" w:sz="4" w:space="0" w:color="auto"/>
              <w:left w:val="single" w:sz="4" w:space="0" w:color="auto"/>
              <w:bottom w:val="single" w:sz="4" w:space="0" w:color="000000"/>
              <w:right w:val="single" w:sz="4" w:space="0" w:color="FFFFFF"/>
            </w:tcBorders>
            <w:shd w:val="clear" w:color="auto" w:fill="0070CD"/>
            <w:vAlign w:val="center"/>
            <w:hideMark/>
          </w:tcPr>
          <w:p w:rsidR="00CC59CF" w:rsidRPr="00272C9F" w:rsidRDefault="00CC59CF" w:rsidP="00324486">
            <w:pPr>
              <w:pStyle w:val="TableHeader"/>
            </w:pPr>
            <w:r w:rsidRPr="00272C9F">
              <w:t>Month</w:t>
            </w:r>
          </w:p>
        </w:tc>
        <w:tc>
          <w:tcPr>
            <w:tcW w:w="4480" w:type="dxa"/>
            <w:gridSpan w:val="4"/>
            <w:tcBorders>
              <w:top w:val="single" w:sz="4" w:space="0" w:color="auto"/>
              <w:left w:val="nil"/>
              <w:bottom w:val="single" w:sz="4" w:space="0" w:color="FFFFFF"/>
              <w:right w:val="single" w:sz="4" w:space="0" w:color="000000"/>
            </w:tcBorders>
            <w:shd w:val="clear" w:color="auto" w:fill="0070CD"/>
            <w:vAlign w:val="center"/>
            <w:hideMark/>
          </w:tcPr>
          <w:p w:rsidR="00CC59CF" w:rsidRPr="00272C9F" w:rsidRDefault="00CC59CF" w:rsidP="00324486">
            <w:pPr>
              <w:pStyle w:val="TableHeader"/>
            </w:pPr>
            <w:r w:rsidRPr="00272C9F">
              <w:t>Load Impact (MW)</w:t>
            </w:r>
          </w:p>
        </w:tc>
      </w:tr>
      <w:tr w:rsidR="00CC59CF" w:rsidRPr="00272C9F" w:rsidTr="00324486">
        <w:trPr>
          <w:trHeight w:val="285"/>
          <w:jc w:val="center"/>
        </w:trPr>
        <w:tc>
          <w:tcPr>
            <w:tcW w:w="1690" w:type="dxa"/>
            <w:vMerge/>
            <w:tcBorders>
              <w:top w:val="single" w:sz="4" w:space="0" w:color="auto"/>
              <w:left w:val="single" w:sz="4" w:space="0" w:color="auto"/>
              <w:bottom w:val="single" w:sz="4" w:space="0" w:color="000000"/>
              <w:right w:val="single" w:sz="4" w:space="0" w:color="FFFFFF"/>
            </w:tcBorders>
            <w:shd w:val="clear" w:color="auto" w:fill="0070CD"/>
            <w:vAlign w:val="center"/>
            <w:hideMark/>
          </w:tcPr>
          <w:p w:rsidR="00CC59CF" w:rsidRPr="00272C9F" w:rsidRDefault="00CC59CF" w:rsidP="00324486">
            <w:pPr>
              <w:pStyle w:val="TableHeader"/>
            </w:pPr>
          </w:p>
        </w:tc>
        <w:tc>
          <w:tcPr>
            <w:tcW w:w="2240" w:type="dxa"/>
            <w:gridSpan w:val="2"/>
            <w:tcBorders>
              <w:top w:val="single" w:sz="4" w:space="0" w:color="FFFFFF"/>
              <w:left w:val="nil"/>
              <w:bottom w:val="single" w:sz="4" w:space="0" w:color="FFFFFF"/>
              <w:right w:val="single" w:sz="4" w:space="0" w:color="FFFFFF"/>
            </w:tcBorders>
            <w:shd w:val="clear" w:color="auto" w:fill="0070CD"/>
            <w:noWrap/>
            <w:vAlign w:val="center"/>
            <w:hideMark/>
          </w:tcPr>
          <w:p w:rsidR="00CC59CF" w:rsidRPr="00272C9F" w:rsidRDefault="00CC59CF" w:rsidP="00324486">
            <w:pPr>
              <w:pStyle w:val="TableHeader"/>
            </w:pPr>
            <w:r w:rsidRPr="00272C9F">
              <w:t>CAISO</w:t>
            </w:r>
          </w:p>
        </w:tc>
        <w:tc>
          <w:tcPr>
            <w:tcW w:w="2240" w:type="dxa"/>
            <w:gridSpan w:val="2"/>
            <w:tcBorders>
              <w:top w:val="single" w:sz="4" w:space="0" w:color="FFFFFF"/>
              <w:left w:val="nil"/>
              <w:bottom w:val="single" w:sz="4" w:space="0" w:color="FFFFFF"/>
              <w:right w:val="single" w:sz="4" w:space="0" w:color="000000"/>
            </w:tcBorders>
            <w:shd w:val="clear" w:color="auto" w:fill="0070CD"/>
            <w:noWrap/>
            <w:vAlign w:val="center"/>
            <w:hideMark/>
          </w:tcPr>
          <w:p w:rsidR="00CC59CF" w:rsidRPr="00272C9F" w:rsidRDefault="00CC59CF" w:rsidP="00324486">
            <w:pPr>
              <w:pStyle w:val="TableHeader"/>
            </w:pPr>
            <w:r w:rsidRPr="00272C9F">
              <w:t>SDG&amp;E</w:t>
            </w:r>
          </w:p>
        </w:tc>
      </w:tr>
      <w:tr w:rsidR="00CC59CF" w:rsidRPr="00272C9F" w:rsidTr="00324486">
        <w:trPr>
          <w:trHeight w:val="285"/>
          <w:jc w:val="center"/>
        </w:trPr>
        <w:tc>
          <w:tcPr>
            <w:tcW w:w="1690" w:type="dxa"/>
            <w:vMerge/>
            <w:tcBorders>
              <w:top w:val="single" w:sz="4" w:space="0" w:color="auto"/>
              <w:left w:val="single" w:sz="4" w:space="0" w:color="auto"/>
              <w:bottom w:val="single" w:sz="4" w:space="0" w:color="000000"/>
              <w:right w:val="single" w:sz="4" w:space="0" w:color="FFFFFF"/>
            </w:tcBorders>
            <w:shd w:val="clear" w:color="auto" w:fill="0070CD"/>
            <w:vAlign w:val="center"/>
            <w:hideMark/>
          </w:tcPr>
          <w:p w:rsidR="00CC59CF" w:rsidRPr="00272C9F" w:rsidRDefault="00CC59CF" w:rsidP="00324486">
            <w:pPr>
              <w:pStyle w:val="TableHeader"/>
            </w:pPr>
          </w:p>
        </w:tc>
        <w:tc>
          <w:tcPr>
            <w:tcW w:w="1016" w:type="dxa"/>
            <w:tcBorders>
              <w:top w:val="nil"/>
              <w:left w:val="nil"/>
              <w:bottom w:val="single" w:sz="4" w:space="0" w:color="auto"/>
              <w:right w:val="single" w:sz="4" w:space="0" w:color="FFFFFF"/>
            </w:tcBorders>
            <w:shd w:val="clear" w:color="auto" w:fill="0070CD"/>
            <w:noWrap/>
            <w:vAlign w:val="center"/>
            <w:hideMark/>
          </w:tcPr>
          <w:p w:rsidR="00CC59CF" w:rsidRPr="00272C9F" w:rsidRDefault="00CC59CF" w:rsidP="00324486">
            <w:pPr>
              <w:pStyle w:val="TableHeader"/>
            </w:pPr>
            <w:r w:rsidRPr="00272C9F">
              <w:t>1-in-2</w:t>
            </w:r>
          </w:p>
        </w:tc>
        <w:tc>
          <w:tcPr>
            <w:tcW w:w="1224" w:type="dxa"/>
            <w:tcBorders>
              <w:top w:val="nil"/>
              <w:left w:val="nil"/>
              <w:bottom w:val="single" w:sz="4" w:space="0" w:color="auto"/>
              <w:right w:val="single" w:sz="4" w:space="0" w:color="FFFFFF"/>
            </w:tcBorders>
            <w:shd w:val="clear" w:color="auto" w:fill="0070CD"/>
            <w:noWrap/>
            <w:vAlign w:val="center"/>
            <w:hideMark/>
          </w:tcPr>
          <w:p w:rsidR="00CC59CF" w:rsidRPr="00272C9F" w:rsidRDefault="00CC59CF" w:rsidP="00324486">
            <w:pPr>
              <w:pStyle w:val="TableHeader"/>
            </w:pPr>
            <w:r w:rsidRPr="00272C9F">
              <w:t>1-in-10</w:t>
            </w:r>
          </w:p>
        </w:tc>
        <w:tc>
          <w:tcPr>
            <w:tcW w:w="1016" w:type="dxa"/>
            <w:tcBorders>
              <w:top w:val="nil"/>
              <w:left w:val="nil"/>
              <w:bottom w:val="single" w:sz="4" w:space="0" w:color="auto"/>
              <w:right w:val="single" w:sz="4" w:space="0" w:color="FFFFFF"/>
            </w:tcBorders>
            <w:shd w:val="clear" w:color="auto" w:fill="0070CD"/>
            <w:noWrap/>
            <w:vAlign w:val="center"/>
            <w:hideMark/>
          </w:tcPr>
          <w:p w:rsidR="00CC59CF" w:rsidRPr="00272C9F" w:rsidRDefault="00CC59CF" w:rsidP="00324486">
            <w:pPr>
              <w:pStyle w:val="TableHeader"/>
            </w:pPr>
            <w:r w:rsidRPr="00272C9F">
              <w:t>1-in-2</w:t>
            </w:r>
          </w:p>
        </w:tc>
        <w:tc>
          <w:tcPr>
            <w:tcW w:w="1224" w:type="dxa"/>
            <w:tcBorders>
              <w:top w:val="nil"/>
              <w:left w:val="nil"/>
              <w:bottom w:val="single" w:sz="4" w:space="0" w:color="auto"/>
              <w:right w:val="single" w:sz="4" w:space="0" w:color="auto"/>
            </w:tcBorders>
            <w:shd w:val="clear" w:color="auto" w:fill="0070CD"/>
            <w:noWrap/>
            <w:vAlign w:val="center"/>
            <w:hideMark/>
          </w:tcPr>
          <w:p w:rsidR="00CC59CF" w:rsidRPr="00272C9F" w:rsidRDefault="00CC59CF" w:rsidP="00324486">
            <w:pPr>
              <w:pStyle w:val="TableHeader"/>
            </w:pPr>
            <w:r w:rsidRPr="00272C9F">
              <w:t>1-in-10</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January</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12.15</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12.15</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12.15</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12.15</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February</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12.21</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12.21</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12.21</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12.21</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March</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12.12</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14.26</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12.11</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13.67</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April</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13.19</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16.16</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13.76</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16.81</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May</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7.96</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9.83</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8.69</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10.23</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June</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9.09</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10.12</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9.09</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10.15</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July</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10.02</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10.40</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10.06</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11.14</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August</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10.97</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11.09</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10.75</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11.53</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September</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11.10</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11.96</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10.95</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11.87</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October</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8.92</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10.07</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9.36</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10.43</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November</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12.84</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14.84</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13.16</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15.70</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December</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11.91</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11.92</w:t>
            </w:r>
          </w:p>
        </w:tc>
        <w:tc>
          <w:tcPr>
            <w:tcW w:w="1016"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11.92</w:t>
            </w:r>
          </w:p>
        </w:tc>
        <w:tc>
          <w:tcPr>
            <w:tcW w:w="1224" w:type="dxa"/>
            <w:tcBorders>
              <w:top w:val="nil"/>
              <w:left w:val="nil"/>
              <w:bottom w:val="single" w:sz="4" w:space="0" w:color="auto"/>
              <w:right w:val="single" w:sz="4" w:space="0" w:color="auto"/>
            </w:tcBorders>
            <w:shd w:val="clear" w:color="auto" w:fill="auto"/>
            <w:noWrap/>
            <w:vAlign w:val="center"/>
            <w:hideMark/>
          </w:tcPr>
          <w:p w:rsidR="00CC59CF" w:rsidRPr="00272C9F" w:rsidRDefault="00CC59CF" w:rsidP="00CA4440">
            <w:pPr>
              <w:pStyle w:val="TableText"/>
              <w:jc w:val="center"/>
            </w:pPr>
            <w:r w:rsidRPr="00272C9F">
              <w:t>11.92</w:t>
            </w:r>
          </w:p>
        </w:tc>
      </w:tr>
    </w:tbl>
    <w:p w:rsidR="00287DB8" w:rsidRDefault="00287DB8" w:rsidP="00287DB8">
      <w:pPr>
        <w:pStyle w:val="BodyParaAfterTableFigure"/>
        <w:spacing w:before="0" w:after="0" w:line="276" w:lineRule="auto"/>
        <w:rPr>
          <w:rFonts w:ascii="Times New Roman" w:hAnsi="Times New Roman"/>
          <w:sz w:val="24"/>
          <w:szCs w:val="24"/>
        </w:rPr>
      </w:pPr>
    </w:p>
    <w:p w:rsidR="00CC59CF" w:rsidRDefault="00287DB8" w:rsidP="008E3378">
      <w:pPr>
        <w:pStyle w:val="BodyParaAfterTableFigure"/>
        <w:spacing w:before="0" w:after="0" w:line="276" w:lineRule="auto"/>
        <w:rPr>
          <w:rFonts w:ascii="Times New Roman" w:hAnsi="Times New Roman"/>
          <w:sz w:val="24"/>
          <w:szCs w:val="24"/>
        </w:rPr>
      </w:pPr>
      <w:r w:rsidRPr="00287DB8">
        <w:rPr>
          <w:rFonts w:ascii="Times New Roman" w:hAnsi="Times New Roman"/>
          <w:sz w:val="24"/>
          <w:szCs w:val="24"/>
        </w:rPr>
        <w:t xml:space="preserve">The </w:t>
      </w:r>
      <w:r w:rsidR="00CC59CF" w:rsidRPr="00287DB8">
        <w:rPr>
          <w:rFonts w:ascii="Times New Roman" w:hAnsi="Times New Roman"/>
          <w:sz w:val="24"/>
          <w:szCs w:val="24"/>
        </w:rPr>
        <w:t>empirical evidence available for estimating the incremental impact of CPP prices on event days is extremely limited and so these impacts are conservatively assumed to be zero.</w:t>
      </w:r>
    </w:p>
    <w:p w:rsidR="00287DB8" w:rsidRPr="00287DB8" w:rsidRDefault="00287DB8" w:rsidP="008E3378">
      <w:pPr>
        <w:pStyle w:val="BodyParagraph"/>
        <w:spacing w:after="0" w:line="276" w:lineRule="auto"/>
      </w:pPr>
    </w:p>
    <w:p w:rsidR="00CC59CF" w:rsidRPr="00F345DA" w:rsidRDefault="00CC59CF" w:rsidP="008E3378">
      <w:pPr>
        <w:pStyle w:val="Heading3"/>
        <w:spacing w:before="0" w:after="0" w:line="276" w:lineRule="auto"/>
        <w:ind w:hanging="360"/>
        <w:rPr>
          <w:rFonts w:ascii="Times New Roman" w:hAnsi="Times New Roman" w:cs="Times New Roman"/>
        </w:rPr>
      </w:pPr>
      <w:bookmarkStart w:id="261" w:name="_Toc414350791"/>
      <w:bookmarkStart w:id="262" w:name="_Toc414441458"/>
      <w:bookmarkStart w:id="263" w:name="_Toc415749039"/>
      <w:r w:rsidRPr="00F345DA">
        <w:rPr>
          <w:rFonts w:ascii="Times New Roman" w:hAnsi="Times New Roman" w:cs="Times New Roman"/>
        </w:rPr>
        <w:t>Agricultural Customers (Approved Rate Windows)</w:t>
      </w:r>
      <w:bookmarkEnd w:id="261"/>
      <w:bookmarkEnd w:id="262"/>
      <w:bookmarkEnd w:id="263"/>
    </w:p>
    <w:p w:rsidR="00287DB8" w:rsidRPr="00287DB8" w:rsidRDefault="00287DB8" w:rsidP="008E3378">
      <w:pPr>
        <w:spacing w:line="276" w:lineRule="auto"/>
      </w:pPr>
    </w:p>
    <w:p w:rsidR="00CC59CF" w:rsidRPr="00287DB8" w:rsidRDefault="00CC59CF" w:rsidP="008E3378">
      <w:pPr>
        <w:pStyle w:val="BodyParagraph"/>
        <w:spacing w:after="0" w:line="276" w:lineRule="auto"/>
        <w:ind w:firstLine="540"/>
        <w:rPr>
          <w:rFonts w:ascii="Times New Roman" w:hAnsi="Times New Roman"/>
          <w:sz w:val="24"/>
          <w:szCs w:val="24"/>
        </w:rPr>
      </w:pPr>
      <w:r w:rsidRPr="00287DB8">
        <w:rPr>
          <w:rFonts w:ascii="Times New Roman" w:hAnsi="Times New Roman"/>
          <w:sz w:val="24"/>
          <w:szCs w:val="24"/>
        </w:rPr>
        <w:t xml:space="preserve">Peak period load impact estimates attributable to the TOU component of the SPP rates on a July system peak day for agricultural customers are presented in Table </w:t>
      </w:r>
      <w:r w:rsidR="00F345DA">
        <w:rPr>
          <w:rFonts w:ascii="Times New Roman" w:hAnsi="Times New Roman"/>
          <w:sz w:val="24"/>
          <w:szCs w:val="24"/>
        </w:rPr>
        <w:t>9</w:t>
      </w:r>
      <w:r w:rsidR="00287DB8">
        <w:rPr>
          <w:rFonts w:ascii="Times New Roman" w:hAnsi="Times New Roman"/>
          <w:sz w:val="24"/>
          <w:szCs w:val="24"/>
        </w:rPr>
        <w:t>-11</w:t>
      </w:r>
      <w:r w:rsidRPr="00287DB8">
        <w:rPr>
          <w:rFonts w:ascii="Times New Roman" w:hAnsi="Times New Roman"/>
          <w:sz w:val="24"/>
          <w:szCs w:val="24"/>
        </w:rPr>
        <w:t xml:space="preserve"> by industry. The agricultural customer segment was separated into two distinct industries—agricultural pumping and water districts. The majority of customers fall into the agricultural pumping category and this industry is responsible for nearly the entire forecasted load reductions associated with the TOU rate. Overall, SDG&amp;E’s agricultural customers are expected to reduce their peak period usage by about 1.10 MW in response to the TOU portion of the SPP rates.</w:t>
      </w:r>
    </w:p>
    <w:p w:rsidR="00CC59CF" w:rsidRPr="00272C9F" w:rsidRDefault="00CC59CF" w:rsidP="00CC59CF">
      <w:pPr>
        <w:rPr>
          <w:rFonts w:ascii="Calibri" w:hAnsi="Calibri"/>
          <w:b/>
          <w:sz w:val="21"/>
          <w:szCs w:val="21"/>
        </w:rPr>
      </w:pPr>
      <w:r w:rsidRPr="00272C9F">
        <w:rPr>
          <w:sz w:val="21"/>
          <w:szCs w:val="21"/>
        </w:rPr>
        <w:br w:type="page"/>
      </w:r>
    </w:p>
    <w:p w:rsidR="00CC59CF" w:rsidRPr="00287DB8" w:rsidRDefault="00CC59CF" w:rsidP="00CC59CF">
      <w:pPr>
        <w:pStyle w:val="TableFigureCaption"/>
        <w:rPr>
          <w:rFonts w:ascii="Times New Roman" w:hAnsi="Times New Roman"/>
          <w:sz w:val="20"/>
          <w:szCs w:val="20"/>
        </w:rPr>
      </w:pPr>
      <w:r w:rsidRPr="00287DB8">
        <w:rPr>
          <w:rFonts w:ascii="Times New Roman" w:hAnsi="Times New Roman"/>
          <w:sz w:val="20"/>
          <w:szCs w:val="20"/>
        </w:rPr>
        <w:lastRenderedPageBreak/>
        <w:t xml:space="preserve">Table </w:t>
      </w:r>
      <w:r w:rsidR="00F345DA">
        <w:rPr>
          <w:rFonts w:ascii="Times New Roman" w:hAnsi="Times New Roman"/>
          <w:sz w:val="20"/>
          <w:szCs w:val="20"/>
        </w:rPr>
        <w:t>9</w:t>
      </w:r>
      <w:r w:rsidR="00287DB8" w:rsidRPr="00287DB8">
        <w:rPr>
          <w:rFonts w:ascii="Times New Roman" w:hAnsi="Times New Roman"/>
          <w:sz w:val="20"/>
          <w:szCs w:val="20"/>
        </w:rPr>
        <w:t>-11</w:t>
      </w:r>
      <w:r w:rsidRPr="00287DB8">
        <w:rPr>
          <w:rFonts w:ascii="Times New Roman" w:hAnsi="Times New Roman"/>
          <w:sz w:val="20"/>
          <w:szCs w:val="20"/>
        </w:rPr>
        <w:t>: Ex Ante TOU Load Impacts for Agricultural Customers on July Monthly System Peak Day (SDG&amp;E Weather Conditions)</w:t>
      </w:r>
    </w:p>
    <w:tbl>
      <w:tblPr>
        <w:tblW w:w="9232" w:type="dxa"/>
        <w:jc w:val="center"/>
        <w:tblInd w:w="-1769" w:type="dxa"/>
        <w:tblLayout w:type="fixed"/>
        <w:tblCellMar>
          <w:left w:w="0" w:type="dxa"/>
          <w:right w:w="0" w:type="dxa"/>
        </w:tblCellMar>
        <w:tblLook w:val="04A0" w:firstRow="1" w:lastRow="0" w:firstColumn="1" w:lastColumn="0" w:noHBand="0" w:noVBand="1"/>
      </w:tblPr>
      <w:tblGrid>
        <w:gridCol w:w="1762"/>
        <w:gridCol w:w="900"/>
        <w:gridCol w:w="1530"/>
        <w:gridCol w:w="1250"/>
        <w:gridCol w:w="720"/>
        <w:gridCol w:w="974"/>
        <w:gridCol w:w="1106"/>
        <w:gridCol w:w="990"/>
      </w:tblGrid>
      <w:tr w:rsidR="00CC59CF" w:rsidRPr="006A05CB" w:rsidTr="00324486">
        <w:trPr>
          <w:trHeight w:val="439"/>
          <w:jc w:val="center"/>
        </w:trPr>
        <w:tc>
          <w:tcPr>
            <w:tcW w:w="1762" w:type="dxa"/>
            <w:vMerge w:val="restart"/>
            <w:tcBorders>
              <w:top w:val="single" w:sz="8" w:space="0" w:color="auto"/>
              <w:left w:val="single" w:sz="8" w:space="0" w:color="auto"/>
              <w:right w:val="single" w:sz="8" w:space="0" w:color="FFFFFF"/>
            </w:tcBorders>
            <w:shd w:val="clear" w:color="auto" w:fill="0070CD"/>
            <w:tcMar>
              <w:top w:w="0" w:type="dxa"/>
              <w:left w:w="108" w:type="dxa"/>
              <w:bottom w:w="0" w:type="dxa"/>
              <w:right w:w="108" w:type="dxa"/>
            </w:tcMar>
            <w:vAlign w:val="center"/>
          </w:tcPr>
          <w:p w:rsidR="00CC59CF" w:rsidRPr="006A05CB" w:rsidRDefault="00CC59CF" w:rsidP="00324486">
            <w:pPr>
              <w:pStyle w:val="TableHeader"/>
              <w:rPr>
                <w:sz w:val="18"/>
                <w:szCs w:val="18"/>
              </w:rPr>
            </w:pPr>
            <w:r w:rsidRPr="006A05CB">
              <w:rPr>
                <w:sz w:val="18"/>
                <w:szCs w:val="18"/>
              </w:rPr>
              <w:t>Industry</w:t>
            </w:r>
          </w:p>
        </w:tc>
        <w:tc>
          <w:tcPr>
            <w:tcW w:w="3680" w:type="dxa"/>
            <w:gridSpan w:val="3"/>
            <w:tcBorders>
              <w:top w:val="single" w:sz="8" w:space="0" w:color="auto"/>
              <w:left w:val="nil"/>
              <w:bottom w:val="single" w:sz="4" w:space="0" w:color="FFFFFF" w:themeColor="background1"/>
              <w:right w:val="single" w:sz="4" w:space="0" w:color="FFFFFF" w:themeColor="background1"/>
            </w:tcBorders>
            <w:shd w:val="clear" w:color="auto" w:fill="0070CD"/>
            <w:tcMar>
              <w:top w:w="0" w:type="dxa"/>
              <w:left w:w="108" w:type="dxa"/>
              <w:bottom w:w="0" w:type="dxa"/>
              <w:right w:w="108" w:type="dxa"/>
            </w:tcMar>
            <w:vAlign w:val="center"/>
          </w:tcPr>
          <w:p w:rsidR="00CC59CF" w:rsidRPr="006A05CB" w:rsidRDefault="00CC59CF" w:rsidP="00324486">
            <w:pPr>
              <w:pStyle w:val="TableHeader"/>
              <w:rPr>
                <w:sz w:val="18"/>
                <w:szCs w:val="18"/>
              </w:rPr>
            </w:pPr>
            <w:r w:rsidRPr="006A05CB">
              <w:rPr>
                <w:sz w:val="18"/>
                <w:szCs w:val="18"/>
              </w:rPr>
              <w:t xml:space="preserve"> SDG&amp;E 1-in-2</w:t>
            </w:r>
          </w:p>
        </w:tc>
        <w:tc>
          <w:tcPr>
            <w:tcW w:w="280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70CD"/>
            <w:vAlign w:val="center"/>
          </w:tcPr>
          <w:p w:rsidR="00CC59CF" w:rsidRPr="006A05CB" w:rsidRDefault="00CC59CF" w:rsidP="00324486">
            <w:pPr>
              <w:pStyle w:val="TableHeader"/>
              <w:rPr>
                <w:sz w:val="18"/>
                <w:szCs w:val="18"/>
              </w:rPr>
            </w:pPr>
            <w:r w:rsidRPr="006A05CB">
              <w:rPr>
                <w:sz w:val="18"/>
                <w:szCs w:val="18"/>
              </w:rPr>
              <w:t>SDG&amp;E 1-in-10</w:t>
            </w:r>
          </w:p>
        </w:tc>
        <w:tc>
          <w:tcPr>
            <w:tcW w:w="990" w:type="dxa"/>
            <w:vMerge w:val="restart"/>
            <w:tcBorders>
              <w:top w:val="single" w:sz="4" w:space="0" w:color="auto"/>
              <w:left w:val="single" w:sz="4" w:space="0" w:color="FFFFFF" w:themeColor="background1"/>
              <w:right w:val="single" w:sz="4" w:space="0" w:color="auto"/>
            </w:tcBorders>
            <w:shd w:val="clear" w:color="auto" w:fill="0070CD"/>
            <w:vAlign w:val="center"/>
          </w:tcPr>
          <w:p w:rsidR="00CC59CF" w:rsidRPr="006A05CB" w:rsidRDefault="00CC59CF" w:rsidP="00324486">
            <w:pPr>
              <w:pStyle w:val="TableHeader"/>
              <w:rPr>
                <w:sz w:val="18"/>
                <w:szCs w:val="18"/>
              </w:rPr>
            </w:pPr>
            <w:r w:rsidRPr="006A05CB">
              <w:rPr>
                <w:sz w:val="18"/>
                <w:szCs w:val="18"/>
              </w:rPr>
              <w:t>% Load Reduction</w:t>
            </w:r>
          </w:p>
        </w:tc>
      </w:tr>
      <w:tr w:rsidR="00CC59CF" w:rsidRPr="006A05CB" w:rsidTr="00324486">
        <w:trPr>
          <w:trHeight w:val="768"/>
          <w:jc w:val="center"/>
        </w:trPr>
        <w:tc>
          <w:tcPr>
            <w:tcW w:w="1762" w:type="dxa"/>
            <w:vMerge/>
            <w:tcBorders>
              <w:left w:val="single" w:sz="8" w:space="0" w:color="auto"/>
              <w:bottom w:val="single" w:sz="4" w:space="0" w:color="auto"/>
              <w:right w:val="single" w:sz="8" w:space="0" w:color="FFFFFF"/>
            </w:tcBorders>
            <w:shd w:val="clear" w:color="auto" w:fill="0070CD"/>
            <w:tcMar>
              <w:top w:w="0" w:type="dxa"/>
              <w:left w:w="108" w:type="dxa"/>
              <w:bottom w:w="0" w:type="dxa"/>
              <w:right w:w="108" w:type="dxa"/>
            </w:tcMar>
            <w:vAlign w:val="center"/>
            <w:hideMark/>
          </w:tcPr>
          <w:p w:rsidR="00CC59CF" w:rsidRPr="006A05CB" w:rsidRDefault="00CC59CF" w:rsidP="00324486">
            <w:pPr>
              <w:pStyle w:val="TableHeader"/>
              <w:rPr>
                <w:sz w:val="18"/>
                <w:szCs w:val="18"/>
              </w:rPr>
            </w:pPr>
          </w:p>
        </w:tc>
        <w:tc>
          <w:tcPr>
            <w:tcW w:w="900" w:type="dxa"/>
            <w:tcBorders>
              <w:top w:val="single" w:sz="4" w:space="0" w:color="FFFFFF" w:themeColor="background1"/>
              <w:left w:val="nil"/>
              <w:bottom w:val="single" w:sz="8" w:space="0" w:color="auto"/>
              <w:right w:val="single" w:sz="8" w:space="0" w:color="FFFFFF"/>
            </w:tcBorders>
            <w:shd w:val="clear" w:color="auto" w:fill="0070CD"/>
            <w:tcMar>
              <w:top w:w="0" w:type="dxa"/>
              <w:left w:w="108" w:type="dxa"/>
              <w:bottom w:w="0" w:type="dxa"/>
              <w:right w:w="108" w:type="dxa"/>
            </w:tcMar>
            <w:vAlign w:val="center"/>
            <w:hideMark/>
          </w:tcPr>
          <w:p w:rsidR="00CC59CF" w:rsidRPr="006A05CB" w:rsidRDefault="00CC59CF" w:rsidP="00324486">
            <w:pPr>
              <w:pStyle w:val="TableHeader"/>
              <w:rPr>
                <w:sz w:val="18"/>
                <w:szCs w:val="18"/>
              </w:rPr>
            </w:pPr>
            <w:r w:rsidRPr="006A05CB">
              <w:rPr>
                <w:sz w:val="18"/>
                <w:szCs w:val="18"/>
              </w:rPr>
              <w:t>Ref Load  (kW)</w:t>
            </w:r>
          </w:p>
        </w:tc>
        <w:tc>
          <w:tcPr>
            <w:tcW w:w="1530" w:type="dxa"/>
            <w:tcBorders>
              <w:top w:val="single" w:sz="4" w:space="0" w:color="FFFFFF" w:themeColor="background1"/>
              <w:left w:val="nil"/>
              <w:bottom w:val="single" w:sz="8" w:space="0" w:color="auto"/>
              <w:right w:val="single" w:sz="4" w:space="0" w:color="FFFFFF" w:themeColor="background1"/>
            </w:tcBorders>
            <w:shd w:val="clear" w:color="auto" w:fill="0070CD"/>
            <w:noWrap/>
            <w:tcMar>
              <w:top w:w="0" w:type="dxa"/>
              <w:left w:w="108" w:type="dxa"/>
              <w:bottom w:w="0" w:type="dxa"/>
              <w:right w:w="108" w:type="dxa"/>
            </w:tcMar>
            <w:vAlign w:val="center"/>
            <w:hideMark/>
          </w:tcPr>
          <w:p w:rsidR="00CC59CF" w:rsidRPr="006A05CB" w:rsidRDefault="00CC59CF" w:rsidP="00324486">
            <w:pPr>
              <w:pStyle w:val="TableHeader"/>
              <w:rPr>
                <w:sz w:val="18"/>
                <w:szCs w:val="18"/>
              </w:rPr>
            </w:pPr>
            <w:r w:rsidRPr="006A05CB">
              <w:rPr>
                <w:sz w:val="18"/>
                <w:szCs w:val="18"/>
              </w:rPr>
              <w:t>Avg. Impact per Customer (kW)</w:t>
            </w:r>
          </w:p>
        </w:tc>
        <w:tc>
          <w:tcPr>
            <w:tcW w:w="12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vAlign w:val="center"/>
          </w:tcPr>
          <w:p w:rsidR="00CC59CF" w:rsidRPr="006A05CB" w:rsidRDefault="00CC59CF" w:rsidP="00324486">
            <w:pPr>
              <w:pStyle w:val="TableHeader"/>
              <w:rPr>
                <w:sz w:val="18"/>
                <w:szCs w:val="18"/>
              </w:rPr>
            </w:pPr>
            <w:r w:rsidRPr="006A05CB">
              <w:rPr>
                <w:sz w:val="18"/>
                <w:szCs w:val="18"/>
              </w:rPr>
              <w:t>Aggregate Impact (MW)</w:t>
            </w:r>
          </w:p>
        </w:tc>
        <w:tc>
          <w:tcPr>
            <w:tcW w:w="72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vAlign w:val="center"/>
          </w:tcPr>
          <w:p w:rsidR="00CC59CF" w:rsidRPr="006A05CB" w:rsidRDefault="00CC59CF" w:rsidP="00324486">
            <w:pPr>
              <w:pStyle w:val="TableHeader"/>
              <w:rPr>
                <w:sz w:val="18"/>
                <w:szCs w:val="18"/>
              </w:rPr>
            </w:pPr>
            <w:r w:rsidRPr="006A05CB">
              <w:rPr>
                <w:sz w:val="18"/>
                <w:szCs w:val="18"/>
              </w:rPr>
              <w:t>Ref Load  (kW)</w:t>
            </w:r>
          </w:p>
        </w:tc>
        <w:tc>
          <w:tcPr>
            <w:tcW w:w="97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vAlign w:val="center"/>
          </w:tcPr>
          <w:p w:rsidR="00CC59CF" w:rsidRPr="006A05CB" w:rsidRDefault="00CC59CF" w:rsidP="00324486">
            <w:pPr>
              <w:pStyle w:val="TableHeader"/>
              <w:rPr>
                <w:sz w:val="18"/>
                <w:szCs w:val="18"/>
              </w:rPr>
            </w:pPr>
            <w:r w:rsidRPr="006A05CB">
              <w:rPr>
                <w:sz w:val="18"/>
                <w:szCs w:val="18"/>
              </w:rPr>
              <w:t>Avg. Impact per Customer (kW)</w:t>
            </w:r>
          </w:p>
        </w:tc>
        <w:tc>
          <w:tcPr>
            <w:tcW w:w="110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70CD"/>
            <w:vAlign w:val="center"/>
          </w:tcPr>
          <w:p w:rsidR="00CC59CF" w:rsidRPr="006A05CB" w:rsidRDefault="00CC59CF" w:rsidP="00324486">
            <w:pPr>
              <w:pStyle w:val="TableHeader"/>
              <w:rPr>
                <w:sz w:val="18"/>
                <w:szCs w:val="18"/>
              </w:rPr>
            </w:pPr>
            <w:r w:rsidRPr="006A05CB">
              <w:rPr>
                <w:sz w:val="18"/>
                <w:szCs w:val="18"/>
              </w:rPr>
              <w:t>Aggregate Impact (MW)</w:t>
            </w:r>
          </w:p>
        </w:tc>
        <w:tc>
          <w:tcPr>
            <w:tcW w:w="990" w:type="dxa"/>
            <w:vMerge/>
            <w:tcBorders>
              <w:left w:val="single" w:sz="4" w:space="0" w:color="FFFFFF" w:themeColor="background1"/>
              <w:bottom w:val="single" w:sz="4" w:space="0" w:color="auto"/>
              <w:right w:val="single" w:sz="4" w:space="0" w:color="auto"/>
            </w:tcBorders>
            <w:shd w:val="clear" w:color="auto" w:fill="0070CD"/>
            <w:vAlign w:val="center"/>
          </w:tcPr>
          <w:p w:rsidR="00CC59CF" w:rsidRPr="006A05CB" w:rsidRDefault="00CC59CF" w:rsidP="00324486">
            <w:pPr>
              <w:pStyle w:val="TableHeader"/>
              <w:rPr>
                <w:sz w:val="18"/>
                <w:szCs w:val="18"/>
              </w:rPr>
            </w:pPr>
          </w:p>
        </w:tc>
      </w:tr>
      <w:tr w:rsidR="00CC59CF" w:rsidRPr="00272C9F" w:rsidTr="00324486">
        <w:trPr>
          <w:trHeight w:val="293"/>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CC59CF" w:rsidRPr="006A05CB" w:rsidRDefault="00CC59CF" w:rsidP="00324486">
            <w:pPr>
              <w:pStyle w:val="TableText"/>
              <w:rPr>
                <w:szCs w:val="18"/>
              </w:rPr>
            </w:pPr>
            <w:r w:rsidRPr="006A05CB">
              <w:rPr>
                <w:szCs w:val="18"/>
              </w:rPr>
              <w:t>Agriculture Pumping</w:t>
            </w:r>
          </w:p>
        </w:tc>
        <w:tc>
          <w:tcPr>
            <w:tcW w:w="900"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CC59CF" w:rsidRPr="006A05CB" w:rsidRDefault="00CC59CF" w:rsidP="00CA4440">
            <w:pPr>
              <w:pStyle w:val="TableText"/>
              <w:jc w:val="center"/>
              <w:rPr>
                <w:szCs w:val="18"/>
              </w:rPr>
            </w:pPr>
            <w:r w:rsidRPr="006A05CB">
              <w:rPr>
                <w:szCs w:val="18"/>
              </w:rPr>
              <w:t>2.46</w:t>
            </w:r>
          </w:p>
        </w:tc>
        <w:tc>
          <w:tcPr>
            <w:tcW w:w="1530" w:type="dxa"/>
            <w:tcBorders>
              <w:top w:val="single" w:sz="4"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CC59CF" w:rsidRPr="006A05CB" w:rsidRDefault="00CC59CF" w:rsidP="00CA4440">
            <w:pPr>
              <w:pStyle w:val="TableText"/>
              <w:jc w:val="center"/>
              <w:rPr>
                <w:szCs w:val="18"/>
              </w:rPr>
            </w:pPr>
            <w:r w:rsidRPr="006A05CB">
              <w:rPr>
                <w:szCs w:val="18"/>
              </w:rPr>
              <w:t>0.47</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1.05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2.49</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0.47</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1.06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19.1%</w:t>
            </w:r>
          </w:p>
        </w:tc>
      </w:tr>
      <w:tr w:rsidR="00CC59CF" w:rsidRPr="00272C9F" w:rsidTr="00324486">
        <w:trPr>
          <w:trHeight w:val="293"/>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CC59CF" w:rsidRPr="006A05CB" w:rsidRDefault="00CC59CF" w:rsidP="00324486">
            <w:pPr>
              <w:pStyle w:val="TableText"/>
              <w:rPr>
                <w:szCs w:val="18"/>
              </w:rPr>
            </w:pPr>
            <w:r w:rsidRPr="006A05CB">
              <w:rPr>
                <w:szCs w:val="18"/>
              </w:rPr>
              <w:t>Water Districts</w:t>
            </w:r>
          </w:p>
        </w:tc>
        <w:tc>
          <w:tcPr>
            <w:tcW w:w="9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CC59CF" w:rsidRPr="006A05CB" w:rsidRDefault="00CC59CF" w:rsidP="00CA4440">
            <w:pPr>
              <w:pStyle w:val="TableText"/>
              <w:jc w:val="center"/>
              <w:rPr>
                <w:szCs w:val="18"/>
              </w:rPr>
            </w:pPr>
            <w:r w:rsidRPr="006A05CB">
              <w:rPr>
                <w:szCs w:val="18"/>
              </w:rPr>
              <w:t>2.55</w:t>
            </w:r>
          </w:p>
        </w:tc>
        <w:tc>
          <w:tcPr>
            <w:tcW w:w="153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CC59CF" w:rsidRPr="006A05CB" w:rsidRDefault="00CC59CF" w:rsidP="00CA4440">
            <w:pPr>
              <w:pStyle w:val="TableText"/>
              <w:jc w:val="center"/>
              <w:rPr>
                <w:szCs w:val="18"/>
              </w:rPr>
            </w:pPr>
            <w:r w:rsidRPr="006A05CB">
              <w:rPr>
                <w:szCs w:val="18"/>
              </w:rPr>
              <w:t>0.14</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0.05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2.71</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0.15</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0.06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5.7%</w:t>
            </w:r>
          </w:p>
        </w:tc>
      </w:tr>
      <w:tr w:rsidR="00CC59CF" w:rsidRPr="00272C9F" w:rsidTr="00324486">
        <w:trPr>
          <w:trHeight w:val="293"/>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CC59CF" w:rsidRPr="006A05CB" w:rsidRDefault="00CC59CF" w:rsidP="00324486">
            <w:pPr>
              <w:pStyle w:val="TableText"/>
              <w:rPr>
                <w:szCs w:val="18"/>
              </w:rPr>
            </w:pPr>
            <w:r w:rsidRPr="006A05CB">
              <w:rPr>
                <w:szCs w:val="18"/>
              </w:rPr>
              <w:t>All Agriculture</w:t>
            </w:r>
          </w:p>
        </w:tc>
        <w:tc>
          <w:tcPr>
            <w:tcW w:w="9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CC59CF" w:rsidRPr="006A05CB" w:rsidRDefault="00CC59CF" w:rsidP="00CA4440">
            <w:pPr>
              <w:pStyle w:val="TableText"/>
              <w:jc w:val="center"/>
              <w:rPr>
                <w:szCs w:val="18"/>
              </w:rPr>
            </w:pPr>
            <w:r w:rsidRPr="006A05CB">
              <w:rPr>
                <w:szCs w:val="18"/>
              </w:rPr>
              <w:t>2.47</w:t>
            </w:r>
          </w:p>
        </w:tc>
        <w:tc>
          <w:tcPr>
            <w:tcW w:w="1530"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rsidR="00CC59CF" w:rsidRPr="006A05CB" w:rsidRDefault="00CC59CF" w:rsidP="00CA4440">
            <w:pPr>
              <w:pStyle w:val="TableText"/>
              <w:jc w:val="center"/>
              <w:rPr>
                <w:szCs w:val="18"/>
              </w:rPr>
            </w:pPr>
            <w:r w:rsidRPr="006A05CB">
              <w:rPr>
                <w:szCs w:val="18"/>
              </w:rPr>
              <w:t>0.42</w:t>
            </w:r>
          </w:p>
        </w:tc>
        <w:tc>
          <w:tcPr>
            <w:tcW w:w="1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1.10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2.52</w:t>
            </w:r>
          </w:p>
        </w:tc>
        <w:tc>
          <w:tcPr>
            <w:tcW w:w="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0.43</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1.12</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59CF" w:rsidRPr="006A05CB" w:rsidRDefault="00CC59CF" w:rsidP="00CA4440">
            <w:pPr>
              <w:pStyle w:val="TableText"/>
              <w:jc w:val="center"/>
              <w:rPr>
                <w:szCs w:val="18"/>
              </w:rPr>
            </w:pPr>
            <w:r w:rsidRPr="006A05CB">
              <w:rPr>
                <w:szCs w:val="18"/>
              </w:rPr>
              <w:t>17.0%</w:t>
            </w:r>
          </w:p>
        </w:tc>
      </w:tr>
    </w:tbl>
    <w:p w:rsidR="00861DF4" w:rsidRDefault="00861DF4" w:rsidP="00861DF4">
      <w:pPr>
        <w:pStyle w:val="BodyParaAfterTableFigure"/>
        <w:spacing w:before="0" w:after="0" w:line="276" w:lineRule="auto"/>
        <w:rPr>
          <w:rFonts w:ascii="Times New Roman" w:hAnsi="Times New Roman"/>
          <w:sz w:val="24"/>
          <w:szCs w:val="24"/>
        </w:rPr>
      </w:pPr>
    </w:p>
    <w:p w:rsidR="00CC59CF" w:rsidRDefault="00CC59CF" w:rsidP="00861DF4">
      <w:pPr>
        <w:pStyle w:val="BodyParaAfterTableFigure"/>
        <w:spacing w:before="0" w:after="0" w:line="276" w:lineRule="auto"/>
        <w:ind w:firstLine="720"/>
        <w:rPr>
          <w:rFonts w:ascii="Times New Roman" w:hAnsi="Times New Roman"/>
          <w:sz w:val="24"/>
          <w:szCs w:val="24"/>
        </w:rPr>
      </w:pPr>
      <w:r w:rsidRPr="00287DB8">
        <w:rPr>
          <w:rFonts w:ascii="Times New Roman" w:hAnsi="Times New Roman"/>
          <w:sz w:val="24"/>
          <w:szCs w:val="24"/>
        </w:rPr>
        <w:t xml:space="preserve">Impacts for agricultural customers by month are shown in Table </w:t>
      </w:r>
      <w:r w:rsidR="00F345DA">
        <w:rPr>
          <w:rFonts w:ascii="Times New Roman" w:hAnsi="Times New Roman"/>
          <w:sz w:val="24"/>
          <w:szCs w:val="24"/>
        </w:rPr>
        <w:t>9</w:t>
      </w:r>
      <w:r w:rsidR="00861DF4">
        <w:rPr>
          <w:rFonts w:ascii="Times New Roman" w:hAnsi="Times New Roman"/>
          <w:sz w:val="24"/>
          <w:szCs w:val="24"/>
        </w:rPr>
        <w:t>-12</w:t>
      </w:r>
      <w:r w:rsidRPr="00287DB8">
        <w:rPr>
          <w:rFonts w:ascii="Times New Roman" w:hAnsi="Times New Roman"/>
          <w:sz w:val="24"/>
          <w:szCs w:val="24"/>
        </w:rPr>
        <w:t>. Unlike the results for small commercial customers, impacts for agricultural customers are largest in the summer and smaller in the winter due to the seasonal nature of the growing season and pumping activities. The results are also fairly consistent across each set of ex ante weather conditions, with impacts ranging from a low of around 0.45 MW in December to a high of approximately 1.10 MW in July.</w:t>
      </w:r>
    </w:p>
    <w:p w:rsidR="00861DF4" w:rsidRPr="00861DF4" w:rsidRDefault="00861DF4" w:rsidP="00861DF4">
      <w:pPr>
        <w:pStyle w:val="BodyParagraph"/>
        <w:spacing w:after="0" w:line="276" w:lineRule="auto"/>
      </w:pPr>
    </w:p>
    <w:p w:rsidR="00CC59CF" w:rsidRPr="00287DB8" w:rsidRDefault="00CC59CF" w:rsidP="00CC59CF">
      <w:pPr>
        <w:pStyle w:val="TableFigureCaption"/>
        <w:rPr>
          <w:rFonts w:ascii="Times New Roman" w:hAnsi="Times New Roman"/>
          <w:sz w:val="20"/>
          <w:szCs w:val="20"/>
        </w:rPr>
      </w:pPr>
      <w:r w:rsidRPr="00287DB8">
        <w:rPr>
          <w:rFonts w:ascii="Times New Roman" w:hAnsi="Times New Roman"/>
          <w:sz w:val="20"/>
          <w:szCs w:val="20"/>
        </w:rPr>
        <w:t xml:space="preserve">Table </w:t>
      </w:r>
      <w:r w:rsidR="00F345DA">
        <w:rPr>
          <w:rFonts w:ascii="Times New Roman" w:hAnsi="Times New Roman"/>
          <w:sz w:val="20"/>
          <w:szCs w:val="20"/>
        </w:rPr>
        <w:t>9</w:t>
      </w:r>
      <w:r w:rsidR="00861DF4">
        <w:rPr>
          <w:rFonts w:ascii="Times New Roman" w:hAnsi="Times New Roman"/>
          <w:sz w:val="20"/>
          <w:szCs w:val="20"/>
        </w:rPr>
        <w:t>-12</w:t>
      </w:r>
      <w:r w:rsidRPr="00287DB8">
        <w:rPr>
          <w:rFonts w:ascii="Times New Roman" w:hAnsi="Times New Roman"/>
          <w:sz w:val="20"/>
          <w:szCs w:val="20"/>
        </w:rPr>
        <w:t xml:space="preserve">: Aggregate Ex Ante TOU Load Impacts for Agricultural Customers on </w:t>
      </w:r>
      <w:r w:rsidRPr="00287DB8">
        <w:rPr>
          <w:rFonts w:ascii="Times New Roman" w:hAnsi="Times New Roman"/>
          <w:sz w:val="20"/>
          <w:szCs w:val="20"/>
        </w:rPr>
        <w:br/>
        <w:t>Monthly System Peak Days</w:t>
      </w:r>
    </w:p>
    <w:tbl>
      <w:tblPr>
        <w:tblW w:w="6170" w:type="dxa"/>
        <w:jc w:val="center"/>
        <w:tblInd w:w="863" w:type="dxa"/>
        <w:tblLook w:val="04A0" w:firstRow="1" w:lastRow="0" w:firstColumn="1" w:lastColumn="0" w:noHBand="0" w:noVBand="1"/>
      </w:tblPr>
      <w:tblGrid>
        <w:gridCol w:w="1690"/>
        <w:gridCol w:w="1016"/>
        <w:gridCol w:w="1224"/>
        <w:gridCol w:w="1016"/>
        <w:gridCol w:w="1224"/>
      </w:tblGrid>
      <w:tr w:rsidR="00CC59CF" w:rsidRPr="00272C9F" w:rsidTr="00324486">
        <w:trPr>
          <w:trHeight w:val="285"/>
          <w:jc w:val="center"/>
        </w:trPr>
        <w:tc>
          <w:tcPr>
            <w:tcW w:w="1690" w:type="dxa"/>
            <w:vMerge w:val="restart"/>
            <w:tcBorders>
              <w:top w:val="single" w:sz="4" w:space="0" w:color="auto"/>
              <w:left w:val="single" w:sz="4" w:space="0" w:color="auto"/>
              <w:bottom w:val="single" w:sz="4" w:space="0" w:color="000000"/>
              <w:right w:val="single" w:sz="4" w:space="0" w:color="FFFFFF"/>
            </w:tcBorders>
            <w:shd w:val="clear" w:color="auto" w:fill="0070CD"/>
            <w:vAlign w:val="center"/>
            <w:hideMark/>
          </w:tcPr>
          <w:p w:rsidR="00CC59CF" w:rsidRPr="00272C9F" w:rsidRDefault="00CC59CF" w:rsidP="00324486">
            <w:pPr>
              <w:pStyle w:val="TableHeader"/>
            </w:pPr>
            <w:r w:rsidRPr="00272C9F">
              <w:t>Month</w:t>
            </w:r>
          </w:p>
        </w:tc>
        <w:tc>
          <w:tcPr>
            <w:tcW w:w="4480" w:type="dxa"/>
            <w:gridSpan w:val="4"/>
            <w:tcBorders>
              <w:top w:val="single" w:sz="4" w:space="0" w:color="auto"/>
              <w:left w:val="nil"/>
              <w:bottom w:val="single" w:sz="4" w:space="0" w:color="FFFFFF"/>
              <w:right w:val="single" w:sz="4" w:space="0" w:color="000000"/>
            </w:tcBorders>
            <w:shd w:val="clear" w:color="auto" w:fill="0070CD"/>
            <w:vAlign w:val="center"/>
            <w:hideMark/>
          </w:tcPr>
          <w:p w:rsidR="00CC59CF" w:rsidRPr="00272C9F" w:rsidRDefault="00CC59CF" w:rsidP="00324486">
            <w:pPr>
              <w:pStyle w:val="TableHeader"/>
            </w:pPr>
            <w:r w:rsidRPr="00272C9F">
              <w:t>Load Impact (MW)</w:t>
            </w:r>
          </w:p>
        </w:tc>
      </w:tr>
      <w:tr w:rsidR="00CC59CF" w:rsidRPr="00272C9F" w:rsidTr="00324486">
        <w:trPr>
          <w:trHeight w:val="285"/>
          <w:jc w:val="center"/>
        </w:trPr>
        <w:tc>
          <w:tcPr>
            <w:tcW w:w="1690" w:type="dxa"/>
            <w:vMerge/>
            <w:tcBorders>
              <w:top w:val="single" w:sz="4" w:space="0" w:color="auto"/>
              <w:left w:val="single" w:sz="4" w:space="0" w:color="auto"/>
              <w:bottom w:val="single" w:sz="4" w:space="0" w:color="000000"/>
              <w:right w:val="single" w:sz="4" w:space="0" w:color="FFFFFF"/>
            </w:tcBorders>
            <w:shd w:val="clear" w:color="auto" w:fill="0070CD"/>
            <w:vAlign w:val="center"/>
            <w:hideMark/>
          </w:tcPr>
          <w:p w:rsidR="00CC59CF" w:rsidRPr="00272C9F" w:rsidRDefault="00CC59CF" w:rsidP="00324486">
            <w:pPr>
              <w:pStyle w:val="TableHeader"/>
            </w:pPr>
          </w:p>
        </w:tc>
        <w:tc>
          <w:tcPr>
            <w:tcW w:w="2240" w:type="dxa"/>
            <w:gridSpan w:val="2"/>
            <w:tcBorders>
              <w:top w:val="single" w:sz="4" w:space="0" w:color="FFFFFF"/>
              <w:left w:val="nil"/>
              <w:bottom w:val="single" w:sz="4" w:space="0" w:color="FFFFFF"/>
              <w:right w:val="single" w:sz="4" w:space="0" w:color="FFFFFF"/>
            </w:tcBorders>
            <w:shd w:val="clear" w:color="auto" w:fill="0070CD"/>
            <w:noWrap/>
            <w:vAlign w:val="center"/>
            <w:hideMark/>
          </w:tcPr>
          <w:p w:rsidR="00CC59CF" w:rsidRPr="00272C9F" w:rsidRDefault="00CC59CF" w:rsidP="00324486">
            <w:pPr>
              <w:pStyle w:val="TableHeader"/>
            </w:pPr>
            <w:r w:rsidRPr="00272C9F">
              <w:t>CAISO</w:t>
            </w:r>
          </w:p>
        </w:tc>
        <w:tc>
          <w:tcPr>
            <w:tcW w:w="2240" w:type="dxa"/>
            <w:gridSpan w:val="2"/>
            <w:tcBorders>
              <w:top w:val="single" w:sz="4" w:space="0" w:color="FFFFFF"/>
              <w:left w:val="nil"/>
              <w:bottom w:val="single" w:sz="4" w:space="0" w:color="FFFFFF"/>
              <w:right w:val="single" w:sz="4" w:space="0" w:color="000000"/>
            </w:tcBorders>
            <w:shd w:val="clear" w:color="auto" w:fill="0070CD"/>
            <w:noWrap/>
            <w:vAlign w:val="center"/>
            <w:hideMark/>
          </w:tcPr>
          <w:p w:rsidR="00CC59CF" w:rsidRPr="00272C9F" w:rsidRDefault="00CC59CF" w:rsidP="00324486">
            <w:pPr>
              <w:pStyle w:val="TableHeader"/>
            </w:pPr>
            <w:r w:rsidRPr="00272C9F">
              <w:t>SDG&amp;E</w:t>
            </w:r>
          </w:p>
        </w:tc>
      </w:tr>
      <w:tr w:rsidR="00CC59CF" w:rsidRPr="00272C9F" w:rsidTr="00324486">
        <w:trPr>
          <w:trHeight w:val="285"/>
          <w:jc w:val="center"/>
        </w:trPr>
        <w:tc>
          <w:tcPr>
            <w:tcW w:w="1690" w:type="dxa"/>
            <w:vMerge/>
            <w:tcBorders>
              <w:top w:val="single" w:sz="4" w:space="0" w:color="auto"/>
              <w:left w:val="single" w:sz="4" w:space="0" w:color="auto"/>
              <w:bottom w:val="single" w:sz="4" w:space="0" w:color="000000"/>
              <w:right w:val="single" w:sz="4" w:space="0" w:color="FFFFFF"/>
            </w:tcBorders>
            <w:shd w:val="clear" w:color="auto" w:fill="0070CD"/>
            <w:vAlign w:val="center"/>
            <w:hideMark/>
          </w:tcPr>
          <w:p w:rsidR="00CC59CF" w:rsidRPr="00272C9F" w:rsidRDefault="00CC59CF" w:rsidP="00324486">
            <w:pPr>
              <w:pStyle w:val="TableHeader"/>
            </w:pPr>
          </w:p>
        </w:tc>
        <w:tc>
          <w:tcPr>
            <w:tcW w:w="1016" w:type="dxa"/>
            <w:tcBorders>
              <w:top w:val="nil"/>
              <w:left w:val="nil"/>
              <w:bottom w:val="single" w:sz="4" w:space="0" w:color="auto"/>
              <w:right w:val="single" w:sz="4" w:space="0" w:color="FFFFFF"/>
            </w:tcBorders>
            <w:shd w:val="clear" w:color="auto" w:fill="0070CD"/>
            <w:noWrap/>
            <w:vAlign w:val="center"/>
            <w:hideMark/>
          </w:tcPr>
          <w:p w:rsidR="00CC59CF" w:rsidRPr="00272C9F" w:rsidRDefault="00CC59CF" w:rsidP="00324486">
            <w:pPr>
              <w:pStyle w:val="TableHeader"/>
            </w:pPr>
            <w:r w:rsidRPr="00272C9F">
              <w:t>1-in-2</w:t>
            </w:r>
          </w:p>
        </w:tc>
        <w:tc>
          <w:tcPr>
            <w:tcW w:w="1224" w:type="dxa"/>
            <w:tcBorders>
              <w:top w:val="nil"/>
              <w:left w:val="nil"/>
              <w:bottom w:val="single" w:sz="4" w:space="0" w:color="auto"/>
              <w:right w:val="single" w:sz="4" w:space="0" w:color="FFFFFF"/>
            </w:tcBorders>
            <w:shd w:val="clear" w:color="auto" w:fill="0070CD"/>
            <w:noWrap/>
            <w:vAlign w:val="center"/>
            <w:hideMark/>
          </w:tcPr>
          <w:p w:rsidR="00CC59CF" w:rsidRPr="00272C9F" w:rsidRDefault="00CC59CF" w:rsidP="00324486">
            <w:pPr>
              <w:pStyle w:val="TableHeader"/>
            </w:pPr>
            <w:r w:rsidRPr="00272C9F">
              <w:t>1-in-10</w:t>
            </w:r>
          </w:p>
        </w:tc>
        <w:tc>
          <w:tcPr>
            <w:tcW w:w="1016" w:type="dxa"/>
            <w:tcBorders>
              <w:top w:val="nil"/>
              <w:left w:val="nil"/>
              <w:bottom w:val="single" w:sz="4" w:space="0" w:color="auto"/>
              <w:right w:val="single" w:sz="4" w:space="0" w:color="FFFFFF"/>
            </w:tcBorders>
            <w:shd w:val="clear" w:color="auto" w:fill="0070CD"/>
            <w:noWrap/>
            <w:vAlign w:val="center"/>
            <w:hideMark/>
          </w:tcPr>
          <w:p w:rsidR="00CC59CF" w:rsidRPr="00272C9F" w:rsidRDefault="00CC59CF" w:rsidP="00324486">
            <w:pPr>
              <w:pStyle w:val="TableHeader"/>
            </w:pPr>
            <w:r w:rsidRPr="00272C9F">
              <w:t>1-in-2</w:t>
            </w:r>
          </w:p>
        </w:tc>
        <w:tc>
          <w:tcPr>
            <w:tcW w:w="1224" w:type="dxa"/>
            <w:tcBorders>
              <w:top w:val="nil"/>
              <w:left w:val="nil"/>
              <w:bottom w:val="single" w:sz="4" w:space="0" w:color="auto"/>
              <w:right w:val="single" w:sz="4" w:space="0" w:color="auto"/>
            </w:tcBorders>
            <w:shd w:val="clear" w:color="auto" w:fill="0070CD"/>
            <w:noWrap/>
            <w:vAlign w:val="center"/>
            <w:hideMark/>
          </w:tcPr>
          <w:p w:rsidR="00CC59CF" w:rsidRPr="00272C9F" w:rsidRDefault="00CC59CF" w:rsidP="00324486">
            <w:pPr>
              <w:pStyle w:val="TableHeader"/>
            </w:pPr>
            <w:r w:rsidRPr="00272C9F">
              <w:t>1-in-10</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January</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0.53</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0.53</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0.53</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0.53</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February</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0.45</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0.45</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0.45</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0.45</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March</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0.43</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0.50</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0.43</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0.49</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April</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0.57</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0.63</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0.58</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0.64</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May</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1.00</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1.10</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1.06</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1.11</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June</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1.06</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1.11</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1.06</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1.11</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July</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1.10</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1.11</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1.10</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1.12</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August</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1.06</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1.06</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1.05</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1.06</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September</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1.08</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1.06</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1.08</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1.07</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October</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0.97</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1.01</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0.99</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1.02</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November</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0.50</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0.56</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0.52</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0.57</w:t>
            </w:r>
          </w:p>
        </w:tc>
      </w:tr>
      <w:tr w:rsidR="00CC59CF" w:rsidRPr="00272C9F" w:rsidTr="00324486">
        <w:trPr>
          <w:trHeight w:val="285"/>
          <w:jc w:val="center"/>
        </w:trPr>
        <w:tc>
          <w:tcPr>
            <w:tcW w:w="1690" w:type="dxa"/>
            <w:tcBorders>
              <w:top w:val="nil"/>
              <w:left w:val="single" w:sz="4" w:space="0" w:color="auto"/>
              <w:bottom w:val="single" w:sz="4" w:space="0" w:color="auto"/>
              <w:right w:val="single" w:sz="4" w:space="0" w:color="auto"/>
            </w:tcBorders>
            <w:shd w:val="clear" w:color="auto" w:fill="auto"/>
            <w:noWrap/>
            <w:vAlign w:val="center"/>
            <w:hideMark/>
          </w:tcPr>
          <w:p w:rsidR="00CC59CF" w:rsidRPr="00272C9F" w:rsidRDefault="00CC59CF" w:rsidP="00324486">
            <w:pPr>
              <w:pStyle w:val="TableText"/>
            </w:pPr>
            <w:r w:rsidRPr="00272C9F">
              <w:t>December</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0.45</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0.45</w:t>
            </w:r>
          </w:p>
        </w:tc>
        <w:tc>
          <w:tcPr>
            <w:tcW w:w="1016"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0.45</w:t>
            </w:r>
          </w:p>
        </w:tc>
        <w:tc>
          <w:tcPr>
            <w:tcW w:w="1224" w:type="dxa"/>
            <w:tcBorders>
              <w:top w:val="nil"/>
              <w:left w:val="nil"/>
              <w:bottom w:val="single" w:sz="4" w:space="0" w:color="auto"/>
              <w:right w:val="single" w:sz="4" w:space="0" w:color="auto"/>
            </w:tcBorders>
            <w:shd w:val="clear" w:color="auto" w:fill="auto"/>
            <w:noWrap/>
            <w:vAlign w:val="bottom"/>
          </w:tcPr>
          <w:p w:rsidR="00CC59CF" w:rsidRPr="00272C9F" w:rsidRDefault="00CC59CF" w:rsidP="00CA4440">
            <w:pPr>
              <w:pStyle w:val="TableText"/>
              <w:jc w:val="center"/>
            </w:pPr>
            <w:r w:rsidRPr="00272C9F">
              <w:t>0.45</w:t>
            </w:r>
          </w:p>
        </w:tc>
      </w:tr>
    </w:tbl>
    <w:p w:rsidR="00CC59CF" w:rsidRDefault="00CC59CF" w:rsidP="00CC59CF">
      <w:pPr>
        <w:pStyle w:val="BodyParaAfterTableFigure"/>
        <w:rPr>
          <w:rFonts w:ascii="Times New Roman" w:hAnsi="Times New Roman"/>
          <w:sz w:val="24"/>
          <w:szCs w:val="24"/>
        </w:rPr>
      </w:pPr>
      <w:r w:rsidRPr="006E061E">
        <w:rPr>
          <w:rFonts w:ascii="Times New Roman" w:hAnsi="Times New Roman"/>
          <w:sz w:val="24"/>
          <w:szCs w:val="24"/>
        </w:rPr>
        <w:t>As with small commercial customers, the incremental impact of the CPP component of the SPP rates is assumed to be zero for agricultural customers.</w:t>
      </w:r>
    </w:p>
    <w:p w:rsidR="00714AFF" w:rsidRPr="0075092E" w:rsidRDefault="00714AFF" w:rsidP="00714AFF">
      <w:pPr>
        <w:pStyle w:val="Heading1"/>
        <w:spacing w:after="0" w:line="276" w:lineRule="auto"/>
        <w:rPr>
          <w:rFonts w:ascii="Times New Roman" w:hAnsi="Times New Roman" w:cs="Times New Roman"/>
          <w:color w:val="000000" w:themeColor="text1"/>
        </w:rPr>
      </w:pPr>
      <w:bookmarkStart w:id="264" w:name="_Toc415749040"/>
      <w:r>
        <w:rPr>
          <w:rFonts w:ascii="Times New Roman" w:hAnsi="Times New Roman" w:cs="Times New Roman"/>
          <w:color w:val="000000" w:themeColor="text1"/>
        </w:rPr>
        <w:lastRenderedPageBreak/>
        <w:t>Commercial Thermostats</w:t>
      </w:r>
      <w:bookmarkEnd w:id="264"/>
    </w:p>
    <w:p w:rsidR="00714AFF" w:rsidRPr="00463C7B" w:rsidRDefault="00714AFF" w:rsidP="00714AFF">
      <w:pPr>
        <w:pStyle w:val="Heading2"/>
        <w:rPr>
          <w:rFonts w:ascii="Times New Roman" w:hAnsi="Times New Roman" w:cs="Times New Roman"/>
          <w:color w:val="000000" w:themeColor="text1"/>
        </w:rPr>
      </w:pPr>
      <w:bookmarkStart w:id="265" w:name="_Toc415749041"/>
      <w:r>
        <w:rPr>
          <w:rFonts w:ascii="Times New Roman" w:hAnsi="Times New Roman" w:cs="Times New Roman"/>
          <w:color w:val="000000" w:themeColor="text1"/>
        </w:rPr>
        <w:t>Commercial Thermostats Overview</w:t>
      </w:r>
      <w:bookmarkEnd w:id="265"/>
    </w:p>
    <w:p w:rsidR="00714AFF" w:rsidRPr="00714AFF" w:rsidRDefault="00714AFF" w:rsidP="00714AFF">
      <w:pPr>
        <w:pStyle w:val="BodyParagraph"/>
        <w:spacing w:after="0" w:line="276" w:lineRule="auto"/>
        <w:rPr>
          <w:rFonts w:ascii="Times New Roman" w:hAnsi="Times New Roman"/>
          <w:sz w:val="24"/>
          <w:szCs w:val="24"/>
        </w:rPr>
      </w:pPr>
    </w:p>
    <w:p w:rsidR="00714AFF" w:rsidRDefault="00714AFF" w:rsidP="0083096B">
      <w:pPr>
        <w:pStyle w:val="BodyParagraph"/>
        <w:spacing w:after="0" w:line="276" w:lineRule="auto"/>
        <w:ind w:firstLine="576"/>
        <w:rPr>
          <w:rFonts w:ascii="Times New Roman" w:hAnsi="Times New Roman"/>
          <w:sz w:val="24"/>
          <w:szCs w:val="24"/>
        </w:rPr>
      </w:pPr>
      <w:r w:rsidRPr="00714AFF">
        <w:rPr>
          <w:rFonts w:ascii="Times New Roman" w:hAnsi="Times New Roman"/>
          <w:sz w:val="24"/>
          <w:szCs w:val="24"/>
        </w:rPr>
        <w:t>SDG&amp;E’s commercial thermostat program provides commercial customers with programmable communicating thermostats (PCTs). On event days, customers are subject to two different AC cycling strategies—50% cycling and a 4-degree temperature setback. Customers receive the PCTs for free, but do not currently receive an incentive payment, and are able to override the signal or opt out of DR events. Most of these customers will be defaulted onto Critical Peak Pricing (CPP) within a year. For now, the thermostats are activated on residential Peak Time Rebate (PTR) event days.</w:t>
      </w:r>
    </w:p>
    <w:p w:rsidR="00714AFF" w:rsidRPr="00463C7B" w:rsidRDefault="00714AFF" w:rsidP="00714AFF">
      <w:pPr>
        <w:pStyle w:val="Heading2"/>
        <w:rPr>
          <w:rFonts w:ascii="Times New Roman" w:hAnsi="Times New Roman" w:cs="Times New Roman"/>
          <w:color w:val="000000" w:themeColor="text1"/>
        </w:rPr>
      </w:pPr>
      <w:bookmarkStart w:id="266" w:name="_Toc415749042"/>
      <w:r>
        <w:rPr>
          <w:rFonts w:ascii="Times New Roman" w:hAnsi="Times New Roman" w:cs="Times New Roman"/>
          <w:color w:val="000000" w:themeColor="text1"/>
        </w:rPr>
        <w:t>Commercial Thermostats Overview</w:t>
      </w:r>
      <w:bookmarkEnd w:id="266"/>
    </w:p>
    <w:p w:rsidR="00714AFF" w:rsidRDefault="00714AFF" w:rsidP="00714AFF">
      <w:pPr>
        <w:pStyle w:val="BodyParagraph"/>
        <w:spacing w:after="0" w:line="276" w:lineRule="auto"/>
        <w:rPr>
          <w:rFonts w:ascii="Times New Roman" w:hAnsi="Times New Roman"/>
          <w:sz w:val="24"/>
          <w:szCs w:val="24"/>
        </w:rPr>
      </w:pPr>
    </w:p>
    <w:p w:rsidR="00714AFF" w:rsidRPr="00714AFF" w:rsidRDefault="00714AFF" w:rsidP="00714AFF">
      <w:pPr>
        <w:pStyle w:val="BodyParagraph"/>
        <w:spacing w:after="0" w:line="276" w:lineRule="auto"/>
        <w:rPr>
          <w:rFonts w:ascii="Times New Roman" w:hAnsi="Times New Roman"/>
          <w:sz w:val="24"/>
          <w:szCs w:val="24"/>
        </w:rPr>
      </w:pPr>
      <w:r w:rsidRPr="00714AFF">
        <w:rPr>
          <w:rFonts w:ascii="Times New Roman" w:hAnsi="Times New Roman"/>
          <w:sz w:val="24"/>
          <w:szCs w:val="24"/>
        </w:rPr>
        <w:t>The methods used in the commercial thermostat program evaluation rely on the selection of a control group using statistical matching and individual customer regressions.</w:t>
      </w:r>
    </w:p>
    <w:p w:rsidR="00714AFF" w:rsidRDefault="00714AFF" w:rsidP="00714AFF">
      <w:pPr>
        <w:pStyle w:val="BodyParagraph"/>
        <w:spacing w:after="0" w:line="276" w:lineRule="auto"/>
      </w:pPr>
    </w:p>
    <w:p w:rsidR="00714AFF" w:rsidRPr="00714AFF" w:rsidRDefault="00714AFF" w:rsidP="00714AFF">
      <w:pPr>
        <w:pStyle w:val="Heading3"/>
        <w:rPr>
          <w:rFonts w:ascii="Times New Roman" w:hAnsi="Times New Roman" w:cs="Times New Roman"/>
        </w:rPr>
      </w:pPr>
      <w:bookmarkStart w:id="267" w:name="_Toc349193880"/>
      <w:bookmarkStart w:id="268" w:name="_Toc352567295"/>
      <w:bookmarkStart w:id="269" w:name="_Toc413592750"/>
      <w:bookmarkStart w:id="270" w:name="_Toc415585926"/>
      <w:bookmarkStart w:id="271" w:name="_Toc415749043"/>
      <w:r w:rsidRPr="00714AFF">
        <w:rPr>
          <w:rFonts w:ascii="Times New Roman" w:hAnsi="Times New Roman" w:cs="Times New Roman"/>
        </w:rPr>
        <w:t>Matched Control Group Methodology</w:t>
      </w:r>
      <w:bookmarkEnd w:id="267"/>
      <w:bookmarkEnd w:id="268"/>
      <w:bookmarkEnd w:id="269"/>
      <w:r w:rsidRPr="00714AFF">
        <w:rPr>
          <w:rFonts w:ascii="Times New Roman" w:hAnsi="Times New Roman" w:cs="Times New Roman"/>
        </w:rPr>
        <w:t xml:space="preserve"> – Commercial</w:t>
      </w:r>
      <w:bookmarkEnd w:id="270"/>
      <w:bookmarkEnd w:id="271"/>
    </w:p>
    <w:p w:rsidR="00714AFF" w:rsidRDefault="00714AFF" w:rsidP="00714AFF">
      <w:pPr>
        <w:pStyle w:val="BodyParagraph"/>
        <w:spacing w:after="0" w:line="276" w:lineRule="auto"/>
      </w:pPr>
    </w:p>
    <w:p w:rsidR="00714AFF" w:rsidRPr="00714AFF" w:rsidRDefault="00714AFF" w:rsidP="0083096B">
      <w:pPr>
        <w:pStyle w:val="BodyParagraph"/>
        <w:spacing w:line="276" w:lineRule="auto"/>
        <w:ind w:firstLine="720"/>
        <w:rPr>
          <w:rFonts w:ascii="Times New Roman" w:hAnsi="Times New Roman"/>
          <w:sz w:val="24"/>
          <w:szCs w:val="24"/>
        </w:rPr>
      </w:pPr>
      <w:r w:rsidRPr="00714AFF">
        <w:rPr>
          <w:rFonts w:ascii="Times New Roman" w:hAnsi="Times New Roman"/>
          <w:sz w:val="24"/>
          <w:szCs w:val="24"/>
        </w:rPr>
        <w:t>The primary source of reference loads, and hence impact estimates, is a number of matched control groups. These control groups are assembled from among the non-participant population. The methods used to assemble the groups are designed to ensure that the control group load on event days is an accurate estimate of what load would have been among participants on event days had they not participated.</w:t>
      </w:r>
    </w:p>
    <w:p w:rsidR="00714AFF" w:rsidRDefault="00714AFF" w:rsidP="0083096B">
      <w:pPr>
        <w:pStyle w:val="BodyParagraph"/>
        <w:spacing w:after="0" w:line="276" w:lineRule="auto"/>
        <w:ind w:firstLine="720"/>
        <w:rPr>
          <w:rFonts w:ascii="Times New Roman" w:hAnsi="Times New Roman"/>
          <w:sz w:val="24"/>
          <w:szCs w:val="24"/>
        </w:rPr>
      </w:pPr>
      <w:r w:rsidRPr="00714AFF">
        <w:rPr>
          <w:rFonts w:ascii="Times New Roman" w:hAnsi="Times New Roman"/>
          <w:sz w:val="24"/>
          <w:szCs w:val="24"/>
        </w:rPr>
        <w:t>The fundamental idea behind the matching process is to find customers who were not subject to events that have similar characteristics to those who were subject to events. The control groups were selected using a propensity score match to find customers who had demand patterns most similar to participants. In this procedure, a probit model is used to estimate a score for each customer based on a set of observable variables that are assumed to affect the decision to participate in the commercial thermostat program. A probit model is a regression model designed to estimate probabilities—in this case, the probability that a customer would choose to participate.</w:t>
      </w:r>
    </w:p>
    <w:p w:rsidR="00714AFF" w:rsidRPr="002D38CC" w:rsidRDefault="00714AFF" w:rsidP="0083096B">
      <w:pPr>
        <w:pStyle w:val="BodyParaAfterTableFigure"/>
        <w:ind w:firstLine="720"/>
        <w:rPr>
          <w:rFonts w:ascii="Times New Roman" w:hAnsi="Times New Roman"/>
          <w:sz w:val="24"/>
          <w:szCs w:val="24"/>
        </w:rPr>
      </w:pPr>
      <w:r w:rsidRPr="002D38CC">
        <w:rPr>
          <w:rFonts w:ascii="Times New Roman" w:hAnsi="Times New Roman"/>
          <w:sz w:val="24"/>
          <w:szCs w:val="24"/>
        </w:rPr>
        <w:t xml:space="preserve">Once the control groups were matched and validated, load impacts were estimated using a difference-in-differences methodology. This methodology calculates the estimated impacts as the difference in average loads between participants and control customers on event days minus the difference between the two groups on hot, non-event days. This calculation controls for residual differences in load between the groups that are not eliminated through the matching </w:t>
      </w:r>
      <w:r w:rsidRPr="002D38CC">
        <w:rPr>
          <w:rFonts w:ascii="Times New Roman" w:hAnsi="Times New Roman"/>
          <w:sz w:val="24"/>
          <w:szCs w:val="24"/>
        </w:rPr>
        <w:lastRenderedPageBreak/>
        <w:t xml:space="preserve">process, thus reducing bias. Equation </w:t>
      </w:r>
      <w:r w:rsidR="00673585">
        <w:rPr>
          <w:rFonts w:ascii="Times New Roman" w:hAnsi="Times New Roman"/>
          <w:sz w:val="24"/>
          <w:szCs w:val="24"/>
        </w:rPr>
        <w:t>10</w:t>
      </w:r>
      <w:r w:rsidRPr="002D38CC">
        <w:rPr>
          <w:rFonts w:ascii="Times New Roman" w:hAnsi="Times New Roman"/>
          <w:sz w:val="24"/>
          <w:szCs w:val="24"/>
        </w:rPr>
        <w:t>-1 summarizes the difference-in-differences calculation and Table 3-2 provides the definitions for variables in the equation.</w:t>
      </w:r>
    </w:p>
    <w:p w:rsidR="00714AFF" w:rsidRPr="00673585" w:rsidRDefault="00714AFF" w:rsidP="00714AFF">
      <w:pPr>
        <w:pStyle w:val="TableFigureCaption"/>
        <w:rPr>
          <w:rFonts w:ascii="Times New Roman" w:hAnsi="Times New Roman"/>
          <w:sz w:val="20"/>
          <w:szCs w:val="20"/>
        </w:rPr>
      </w:pPr>
      <w:r w:rsidRPr="00673585">
        <w:rPr>
          <w:rFonts w:ascii="Times New Roman" w:hAnsi="Times New Roman"/>
          <w:sz w:val="20"/>
          <w:szCs w:val="20"/>
        </w:rPr>
        <w:t xml:space="preserve">Equation </w:t>
      </w:r>
      <w:r w:rsidR="00873F41" w:rsidRPr="00673585">
        <w:rPr>
          <w:rFonts w:ascii="Times New Roman" w:hAnsi="Times New Roman"/>
          <w:sz w:val="20"/>
          <w:szCs w:val="20"/>
        </w:rPr>
        <w:t>10</w:t>
      </w:r>
      <w:r w:rsidRPr="00673585">
        <w:rPr>
          <w:rFonts w:ascii="Times New Roman" w:hAnsi="Times New Roman"/>
          <w:sz w:val="20"/>
          <w:szCs w:val="20"/>
        </w:rPr>
        <w:t>-1: Specification of Difference-in-Differences Reference Load</w:t>
      </w:r>
    </w:p>
    <w:p w:rsidR="00714AFF" w:rsidRPr="00D60058" w:rsidRDefault="00947B52" w:rsidP="00714AFF">
      <w:pPr>
        <w:pStyle w:val="BodyParagraph"/>
      </w:pPr>
      <m:oMathPara>
        <m:oMath>
          <m:sSub>
            <m:sSubPr>
              <m:ctrlPr>
                <w:rPr>
                  <w:rFonts w:ascii="Cambria Math" w:hAnsi="Cambria Math"/>
                  <w:i/>
                </w:rPr>
              </m:ctrlPr>
            </m:sSubPr>
            <m:e>
              <m:r>
                <w:rPr>
                  <w:rFonts w:ascii="Cambria Math" w:hAnsi="Cambria Math"/>
                </w:rPr>
                <m:t>ref</m:t>
              </m:r>
            </m:e>
            <m:sub>
              <m:r>
                <w:rPr>
                  <w:rFonts w:ascii="Cambria Math" w:hAnsi="Cambria Math"/>
                </w:rPr>
                <m:t>i,d,h</m:t>
              </m:r>
            </m:sub>
          </m:sSub>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p=0,e=1,i,d,h</m:t>
              </m:r>
            </m:sub>
          </m:sSub>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p=0,e=0,i,d,h</m:t>
              </m:r>
            </m:sub>
          </m:sSub>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p=1,e=0,i,d,h</m:t>
              </m:r>
            </m:sub>
          </m:sSub>
          <m:r>
            <w:rPr>
              <w:rFonts w:ascii="Cambria Math" w:hAnsi="Cambria Math"/>
            </w:rPr>
            <m:t>)</m:t>
          </m:r>
        </m:oMath>
      </m:oMathPara>
    </w:p>
    <w:p w:rsidR="00714AFF" w:rsidRPr="00673585" w:rsidRDefault="00714AFF" w:rsidP="00714AFF">
      <w:pPr>
        <w:rPr>
          <w:b/>
          <w:sz w:val="20"/>
          <w:szCs w:val="20"/>
        </w:rPr>
      </w:pPr>
    </w:p>
    <w:p w:rsidR="00714AFF" w:rsidRPr="00673585" w:rsidRDefault="00714AFF" w:rsidP="00714AFF">
      <w:pPr>
        <w:pStyle w:val="TableFigureCaption"/>
        <w:rPr>
          <w:rFonts w:ascii="Times New Roman" w:hAnsi="Times New Roman"/>
          <w:sz w:val="20"/>
          <w:szCs w:val="20"/>
        </w:rPr>
      </w:pPr>
      <w:r w:rsidRPr="00673585">
        <w:rPr>
          <w:rFonts w:ascii="Times New Roman" w:hAnsi="Times New Roman"/>
          <w:sz w:val="20"/>
          <w:szCs w:val="20"/>
        </w:rPr>
        <w:t xml:space="preserve">Table </w:t>
      </w:r>
      <w:r w:rsidR="00873F41" w:rsidRPr="00673585">
        <w:rPr>
          <w:rFonts w:ascii="Times New Roman" w:hAnsi="Times New Roman"/>
          <w:sz w:val="20"/>
          <w:szCs w:val="20"/>
        </w:rPr>
        <w:t>10</w:t>
      </w:r>
      <w:r w:rsidRPr="00673585">
        <w:rPr>
          <w:rFonts w:ascii="Times New Roman" w:hAnsi="Times New Roman"/>
          <w:sz w:val="20"/>
          <w:szCs w:val="20"/>
        </w:rPr>
        <w:t>-</w:t>
      </w:r>
      <w:r w:rsidR="00873F41" w:rsidRPr="00673585">
        <w:rPr>
          <w:rFonts w:ascii="Times New Roman" w:hAnsi="Times New Roman"/>
          <w:sz w:val="20"/>
          <w:szCs w:val="20"/>
        </w:rPr>
        <w:t>1</w:t>
      </w:r>
      <w:r w:rsidRPr="00673585">
        <w:rPr>
          <w:rFonts w:ascii="Times New Roman" w:hAnsi="Times New Roman"/>
          <w:sz w:val="20"/>
          <w:szCs w:val="20"/>
        </w:rPr>
        <w:t>: Variables Used for Difference-in-differences Calculation</w:t>
      </w:r>
    </w:p>
    <w:tbl>
      <w:tblPr>
        <w:tblW w:w="3764" w:type="pct"/>
        <w:jc w:val="center"/>
        <w:tblLayout w:type="fixed"/>
        <w:tblLook w:val="00A0" w:firstRow="1" w:lastRow="0" w:firstColumn="1" w:lastColumn="0" w:noHBand="0" w:noVBand="0"/>
      </w:tblPr>
      <w:tblGrid>
        <w:gridCol w:w="2357"/>
        <w:gridCol w:w="4852"/>
      </w:tblGrid>
      <w:tr w:rsidR="00714AFF" w:rsidRPr="001E3CBC" w:rsidTr="0079525F">
        <w:trPr>
          <w:trHeight w:val="300"/>
          <w:tblHeader/>
          <w:jc w:val="center"/>
        </w:trPr>
        <w:tc>
          <w:tcPr>
            <w:tcW w:w="1635" w:type="pct"/>
            <w:tcBorders>
              <w:top w:val="single" w:sz="4" w:space="0" w:color="auto"/>
              <w:left w:val="single" w:sz="4" w:space="0" w:color="auto"/>
              <w:bottom w:val="single" w:sz="4" w:space="0" w:color="auto"/>
              <w:right w:val="single" w:sz="4" w:space="0" w:color="FFFFFF"/>
            </w:tcBorders>
            <w:shd w:val="clear" w:color="auto" w:fill="0070CD"/>
            <w:vAlign w:val="center"/>
          </w:tcPr>
          <w:p w:rsidR="00714AFF" w:rsidRPr="001E3CBC" w:rsidRDefault="00714AFF" w:rsidP="0079525F">
            <w:pPr>
              <w:pStyle w:val="TableHeader"/>
            </w:pPr>
            <w:r w:rsidRPr="001E3CBC">
              <w:t>Variable</w:t>
            </w:r>
          </w:p>
        </w:tc>
        <w:tc>
          <w:tcPr>
            <w:tcW w:w="3365" w:type="pct"/>
            <w:tcBorders>
              <w:top w:val="single" w:sz="4" w:space="0" w:color="auto"/>
              <w:left w:val="nil"/>
              <w:bottom w:val="single" w:sz="4" w:space="0" w:color="auto"/>
              <w:right w:val="single" w:sz="4" w:space="0" w:color="auto"/>
            </w:tcBorders>
            <w:shd w:val="clear" w:color="auto" w:fill="0070CD"/>
            <w:vAlign w:val="center"/>
          </w:tcPr>
          <w:p w:rsidR="00714AFF" w:rsidRPr="001E3CBC" w:rsidRDefault="00714AFF" w:rsidP="0079525F">
            <w:pPr>
              <w:pStyle w:val="TableHeader"/>
            </w:pPr>
            <w:r w:rsidRPr="001E3CBC">
              <w:t>Description</w:t>
            </w:r>
          </w:p>
        </w:tc>
      </w:tr>
      <w:tr w:rsidR="00714AFF" w:rsidRPr="001E3CBC" w:rsidTr="0079525F">
        <w:trPr>
          <w:trHeight w:val="285"/>
          <w:jc w:val="center"/>
        </w:trPr>
        <w:tc>
          <w:tcPr>
            <w:tcW w:w="163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4AFF" w:rsidRPr="00992F48" w:rsidRDefault="00714AFF" w:rsidP="0079525F">
            <w:pPr>
              <w:pStyle w:val="TableText"/>
              <w:keepNext/>
              <w:rPr>
                <w:i/>
                <w:iCs/>
                <w:color w:val="000000"/>
              </w:rPr>
            </w:pPr>
            <w:r w:rsidRPr="00992F48">
              <w:rPr>
                <w:i/>
              </w:rPr>
              <w:t>ref</w:t>
            </w:r>
          </w:p>
        </w:tc>
        <w:tc>
          <w:tcPr>
            <w:tcW w:w="3365" w:type="pct"/>
            <w:tcBorders>
              <w:top w:val="single" w:sz="4" w:space="0" w:color="auto"/>
              <w:left w:val="nil"/>
              <w:bottom w:val="single" w:sz="4" w:space="0" w:color="auto"/>
              <w:right w:val="single" w:sz="4" w:space="0" w:color="auto"/>
            </w:tcBorders>
            <w:shd w:val="clear" w:color="auto" w:fill="FFFFFF"/>
            <w:noWrap/>
            <w:vAlign w:val="center"/>
          </w:tcPr>
          <w:p w:rsidR="00714AFF" w:rsidRPr="001E3CBC" w:rsidRDefault="00714AFF" w:rsidP="0079525F">
            <w:pPr>
              <w:pStyle w:val="TableText"/>
              <w:keepNext/>
              <w:rPr>
                <w:color w:val="000000"/>
              </w:rPr>
            </w:pPr>
            <w:r>
              <w:rPr>
                <w:color w:val="000000"/>
              </w:rPr>
              <w:t>Reference load (kW)</w:t>
            </w:r>
          </w:p>
        </w:tc>
      </w:tr>
      <w:tr w:rsidR="00714AFF" w:rsidRPr="001E3CBC"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FFFFFF"/>
            <w:noWrap/>
            <w:vAlign w:val="center"/>
          </w:tcPr>
          <w:p w:rsidR="00714AFF" w:rsidRPr="00992F48" w:rsidRDefault="00714AFF" w:rsidP="0079525F">
            <w:pPr>
              <w:pStyle w:val="TableText"/>
              <w:keepNext/>
              <w:rPr>
                <w:i/>
                <w:iCs/>
                <w:color w:val="000000"/>
              </w:rPr>
            </w:pPr>
            <w:r w:rsidRPr="00992F48">
              <w:rPr>
                <w:i/>
                <w:position w:val="-10"/>
              </w:rPr>
              <w:t>kW</w:t>
            </w:r>
          </w:p>
        </w:tc>
        <w:tc>
          <w:tcPr>
            <w:tcW w:w="3365" w:type="pct"/>
            <w:tcBorders>
              <w:top w:val="nil"/>
              <w:left w:val="nil"/>
              <w:bottom w:val="single" w:sz="4" w:space="0" w:color="auto"/>
              <w:right w:val="single" w:sz="4" w:space="0" w:color="auto"/>
            </w:tcBorders>
            <w:shd w:val="clear" w:color="auto" w:fill="FFFFFF"/>
            <w:noWrap/>
            <w:vAlign w:val="center"/>
          </w:tcPr>
          <w:p w:rsidR="00714AFF" w:rsidRPr="001E3CBC" w:rsidRDefault="00714AFF" w:rsidP="0079525F">
            <w:pPr>
              <w:pStyle w:val="TableText"/>
              <w:keepNext/>
              <w:rPr>
                <w:color w:val="000000"/>
              </w:rPr>
            </w:pPr>
            <w:r>
              <w:rPr>
                <w:color w:val="000000"/>
              </w:rPr>
              <w:t>Average demand</w:t>
            </w:r>
          </w:p>
        </w:tc>
      </w:tr>
      <w:tr w:rsidR="00714AFF" w:rsidRPr="001E3CBC"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auto"/>
            <w:noWrap/>
            <w:vAlign w:val="center"/>
          </w:tcPr>
          <w:p w:rsidR="00714AFF" w:rsidRPr="00992F48" w:rsidRDefault="00714AFF" w:rsidP="0079525F">
            <w:pPr>
              <w:pStyle w:val="TableText"/>
              <w:keepNext/>
              <w:rPr>
                <w:i/>
                <w:iCs/>
                <w:color w:val="000000"/>
              </w:rPr>
            </w:pPr>
            <w:r w:rsidRPr="00992F48">
              <w:rPr>
                <w:i/>
                <w:iCs/>
                <w:color w:val="000000"/>
              </w:rPr>
              <w:t>p</w:t>
            </w:r>
          </w:p>
        </w:tc>
        <w:tc>
          <w:tcPr>
            <w:tcW w:w="3365" w:type="pct"/>
            <w:tcBorders>
              <w:top w:val="nil"/>
              <w:left w:val="nil"/>
              <w:bottom w:val="single" w:sz="4" w:space="0" w:color="auto"/>
              <w:right w:val="single" w:sz="4" w:space="0" w:color="auto"/>
            </w:tcBorders>
            <w:shd w:val="clear" w:color="auto" w:fill="auto"/>
            <w:noWrap/>
            <w:vAlign w:val="center"/>
          </w:tcPr>
          <w:p w:rsidR="00714AFF" w:rsidRPr="001E3CBC" w:rsidRDefault="00714AFF" w:rsidP="0079525F">
            <w:pPr>
              <w:pStyle w:val="TableText"/>
              <w:keepNext/>
              <w:rPr>
                <w:color w:val="000000"/>
              </w:rPr>
            </w:pPr>
            <w:r>
              <w:rPr>
                <w:color w:val="000000"/>
              </w:rPr>
              <w:t>Indicates whether a customer is a participant (p=1) or a control group member (p=0)</w:t>
            </w:r>
          </w:p>
        </w:tc>
      </w:tr>
      <w:tr w:rsidR="00714AFF" w:rsidRPr="001E3CBC"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auto"/>
            <w:noWrap/>
            <w:vAlign w:val="center"/>
          </w:tcPr>
          <w:p w:rsidR="00714AFF" w:rsidRPr="00992F48" w:rsidRDefault="00714AFF" w:rsidP="0079525F">
            <w:pPr>
              <w:pStyle w:val="TableText"/>
              <w:keepNext/>
              <w:rPr>
                <w:i/>
                <w:iCs/>
                <w:color w:val="000000"/>
              </w:rPr>
            </w:pPr>
            <w:r w:rsidRPr="00992F48">
              <w:rPr>
                <w:i/>
              </w:rPr>
              <w:t>e</w:t>
            </w:r>
          </w:p>
        </w:tc>
        <w:tc>
          <w:tcPr>
            <w:tcW w:w="3365" w:type="pct"/>
            <w:tcBorders>
              <w:top w:val="nil"/>
              <w:left w:val="nil"/>
              <w:bottom w:val="single" w:sz="4" w:space="0" w:color="auto"/>
              <w:right w:val="single" w:sz="4" w:space="0" w:color="auto"/>
            </w:tcBorders>
            <w:shd w:val="clear" w:color="auto" w:fill="auto"/>
            <w:noWrap/>
            <w:vAlign w:val="center"/>
          </w:tcPr>
          <w:p w:rsidR="00714AFF" w:rsidRPr="001E3CBC" w:rsidRDefault="00714AFF" w:rsidP="0079525F">
            <w:pPr>
              <w:pStyle w:val="TableText"/>
              <w:keepNext/>
              <w:rPr>
                <w:color w:val="000000"/>
              </w:rPr>
            </w:pPr>
            <w:r>
              <w:rPr>
                <w:color w:val="000000"/>
              </w:rPr>
              <w:t>Indicates whether a given day was an event (e=1) or not (e=0)</w:t>
            </w:r>
          </w:p>
        </w:tc>
      </w:tr>
      <w:tr w:rsidR="00714AFF" w:rsidRPr="00397BED"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FFFFFF"/>
            <w:noWrap/>
            <w:vAlign w:val="center"/>
          </w:tcPr>
          <w:p w:rsidR="00714AFF" w:rsidRPr="00992F48" w:rsidRDefault="00714AFF" w:rsidP="0079525F">
            <w:pPr>
              <w:pStyle w:val="TableText"/>
              <w:keepNext/>
              <w:rPr>
                <w:i/>
              </w:rPr>
            </w:pPr>
            <w:r w:rsidRPr="00992F48">
              <w:rPr>
                <w:i/>
              </w:rPr>
              <w:t>i</w:t>
            </w:r>
          </w:p>
        </w:tc>
        <w:tc>
          <w:tcPr>
            <w:tcW w:w="3365" w:type="pct"/>
            <w:tcBorders>
              <w:top w:val="nil"/>
              <w:left w:val="nil"/>
              <w:bottom w:val="single" w:sz="4" w:space="0" w:color="auto"/>
              <w:right w:val="single" w:sz="4" w:space="0" w:color="auto"/>
            </w:tcBorders>
            <w:shd w:val="clear" w:color="auto" w:fill="FFFFFF"/>
            <w:noWrap/>
            <w:vAlign w:val="center"/>
          </w:tcPr>
          <w:p w:rsidR="00714AFF" w:rsidRPr="001E3CBC" w:rsidRDefault="00714AFF" w:rsidP="0079525F">
            <w:pPr>
              <w:pStyle w:val="TableText"/>
              <w:keepNext/>
              <w:rPr>
                <w:b/>
                <w:color w:val="000000"/>
                <w:szCs w:val="28"/>
              </w:rPr>
            </w:pPr>
            <w:r>
              <w:rPr>
                <w:color w:val="000000"/>
              </w:rPr>
              <w:t>Indexes the participants along with their matched control customer</w:t>
            </w:r>
          </w:p>
        </w:tc>
      </w:tr>
      <w:tr w:rsidR="00714AFF" w:rsidRPr="00397BED"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FFFFFF"/>
            <w:noWrap/>
            <w:vAlign w:val="center"/>
          </w:tcPr>
          <w:p w:rsidR="00714AFF" w:rsidRPr="00992F48" w:rsidRDefault="00714AFF" w:rsidP="0079525F">
            <w:pPr>
              <w:pStyle w:val="TableText"/>
              <w:keepNext/>
              <w:rPr>
                <w:i/>
              </w:rPr>
            </w:pPr>
            <w:r w:rsidRPr="00992F48">
              <w:rPr>
                <w:i/>
              </w:rPr>
              <w:t>d</w:t>
            </w:r>
          </w:p>
        </w:tc>
        <w:tc>
          <w:tcPr>
            <w:tcW w:w="3365" w:type="pct"/>
            <w:tcBorders>
              <w:top w:val="nil"/>
              <w:left w:val="nil"/>
              <w:bottom w:val="single" w:sz="4" w:space="0" w:color="auto"/>
              <w:right w:val="single" w:sz="4" w:space="0" w:color="auto"/>
            </w:tcBorders>
            <w:shd w:val="clear" w:color="auto" w:fill="FFFFFF"/>
            <w:noWrap/>
            <w:vAlign w:val="center"/>
          </w:tcPr>
          <w:p w:rsidR="00714AFF" w:rsidRDefault="00714AFF" w:rsidP="0079525F">
            <w:pPr>
              <w:pStyle w:val="TableText"/>
              <w:keepNext/>
              <w:rPr>
                <w:color w:val="000000"/>
              </w:rPr>
            </w:pPr>
            <w:r>
              <w:rPr>
                <w:color w:val="000000"/>
              </w:rPr>
              <w:t>Indexes the event days and their corresponding average proxy day, September proxies for September events, July proxies for July events</w:t>
            </w:r>
          </w:p>
        </w:tc>
      </w:tr>
      <w:tr w:rsidR="00714AFF" w:rsidRPr="00397BED"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FFFFFF"/>
            <w:noWrap/>
            <w:vAlign w:val="center"/>
          </w:tcPr>
          <w:p w:rsidR="00714AFF" w:rsidRPr="00992F48" w:rsidRDefault="00714AFF" w:rsidP="0079525F">
            <w:pPr>
              <w:pStyle w:val="TableText"/>
              <w:keepNext/>
              <w:rPr>
                <w:i/>
              </w:rPr>
            </w:pPr>
            <w:r w:rsidRPr="00992F48">
              <w:rPr>
                <w:i/>
              </w:rPr>
              <w:t>h</w:t>
            </w:r>
          </w:p>
        </w:tc>
        <w:tc>
          <w:tcPr>
            <w:tcW w:w="3365" w:type="pct"/>
            <w:tcBorders>
              <w:top w:val="nil"/>
              <w:left w:val="nil"/>
              <w:bottom w:val="single" w:sz="4" w:space="0" w:color="auto"/>
              <w:right w:val="single" w:sz="4" w:space="0" w:color="auto"/>
            </w:tcBorders>
            <w:shd w:val="clear" w:color="auto" w:fill="FFFFFF"/>
            <w:noWrap/>
            <w:vAlign w:val="center"/>
          </w:tcPr>
          <w:p w:rsidR="00714AFF" w:rsidRPr="00063FAC" w:rsidRDefault="00714AFF" w:rsidP="0079525F">
            <w:pPr>
              <w:pStyle w:val="TableText"/>
              <w:keepNext/>
              <w:rPr>
                <w:color w:val="000000"/>
                <w:szCs w:val="28"/>
              </w:rPr>
            </w:pPr>
            <w:r w:rsidRPr="00063FAC">
              <w:rPr>
                <w:color w:val="000000"/>
                <w:szCs w:val="28"/>
              </w:rPr>
              <w:t>Indexe</w:t>
            </w:r>
            <w:r>
              <w:rPr>
                <w:color w:val="000000"/>
                <w:szCs w:val="28"/>
              </w:rPr>
              <w:t>s the hour</w:t>
            </w:r>
          </w:p>
        </w:tc>
      </w:tr>
    </w:tbl>
    <w:p w:rsidR="00714AFF" w:rsidRPr="00673585" w:rsidRDefault="00714AFF" w:rsidP="00714AFF">
      <w:pPr>
        <w:pStyle w:val="BodyParagraph"/>
        <w:rPr>
          <w:rFonts w:ascii="Times New Roman" w:hAnsi="Times New Roman"/>
        </w:rPr>
      </w:pPr>
    </w:p>
    <w:p w:rsidR="00714AFF" w:rsidRPr="00673585" w:rsidRDefault="00714AFF" w:rsidP="00714AFF">
      <w:pPr>
        <w:pStyle w:val="Heading3"/>
        <w:rPr>
          <w:rFonts w:ascii="Times New Roman" w:hAnsi="Times New Roman" w:cs="Times New Roman"/>
        </w:rPr>
      </w:pPr>
      <w:bookmarkStart w:id="272" w:name="_Toc415749044"/>
      <w:r w:rsidRPr="00673585">
        <w:rPr>
          <w:rFonts w:ascii="Times New Roman" w:hAnsi="Times New Roman" w:cs="Times New Roman"/>
        </w:rPr>
        <w:t>Individual Customer Regression Methodology – Residential</w:t>
      </w:r>
      <w:bookmarkEnd w:id="272"/>
    </w:p>
    <w:p w:rsidR="002D38CC" w:rsidRDefault="002D38CC" w:rsidP="002D38CC"/>
    <w:p w:rsidR="002D38CC" w:rsidRPr="00673585" w:rsidRDefault="002D38CC" w:rsidP="0083096B">
      <w:pPr>
        <w:pStyle w:val="BodyParagraph"/>
        <w:ind w:firstLine="720"/>
        <w:rPr>
          <w:rFonts w:ascii="Times New Roman" w:hAnsi="Times New Roman"/>
          <w:szCs w:val="20"/>
        </w:rPr>
      </w:pPr>
      <w:r w:rsidRPr="002D38CC">
        <w:rPr>
          <w:rFonts w:ascii="Times New Roman" w:hAnsi="Times New Roman"/>
          <w:sz w:val="24"/>
          <w:szCs w:val="24"/>
        </w:rPr>
        <w:t xml:space="preserve">For the small group of customers that are considered residential premises in SDG&amp;E’s records, even though they are located on commercially-managed properties, individual customer regressions were used to estimate load impacts. It would have been time-consuming and very difficult (if not impossible) to find an appropriate control group for this small, unique group that accounts for less than 5% of the thermostats in the program, so this within-subjects approach was used instead. The regression model used is specified in Equation </w:t>
      </w:r>
      <w:r w:rsidR="00873F41">
        <w:rPr>
          <w:rFonts w:ascii="Times New Roman" w:hAnsi="Times New Roman"/>
          <w:sz w:val="24"/>
          <w:szCs w:val="24"/>
        </w:rPr>
        <w:t>10</w:t>
      </w:r>
      <w:r w:rsidRPr="002D38CC">
        <w:rPr>
          <w:rFonts w:ascii="Times New Roman" w:hAnsi="Times New Roman"/>
          <w:sz w:val="24"/>
          <w:szCs w:val="24"/>
        </w:rPr>
        <w:t>-</w:t>
      </w:r>
      <w:r w:rsidR="00873F41">
        <w:rPr>
          <w:rFonts w:ascii="Times New Roman" w:hAnsi="Times New Roman"/>
          <w:sz w:val="24"/>
          <w:szCs w:val="24"/>
        </w:rPr>
        <w:t>2</w:t>
      </w:r>
      <w:r w:rsidRPr="002D38CC">
        <w:rPr>
          <w:rFonts w:ascii="Times New Roman" w:hAnsi="Times New Roman"/>
          <w:sz w:val="24"/>
          <w:szCs w:val="24"/>
        </w:rPr>
        <w:t xml:space="preserve">, and the variable definitions are provided in Table </w:t>
      </w:r>
      <w:r w:rsidR="00873F41">
        <w:rPr>
          <w:rFonts w:ascii="Times New Roman" w:hAnsi="Times New Roman"/>
          <w:sz w:val="24"/>
          <w:szCs w:val="24"/>
        </w:rPr>
        <w:t>10</w:t>
      </w:r>
      <w:r w:rsidRPr="002D38CC">
        <w:rPr>
          <w:rFonts w:ascii="Times New Roman" w:hAnsi="Times New Roman"/>
          <w:sz w:val="24"/>
          <w:szCs w:val="24"/>
        </w:rPr>
        <w:t>-</w:t>
      </w:r>
      <w:r w:rsidR="00873F41">
        <w:rPr>
          <w:rFonts w:ascii="Times New Roman" w:hAnsi="Times New Roman"/>
          <w:sz w:val="24"/>
          <w:szCs w:val="24"/>
        </w:rPr>
        <w:t>2</w:t>
      </w:r>
      <w:r w:rsidRPr="002D38CC">
        <w:rPr>
          <w:rFonts w:ascii="Times New Roman" w:hAnsi="Times New Roman"/>
          <w:sz w:val="24"/>
          <w:szCs w:val="24"/>
        </w:rPr>
        <w:t>. The customers for whom we used the individual customer regression methodology are very difficult to accurately model because data on when the units are and are not occupied is not available. We validated many models using the same hot non-event days we used to construct the matched control groups, and chose this as the best performing model.</w:t>
      </w:r>
    </w:p>
    <w:p w:rsidR="002D38CC" w:rsidRPr="00673585" w:rsidRDefault="002D38CC" w:rsidP="002D38CC">
      <w:pPr>
        <w:pStyle w:val="TableFigureCaption"/>
        <w:rPr>
          <w:rFonts w:ascii="Times New Roman" w:hAnsi="Times New Roman"/>
          <w:sz w:val="20"/>
          <w:szCs w:val="20"/>
        </w:rPr>
      </w:pPr>
      <w:r w:rsidRPr="00673585">
        <w:rPr>
          <w:rFonts w:ascii="Times New Roman" w:hAnsi="Times New Roman"/>
          <w:sz w:val="20"/>
          <w:szCs w:val="20"/>
        </w:rPr>
        <w:t xml:space="preserve">Equation </w:t>
      </w:r>
      <w:r w:rsidR="00873F41" w:rsidRPr="00673585">
        <w:rPr>
          <w:rFonts w:ascii="Times New Roman" w:hAnsi="Times New Roman"/>
          <w:sz w:val="20"/>
          <w:szCs w:val="20"/>
        </w:rPr>
        <w:t>10</w:t>
      </w:r>
      <w:r w:rsidRPr="00673585">
        <w:rPr>
          <w:rFonts w:ascii="Times New Roman" w:hAnsi="Times New Roman"/>
          <w:sz w:val="20"/>
          <w:szCs w:val="20"/>
        </w:rPr>
        <w:t>-</w:t>
      </w:r>
      <w:r w:rsidR="00873F41" w:rsidRPr="00673585">
        <w:rPr>
          <w:rFonts w:ascii="Times New Roman" w:hAnsi="Times New Roman"/>
          <w:sz w:val="20"/>
          <w:szCs w:val="20"/>
        </w:rPr>
        <w:t>2</w:t>
      </w:r>
      <w:r w:rsidRPr="00673585">
        <w:rPr>
          <w:rFonts w:ascii="Times New Roman" w:hAnsi="Times New Roman"/>
          <w:sz w:val="20"/>
          <w:szCs w:val="20"/>
        </w:rPr>
        <w:t>: Model Specification for Individual Customer Regressions</w:t>
      </w:r>
    </w:p>
    <w:p w:rsidR="002D38CC" w:rsidRPr="001E3CBC" w:rsidRDefault="00947B52" w:rsidP="002D38CC">
      <w:pPr>
        <w:pStyle w:val="BodyParagraph"/>
        <w:jc w:val="center"/>
      </w:pPr>
      <m:oMathPara>
        <m:oMath>
          <m:sSub>
            <m:sSubPr>
              <m:ctrlPr>
                <w:rPr>
                  <w:rFonts w:ascii="Cambria Math" w:hAnsi="Cambria Math"/>
                  <w:i/>
                </w:rPr>
              </m:ctrlPr>
            </m:sSubPr>
            <m:e>
              <m:r>
                <w:rPr>
                  <w:rFonts w:ascii="Cambria Math" w:hAnsi="Cambria Math"/>
                </w:rPr>
                <m:t>kwh</m:t>
              </m:r>
            </m:e>
            <m:sub>
              <m:r>
                <w:rPr>
                  <w:rFonts w:ascii="Cambria Math" w:hAnsi="Cambria Math"/>
                </w:rPr>
                <m:t>it</m:t>
              </m:r>
            </m:sub>
          </m:sSub>
          <m:r>
            <w:rPr>
              <w:rFonts w:ascii="Cambria Math" w:hAnsi="Cambria Math"/>
            </w:rPr>
            <m:t>=a+b*</m:t>
          </m:r>
          <m:sSub>
            <m:sSubPr>
              <m:ctrlPr>
                <w:rPr>
                  <w:rFonts w:ascii="Cambria Math" w:hAnsi="Cambria Math"/>
                  <w:i/>
                </w:rPr>
              </m:ctrlPr>
            </m:sSubPr>
            <m:e>
              <m:r>
                <w:rPr>
                  <w:rFonts w:ascii="Cambria Math" w:hAnsi="Cambria Math"/>
                </w:rPr>
                <m:t>mean17</m:t>
              </m:r>
            </m:e>
            <m:sub>
              <m:r>
                <w:rPr>
                  <w:rFonts w:ascii="Cambria Math" w:hAnsi="Cambria Math"/>
                </w:rPr>
                <m:t>i,t</m:t>
              </m:r>
            </m:sub>
          </m:sSub>
          <m:r>
            <w:rPr>
              <w:rFonts w:ascii="Cambria Math" w:hAnsi="Cambria Math"/>
            </w:rPr>
            <m:t>+c*</m:t>
          </m:r>
          <m:sSubSup>
            <m:sSubSupPr>
              <m:ctrlPr>
                <w:rPr>
                  <w:rFonts w:ascii="Cambria Math" w:hAnsi="Cambria Math"/>
                  <w:i/>
                </w:rPr>
              </m:ctrlPr>
            </m:sSubSupPr>
            <m:e>
              <m:r>
                <w:rPr>
                  <w:rFonts w:ascii="Cambria Math" w:hAnsi="Cambria Math"/>
                </w:rPr>
                <m:t>mean17</m:t>
              </m:r>
            </m:e>
            <m:sub>
              <m:r>
                <w:rPr>
                  <w:rFonts w:ascii="Cambria Math" w:hAnsi="Cambria Math"/>
                </w:rPr>
                <m:t>i,t</m:t>
              </m:r>
            </m:sub>
            <m:sup>
              <m:r>
                <w:rPr>
                  <w:rFonts w:ascii="Cambria Math" w:hAnsi="Cambria Math"/>
                </w:rPr>
                <m:t>2</m:t>
              </m:r>
            </m:sup>
          </m:sSubSup>
          <m:r>
            <w:rPr>
              <w:rFonts w:ascii="Cambria Math" w:hAnsi="Cambria Math"/>
            </w:rPr>
            <m:t>+d*year2014+</m:t>
          </m:r>
          <m:sSub>
            <m:sSubPr>
              <m:ctrlPr>
                <w:rPr>
                  <w:rFonts w:ascii="Cambria Math" w:hAnsi="Cambria Math"/>
                  <w:i/>
                </w:rPr>
              </m:ctrlPr>
            </m:sSubPr>
            <m:e>
              <m:r>
                <w:rPr>
                  <w:rFonts w:ascii="Cambria Math" w:hAnsi="Cambria Math"/>
                </w:rPr>
                <m:t>e</m:t>
              </m:r>
            </m:e>
            <m:sub>
              <m:r>
                <w:rPr>
                  <w:rFonts w:ascii="Cambria Math" w:hAnsi="Cambria Math"/>
                </w:rPr>
                <m:t>i,t</m:t>
              </m:r>
            </m:sub>
          </m:sSub>
        </m:oMath>
      </m:oMathPara>
    </w:p>
    <w:p w:rsidR="002D38CC" w:rsidRDefault="002D38CC" w:rsidP="002D38CC">
      <w:pPr>
        <w:jc w:val="center"/>
      </w:pPr>
    </w:p>
    <w:p w:rsidR="002D38CC" w:rsidRPr="00673585" w:rsidRDefault="002D38CC" w:rsidP="002D38CC">
      <w:pPr>
        <w:pStyle w:val="TableFigureCaption"/>
        <w:rPr>
          <w:rFonts w:ascii="Times New Roman" w:hAnsi="Times New Roman"/>
          <w:sz w:val="20"/>
          <w:szCs w:val="20"/>
        </w:rPr>
      </w:pPr>
      <w:r w:rsidRPr="00673585">
        <w:rPr>
          <w:rFonts w:ascii="Times New Roman" w:hAnsi="Times New Roman"/>
          <w:sz w:val="20"/>
          <w:szCs w:val="20"/>
        </w:rPr>
        <w:lastRenderedPageBreak/>
        <w:t xml:space="preserve">Table </w:t>
      </w:r>
      <w:r w:rsidR="00873F41" w:rsidRPr="00673585">
        <w:rPr>
          <w:rFonts w:ascii="Times New Roman" w:hAnsi="Times New Roman"/>
          <w:sz w:val="20"/>
          <w:szCs w:val="20"/>
        </w:rPr>
        <w:t>10-2</w:t>
      </w:r>
      <w:r w:rsidRPr="00673585">
        <w:rPr>
          <w:rFonts w:ascii="Times New Roman" w:hAnsi="Times New Roman"/>
          <w:sz w:val="20"/>
          <w:szCs w:val="20"/>
        </w:rPr>
        <w:t>: Variables Used for Individual Customer Regressions</w:t>
      </w:r>
    </w:p>
    <w:tbl>
      <w:tblPr>
        <w:tblW w:w="3764" w:type="pct"/>
        <w:jc w:val="center"/>
        <w:tblLayout w:type="fixed"/>
        <w:tblLook w:val="00A0" w:firstRow="1" w:lastRow="0" w:firstColumn="1" w:lastColumn="0" w:noHBand="0" w:noVBand="0"/>
      </w:tblPr>
      <w:tblGrid>
        <w:gridCol w:w="2357"/>
        <w:gridCol w:w="4852"/>
      </w:tblGrid>
      <w:tr w:rsidR="002D38CC" w:rsidRPr="001E3CBC" w:rsidTr="0079525F">
        <w:trPr>
          <w:trHeight w:val="300"/>
          <w:tblHeader/>
          <w:jc w:val="center"/>
        </w:trPr>
        <w:tc>
          <w:tcPr>
            <w:tcW w:w="1635" w:type="pct"/>
            <w:tcBorders>
              <w:top w:val="single" w:sz="4" w:space="0" w:color="auto"/>
              <w:left w:val="single" w:sz="4" w:space="0" w:color="auto"/>
              <w:bottom w:val="single" w:sz="4" w:space="0" w:color="auto"/>
              <w:right w:val="single" w:sz="4" w:space="0" w:color="FFFFFF"/>
            </w:tcBorders>
            <w:shd w:val="clear" w:color="auto" w:fill="0070CD"/>
            <w:vAlign w:val="center"/>
          </w:tcPr>
          <w:p w:rsidR="002D38CC" w:rsidRPr="001E3CBC" w:rsidRDefault="002D38CC" w:rsidP="0079525F">
            <w:pPr>
              <w:pStyle w:val="TableHeader"/>
              <w:keepNext/>
            </w:pPr>
            <w:r w:rsidRPr="001E3CBC">
              <w:t>Variable</w:t>
            </w:r>
          </w:p>
        </w:tc>
        <w:tc>
          <w:tcPr>
            <w:tcW w:w="3365" w:type="pct"/>
            <w:tcBorders>
              <w:top w:val="single" w:sz="4" w:space="0" w:color="auto"/>
              <w:left w:val="nil"/>
              <w:bottom w:val="single" w:sz="4" w:space="0" w:color="auto"/>
              <w:right w:val="single" w:sz="4" w:space="0" w:color="auto"/>
            </w:tcBorders>
            <w:shd w:val="clear" w:color="auto" w:fill="0070CD"/>
            <w:vAlign w:val="center"/>
          </w:tcPr>
          <w:p w:rsidR="002D38CC" w:rsidRPr="001E3CBC" w:rsidRDefault="002D38CC" w:rsidP="0079525F">
            <w:pPr>
              <w:pStyle w:val="TableHeader"/>
              <w:keepNext/>
            </w:pPr>
            <w:r w:rsidRPr="001E3CBC">
              <w:t>Description</w:t>
            </w:r>
          </w:p>
        </w:tc>
      </w:tr>
      <w:tr w:rsidR="002D38CC" w:rsidRPr="001E3CBC" w:rsidTr="0079525F">
        <w:trPr>
          <w:trHeight w:val="285"/>
          <w:jc w:val="center"/>
        </w:trPr>
        <w:tc>
          <w:tcPr>
            <w:tcW w:w="163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D38CC" w:rsidRPr="007C3784" w:rsidRDefault="002D38CC" w:rsidP="0079525F">
            <w:pPr>
              <w:pStyle w:val="TableText"/>
              <w:keepNext/>
              <w:rPr>
                <w:i/>
                <w:iCs/>
                <w:color w:val="000000"/>
              </w:rPr>
            </w:pPr>
            <w:r w:rsidRPr="007C3784">
              <w:rPr>
                <w:i/>
              </w:rPr>
              <w:t>A</w:t>
            </w:r>
          </w:p>
        </w:tc>
        <w:tc>
          <w:tcPr>
            <w:tcW w:w="3365" w:type="pct"/>
            <w:tcBorders>
              <w:top w:val="single" w:sz="4" w:space="0" w:color="auto"/>
              <w:left w:val="nil"/>
              <w:bottom w:val="single" w:sz="4" w:space="0" w:color="auto"/>
              <w:right w:val="single" w:sz="4" w:space="0" w:color="auto"/>
            </w:tcBorders>
            <w:shd w:val="clear" w:color="auto" w:fill="FFFFFF"/>
            <w:noWrap/>
            <w:vAlign w:val="center"/>
          </w:tcPr>
          <w:p w:rsidR="002D38CC" w:rsidRPr="001E3CBC" w:rsidRDefault="002D38CC" w:rsidP="0079525F">
            <w:pPr>
              <w:pStyle w:val="TableText"/>
              <w:keepNext/>
              <w:rPr>
                <w:color w:val="000000"/>
              </w:rPr>
            </w:pPr>
            <w:r w:rsidRPr="001E3CBC">
              <w:rPr>
                <w:color w:val="000000"/>
              </w:rPr>
              <w:t>a is an estimated constant</w:t>
            </w:r>
          </w:p>
        </w:tc>
      </w:tr>
      <w:tr w:rsidR="002D38CC" w:rsidRPr="001E3CBC"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FFFFFF"/>
            <w:noWrap/>
            <w:vAlign w:val="center"/>
          </w:tcPr>
          <w:p w:rsidR="002D38CC" w:rsidRPr="007C3784" w:rsidRDefault="002D38CC" w:rsidP="0079525F">
            <w:pPr>
              <w:pStyle w:val="TableText"/>
              <w:keepNext/>
              <w:rPr>
                <w:i/>
                <w:iCs/>
                <w:color w:val="000000"/>
              </w:rPr>
            </w:pPr>
            <w:r w:rsidRPr="007C3784">
              <w:rPr>
                <w:i/>
                <w:position w:val="-10"/>
              </w:rPr>
              <w:t>b, c, and d</w:t>
            </w:r>
          </w:p>
        </w:tc>
        <w:tc>
          <w:tcPr>
            <w:tcW w:w="3365" w:type="pct"/>
            <w:tcBorders>
              <w:top w:val="nil"/>
              <w:left w:val="nil"/>
              <w:bottom w:val="single" w:sz="4" w:space="0" w:color="auto"/>
              <w:right w:val="single" w:sz="4" w:space="0" w:color="auto"/>
            </w:tcBorders>
            <w:shd w:val="clear" w:color="auto" w:fill="FFFFFF"/>
            <w:noWrap/>
            <w:vAlign w:val="center"/>
          </w:tcPr>
          <w:p w:rsidR="002D38CC" w:rsidRPr="001E3CBC" w:rsidRDefault="002D38CC" w:rsidP="0079525F">
            <w:pPr>
              <w:pStyle w:val="TableText"/>
              <w:keepNext/>
              <w:rPr>
                <w:color w:val="000000"/>
              </w:rPr>
            </w:pPr>
            <w:r w:rsidRPr="001E3CBC">
              <w:rPr>
                <w:color w:val="000000"/>
              </w:rPr>
              <w:t>b, c, and d are estimated parameters</w:t>
            </w:r>
          </w:p>
        </w:tc>
      </w:tr>
      <w:tr w:rsidR="002D38CC" w:rsidRPr="001E3CBC"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auto"/>
            <w:noWrap/>
            <w:vAlign w:val="center"/>
          </w:tcPr>
          <w:p w:rsidR="002D38CC" w:rsidRPr="007C3784" w:rsidRDefault="002D38CC" w:rsidP="0079525F">
            <w:pPr>
              <w:pStyle w:val="TableText"/>
              <w:keepNext/>
              <w:rPr>
                <w:i/>
                <w:iCs/>
                <w:color w:val="000000"/>
              </w:rPr>
            </w:pPr>
            <w:r w:rsidRPr="007C3784">
              <w:rPr>
                <w:i/>
                <w:iCs/>
                <w:color w:val="000000"/>
              </w:rPr>
              <w:t>year2014</w:t>
            </w:r>
          </w:p>
        </w:tc>
        <w:tc>
          <w:tcPr>
            <w:tcW w:w="3365" w:type="pct"/>
            <w:tcBorders>
              <w:top w:val="nil"/>
              <w:left w:val="nil"/>
              <w:bottom w:val="single" w:sz="4" w:space="0" w:color="auto"/>
              <w:right w:val="single" w:sz="4" w:space="0" w:color="auto"/>
            </w:tcBorders>
            <w:shd w:val="clear" w:color="auto" w:fill="auto"/>
            <w:noWrap/>
            <w:vAlign w:val="center"/>
          </w:tcPr>
          <w:p w:rsidR="002D38CC" w:rsidRPr="001E3CBC" w:rsidRDefault="002D38CC" w:rsidP="0079525F">
            <w:pPr>
              <w:pStyle w:val="TableText"/>
              <w:keepNext/>
              <w:rPr>
                <w:color w:val="000000"/>
              </w:rPr>
            </w:pPr>
            <w:r w:rsidRPr="001E3CBC">
              <w:rPr>
                <w:color w:val="000000"/>
              </w:rPr>
              <w:t>year2014 is a dummy variable indicating whether the year was 2013 or 2014</w:t>
            </w:r>
          </w:p>
        </w:tc>
      </w:tr>
      <w:tr w:rsidR="002D38CC" w:rsidRPr="001E3CBC"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auto"/>
            <w:noWrap/>
            <w:vAlign w:val="center"/>
          </w:tcPr>
          <w:p w:rsidR="002D38CC" w:rsidRPr="007C3784" w:rsidRDefault="002D38CC" w:rsidP="0079525F">
            <w:pPr>
              <w:pStyle w:val="TableText"/>
              <w:keepNext/>
              <w:rPr>
                <w:i/>
                <w:iCs/>
                <w:color w:val="000000"/>
              </w:rPr>
            </w:pPr>
            <w:r w:rsidRPr="007C3784">
              <w:rPr>
                <w:i/>
              </w:rPr>
              <w:t>mean17</w:t>
            </w:r>
          </w:p>
        </w:tc>
        <w:tc>
          <w:tcPr>
            <w:tcW w:w="3365" w:type="pct"/>
            <w:tcBorders>
              <w:top w:val="nil"/>
              <w:left w:val="nil"/>
              <w:bottom w:val="single" w:sz="4" w:space="0" w:color="auto"/>
              <w:right w:val="single" w:sz="4" w:space="0" w:color="auto"/>
            </w:tcBorders>
            <w:shd w:val="clear" w:color="auto" w:fill="auto"/>
            <w:noWrap/>
            <w:vAlign w:val="center"/>
          </w:tcPr>
          <w:p w:rsidR="002D38CC" w:rsidRPr="001E3CBC" w:rsidRDefault="002D38CC" w:rsidP="0079525F">
            <w:pPr>
              <w:pStyle w:val="TableText"/>
              <w:keepNext/>
              <w:rPr>
                <w:color w:val="000000"/>
              </w:rPr>
            </w:pPr>
            <w:r w:rsidRPr="001E3CBC">
              <w:rPr>
                <w:color w:val="000000"/>
              </w:rPr>
              <w:t>The mean temperature from midnight until 5 PM</w:t>
            </w:r>
          </w:p>
        </w:tc>
      </w:tr>
      <w:tr w:rsidR="002D38CC" w:rsidRPr="00397BED" w:rsidTr="0079525F">
        <w:trPr>
          <w:trHeight w:val="285"/>
          <w:jc w:val="center"/>
        </w:trPr>
        <w:tc>
          <w:tcPr>
            <w:tcW w:w="1635" w:type="pct"/>
            <w:tcBorders>
              <w:top w:val="nil"/>
              <w:left w:val="single" w:sz="4" w:space="0" w:color="auto"/>
              <w:bottom w:val="single" w:sz="4" w:space="0" w:color="auto"/>
              <w:right w:val="single" w:sz="4" w:space="0" w:color="auto"/>
            </w:tcBorders>
            <w:shd w:val="clear" w:color="auto" w:fill="FFFFFF"/>
            <w:noWrap/>
            <w:vAlign w:val="center"/>
          </w:tcPr>
          <w:p w:rsidR="002D38CC" w:rsidRPr="007C3784" w:rsidRDefault="002D38CC" w:rsidP="0079525F">
            <w:pPr>
              <w:pStyle w:val="TableText"/>
              <w:keepNext/>
              <w:rPr>
                <w:i/>
              </w:rPr>
            </w:pPr>
            <w:r w:rsidRPr="007C3784">
              <w:rPr>
                <w:i/>
              </w:rPr>
              <w:object w:dxaOrig="200" w:dyaOrig="220">
                <v:shape id="_x0000_i1030" type="#_x0000_t75" style="width:10.5pt;height:10.5pt" o:ole="">
                  <v:imagedata r:id="rId35" o:title=""/>
                </v:shape>
                <o:OLEObject Type="Embed" ProgID="Equation.3" ShapeID="_x0000_i1030" DrawAspect="Content" ObjectID="_1489490870" r:id="rId36"/>
              </w:object>
            </w:r>
          </w:p>
        </w:tc>
        <w:tc>
          <w:tcPr>
            <w:tcW w:w="3365" w:type="pct"/>
            <w:tcBorders>
              <w:top w:val="nil"/>
              <w:left w:val="nil"/>
              <w:bottom w:val="single" w:sz="4" w:space="0" w:color="auto"/>
              <w:right w:val="single" w:sz="4" w:space="0" w:color="auto"/>
            </w:tcBorders>
            <w:shd w:val="clear" w:color="auto" w:fill="FFFFFF"/>
            <w:noWrap/>
            <w:vAlign w:val="center"/>
          </w:tcPr>
          <w:p w:rsidR="002D38CC" w:rsidRPr="001E3CBC" w:rsidRDefault="002D38CC" w:rsidP="0079525F">
            <w:pPr>
              <w:pStyle w:val="TableText"/>
              <w:keepNext/>
              <w:rPr>
                <w:b/>
                <w:color w:val="000000"/>
                <w:szCs w:val="28"/>
              </w:rPr>
            </w:pPr>
            <w:r w:rsidRPr="001E3CBC">
              <w:rPr>
                <w:color w:val="000000"/>
              </w:rPr>
              <w:t>The error term</w:t>
            </w:r>
          </w:p>
        </w:tc>
      </w:tr>
    </w:tbl>
    <w:p w:rsidR="00873F41" w:rsidRDefault="00873F41" w:rsidP="002D38CC">
      <w:pPr>
        <w:pStyle w:val="BodyParagraph"/>
      </w:pPr>
    </w:p>
    <w:p w:rsidR="00873F41" w:rsidRPr="00463C7B" w:rsidRDefault="00873F41" w:rsidP="00873F41">
      <w:pPr>
        <w:pStyle w:val="Heading2"/>
        <w:rPr>
          <w:rFonts w:ascii="Times New Roman" w:hAnsi="Times New Roman" w:cs="Times New Roman"/>
          <w:color w:val="000000" w:themeColor="text1"/>
        </w:rPr>
      </w:pPr>
      <w:bookmarkStart w:id="273" w:name="_Toc415749045"/>
      <w:r>
        <w:rPr>
          <w:rFonts w:ascii="Times New Roman" w:hAnsi="Times New Roman" w:cs="Times New Roman"/>
          <w:color w:val="000000" w:themeColor="text1"/>
        </w:rPr>
        <w:t>Commercial Thermostats Ex Post</w:t>
      </w:r>
      <w:bookmarkEnd w:id="273"/>
    </w:p>
    <w:p w:rsidR="002A0033" w:rsidRDefault="002A0033" w:rsidP="00873F41">
      <w:pPr>
        <w:pStyle w:val="BodyBeforeBullet"/>
      </w:pPr>
    </w:p>
    <w:p w:rsidR="00873F41" w:rsidRPr="002A0033" w:rsidRDefault="00873F41" w:rsidP="0083096B">
      <w:pPr>
        <w:pStyle w:val="BodyBeforeBullet"/>
        <w:spacing w:after="0" w:line="276" w:lineRule="auto"/>
        <w:ind w:firstLine="360"/>
        <w:rPr>
          <w:rFonts w:ascii="Times New Roman" w:hAnsi="Times New Roman"/>
          <w:sz w:val="24"/>
          <w:szCs w:val="24"/>
        </w:rPr>
      </w:pPr>
      <w:r w:rsidRPr="002A0033">
        <w:rPr>
          <w:rFonts w:ascii="Times New Roman" w:hAnsi="Times New Roman"/>
          <w:sz w:val="24"/>
          <w:szCs w:val="24"/>
        </w:rPr>
        <w:t>This section summarizes the ex post load impact estimates for commercial thermostat program participants for the 2014 program year. In keeping with the requirements for ex post load impact evaluations, results are presented for each hour of each event day for the average customer and for all customers enrolled at the time of each event. In addition to meeting the basic load impact protocol requirements, detailed analysis has been conducted to understand how commercial load impacts vary across a number of factors, including:</w:t>
      </w:r>
    </w:p>
    <w:p w:rsidR="00873F41" w:rsidRPr="002A0033" w:rsidRDefault="00873F41" w:rsidP="002A0033">
      <w:pPr>
        <w:pStyle w:val="Bullets"/>
        <w:spacing w:after="0" w:line="276" w:lineRule="auto"/>
        <w:rPr>
          <w:rFonts w:ascii="Times New Roman" w:hAnsi="Times New Roman" w:cs="Times New Roman"/>
          <w:sz w:val="24"/>
          <w:szCs w:val="24"/>
        </w:rPr>
      </w:pPr>
      <w:r w:rsidRPr="002A0033">
        <w:rPr>
          <w:rFonts w:ascii="Times New Roman" w:hAnsi="Times New Roman" w:cs="Times New Roman"/>
          <w:sz w:val="24"/>
          <w:szCs w:val="24"/>
        </w:rPr>
        <w:t xml:space="preserve">Climate zone; </w:t>
      </w:r>
    </w:p>
    <w:p w:rsidR="00873F41" w:rsidRPr="002A0033" w:rsidRDefault="00873F41" w:rsidP="002A0033">
      <w:pPr>
        <w:pStyle w:val="Bullets"/>
        <w:spacing w:after="0" w:line="276" w:lineRule="auto"/>
        <w:rPr>
          <w:rFonts w:ascii="Times New Roman" w:hAnsi="Times New Roman" w:cs="Times New Roman"/>
          <w:sz w:val="24"/>
          <w:szCs w:val="24"/>
        </w:rPr>
      </w:pPr>
      <w:r w:rsidRPr="002A0033">
        <w:rPr>
          <w:rFonts w:ascii="Times New Roman" w:hAnsi="Times New Roman" w:cs="Times New Roman"/>
          <w:sz w:val="24"/>
          <w:szCs w:val="24"/>
        </w:rPr>
        <w:t>Industry;</w:t>
      </w:r>
    </w:p>
    <w:p w:rsidR="00873F41" w:rsidRPr="002A0033" w:rsidRDefault="00873F41" w:rsidP="002A0033">
      <w:pPr>
        <w:pStyle w:val="Bullets"/>
        <w:spacing w:after="0" w:line="276" w:lineRule="auto"/>
        <w:rPr>
          <w:rFonts w:ascii="Times New Roman" w:hAnsi="Times New Roman" w:cs="Times New Roman"/>
          <w:sz w:val="24"/>
          <w:szCs w:val="24"/>
        </w:rPr>
      </w:pPr>
      <w:r w:rsidRPr="002A0033">
        <w:rPr>
          <w:rFonts w:ascii="Times New Roman" w:hAnsi="Times New Roman" w:cs="Times New Roman"/>
          <w:sz w:val="24"/>
          <w:szCs w:val="24"/>
        </w:rPr>
        <w:t>50% cycling and 4-degree setback; and</w:t>
      </w:r>
    </w:p>
    <w:p w:rsidR="00873F41" w:rsidRPr="002A0033" w:rsidRDefault="00873F41" w:rsidP="002A0033">
      <w:pPr>
        <w:pStyle w:val="BulletLast"/>
        <w:tabs>
          <w:tab w:val="clear" w:pos="720"/>
        </w:tabs>
        <w:spacing w:after="0" w:line="276" w:lineRule="auto"/>
        <w:ind w:left="360" w:firstLine="0"/>
        <w:rPr>
          <w:rFonts w:ascii="Times New Roman" w:hAnsi="Times New Roman" w:cs="Times New Roman"/>
          <w:sz w:val="24"/>
          <w:szCs w:val="24"/>
        </w:rPr>
      </w:pPr>
      <w:r w:rsidRPr="002A0033">
        <w:rPr>
          <w:rFonts w:ascii="Times New Roman" w:hAnsi="Times New Roman" w:cs="Times New Roman"/>
          <w:sz w:val="24"/>
          <w:szCs w:val="24"/>
        </w:rPr>
        <w:t>Direct Install vs. Demand Response (two SDG&amp;E groups that recruited participants).</w:t>
      </w:r>
    </w:p>
    <w:p w:rsidR="002A0033" w:rsidRDefault="002A0033" w:rsidP="002A0033">
      <w:pPr>
        <w:pStyle w:val="BodyParagraph"/>
        <w:spacing w:after="0" w:line="276" w:lineRule="auto"/>
        <w:rPr>
          <w:rFonts w:ascii="Times New Roman" w:hAnsi="Times New Roman"/>
          <w:sz w:val="24"/>
          <w:szCs w:val="24"/>
        </w:rPr>
      </w:pPr>
    </w:p>
    <w:p w:rsidR="00873F41" w:rsidRPr="002A0033" w:rsidRDefault="00873F41" w:rsidP="0083096B">
      <w:pPr>
        <w:pStyle w:val="BodyParagraph"/>
        <w:spacing w:after="0" w:line="276" w:lineRule="auto"/>
        <w:ind w:firstLine="360"/>
        <w:rPr>
          <w:rFonts w:ascii="Times New Roman" w:hAnsi="Times New Roman"/>
          <w:sz w:val="24"/>
          <w:szCs w:val="24"/>
        </w:rPr>
      </w:pPr>
      <w:r w:rsidRPr="002A0033">
        <w:rPr>
          <w:rFonts w:ascii="Times New Roman" w:hAnsi="Times New Roman"/>
          <w:sz w:val="24"/>
          <w:szCs w:val="24"/>
        </w:rPr>
        <w:t xml:space="preserve">SDG&amp;E called four events during summer 2014. During the first event, on July 31, 2014, there were 274 enrolled participants; and during the final three events, on September 15, 16, and 17, enrollment equaled 363 participants. </w:t>
      </w:r>
    </w:p>
    <w:p w:rsidR="0083096B" w:rsidRDefault="0083096B" w:rsidP="002A0033">
      <w:pPr>
        <w:pStyle w:val="BodyParaAfterTableFigure"/>
        <w:spacing w:before="0" w:after="0" w:line="276" w:lineRule="auto"/>
        <w:rPr>
          <w:rFonts w:ascii="Times New Roman" w:hAnsi="Times New Roman"/>
          <w:sz w:val="24"/>
          <w:szCs w:val="24"/>
        </w:rPr>
      </w:pPr>
    </w:p>
    <w:p w:rsidR="00873F41" w:rsidRDefault="00873F41" w:rsidP="0083096B">
      <w:pPr>
        <w:pStyle w:val="BodyParaAfterTableFigure"/>
        <w:spacing w:before="0" w:after="0" w:line="276" w:lineRule="auto"/>
        <w:ind w:firstLine="360"/>
        <w:rPr>
          <w:rFonts w:ascii="Times New Roman" w:hAnsi="Times New Roman"/>
          <w:sz w:val="24"/>
          <w:szCs w:val="24"/>
        </w:rPr>
      </w:pPr>
      <w:r w:rsidRPr="002A0033">
        <w:rPr>
          <w:rFonts w:ascii="Times New Roman" w:hAnsi="Times New Roman"/>
          <w:sz w:val="24"/>
          <w:szCs w:val="24"/>
        </w:rPr>
        <w:t>Table 10-3 summarizes the average load reduction provided by commercial customers across the four-hour event window from 2 to 6 PM. As shown, the average percent reduction ranged from a low of 4% on September 15</w:t>
      </w:r>
      <w:r w:rsidRPr="002A0033">
        <w:rPr>
          <w:rFonts w:ascii="Times New Roman" w:hAnsi="Times New Roman"/>
          <w:sz w:val="24"/>
          <w:szCs w:val="24"/>
          <w:vertAlign w:val="superscript"/>
        </w:rPr>
        <w:t xml:space="preserve"> </w:t>
      </w:r>
      <w:r w:rsidRPr="002A0033">
        <w:rPr>
          <w:rFonts w:ascii="Times New Roman" w:hAnsi="Times New Roman"/>
          <w:sz w:val="24"/>
          <w:szCs w:val="24"/>
        </w:rPr>
        <w:t>and 16 to a high of 8% on July 31. An average reduction of 5% was obtained across the four event days. The average load reduction per thermostat ranged from a low of 0.18 kW to a high of 0.30 kW. Aggregate load reductions ranged from 0.59 MW to 0.77 MW. Aggregate load reductions for the four events averaged 0.68 MW per event.</w:t>
      </w:r>
    </w:p>
    <w:p w:rsidR="002A0033" w:rsidRPr="002A0033" w:rsidRDefault="002A0033" w:rsidP="002A0033">
      <w:pPr>
        <w:pStyle w:val="BodyParagraph"/>
        <w:rPr>
          <w:highlight w:val="lightGray"/>
        </w:rPr>
      </w:pPr>
    </w:p>
    <w:p w:rsidR="00673585" w:rsidRDefault="00673585">
      <w:pPr>
        <w:rPr>
          <w:b/>
          <w:sz w:val="20"/>
          <w:szCs w:val="20"/>
        </w:rPr>
      </w:pPr>
      <w:r>
        <w:rPr>
          <w:sz w:val="20"/>
          <w:szCs w:val="20"/>
        </w:rPr>
        <w:br w:type="page"/>
      </w:r>
    </w:p>
    <w:p w:rsidR="00873F41" w:rsidRPr="002A0033" w:rsidRDefault="00873F41" w:rsidP="00873F41">
      <w:pPr>
        <w:pStyle w:val="TableFigureCaption"/>
        <w:rPr>
          <w:rFonts w:ascii="Times New Roman" w:hAnsi="Times New Roman"/>
          <w:sz w:val="20"/>
          <w:szCs w:val="20"/>
        </w:rPr>
      </w:pPr>
      <w:r w:rsidRPr="002A0033">
        <w:rPr>
          <w:rFonts w:ascii="Times New Roman" w:hAnsi="Times New Roman"/>
          <w:sz w:val="20"/>
          <w:szCs w:val="20"/>
        </w:rPr>
        <w:lastRenderedPageBreak/>
        <w:t>Table 10-3: 2014 Commercial Thermostat Ex Post Load Impact Estimates (2 to 6 PM)</w:t>
      </w:r>
      <w:r w:rsidRPr="002A0033">
        <w:rPr>
          <w:rFonts w:ascii="Times New Roman" w:hAnsi="Times New Roman"/>
          <w:sz w:val="20"/>
          <w:szCs w:val="20"/>
        </w:rPr>
        <w:br/>
        <w:t>(kW per Customer, Aggregate MW, and kW per Thermostat)</w:t>
      </w:r>
    </w:p>
    <w:tbl>
      <w:tblPr>
        <w:tblW w:w="10861" w:type="dxa"/>
        <w:jc w:val="center"/>
        <w:tblInd w:w="996" w:type="dxa"/>
        <w:tblLook w:val="04A0" w:firstRow="1" w:lastRow="0" w:firstColumn="1" w:lastColumn="0" w:noHBand="0" w:noVBand="1"/>
      </w:tblPr>
      <w:tblGrid>
        <w:gridCol w:w="1579"/>
        <w:gridCol w:w="1247"/>
        <w:gridCol w:w="1297"/>
        <w:gridCol w:w="1170"/>
        <w:gridCol w:w="1170"/>
        <w:gridCol w:w="1170"/>
        <w:gridCol w:w="1154"/>
        <w:gridCol w:w="1197"/>
        <w:gridCol w:w="877"/>
      </w:tblGrid>
      <w:tr w:rsidR="00873F41" w:rsidRPr="007F597B" w:rsidTr="0079525F">
        <w:trPr>
          <w:trHeight w:val="975"/>
          <w:jc w:val="center"/>
        </w:trPr>
        <w:tc>
          <w:tcPr>
            <w:tcW w:w="1579" w:type="dxa"/>
            <w:tcBorders>
              <w:top w:val="single" w:sz="8" w:space="0" w:color="auto"/>
              <w:left w:val="single" w:sz="8" w:space="0" w:color="auto"/>
              <w:bottom w:val="single" w:sz="8" w:space="0" w:color="auto"/>
              <w:right w:val="single" w:sz="8" w:space="0" w:color="FFFFFF"/>
            </w:tcBorders>
            <w:shd w:val="clear" w:color="000000" w:fill="0070CD"/>
            <w:vAlign w:val="center"/>
            <w:hideMark/>
          </w:tcPr>
          <w:p w:rsidR="00873F41" w:rsidRPr="007F597B" w:rsidRDefault="00873F41" w:rsidP="0079525F">
            <w:pPr>
              <w:spacing w:before="60" w:after="60"/>
              <w:jc w:val="center"/>
              <w:rPr>
                <w:rFonts w:ascii="Arial" w:hAnsi="Arial" w:cs="Arial"/>
                <w:b/>
                <w:bCs/>
                <w:color w:val="FFFFFF"/>
                <w:sz w:val="18"/>
                <w:szCs w:val="18"/>
              </w:rPr>
            </w:pPr>
            <w:r w:rsidRPr="007F597B">
              <w:rPr>
                <w:rFonts w:ascii="Arial" w:hAnsi="Arial" w:cs="Arial"/>
                <w:b/>
                <w:bCs/>
                <w:color w:val="FFFFFF"/>
                <w:sz w:val="18"/>
                <w:szCs w:val="18"/>
              </w:rPr>
              <w:t>Date</w:t>
            </w:r>
          </w:p>
        </w:tc>
        <w:tc>
          <w:tcPr>
            <w:tcW w:w="1247" w:type="dxa"/>
            <w:tcBorders>
              <w:top w:val="single" w:sz="8" w:space="0" w:color="auto"/>
              <w:left w:val="nil"/>
              <w:bottom w:val="single" w:sz="8" w:space="0" w:color="auto"/>
              <w:right w:val="single" w:sz="8" w:space="0" w:color="FFFFFF"/>
            </w:tcBorders>
            <w:shd w:val="clear" w:color="000000" w:fill="0070CD"/>
            <w:vAlign w:val="center"/>
            <w:hideMark/>
          </w:tcPr>
          <w:p w:rsidR="00873F41" w:rsidRPr="007F597B" w:rsidRDefault="00873F41" w:rsidP="0079525F">
            <w:pPr>
              <w:spacing w:before="60" w:after="60"/>
              <w:jc w:val="center"/>
              <w:rPr>
                <w:rFonts w:ascii="Arial" w:hAnsi="Arial" w:cs="Arial"/>
                <w:b/>
                <w:bCs/>
                <w:color w:val="FFFFFF"/>
                <w:sz w:val="18"/>
                <w:szCs w:val="18"/>
              </w:rPr>
            </w:pPr>
            <w:r w:rsidRPr="007F597B">
              <w:rPr>
                <w:rFonts w:ascii="Arial" w:hAnsi="Arial" w:cs="Arial"/>
                <w:b/>
                <w:bCs/>
                <w:color w:val="FFFFFF"/>
                <w:sz w:val="18"/>
                <w:szCs w:val="18"/>
              </w:rPr>
              <w:t>Enrolled Participants</w:t>
            </w:r>
          </w:p>
        </w:tc>
        <w:tc>
          <w:tcPr>
            <w:tcW w:w="1297" w:type="dxa"/>
            <w:tcBorders>
              <w:top w:val="single" w:sz="8" w:space="0" w:color="auto"/>
              <w:left w:val="nil"/>
              <w:bottom w:val="single" w:sz="8" w:space="0" w:color="auto"/>
              <w:right w:val="single" w:sz="8" w:space="0" w:color="FFFFFF"/>
            </w:tcBorders>
            <w:shd w:val="clear" w:color="000000" w:fill="0070CD"/>
            <w:vAlign w:val="center"/>
            <w:hideMark/>
          </w:tcPr>
          <w:p w:rsidR="00873F41" w:rsidRPr="007F597B" w:rsidRDefault="00873F41" w:rsidP="0079525F">
            <w:pPr>
              <w:spacing w:before="60" w:after="60"/>
              <w:jc w:val="center"/>
              <w:rPr>
                <w:rFonts w:ascii="Arial" w:hAnsi="Arial" w:cs="Arial"/>
                <w:b/>
                <w:bCs/>
                <w:color w:val="FFFFFF"/>
                <w:sz w:val="18"/>
                <w:szCs w:val="18"/>
              </w:rPr>
            </w:pPr>
            <w:r>
              <w:rPr>
                <w:rFonts w:ascii="Arial" w:hAnsi="Arial" w:cs="Arial"/>
                <w:b/>
                <w:bCs/>
                <w:color w:val="FFFFFF"/>
                <w:sz w:val="18"/>
                <w:szCs w:val="18"/>
              </w:rPr>
              <w:t xml:space="preserve">Total </w:t>
            </w:r>
            <w:r w:rsidRPr="007F597B">
              <w:rPr>
                <w:rFonts w:ascii="Arial" w:hAnsi="Arial" w:cs="Arial"/>
                <w:b/>
                <w:bCs/>
                <w:color w:val="FFFFFF"/>
                <w:sz w:val="18"/>
                <w:szCs w:val="18"/>
              </w:rPr>
              <w:t>Number of Thermostats</w:t>
            </w:r>
          </w:p>
        </w:tc>
        <w:tc>
          <w:tcPr>
            <w:tcW w:w="1170" w:type="dxa"/>
            <w:tcBorders>
              <w:top w:val="single" w:sz="8" w:space="0" w:color="auto"/>
              <w:left w:val="nil"/>
              <w:bottom w:val="single" w:sz="8" w:space="0" w:color="auto"/>
              <w:right w:val="single" w:sz="8" w:space="0" w:color="FFFFFF"/>
            </w:tcBorders>
            <w:shd w:val="clear" w:color="000000" w:fill="0070CD"/>
            <w:vAlign w:val="center"/>
            <w:hideMark/>
          </w:tcPr>
          <w:p w:rsidR="00873F41" w:rsidRPr="007F597B" w:rsidRDefault="00873F41" w:rsidP="0079525F">
            <w:pPr>
              <w:spacing w:before="60" w:after="60"/>
              <w:jc w:val="center"/>
              <w:rPr>
                <w:rFonts w:ascii="Arial" w:hAnsi="Arial" w:cs="Arial"/>
                <w:b/>
                <w:bCs/>
                <w:color w:val="FFFFFF"/>
                <w:sz w:val="18"/>
                <w:szCs w:val="18"/>
              </w:rPr>
            </w:pPr>
            <w:r w:rsidRPr="007F597B">
              <w:rPr>
                <w:rFonts w:ascii="Arial" w:hAnsi="Arial" w:cs="Arial"/>
                <w:b/>
                <w:bCs/>
                <w:color w:val="FFFFFF"/>
                <w:sz w:val="18"/>
                <w:szCs w:val="18"/>
              </w:rPr>
              <w:t>Avg. Reference Load (kW)</w:t>
            </w:r>
          </w:p>
        </w:tc>
        <w:tc>
          <w:tcPr>
            <w:tcW w:w="1170" w:type="dxa"/>
            <w:tcBorders>
              <w:top w:val="single" w:sz="8" w:space="0" w:color="auto"/>
              <w:left w:val="nil"/>
              <w:bottom w:val="single" w:sz="8" w:space="0" w:color="auto"/>
              <w:right w:val="single" w:sz="8" w:space="0" w:color="FFFFFF"/>
            </w:tcBorders>
            <w:shd w:val="clear" w:color="000000" w:fill="0070CD"/>
            <w:vAlign w:val="center"/>
            <w:hideMark/>
          </w:tcPr>
          <w:p w:rsidR="00873F41" w:rsidRPr="007F597B" w:rsidRDefault="00873F41" w:rsidP="0079525F">
            <w:pPr>
              <w:spacing w:before="60" w:after="60"/>
              <w:jc w:val="center"/>
              <w:rPr>
                <w:rFonts w:ascii="Arial" w:hAnsi="Arial" w:cs="Arial"/>
                <w:b/>
                <w:bCs/>
                <w:color w:val="FFFFFF"/>
                <w:sz w:val="18"/>
                <w:szCs w:val="18"/>
              </w:rPr>
            </w:pPr>
            <w:r w:rsidRPr="007F597B">
              <w:rPr>
                <w:rFonts w:ascii="Arial" w:hAnsi="Arial" w:cs="Arial"/>
                <w:b/>
                <w:bCs/>
                <w:color w:val="FFFFFF"/>
                <w:sz w:val="18"/>
                <w:szCs w:val="18"/>
              </w:rPr>
              <w:t>Avg. Load Reduction (kW)</w:t>
            </w:r>
          </w:p>
        </w:tc>
        <w:tc>
          <w:tcPr>
            <w:tcW w:w="1170" w:type="dxa"/>
            <w:tcBorders>
              <w:top w:val="single" w:sz="8" w:space="0" w:color="auto"/>
              <w:left w:val="nil"/>
              <w:bottom w:val="single" w:sz="8" w:space="0" w:color="auto"/>
              <w:right w:val="single" w:sz="8" w:space="0" w:color="FFFFFF"/>
            </w:tcBorders>
            <w:shd w:val="clear" w:color="000000" w:fill="0070CD"/>
            <w:vAlign w:val="center"/>
            <w:hideMark/>
          </w:tcPr>
          <w:p w:rsidR="00873F41" w:rsidRPr="007F597B" w:rsidRDefault="00873F41" w:rsidP="0079525F">
            <w:pPr>
              <w:spacing w:before="60" w:after="60"/>
              <w:jc w:val="center"/>
              <w:rPr>
                <w:rFonts w:ascii="Arial" w:hAnsi="Arial" w:cs="Arial"/>
                <w:b/>
                <w:bCs/>
                <w:color w:val="FFFFFF"/>
                <w:sz w:val="18"/>
                <w:szCs w:val="18"/>
              </w:rPr>
            </w:pPr>
            <w:r w:rsidRPr="007F597B">
              <w:rPr>
                <w:rFonts w:ascii="Arial" w:hAnsi="Arial" w:cs="Arial"/>
                <w:b/>
                <w:bCs/>
                <w:color w:val="FFFFFF"/>
                <w:sz w:val="18"/>
                <w:szCs w:val="18"/>
              </w:rPr>
              <w:t>Percent Load Reduction</w:t>
            </w:r>
            <w:r>
              <w:rPr>
                <w:rFonts w:ascii="Arial" w:hAnsi="Arial" w:cs="Arial"/>
                <w:b/>
                <w:bCs/>
                <w:color w:val="FFFFFF"/>
                <w:sz w:val="18"/>
                <w:szCs w:val="18"/>
              </w:rPr>
              <w:t xml:space="preserve"> </w:t>
            </w:r>
            <w:r w:rsidRPr="007F597B">
              <w:rPr>
                <w:rFonts w:ascii="Arial" w:hAnsi="Arial" w:cs="Arial"/>
                <w:b/>
                <w:bCs/>
                <w:color w:val="FFFFFF"/>
                <w:sz w:val="18"/>
                <w:szCs w:val="18"/>
              </w:rPr>
              <w:t>(%)</w:t>
            </w:r>
          </w:p>
        </w:tc>
        <w:tc>
          <w:tcPr>
            <w:tcW w:w="1154" w:type="dxa"/>
            <w:tcBorders>
              <w:top w:val="single" w:sz="8" w:space="0" w:color="auto"/>
              <w:left w:val="nil"/>
              <w:bottom w:val="single" w:sz="8" w:space="0" w:color="auto"/>
              <w:right w:val="single" w:sz="8" w:space="0" w:color="FFFFFF"/>
            </w:tcBorders>
            <w:shd w:val="clear" w:color="000000" w:fill="0070CD"/>
            <w:vAlign w:val="center"/>
            <w:hideMark/>
          </w:tcPr>
          <w:p w:rsidR="00873F41" w:rsidRPr="007F597B" w:rsidRDefault="00873F41" w:rsidP="0079525F">
            <w:pPr>
              <w:spacing w:before="60" w:after="60"/>
              <w:jc w:val="center"/>
              <w:rPr>
                <w:rFonts w:ascii="Arial" w:hAnsi="Arial" w:cs="Arial"/>
                <w:b/>
                <w:bCs/>
                <w:color w:val="FFFFFF"/>
                <w:sz w:val="18"/>
                <w:szCs w:val="18"/>
              </w:rPr>
            </w:pPr>
            <w:r w:rsidRPr="007F597B">
              <w:rPr>
                <w:rFonts w:ascii="Arial" w:hAnsi="Arial" w:cs="Arial"/>
                <w:b/>
                <w:bCs/>
                <w:color w:val="FFFFFF"/>
                <w:sz w:val="18"/>
                <w:szCs w:val="18"/>
              </w:rPr>
              <w:t>Aggregate Load Reduction</w:t>
            </w:r>
            <w:r>
              <w:rPr>
                <w:rFonts w:ascii="Arial" w:hAnsi="Arial" w:cs="Arial"/>
                <w:b/>
                <w:bCs/>
                <w:color w:val="FFFFFF"/>
                <w:sz w:val="18"/>
                <w:szCs w:val="18"/>
              </w:rPr>
              <w:t xml:space="preserve"> </w:t>
            </w:r>
            <w:r w:rsidRPr="007F597B">
              <w:rPr>
                <w:rFonts w:ascii="Arial" w:hAnsi="Arial" w:cs="Arial"/>
                <w:b/>
                <w:bCs/>
                <w:color w:val="FFFFFF"/>
                <w:sz w:val="18"/>
                <w:szCs w:val="18"/>
              </w:rPr>
              <w:t>(MW)</w:t>
            </w:r>
          </w:p>
        </w:tc>
        <w:tc>
          <w:tcPr>
            <w:tcW w:w="1197" w:type="dxa"/>
            <w:tcBorders>
              <w:top w:val="single" w:sz="8" w:space="0" w:color="auto"/>
              <w:left w:val="nil"/>
              <w:bottom w:val="single" w:sz="8" w:space="0" w:color="auto"/>
              <w:right w:val="single" w:sz="8" w:space="0" w:color="FFFFFF"/>
            </w:tcBorders>
            <w:shd w:val="clear" w:color="000000" w:fill="0070CD"/>
            <w:vAlign w:val="center"/>
            <w:hideMark/>
          </w:tcPr>
          <w:p w:rsidR="00873F41" w:rsidRPr="007F597B" w:rsidRDefault="00873F41" w:rsidP="0079525F">
            <w:pPr>
              <w:spacing w:before="60" w:after="60"/>
              <w:jc w:val="center"/>
              <w:rPr>
                <w:rFonts w:ascii="Arial" w:hAnsi="Arial" w:cs="Arial"/>
                <w:b/>
                <w:bCs/>
                <w:color w:val="FFFFFF"/>
                <w:sz w:val="18"/>
                <w:szCs w:val="18"/>
              </w:rPr>
            </w:pPr>
            <w:r w:rsidRPr="007F597B">
              <w:rPr>
                <w:rFonts w:ascii="Arial" w:hAnsi="Arial" w:cs="Arial"/>
                <w:b/>
                <w:bCs/>
                <w:color w:val="FFFFFF"/>
                <w:sz w:val="18"/>
                <w:szCs w:val="18"/>
              </w:rPr>
              <w:t>Average Thermostat Impact</w:t>
            </w:r>
            <w:r>
              <w:rPr>
                <w:rFonts w:ascii="Arial" w:hAnsi="Arial" w:cs="Arial"/>
                <w:b/>
                <w:bCs/>
                <w:color w:val="FFFFFF"/>
                <w:sz w:val="18"/>
                <w:szCs w:val="18"/>
              </w:rPr>
              <w:t xml:space="preserve"> </w:t>
            </w:r>
            <w:r w:rsidRPr="007F597B">
              <w:rPr>
                <w:rFonts w:ascii="Arial" w:hAnsi="Arial" w:cs="Arial"/>
                <w:b/>
                <w:bCs/>
                <w:color w:val="FFFFFF"/>
                <w:sz w:val="18"/>
                <w:szCs w:val="18"/>
              </w:rPr>
              <w:t>(kW)</w:t>
            </w:r>
          </w:p>
        </w:tc>
        <w:tc>
          <w:tcPr>
            <w:tcW w:w="877" w:type="dxa"/>
            <w:tcBorders>
              <w:top w:val="single" w:sz="8" w:space="0" w:color="auto"/>
              <w:left w:val="nil"/>
              <w:bottom w:val="single" w:sz="8" w:space="0" w:color="auto"/>
              <w:right w:val="single" w:sz="8" w:space="0" w:color="auto"/>
            </w:tcBorders>
            <w:shd w:val="clear" w:color="000000" w:fill="0070CD"/>
            <w:vAlign w:val="center"/>
            <w:hideMark/>
          </w:tcPr>
          <w:p w:rsidR="00873F41" w:rsidRPr="007F597B" w:rsidRDefault="00873F41" w:rsidP="0079525F">
            <w:pPr>
              <w:spacing w:before="60" w:after="60"/>
              <w:jc w:val="center"/>
              <w:rPr>
                <w:rFonts w:ascii="Arial" w:hAnsi="Arial" w:cs="Arial"/>
                <w:b/>
                <w:bCs/>
                <w:color w:val="FFFFFF"/>
                <w:sz w:val="18"/>
                <w:szCs w:val="18"/>
              </w:rPr>
            </w:pPr>
            <w:r w:rsidRPr="007F597B">
              <w:rPr>
                <w:rFonts w:ascii="Arial" w:hAnsi="Arial" w:cs="Arial"/>
                <w:b/>
                <w:bCs/>
                <w:color w:val="FFFFFF"/>
                <w:sz w:val="18"/>
                <w:szCs w:val="18"/>
              </w:rPr>
              <w:t>Mean17</w:t>
            </w:r>
            <w:r>
              <w:rPr>
                <w:rFonts w:ascii="Arial" w:hAnsi="Arial" w:cs="Arial"/>
                <w:b/>
                <w:bCs/>
                <w:color w:val="FFFFFF"/>
                <w:sz w:val="18"/>
                <w:szCs w:val="18"/>
              </w:rPr>
              <w:t xml:space="preserve"> </w:t>
            </w:r>
            <w:r w:rsidRPr="007F597B">
              <w:rPr>
                <w:rFonts w:ascii="Arial" w:hAnsi="Arial" w:cs="Arial"/>
                <w:b/>
                <w:bCs/>
                <w:color w:val="FFFFFF"/>
                <w:sz w:val="18"/>
                <w:szCs w:val="18"/>
              </w:rPr>
              <w:t>(°F)</w:t>
            </w:r>
          </w:p>
        </w:tc>
      </w:tr>
      <w:tr w:rsidR="00873F41" w:rsidRPr="007F597B" w:rsidTr="0079525F">
        <w:trPr>
          <w:trHeight w:val="315"/>
          <w:jc w:val="center"/>
        </w:trPr>
        <w:tc>
          <w:tcPr>
            <w:tcW w:w="1579" w:type="dxa"/>
            <w:tcBorders>
              <w:top w:val="nil"/>
              <w:left w:val="single" w:sz="8" w:space="0" w:color="auto"/>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Pr>
                <w:rFonts w:ascii="Arial" w:hAnsi="Arial" w:cs="Arial"/>
                <w:color w:val="000000"/>
                <w:sz w:val="18"/>
                <w:szCs w:val="18"/>
              </w:rPr>
              <w:t>July 31, 20</w:t>
            </w:r>
            <w:r w:rsidRPr="007F597B">
              <w:rPr>
                <w:rFonts w:ascii="Arial" w:hAnsi="Arial" w:cs="Arial"/>
                <w:color w:val="000000"/>
                <w:sz w:val="18"/>
                <w:szCs w:val="18"/>
              </w:rPr>
              <w:t>14</w:t>
            </w:r>
          </w:p>
        </w:tc>
        <w:tc>
          <w:tcPr>
            <w:tcW w:w="124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274</w:t>
            </w:r>
          </w:p>
        </w:tc>
        <w:tc>
          <w:tcPr>
            <w:tcW w:w="129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2,556</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33.92</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2.82</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8%</w:t>
            </w:r>
          </w:p>
        </w:tc>
        <w:tc>
          <w:tcPr>
            <w:tcW w:w="1154"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0.77</w:t>
            </w:r>
          </w:p>
        </w:tc>
        <w:tc>
          <w:tcPr>
            <w:tcW w:w="119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0.30</w:t>
            </w:r>
          </w:p>
        </w:tc>
        <w:tc>
          <w:tcPr>
            <w:tcW w:w="87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75</w:t>
            </w:r>
          </w:p>
        </w:tc>
      </w:tr>
      <w:tr w:rsidR="00873F41" w:rsidRPr="007F597B" w:rsidTr="0079525F">
        <w:trPr>
          <w:trHeight w:val="315"/>
          <w:jc w:val="center"/>
        </w:trPr>
        <w:tc>
          <w:tcPr>
            <w:tcW w:w="1579" w:type="dxa"/>
            <w:tcBorders>
              <w:top w:val="nil"/>
              <w:left w:val="single" w:sz="8" w:space="0" w:color="auto"/>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Pr>
                <w:rFonts w:ascii="Arial" w:hAnsi="Arial" w:cs="Arial"/>
                <w:color w:val="000000"/>
                <w:sz w:val="18"/>
                <w:szCs w:val="18"/>
              </w:rPr>
              <w:t>Sept. 15, 20</w:t>
            </w:r>
            <w:r w:rsidRPr="007F597B">
              <w:rPr>
                <w:rFonts w:ascii="Arial" w:hAnsi="Arial" w:cs="Arial"/>
                <w:color w:val="000000"/>
                <w:sz w:val="18"/>
                <w:szCs w:val="18"/>
              </w:rPr>
              <w:t>14</w:t>
            </w:r>
          </w:p>
        </w:tc>
        <w:tc>
          <w:tcPr>
            <w:tcW w:w="124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363</w:t>
            </w:r>
          </w:p>
        </w:tc>
        <w:tc>
          <w:tcPr>
            <w:tcW w:w="129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3,254</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40.51</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1.61</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4%</w:t>
            </w:r>
          </w:p>
        </w:tc>
        <w:tc>
          <w:tcPr>
            <w:tcW w:w="1154"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0.59</w:t>
            </w:r>
          </w:p>
        </w:tc>
        <w:tc>
          <w:tcPr>
            <w:tcW w:w="119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0.18</w:t>
            </w:r>
          </w:p>
        </w:tc>
        <w:tc>
          <w:tcPr>
            <w:tcW w:w="87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80</w:t>
            </w:r>
          </w:p>
        </w:tc>
      </w:tr>
      <w:tr w:rsidR="00873F41" w:rsidRPr="007F597B" w:rsidTr="0079525F">
        <w:trPr>
          <w:trHeight w:val="315"/>
          <w:jc w:val="center"/>
        </w:trPr>
        <w:tc>
          <w:tcPr>
            <w:tcW w:w="1579" w:type="dxa"/>
            <w:tcBorders>
              <w:top w:val="nil"/>
              <w:left w:val="single" w:sz="8" w:space="0" w:color="auto"/>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Pr>
                <w:rFonts w:ascii="Arial" w:hAnsi="Arial" w:cs="Arial"/>
                <w:color w:val="000000"/>
                <w:sz w:val="18"/>
                <w:szCs w:val="18"/>
              </w:rPr>
              <w:t>Sept. 16, 20</w:t>
            </w:r>
            <w:r w:rsidRPr="007F597B">
              <w:rPr>
                <w:rFonts w:ascii="Arial" w:hAnsi="Arial" w:cs="Arial"/>
                <w:color w:val="000000"/>
                <w:sz w:val="18"/>
                <w:szCs w:val="18"/>
              </w:rPr>
              <w:t>14</w:t>
            </w:r>
          </w:p>
        </w:tc>
        <w:tc>
          <w:tcPr>
            <w:tcW w:w="124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363</w:t>
            </w:r>
          </w:p>
        </w:tc>
        <w:tc>
          <w:tcPr>
            <w:tcW w:w="129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3,254</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41.68</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1.62</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4%</w:t>
            </w:r>
          </w:p>
        </w:tc>
        <w:tc>
          <w:tcPr>
            <w:tcW w:w="1154"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0.59</w:t>
            </w:r>
          </w:p>
        </w:tc>
        <w:tc>
          <w:tcPr>
            <w:tcW w:w="119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0.18</w:t>
            </w:r>
          </w:p>
        </w:tc>
        <w:tc>
          <w:tcPr>
            <w:tcW w:w="87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83</w:t>
            </w:r>
          </w:p>
        </w:tc>
      </w:tr>
      <w:tr w:rsidR="00873F41" w:rsidRPr="007F597B" w:rsidTr="0079525F">
        <w:trPr>
          <w:trHeight w:val="315"/>
          <w:jc w:val="center"/>
        </w:trPr>
        <w:tc>
          <w:tcPr>
            <w:tcW w:w="1579" w:type="dxa"/>
            <w:tcBorders>
              <w:top w:val="nil"/>
              <w:left w:val="single" w:sz="8" w:space="0" w:color="auto"/>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Pr>
                <w:rFonts w:ascii="Arial" w:hAnsi="Arial" w:cs="Arial"/>
                <w:color w:val="000000"/>
                <w:sz w:val="18"/>
                <w:szCs w:val="18"/>
              </w:rPr>
              <w:t>Sept. 17, 20</w:t>
            </w:r>
            <w:r w:rsidRPr="007F597B">
              <w:rPr>
                <w:rFonts w:ascii="Arial" w:hAnsi="Arial" w:cs="Arial"/>
                <w:color w:val="000000"/>
                <w:sz w:val="18"/>
                <w:szCs w:val="18"/>
              </w:rPr>
              <w:t>14</w:t>
            </w:r>
          </w:p>
        </w:tc>
        <w:tc>
          <w:tcPr>
            <w:tcW w:w="124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363</w:t>
            </w:r>
          </w:p>
        </w:tc>
        <w:tc>
          <w:tcPr>
            <w:tcW w:w="129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3,254</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40.37</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1.90</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5%</w:t>
            </w:r>
          </w:p>
        </w:tc>
        <w:tc>
          <w:tcPr>
            <w:tcW w:w="1154"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0.69</w:t>
            </w:r>
          </w:p>
        </w:tc>
        <w:tc>
          <w:tcPr>
            <w:tcW w:w="119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0.21</w:t>
            </w:r>
          </w:p>
        </w:tc>
        <w:tc>
          <w:tcPr>
            <w:tcW w:w="877" w:type="dxa"/>
            <w:tcBorders>
              <w:top w:val="nil"/>
              <w:left w:val="nil"/>
              <w:bottom w:val="single" w:sz="8" w:space="0" w:color="auto"/>
              <w:right w:val="single" w:sz="8" w:space="0" w:color="auto"/>
            </w:tcBorders>
            <w:shd w:val="clear" w:color="000000" w:fill="FFFFFF"/>
            <w:noWrap/>
            <w:vAlign w:val="center"/>
            <w:hideMark/>
          </w:tcPr>
          <w:p w:rsidR="00873F41" w:rsidRPr="007F597B" w:rsidRDefault="00873F41" w:rsidP="0079525F">
            <w:pPr>
              <w:spacing w:before="60" w:after="60"/>
              <w:jc w:val="center"/>
              <w:rPr>
                <w:rFonts w:ascii="Arial" w:hAnsi="Arial" w:cs="Arial"/>
                <w:color w:val="000000"/>
                <w:sz w:val="18"/>
                <w:szCs w:val="18"/>
              </w:rPr>
            </w:pPr>
            <w:r w:rsidRPr="007F597B">
              <w:rPr>
                <w:rFonts w:ascii="Arial" w:hAnsi="Arial" w:cs="Arial"/>
                <w:color w:val="000000"/>
                <w:sz w:val="18"/>
                <w:szCs w:val="18"/>
              </w:rPr>
              <w:t>82</w:t>
            </w:r>
          </w:p>
        </w:tc>
      </w:tr>
      <w:tr w:rsidR="00873F41" w:rsidRPr="0028777A" w:rsidTr="0079525F">
        <w:trPr>
          <w:trHeight w:val="315"/>
          <w:jc w:val="center"/>
        </w:trPr>
        <w:tc>
          <w:tcPr>
            <w:tcW w:w="1579" w:type="dxa"/>
            <w:tcBorders>
              <w:top w:val="nil"/>
              <w:left w:val="single" w:sz="8" w:space="0" w:color="auto"/>
              <w:bottom w:val="single" w:sz="8" w:space="0" w:color="auto"/>
              <w:right w:val="single" w:sz="8" w:space="0" w:color="auto"/>
            </w:tcBorders>
            <w:shd w:val="clear" w:color="000000" w:fill="FFFFFF"/>
            <w:noWrap/>
            <w:vAlign w:val="center"/>
            <w:hideMark/>
          </w:tcPr>
          <w:p w:rsidR="00873F41" w:rsidRPr="0028777A" w:rsidRDefault="00873F41" w:rsidP="0079525F">
            <w:pPr>
              <w:spacing w:before="60" w:after="60"/>
              <w:jc w:val="center"/>
              <w:rPr>
                <w:rFonts w:ascii="Arial" w:hAnsi="Arial" w:cs="Arial"/>
                <w:b/>
                <w:color w:val="000000"/>
                <w:sz w:val="18"/>
                <w:szCs w:val="18"/>
              </w:rPr>
            </w:pPr>
            <w:r>
              <w:rPr>
                <w:rFonts w:ascii="Arial" w:hAnsi="Arial" w:cs="Arial"/>
                <w:b/>
                <w:color w:val="000000"/>
                <w:sz w:val="18"/>
                <w:szCs w:val="18"/>
              </w:rPr>
              <w:t>Average Event</w:t>
            </w:r>
          </w:p>
        </w:tc>
        <w:tc>
          <w:tcPr>
            <w:tcW w:w="1247" w:type="dxa"/>
            <w:tcBorders>
              <w:top w:val="nil"/>
              <w:left w:val="nil"/>
              <w:bottom w:val="single" w:sz="8" w:space="0" w:color="auto"/>
              <w:right w:val="single" w:sz="8" w:space="0" w:color="auto"/>
            </w:tcBorders>
            <w:shd w:val="clear" w:color="000000" w:fill="FFFFFF"/>
            <w:noWrap/>
            <w:vAlign w:val="center"/>
            <w:hideMark/>
          </w:tcPr>
          <w:p w:rsidR="00873F41" w:rsidRPr="0028777A" w:rsidRDefault="00873F41" w:rsidP="0079525F">
            <w:pPr>
              <w:spacing w:before="60" w:after="60"/>
              <w:jc w:val="center"/>
              <w:rPr>
                <w:rFonts w:ascii="Arial" w:hAnsi="Arial" w:cs="Arial"/>
                <w:b/>
                <w:color w:val="000000"/>
                <w:sz w:val="18"/>
                <w:szCs w:val="18"/>
              </w:rPr>
            </w:pPr>
            <w:r w:rsidRPr="0028777A">
              <w:rPr>
                <w:rFonts w:ascii="Arial" w:hAnsi="Arial" w:cs="Arial"/>
                <w:b/>
                <w:color w:val="000000"/>
                <w:sz w:val="18"/>
                <w:szCs w:val="18"/>
              </w:rPr>
              <w:t>341</w:t>
            </w:r>
          </w:p>
        </w:tc>
        <w:tc>
          <w:tcPr>
            <w:tcW w:w="1297" w:type="dxa"/>
            <w:tcBorders>
              <w:top w:val="nil"/>
              <w:left w:val="nil"/>
              <w:bottom w:val="single" w:sz="8" w:space="0" w:color="auto"/>
              <w:right w:val="single" w:sz="8" w:space="0" w:color="auto"/>
            </w:tcBorders>
            <w:shd w:val="clear" w:color="000000" w:fill="FFFFFF"/>
            <w:noWrap/>
            <w:vAlign w:val="center"/>
            <w:hideMark/>
          </w:tcPr>
          <w:p w:rsidR="00873F41" w:rsidRPr="0028777A" w:rsidRDefault="00873F41" w:rsidP="0079525F">
            <w:pPr>
              <w:spacing w:before="60" w:after="60"/>
              <w:jc w:val="center"/>
              <w:rPr>
                <w:rFonts w:ascii="Arial" w:hAnsi="Arial" w:cs="Arial"/>
                <w:b/>
                <w:color w:val="000000"/>
                <w:sz w:val="18"/>
                <w:szCs w:val="18"/>
              </w:rPr>
            </w:pPr>
            <w:r w:rsidRPr="0028777A">
              <w:rPr>
                <w:rFonts w:ascii="Arial" w:hAnsi="Arial" w:cs="Arial"/>
                <w:b/>
                <w:color w:val="000000"/>
                <w:sz w:val="18"/>
                <w:szCs w:val="18"/>
              </w:rPr>
              <w:t>3,085</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28777A" w:rsidRDefault="00873F41" w:rsidP="0079525F">
            <w:pPr>
              <w:spacing w:before="60" w:after="60"/>
              <w:jc w:val="center"/>
              <w:rPr>
                <w:rFonts w:ascii="Arial" w:hAnsi="Arial" w:cs="Arial"/>
                <w:b/>
                <w:color w:val="000000"/>
                <w:sz w:val="18"/>
                <w:szCs w:val="18"/>
              </w:rPr>
            </w:pPr>
            <w:r w:rsidRPr="0028777A">
              <w:rPr>
                <w:rFonts w:ascii="Arial" w:hAnsi="Arial" w:cs="Arial"/>
                <w:b/>
                <w:color w:val="000000"/>
                <w:sz w:val="18"/>
                <w:szCs w:val="18"/>
              </w:rPr>
              <w:t>39.12</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28777A" w:rsidRDefault="00873F41" w:rsidP="0079525F">
            <w:pPr>
              <w:spacing w:before="60" w:after="60"/>
              <w:jc w:val="center"/>
              <w:rPr>
                <w:rFonts w:ascii="Arial" w:hAnsi="Arial" w:cs="Arial"/>
                <w:b/>
                <w:color w:val="000000"/>
                <w:sz w:val="18"/>
                <w:szCs w:val="18"/>
              </w:rPr>
            </w:pPr>
            <w:r w:rsidRPr="0028777A">
              <w:rPr>
                <w:rFonts w:ascii="Arial" w:hAnsi="Arial" w:cs="Arial"/>
                <w:b/>
                <w:color w:val="000000"/>
                <w:sz w:val="18"/>
                <w:szCs w:val="18"/>
              </w:rPr>
              <w:t>1.99</w:t>
            </w:r>
          </w:p>
        </w:tc>
        <w:tc>
          <w:tcPr>
            <w:tcW w:w="1170" w:type="dxa"/>
            <w:tcBorders>
              <w:top w:val="nil"/>
              <w:left w:val="nil"/>
              <w:bottom w:val="single" w:sz="8" w:space="0" w:color="auto"/>
              <w:right w:val="single" w:sz="8" w:space="0" w:color="auto"/>
            </w:tcBorders>
            <w:shd w:val="clear" w:color="000000" w:fill="FFFFFF"/>
            <w:noWrap/>
            <w:vAlign w:val="center"/>
            <w:hideMark/>
          </w:tcPr>
          <w:p w:rsidR="00873F41" w:rsidRPr="0028777A" w:rsidRDefault="00873F41" w:rsidP="0079525F">
            <w:pPr>
              <w:spacing w:before="60" w:after="60"/>
              <w:jc w:val="center"/>
              <w:rPr>
                <w:rFonts w:ascii="Arial" w:hAnsi="Arial" w:cs="Arial"/>
                <w:b/>
                <w:color w:val="000000"/>
                <w:sz w:val="18"/>
                <w:szCs w:val="18"/>
              </w:rPr>
            </w:pPr>
            <w:r w:rsidRPr="0028777A">
              <w:rPr>
                <w:rFonts w:ascii="Arial" w:hAnsi="Arial" w:cs="Arial"/>
                <w:b/>
                <w:color w:val="000000"/>
                <w:sz w:val="18"/>
                <w:szCs w:val="18"/>
              </w:rPr>
              <w:t>5%</w:t>
            </w:r>
          </w:p>
        </w:tc>
        <w:tc>
          <w:tcPr>
            <w:tcW w:w="1154" w:type="dxa"/>
            <w:tcBorders>
              <w:top w:val="nil"/>
              <w:left w:val="nil"/>
              <w:bottom w:val="single" w:sz="8" w:space="0" w:color="auto"/>
              <w:right w:val="single" w:sz="8" w:space="0" w:color="auto"/>
            </w:tcBorders>
            <w:shd w:val="clear" w:color="000000" w:fill="FFFFFF"/>
            <w:noWrap/>
            <w:vAlign w:val="center"/>
            <w:hideMark/>
          </w:tcPr>
          <w:p w:rsidR="00873F41" w:rsidRPr="0028777A" w:rsidRDefault="00873F41" w:rsidP="0079525F">
            <w:pPr>
              <w:spacing w:before="60" w:after="60"/>
              <w:jc w:val="center"/>
              <w:rPr>
                <w:rFonts w:ascii="Arial" w:hAnsi="Arial" w:cs="Arial"/>
                <w:b/>
                <w:color w:val="000000"/>
                <w:sz w:val="18"/>
                <w:szCs w:val="18"/>
              </w:rPr>
            </w:pPr>
            <w:r w:rsidRPr="0028777A">
              <w:rPr>
                <w:rFonts w:ascii="Arial" w:hAnsi="Arial" w:cs="Arial"/>
                <w:b/>
                <w:color w:val="000000"/>
                <w:sz w:val="18"/>
                <w:szCs w:val="18"/>
              </w:rPr>
              <w:t>0.68</w:t>
            </w:r>
          </w:p>
        </w:tc>
        <w:tc>
          <w:tcPr>
            <w:tcW w:w="1197" w:type="dxa"/>
            <w:tcBorders>
              <w:top w:val="nil"/>
              <w:left w:val="nil"/>
              <w:bottom w:val="single" w:sz="8" w:space="0" w:color="auto"/>
              <w:right w:val="single" w:sz="8" w:space="0" w:color="auto"/>
            </w:tcBorders>
            <w:shd w:val="clear" w:color="000000" w:fill="FFFFFF"/>
            <w:noWrap/>
            <w:vAlign w:val="center"/>
            <w:hideMark/>
          </w:tcPr>
          <w:p w:rsidR="00873F41" w:rsidRPr="0028777A" w:rsidRDefault="00873F41" w:rsidP="0079525F">
            <w:pPr>
              <w:spacing w:before="60" w:after="60"/>
              <w:jc w:val="center"/>
              <w:rPr>
                <w:rFonts w:ascii="Arial" w:hAnsi="Arial" w:cs="Arial"/>
                <w:b/>
                <w:color w:val="000000"/>
                <w:sz w:val="18"/>
                <w:szCs w:val="18"/>
              </w:rPr>
            </w:pPr>
            <w:r w:rsidRPr="0028777A">
              <w:rPr>
                <w:rFonts w:ascii="Arial" w:hAnsi="Arial" w:cs="Arial"/>
                <w:b/>
                <w:color w:val="000000"/>
                <w:sz w:val="18"/>
                <w:szCs w:val="18"/>
              </w:rPr>
              <w:t>0.22</w:t>
            </w:r>
          </w:p>
        </w:tc>
        <w:tc>
          <w:tcPr>
            <w:tcW w:w="877" w:type="dxa"/>
            <w:tcBorders>
              <w:top w:val="nil"/>
              <w:left w:val="nil"/>
              <w:bottom w:val="single" w:sz="8" w:space="0" w:color="auto"/>
              <w:right w:val="single" w:sz="8" w:space="0" w:color="auto"/>
            </w:tcBorders>
            <w:shd w:val="clear" w:color="000000" w:fill="FFFFFF"/>
            <w:noWrap/>
            <w:vAlign w:val="center"/>
            <w:hideMark/>
          </w:tcPr>
          <w:p w:rsidR="00873F41" w:rsidRPr="0028777A" w:rsidRDefault="00873F41" w:rsidP="0079525F">
            <w:pPr>
              <w:spacing w:before="60" w:after="60"/>
              <w:jc w:val="center"/>
              <w:rPr>
                <w:rFonts w:ascii="Arial" w:hAnsi="Arial" w:cs="Arial"/>
                <w:b/>
                <w:color w:val="000000"/>
                <w:sz w:val="18"/>
                <w:szCs w:val="18"/>
              </w:rPr>
            </w:pPr>
            <w:r w:rsidRPr="0028777A">
              <w:rPr>
                <w:rFonts w:ascii="Arial" w:hAnsi="Arial" w:cs="Arial"/>
                <w:b/>
                <w:color w:val="000000"/>
                <w:sz w:val="18"/>
                <w:szCs w:val="18"/>
              </w:rPr>
              <w:t>80</w:t>
            </w:r>
          </w:p>
        </w:tc>
      </w:tr>
    </w:tbl>
    <w:p w:rsidR="00D22F5F" w:rsidRPr="00673585" w:rsidRDefault="00D22F5F" w:rsidP="00D22F5F">
      <w:pPr>
        <w:pStyle w:val="Heading2"/>
        <w:spacing w:before="360" w:after="120"/>
        <w:ind w:left="540" w:hanging="540"/>
        <w:rPr>
          <w:rFonts w:ascii="Times New Roman" w:hAnsi="Times New Roman" w:cs="Times New Roman"/>
        </w:rPr>
      </w:pPr>
      <w:bookmarkStart w:id="274" w:name="_Toc413592755"/>
      <w:bookmarkStart w:id="275" w:name="_Toc415585930"/>
      <w:bookmarkStart w:id="276" w:name="_Toc415749046"/>
      <w:r w:rsidRPr="00673585">
        <w:rPr>
          <w:rFonts w:ascii="Times New Roman" w:hAnsi="Times New Roman" w:cs="Times New Roman"/>
        </w:rPr>
        <w:t>Load Impacts for Specific Customer Segments</w:t>
      </w:r>
      <w:bookmarkEnd w:id="274"/>
      <w:r w:rsidRPr="00673585">
        <w:rPr>
          <w:rFonts w:ascii="Times New Roman" w:hAnsi="Times New Roman" w:cs="Times New Roman"/>
        </w:rPr>
        <w:t xml:space="preserve"> - Commercial</w:t>
      </w:r>
      <w:bookmarkEnd w:id="275"/>
      <w:bookmarkEnd w:id="276"/>
    </w:p>
    <w:p w:rsidR="002A0033" w:rsidRDefault="002A0033" w:rsidP="002A0033">
      <w:pPr>
        <w:pStyle w:val="BodyParagraph"/>
        <w:spacing w:after="0" w:line="276" w:lineRule="auto"/>
        <w:ind w:firstLine="360"/>
        <w:rPr>
          <w:rFonts w:ascii="Times New Roman" w:hAnsi="Times New Roman"/>
          <w:sz w:val="24"/>
          <w:szCs w:val="24"/>
        </w:rPr>
      </w:pPr>
    </w:p>
    <w:p w:rsidR="00D22F5F" w:rsidRPr="002A0033" w:rsidRDefault="00D22F5F" w:rsidP="002A0033">
      <w:pPr>
        <w:pStyle w:val="BodyParagraph"/>
        <w:spacing w:after="0" w:line="276" w:lineRule="auto"/>
        <w:ind w:firstLine="360"/>
        <w:rPr>
          <w:rFonts w:ascii="Times New Roman" w:hAnsi="Times New Roman"/>
          <w:sz w:val="24"/>
          <w:szCs w:val="24"/>
        </w:rPr>
      </w:pPr>
      <w:r w:rsidRPr="002A0033">
        <w:rPr>
          <w:rFonts w:ascii="Times New Roman" w:hAnsi="Times New Roman"/>
          <w:sz w:val="24"/>
          <w:szCs w:val="24"/>
        </w:rPr>
        <w:t>This subsection examines how commercial customer load impacts vary by climate zone, industry, cycling strategy, and participant source. The segment-specific results are based on the same treatment-control group methodology that was used to produce the commercial customer impacts summarized above.</w:t>
      </w:r>
    </w:p>
    <w:p w:rsidR="00D22F5F" w:rsidRPr="00F32D2C" w:rsidRDefault="00D22F5F" w:rsidP="00D22F5F">
      <w:pPr>
        <w:pStyle w:val="BodyBeforeBullet"/>
      </w:pPr>
      <w:r w:rsidRPr="00B22A17">
        <w:rPr>
          <w:highlight w:val="lightGray"/>
        </w:rPr>
        <w:t xml:space="preserve">   </w:t>
      </w:r>
    </w:p>
    <w:p w:rsidR="00D22F5F" w:rsidRPr="00673585" w:rsidRDefault="00D22F5F" w:rsidP="00D22F5F">
      <w:pPr>
        <w:pStyle w:val="Heading3"/>
        <w:keepLines/>
        <w:spacing w:before="0" w:after="120"/>
        <w:ind w:left="1080"/>
        <w:rPr>
          <w:rFonts w:ascii="Times New Roman" w:hAnsi="Times New Roman" w:cs="Times New Roman"/>
        </w:rPr>
      </w:pPr>
      <w:bookmarkStart w:id="277" w:name="_Toc349193885"/>
      <w:bookmarkStart w:id="278" w:name="_Toc352567300"/>
      <w:bookmarkStart w:id="279" w:name="_Toc413592756"/>
      <w:bookmarkStart w:id="280" w:name="_Toc415585931"/>
      <w:bookmarkStart w:id="281" w:name="_Toc415749047"/>
      <w:r w:rsidRPr="00673585">
        <w:rPr>
          <w:rFonts w:ascii="Times New Roman" w:hAnsi="Times New Roman" w:cs="Times New Roman"/>
        </w:rPr>
        <w:t xml:space="preserve">Load Impacts by </w:t>
      </w:r>
      <w:bookmarkEnd w:id="277"/>
      <w:bookmarkEnd w:id="278"/>
      <w:bookmarkEnd w:id="279"/>
      <w:r w:rsidRPr="00673585">
        <w:rPr>
          <w:rFonts w:ascii="Times New Roman" w:hAnsi="Times New Roman" w:cs="Times New Roman"/>
        </w:rPr>
        <w:t>Climate Zone</w:t>
      </w:r>
      <w:bookmarkEnd w:id="280"/>
      <w:bookmarkEnd w:id="281"/>
    </w:p>
    <w:p w:rsidR="002A0033" w:rsidRDefault="002A0033" w:rsidP="002A0033">
      <w:pPr>
        <w:pStyle w:val="BodyParagraph"/>
        <w:spacing w:after="0" w:line="276" w:lineRule="auto"/>
        <w:rPr>
          <w:rFonts w:ascii="Times New Roman" w:hAnsi="Times New Roman"/>
          <w:sz w:val="24"/>
          <w:szCs w:val="24"/>
        </w:rPr>
      </w:pPr>
    </w:p>
    <w:p w:rsidR="00D22F5F" w:rsidRDefault="00D22F5F" w:rsidP="002A0033">
      <w:pPr>
        <w:pStyle w:val="BodyParagraph"/>
        <w:spacing w:after="0" w:line="276" w:lineRule="auto"/>
        <w:ind w:firstLine="360"/>
        <w:rPr>
          <w:rFonts w:ascii="Times New Roman" w:hAnsi="Times New Roman"/>
          <w:sz w:val="24"/>
          <w:szCs w:val="24"/>
        </w:rPr>
      </w:pPr>
      <w:r w:rsidRPr="002A0033">
        <w:rPr>
          <w:rFonts w:ascii="Times New Roman" w:hAnsi="Times New Roman"/>
          <w:sz w:val="24"/>
          <w:szCs w:val="24"/>
        </w:rPr>
        <w:t>SDG&amp;E’s service territory has limited climatic diversity, but the variation in temperature and AC use has a real impact on many customers’ loads on summer days when the ocean breeze cools off the coast and leaves customers further inland hot. Participants in the commercial thermostat program as of the 2014 summer come from one of two climate zones – Coastal and Inland. Table 10-4 shows the average hourly load impacts for these two climate zones. These estimates are based on the same methodology involving statistically matched control groups as was used to develop the program level load impacts. The Inland climate zone is hotter, has higher AC usage, and accordingly produced higher load impacts per thermostat. The per-thermostat impact is 20% higher in the Inland climate zone than in the Coastal climate zone. The sample sizes for the 2014 commercial thermostat ex post analysis were fairly small, so this difference in per-thermostat impacts was not statistically significant. Given that the program has grown substantially since summer 2014, future load impacts may produce a statistically significant difference in per-thermostat impacts by climate zone.</w:t>
      </w:r>
    </w:p>
    <w:p w:rsidR="002A0033" w:rsidRPr="002A0033" w:rsidRDefault="002A0033" w:rsidP="002A0033">
      <w:pPr>
        <w:pStyle w:val="BodyParagraph"/>
        <w:spacing w:after="0" w:line="276" w:lineRule="auto"/>
        <w:ind w:firstLine="360"/>
        <w:rPr>
          <w:rFonts w:ascii="Times New Roman" w:hAnsi="Times New Roman"/>
          <w:sz w:val="24"/>
          <w:szCs w:val="24"/>
        </w:rPr>
      </w:pPr>
    </w:p>
    <w:p w:rsidR="00D22F5F" w:rsidRPr="00673585" w:rsidRDefault="00D22F5F" w:rsidP="00D22F5F">
      <w:pPr>
        <w:pStyle w:val="TableFigureCaption"/>
        <w:rPr>
          <w:rFonts w:ascii="Times New Roman" w:hAnsi="Times New Roman"/>
          <w:sz w:val="20"/>
          <w:szCs w:val="20"/>
        </w:rPr>
      </w:pPr>
      <w:r w:rsidRPr="00673585">
        <w:rPr>
          <w:rFonts w:ascii="Times New Roman" w:hAnsi="Times New Roman"/>
          <w:sz w:val="20"/>
          <w:szCs w:val="20"/>
        </w:rPr>
        <w:lastRenderedPageBreak/>
        <w:t xml:space="preserve">Table 10-4: 2014 Commercial Thermostat Average Hourly Load Reduction </w:t>
      </w:r>
      <w:r w:rsidRPr="00673585">
        <w:rPr>
          <w:rFonts w:ascii="Times New Roman" w:hAnsi="Times New Roman"/>
          <w:sz w:val="20"/>
          <w:szCs w:val="20"/>
        </w:rPr>
        <w:br/>
        <w:t xml:space="preserve">for Event Period (2 to 6 PM) by Climate Zone </w:t>
      </w:r>
      <w:r w:rsidRPr="00673585">
        <w:rPr>
          <w:rFonts w:ascii="Times New Roman" w:hAnsi="Times New Roman"/>
          <w:sz w:val="20"/>
          <w:szCs w:val="20"/>
        </w:rPr>
        <w:br/>
        <w:t>(kW per Customer, Aggregate MW, and kW per Thermostat)</w:t>
      </w:r>
    </w:p>
    <w:tbl>
      <w:tblPr>
        <w:tblW w:w="10530" w:type="dxa"/>
        <w:jc w:val="center"/>
        <w:tblInd w:w="516" w:type="dxa"/>
        <w:tblLook w:val="04A0" w:firstRow="1" w:lastRow="0" w:firstColumn="1" w:lastColumn="0" w:noHBand="0" w:noVBand="1"/>
      </w:tblPr>
      <w:tblGrid>
        <w:gridCol w:w="1167"/>
        <w:gridCol w:w="1247"/>
        <w:gridCol w:w="1297"/>
        <w:gridCol w:w="1173"/>
        <w:gridCol w:w="1170"/>
        <w:gridCol w:w="1170"/>
        <w:gridCol w:w="1232"/>
        <w:gridCol w:w="1197"/>
        <w:gridCol w:w="877"/>
      </w:tblGrid>
      <w:tr w:rsidR="00D22F5F" w:rsidRPr="003C4E0E" w:rsidTr="0079525F">
        <w:trPr>
          <w:trHeight w:val="975"/>
          <w:jc w:val="center"/>
        </w:trPr>
        <w:tc>
          <w:tcPr>
            <w:tcW w:w="1167" w:type="dxa"/>
            <w:tcBorders>
              <w:top w:val="single" w:sz="8" w:space="0" w:color="auto"/>
              <w:left w:val="single" w:sz="8" w:space="0" w:color="auto"/>
              <w:bottom w:val="single" w:sz="8" w:space="0" w:color="auto"/>
              <w:right w:val="single" w:sz="8" w:space="0" w:color="FFFFFF"/>
            </w:tcBorders>
            <w:shd w:val="clear" w:color="000000" w:fill="0070CD"/>
            <w:vAlign w:val="center"/>
            <w:hideMark/>
          </w:tcPr>
          <w:p w:rsidR="00D22F5F" w:rsidRPr="003C4E0E" w:rsidRDefault="00D22F5F" w:rsidP="0079525F">
            <w:pPr>
              <w:jc w:val="center"/>
              <w:rPr>
                <w:rFonts w:ascii="Arial" w:hAnsi="Arial" w:cs="Arial"/>
                <w:b/>
                <w:bCs/>
                <w:color w:val="FFFFFF"/>
                <w:sz w:val="18"/>
                <w:szCs w:val="18"/>
              </w:rPr>
            </w:pPr>
            <w:bookmarkStart w:id="282" w:name="_Toc349193886"/>
            <w:bookmarkStart w:id="283" w:name="_Toc352567301"/>
            <w:r w:rsidRPr="003C4E0E">
              <w:rPr>
                <w:rFonts w:ascii="Arial" w:hAnsi="Arial" w:cs="Arial"/>
                <w:b/>
                <w:bCs/>
                <w:color w:val="FFFFFF"/>
                <w:sz w:val="18"/>
                <w:szCs w:val="18"/>
              </w:rPr>
              <w:t>Climate Zone</w:t>
            </w:r>
          </w:p>
        </w:tc>
        <w:tc>
          <w:tcPr>
            <w:tcW w:w="1247" w:type="dxa"/>
            <w:tcBorders>
              <w:top w:val="single" w:sz="8" w:space="0" w:color="auto"/>
              <w:left w:val="nil"/>
              <w:bottom w:val="single" w:sz="8" w:space="0" w:color="auto"/>
              <w:right w:val="single" w:sz="8" w:space="0" w:color="FFFFFF"/>
            </w:tcBorders>
            <w:shd w:val="clear" w:color="000000" w:fill="0070CD"/>
            <w:vAlign w:val="center"/>
            <w:hideMark/>
          </w:tcPr>
          <w:p w:rsidR="00D22F5F" w:rsidRPr="003C4E0E" w:rsidRDefault="00D22F5F" w:rsidP="0079525F">
            <w:pPr>
              <w:jc w:val="center"/>
              <w:rPr>
                <w:rFonts w:ascii="Arial" w:hAnsi="Arial" w:cs="Arial"/>
                <w:b/>
                <w:bCs/>
                <w:color w:val="FFFFFF"/>
                <w:sz w:val="18"/>
                <w:szCs w:val="18"/>
              </w:rPr>
            </w:pPr>
            <w:r w:rsidRPr="003C4E0E">
              <w:rPr>
                <w:rFonts w:ascii="Arial" w:hAnsi="Arial" w:cs="Arial"/>
                <w:b/>
                <w:bCs/>
                <w:color w:val="FFFFFF"/>
                <w:sz w:val="18"/>
                <w:szCs w:val="18"/>
              </w:rPr>
              <w:t>Enrolled Participants</w:t>
            </w:r>
          </w:p>
        </w:tc>
        <w:tc>
          <w:tcPr>
            <w:tcW w:w="1297" w:type="dxa"/>
            <w:tcBorders>
              <w:top w:val="single" w:sz="8" w:space="0" w:color="auto"/>
              <w:left w:val="nil"/>
              <w:bottom w:val="single" w:sz="8" w:space="0" w:color="auto"/>
              <w:right w:val="single" w:sz="8" w:space="0" w:color="FFFFFF"/>
            </w:tcBorders>
            <w:shd w:val="clear" w:color="000000" w:fill="0070CD"/>
            <w:vAlign w:val="center"/>
            <w:hideMark/>
          </w:tcPr>
          <w:p w:rsidR="00D22F5F" w:rsidRPr="003C4E0E" w:rsidRDefault="00D22F5F" w:rsidP="0079525F">
            <w:pPr>
              <w:jc w:val="center"/>
              <w:rPr>
                <w:rFonts w:ascii="Arial" w:hAnsi="Arial" w:cs="Arial"/>
                <w:b/>
                <w:bCs/>
                <w:color w:val="FFFFFF"/>
                <w:sz w:val="18"/>
                <w:szCs w:val="18"/>
              </w:rPr>
            </w:pPr>
            <w:r>
              <w:rPr>
                <w:rFonts w:ascii="Arial" w:hAnsi="Arial" w:cs="Arial"/>
                <w:b/>
                <w:bCs/>
                <w:color w:val="FFFFFF"/>
                <w:sz w:val="18"/>
                <w:szCs w:val="18"/>
              </w:rPr>
              <w:t xml:space="preserve">Total </w:t>
            </w:r>
            <w:r w:rsidRPr="003C4E0E">
              <w:rPr>
                <w:rFonts w:ascii="Arial" w:hAnsi="Arial" w:cs="Arial"/>
                <w:b/>
                <w:bCs/>
                <w:color w:val="FFFFFF"/>
                <w:sz w:val="18"/>
                <w:szCs w:val="18"/>
              </w:rPr>
              <w:t>Number of Thermostats</w:t>
            </w:r>
          </w:p>
        </w:tc>
        <w:tc>
          <w:tcPr>
            <w:tcW w:w="1173" w:type="dxa"/>
            <w:tcBorders>
              <w:top w:val="single" w:sz="8" w:space="0" w:color="auto"/>
              <w:left w:val="nil"/>
              <w:bottom w:val="single" w:sz="8" w:space="0" w:color="auto"/>
              <w:right w:val="single" w:sz="8" w:space="0" w:color="FFFFFF"/>
            </w:tcBorders>
            <w:shd w:val="clear" w:color="000000" w:fill="0070CD"/>
            <w:vAlign w:val="center"/>
            <w:hideMark/>
          </w:tcPr>
          <w:p w:rsidR="00D22F5F" w:rsidRPr="003C4E0E" w:rsidRDefault="00D22F5F" w:rsidP="0079525F">
            <w:pPr>
              <w:jc w:val="center"/>
              <w:rPr>
                <w:rFonts w:ascii="Arial" w:hAnsi="Arial" w:cs="Arial"/>
                <w:b/>
                <w:bCs/>
                <w:color w:val="FFFFFF"/>
                <w:sz w:val="18"/>
                <w:szCs w:val="18"/>
              </w:rPr>
            </w:pPr>
            <w:r w:rsidRPr="003C4E0E">
              <w:rPr>
                <w:rFonts w:ascii="Arial" w:hAnsi="Arial" w:cs="Arial"/>
                <w:b/>
                <w:bCs/>
                <w:color w:val="FFFFFF"/>
                <w:sz w:val="18"/>
                <w:szCs w:val="18"/>
              </w:rPr>
              <w:t>Avg. Reference Load (kW)</w:t>
            </w:r>
          </w:p>
        </w:tc>
        <w:tc>
          <w:tcPr>
            <w:tcW w:w="1170" w:type="dxa"/>
            <w:tcBorders>
              <w:top w:val="single" w:sz="8" w:space="0" w:color="auto"/>
              <w:left w:val="nil"/>
              <w:bottom w:val="single" w:sz="8" w:space="0" w:color="auto"/>
              <w:right w:val="single" w:sz="8" w:space="0" w:color="FFFFFF"/>
            </w:tcBorders>
            <w:shd w:val="clear" w:color="000000" w:fill="0070CD"/>
            <w:vAlign w:val="center"/>
            <w:hideMark/>
          </w:tcPr>
          <w:p w:rsidR="00D22F5F" w:rsidRPr="003C4E0E" w:rsidRDefault="00D22F5F" w:rsidP="0079525F">
            <w:pPr>
              <w:jc w:val="center"/>
              <w:rPr>
                <w:rFonts w:ascii="Arial" w:hAnsi="Arial" w:cs="Arial"/>
                <w:b/>
                <w:bCs/>
                <w:color w:val="FFFFFF"/>
                <w:sz w:val="18"/>
                <w:szCs w:val="18"/>
              </w:rPr>
            </w:pPr>
            <w:r w:rsidRPr="003C4E0E">
              <w:rPr>
                <w:rFonts w:ascii="Arial" w:hAnsi="Arial" w:cs="Arial"/>
                <w:b/>
                <w:bCs/>
                <w:color w:val="FFFFFF"/>
                <w:sz w:val="18"/>
                <w:szCs w:val="18"/>
              </w:rPr>
              <w:t>Avg. Load Reduction (kW)</w:t>
            </w:r>
          </w:p>
        </w:tc>
        <w:tc>
          <w:tcPr>
            <w:tcW w:w="1170" w:type="dxa"/>
            <w:tcBorders>
              <w:top w:val="single" w:sz="8" w:space="0" w:color="auto"/>
              <w:left w:val="nil"/>
              <w:bottom w:val="single" w:sz="8" w:space="0" w:color="auto"/>
              <w:right w:val="single" w:sz="8" w:space="0" w:color="FFFFFF"/>
            </w:tcBorders>
            <w:shd w:val="clear" w:color="000000" w:fill="0070CD"/>
            <w:vAlign w:val="center"/>
            <w:hideMark/>
          </w:tcPr>
          <w:p w:rsidR="00D22F5F" w:rsidRPr="003C4E0E" w:rsidRDefault="00D22F5F" w:rsidP="0079525F">
            <w:pPr>
              <w:jc w:val="center"/>
              <w:rPr>
                <w:rFonts w:ascii="Arial" w:hAnsi="Arial" w:cs="Arial"/>
                <w:b/>
                <w:bCs/>
                <w:color w:val="FFFFFF"/>
                <w:sz w:val="18"/>
                <w:szCs w:val="18"/>
              </w:rPr>
            </w:pPr>
            <w:r w:rsidRPr="003C4E0E">
              <w:rPr>
                <w:rFonts w:ascii="Arial" w:hAnsi="Arial" w:cs="Arial"/>
                <w:b/>
                <w:bCs/>
                <w:color w:val="FFFFFF"/>
                <w:sz w:val="18"/>
                <w:szCs w:val="18"/>
              </w:rPr>
              <w:t>Percent Load Reduction</w:t>
            </w:r>
            <w:r>
              <w:rPr>
                <w:rFonts w:ascii="Arial" w:hAnsi="Arial" w:cs="Arial"/>
                <w:b/>
                <w:bCs/>
                <w:color w:val="FFFFFF"/>
                <w:sz w:val="18"/>
                <w:szCs w:val="18"/>
              </w:rPr>
              <w:t xml:space="preserve"> </w:t>
            </w:r>
            <w:r w:rsidRPr="003C4E0E">
              <w:rPr>
                <w:rFonts w:ascii="Arial" w:hAnsi="Arial" w:cs="Arial"/>
                <w:b/>
                <w:bCs/>
                <w:color w:val="FFFFFF"/>
                <w:sz w:val="18"/>
                <w:szCs w:val="18"/>
              </w:rPr>
              <w:t>(%)</w:t>
            </w:r>
          </w:p>
        </w:tc>
        <w:tc>
          <w:tcPr>
            <w:tcW w:w="1232" w:type="dxa"/>
            <w:tcBorders>
              <w:top w:val="single" w:sz="8" w:space="0" w:color="auto"/>
              <w:left w:val="nil"/>
              <w:bottom w:val="single" w:sz="8" w:space="0" w:color="auto"/>
              <w:right w:val="single" w:sz="8" w:space="0" w:color="FFFFFF"/>
            </w:tcBorders>
            <w:shd w:val="clear" w:color="000000" w:fill="0070CD"/>
            <w:vAlign w:val="center"/>
            <w:hideMark/>
          </w:tcPr>
          <w:p w:rsidR="00D22F5F" w:rsidRPr="003C4E0E" w:rsidRDefault="00D22F5F" w:rsidP="0079525F">
            <w:pPr>
              <w:jc w:val="center"/>
              <w:rPr>
                <w:rFonts w:ascii="Arial" w:hAnsi="Arial" w:cs="Arial"/>
                <w:b/>
                <w:bCs/>
                <w:color w:val="FFFFFF"/>
                <w:sz w:val="18"/>
                <w:szCs w:val="18"/>
              </w:rPr>
            </w:pPr>
            <w:r w:rsidRPr="003C4E0E">
              <w:rPr>
                <w:rFonts w:ascii="Arial" w:hAnsi="Arial" w:cs="Arial"/>
                <w:b/>
                <w:bCs/>
                <w:color w:val="FFFFFF"/>
                <w:sz w:val="18"/>
                <w:szCs w:val="18"/>
              </w:rPr>
              <w:t>Aggregate Load Reduction</w:t>
            </w:r>
            <w:r>
              <w:rPr>
                <w:rFonts w:ascii="Arial" w:hAnsi="Arial" w:cs="Arial"/>
                <w:b/>
                <w:bCs/>
                <w:color w:val="FFFFFF"/>
                <w:sz w:val="18"/>
                <w:szCs w:val="18"/>
              </w:rPr>
              <w:t xml:space="preserve"> </w:t>
            </w:r>
            <w:r w:rsidRPr="003C4E0E">
              <w:rPr>
                <w:rFonts w:ascii="Arial" w:hAnsi="Arial" w:cs="Arial"/>
                <w:b/>
                <w:bCs/>
                <w:color w:val="FFFFFF"/>
                <w:sz w:val="18"/>
                <w:szCs w:val="18"/>
              </w:rPr>
              <w:t>(MW)</w:t>
            </w:r>
          </w:p>
        </w:tc>
        <w:tc>
          <w:tcPr>
            <w:tcW w:w="1197" w:type="dxa"/>
            <w:tcBorders>
              <w:top w:val="single" w:sz="8" w:space="0" w:color="auto"/>
              <w:left w:val="nil"/>
              <w:bottom w:val="single" w:sz="8" w:space="0" w:color="auto"/>
              <w:right w:val="single" w:sz="8" w:space="0" w:color="FFFFFF"/>
            </w:tcBorders>
            <w:shd w:val="clear" w:color="000000" w:fill="0070CD"/>
            <w:vAlign w:val="center"/>
            <w:hideMark/>
          </w:tcPr>
          <w:p w:rsidR="00D22F5F" w:rsidRPr="003C4E0E" w:rsidRDefault="00D22F5F" w:rsidP="0079525F">
            <w:pPr>
              <w:jc w:val="center"/>
              <w:rPr>
                <w:rFonts w:ascii="Arial" w:hAnsi="Arial" w:cs="Arial"/>
                <w:b/>
                <w:bCs/>
                <w:color w:val="FFFFFF"/>
                <w:sz w:val="18"/>
                <w:szCs w:val="18"/>
              </w:rPr>
            </w:pPr>
            <w:r w:rsidRPr="003C4E0E">
              <w:rPr>
                <w:rFonts w:ascii="Arial" w:hAnsi="Arial" w:cs="Arial"/>
                <w:b/>
                <w:bCs/>
                <w:color w:val="FFFFFF"/>
                <w:sz w:val="18"/>
                <w:szCs w:val="18"/>
              </w:rPr>
              <w:t>Average Thermostat Impact</w:t>
            </w:r>
            <w:r>
              <w:rPr>
                <w:rFonts w:ascii="Arial" w:hAnsi="Arial" w:cs="Arial"/>
                <w:b/>
                <w:bCs/>
                <w:color w:val="FFFFFF"/>
                <w:sz w:val="18"/>
                <w:szCs w:val="18"/>
              </w:rPr>
              <w:t xml:space="preserve"> </w:t>
            </w:r>
            <w:r w:rsidRPr="003C4E0E">
              <w:rPr>
                <w:rFonts w:ascii="Arial" w:hAnsi="Arial" w:cs="Arial"/>
                <w:b/>
                <w:bCs/>
                <w:color w:val="FFFFFF"/>
                <w:sz w:val="18"/>
                <w:szCs w:val="18"/>
              </w:rPr>
              <w:t>(kW)</w:t>
            </w:r>
          </w:p>
        </w:tc>
        <w:tc>
          <w:tcPr>
            <w:tcW w:w="877" w:type="dxa"/>
            <w:tcBorders>
              <w:top w:val="single" w:sz="8" w:space="0" w:color="auto"/>
              <w:left w:val="nil"/>
              <w:bottom w:val="single" w:sz="8" w:space="0" w:color="auto"/>
              <w:right w:val="single" w:sz="8" w:space="0" w:color="auto"/>
            </w:tcBorders>
            <w:shd w:val="clear" w:color="000000" w:fill="0070CD"/>
            <w:vAlign w:val="center"/>
            <w:hideMark/>
          </w:tcPr>
          <w:p w:rsidR="00D22F5F" w:rsidRPr="003C4E0E" w:rsidRDefault="00D22F5F" w:rsidP="0079525F">
            <w:pPr>
              <w:jc w:val="center"/>
              <w:rPr>
                <w:rFonts w:ascii="Arial" w:hAnsi="Arial" w:cs="Arial"/>
                <w:b/>
                <w:bCs/>
                <w:color w:val="FFFFFF"/>
                <w:sz w:val="18"/>
                <w:szCs w:val="18"/>
              </w:rPr>
            </w:pPr>
            <w:r w:rsidRPr="003C4E0E">
              <w:rPr>
                <w:rFonts w:ascii="Arial" w:hAnsi="Arial" w:cs="Arial"/>
                <w:b/>
                <w:bCs/>
                <w:color w:val="FFFFFF"/>
                <w:sz w:val="18"/>
                <w:szCs w:val="18"/>
              </w:rPr>
              <w:t>Mean17 (°F)</w:t>
            </w:r>
          </w:p>
        </w:tc>
      </w:tr>
      <w:tr w:rsidR="00D22F5F" w:rsidRPr="003C4E0E" w:rsidTr="0079525F">
        <w:trPr>
          <w:trHeight w:val="315"/>
          <w:jc w:val="center"/>
        </w:trPr>
        <w:tc>
          <w:tcPr>
            <w:tcW w:w="1167" w:type="dxa"/>
            <w:tcBorders>
              <w:top w:val="nil"/>
              <w:left w:val="single" w:sz="8" w:space="0" w:color="auto"/>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Pr>
                <w:rFonts w:ascii="Arial" w:hAnsi="Arial" w:cs="Arial"/>
                <w:color w:val="000000"/>
                <w:sz w:val="18"/>
                <w:szCs w:val="18"/>
              </w:rPr>
              <w:t>Coastal</w:t>
            </w:r>
          </w:p>
        </w:tc>
        <w:tc>
          <w:tcPr>
            <w:tcW w:w="1247"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192</w:t>
            </w:r>
          </w:p>
        </w:tc>
        <w:tc>
          <w:tcPr>
            <w:tcW w:w="1297"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1,675</w:t>
            </w:r>
          </w:p>
        </w:tc>
        <w:tc>
          <w:tcPr>
            <w:tcW w:w="1173"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42.28</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1.74</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4%</w:t>
            </w:r>
          </w:p>
        </w:tc>
        <w:tc>
          <w:tcPr>
            <w:tcW w:w="1232"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0.33</w:t>
            </w:r>
          </w:p>
        </w:tc>
        <w:tc>
          <w:tcPr>
            <w:tcW w:w="1197"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0.20</w:t>
            </w:r>
          </w:p>
        </w:tc>
        <w:tc>
          <w:tcPr>
            <w:tcW w:w="877"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79</w:t>
            </w:r>
          </w:p>
        </w:tc>
      </w:tr>
      <w:tr w:rsidR="00D22F5F" w:rsidRPr="003C4E0E" w:rsidTr="0079525F">
        <w:trPr>
          <w:trHeight w:val="315"/>
          <w:jc w:val="center"/>
        </w:trPr>
        <w:tc>
          <w:tcPr>
            <w:tcW w:w="1167" w:type="dxa"/>
            <w:tcBorders>
              <w:top w:val="nil"/>
              <w:left w:val="single" w:sz="8" w:space="0" w:color="auto"/>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Pr>
                <w:rFonts w:ascii="Arial" w:hAnsi="Arial" w:cs="Arial"/>
                <w:color w:val="000000"/>
                <w:sz w:val="18"/>
                <w:szCs w:val="18"/>
              </w:rPr>
              <w:t>Inland</w:t>
            </w:r>
          </w:p>
        </w:tc>
        <w:tc>
          <w:tcPr>
            <w:tcW w:w="1247"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149</w:t>
            </w:r>
          </w:p>
        </w:tc>
        <w:tc>
          <w:tcPr>
            <w:tcW w:w="1297"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1,411</w:t>
            </w:r>
          </w:p>
        </w:tc>
        <w:tc>
          <w:tcPr>
            <w:tcW w:w="1173"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35.06</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2.31</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7%</w:t>
            </w:r>
          </w:p>
        </w:tc>
        <w:tc>
          <w:tcPr>
            <w:tcW w:w="1232"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0.34</w:t>
            </w:r>
          </w:p>
        </w:tc>
        <w:tc>
          <w:tcPr>
            <w:tcW w:w="1197"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0.24</w:t>
            </w:r>
          </w:p>
        </w:tc>
        <w:tc>
          <w:tcPr>
            <w:tcW w:w="877" w:type="dxa"/>
            <w:tcBorders>
              <w:top w:val="nil"/>
              <w:left w:val="nil"/>
              <w:bottom w:val="single" w:sz="8" w:space="0" w:color="auto"/>
              <w:right w:val="single" w:sz="8" w:space="0" w:color="auto"/>
            </w:tcBorders>
            <w:shd w:val="clear" w:color="000000" w:fill="FFFFFF"/>
            <w:noWrap/>
            <w:vAlign w:val="center"/>
            <w:hideMark/>
          </w:tcPr>
          <w:p w:rsidR="00D22F5F" w:rsidRPr="003C4E0E" w:rsidRDefault="00D22F5F" w:rsidP="0079525F">
            <w:pPr>
              <w:jc w:val="center"/>
              <w:rPr>
                <w:rFonts w:ascii="Arial" w:hAnsi="Arial" w:cs="Arial"/>
                <w:color w:val="000000"/>
                <w:sz w:val="18"/>
                <w:szCs w:val="18"/>
              </w:rPr>
            </w:pPr>
            <w:r w:rsidRPr="003C4E0E">
              <w:rPr>
                <w:rFonts w:ascii="Arial" w:hAnsi="Arial" w:cs="Arial"/>
                <w:color w:val="000000"/>
                <w:sz w:val="18"/>
                <w:szCs w:val="18"/>
              </w:rPr>
              <w:t>81</w:t>
            </w:r>
          </w:p>
        </w:tc>
      </w:tr>
      <w:tr w:rsidR="00D22F5F" w:rsidRPr="0028777A" w:rsidTr="0079525F">
        <w:trPr>
          <w:trHeight w:val="315"/>
          <w:jc w:val="center"/>
        </w:trPr>
        <w:tc>
          <w:tcPr>
            <w:tcW w:w="1167" w:type="dxa"/>
            <w:tcBorders>
              <w:top w:val="nil"/>
              <w:left w:val="single" w:sz="8" w:space="0" w:color="auto"/>
              <w:bottom w:val="single" w:sz="8" w:space="0" w:color="auto"/>
              <w:right w:val="single" w:sz="8" w:space="0" w:color="auto"/>
            </w:tcBorders>
            <w:shd w:val="clear" w:color="000000" w:fill="FFFFFF"/>
            <w:noWrap/>
            <w:vAlign w:val="center"/>
            <w:hideMark/>
          </w:tcPr>
          <w:p w:rsidR="00D22F5F" w:rsidRPr="0028777A" w:rsidRDefault="00D22F5F" w:rsidP="0079525F">
            <w:pPr>
              <w:jc w:val="center"/>
              <w:rPr>
                <w:rFonts w:ascii="Arial" w:hAnsi="Arial" w:cs="Arial"/>
                <w:b/>
                <w:color w:val="000000"/>
                <w:sz w:val="18"/>
                <w:szCs w:val="18"/>
              </w:rPr>
            </w:pPr>
            <w:r w:rsidRPr="0028777A">
              <w:rPr>
                <w:rFonts w:ascii="Arial" w:hAnsi="Arial" w:cs="Arial"/>
                <w:b/>
                <w:color w:val="000000"/>
                <w:sz w:val="18"/>
                <w:szCs w:val="18"/>
              </w:rPr>
              <w:t>Both</w:t>
            </w:r>
          </w:p>
        </w:tc>
        <w:tc>
          <w:tcPr>
            <w:tcW w:w="1247" w:type="dxa"/>
            <w:tcBorders>
              <w:top w:val="nil"/>
              <w:left w:val="nil"/>
              <w:bottom w:val="single" w:sz="8" w:space="0" w:color="auto"/>
              <w:right w:val="single" w:sz="8" w:space="0" w:color="auto"/>
            </w:tcBorders>
            <w:shd w:val="clear" w:color="000000" w:fill="FFFFFF"/>
            <w:noWrap/>
            <w:vAlign w:val="center"/>
            <w:hideMark/>
          </w:tcPr>
          <w:p w:rsidR="00D22F5F" w:rsidRPr="0028777A" w:rsidRDefault="00D22F5F" w:rsidP="0079525F">
            <w:pPr>
              <w:jc w:val="center"/>
              <w:rPr>
                <w:rFonts w:ascii="Arial" w:hAnsi="Arial" w:cs="Arial"/>
                <w:b/>
                <w:color w:val="000000"/>
                <w:sz w:val="18"/>
                <w:szCs w:val="18"/>
              </w:rPr>
            </w:pPr>
            <w:r w:rsidRPr="0028777A">
              <w:rPr>
                <w:rFonts w:ascii="Arial" w:hAnsi="Arial" w:cs="Arial"/>
                <w:b/>
                <w:color w:val="000000"/>
                <w:sz w:val="18"/>
                <w:szCs w:val="18"/>
              </w:rPr>
              <w:t>341</w:t>
            </w:r>
          </w:p>
        </w:tc>
        <w:tc>
          <w:tcPr>
            <w:tcW w:w="1297" w:type="dxa"/>
            <w:tcBorders>
              <w:top w:val="nil"/>
              <w:left w:val="nil"/>
              <w:bottom w:val="single" w:sz="8" w:space="0" w:color="auto"/>
              <w:right w:val="single" w:sz="8" w:space="0" w:color="auto"/>
            </w:tcBorders>
            <w:shd w:val="clear" w:color="000000" w:fill="FFFFFF"/>
            <w:noWrap/>
            <w:vAlign w:val="center"/>
            <w:hideMark/>
          </w:tcPr>
          <w:p w:rsidR="00D22F5F" w:rsidRPr="0028777A" w:rsidRDefault="00D22F5F" w:rsidP="0079525F">
            <w:pPr>
              <w:jc w:val="center"/>
              <w:rPr>
                <w:rFonts w:ascii="Arial" w:hAnsi="Arial" w:cs="Arial"/>
                <w:b/>
                <w:color w:val="000000"/>
                <w:sz w:val="18"/>
                <w:szCs w:val="18"/>
              </w:rPr>
            </w:pPr>
            <w:r w:rsidRPr="0028777A">
              <w:rPr>
                <w:rFonts w:ascii="Arial" w:hAnsi="Arial" w:cs="Arial"/>
                <w:b/>
                <w:color w:val="000000"/>
                <w:sz w:val="18"/>
                <w:szCs w:val="18"/>
              </w:rPr>
              <w:t>3,085</w:t>
            </w:r>
          </w:p>
        </w:tc>
        <w:tc>
          <w:tcPr>
            <w:tcW w:w="1173" w:type="dxa"/>
            <w:tcBorders>
              <w:top w:val="nil"/>
              <w:left w:val="nil"/>
              <w:bottom w:val="single" w:sz="8" w:space="0" w:color="auto"/>
              <w:right w:val="single" w:sz="8" w:space="0" w:color="auto"/>
            </w:tcBorders>
            <w:shd w:val="clear" w:color="000000" w:fill="FFFFFF"/>
            <w:noWrap/>
            <w:vAlign w:val="center"/>
            <w:hideMark/>
          </w:tcPr>
          <w:p w:rsidR="00D22F5F" w:rsidRPr="0028777A" w:rsidRDefault="00D22F5F" w:rsidP="0079525F">
            <w:pPr>
              <w:jc w:val="center"/>
              <w:rPr>
                <w:rFonts w:ascii="Arial" w:hAnsi="Arial" w:cs="Arial"/>
                <w:b/>
                <w:color w:val="000000"/>
                <w:sz w:val="18"/>
                <w:szCs w:val="18"/>
              </w:rPr>
            </w:pPr>
            <w:r w:rsidRPr="0028777A">
              <w:rPr>
                <w:rFonts w:ascii="Arial" w:hAnsi="Arial" w:cs="Arial"/>
                <w:b/>
                <w:color w:val="000000"/>
                <w:sz w:val="18"/>
                <w:szCs w:val="18"/>
              </w:rPr>
              <w:t>39.12</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28777A" w:rsidRDefault="00D22F5F" w:rsidP="0079525F">
            <w:pPr>
              <w:jc w:val="center"/>
              <w:rPr>
                <w:rFonts w:ascii="Arial" w:hAnsi="Arial" w:cs="Arial"/>
                <w:b/>
                <w:color w:val="000000"/>
                <w:sz w:val="18"/>
                <w:szCs w:val="18"/>
              </w:rPr>
            </w:pPr>
            <w:r w:rsidRPr="0028777A">
              <w:rPr>
                <w:rFonts w:ascii="Arial" w:hAnsi="Arial" w:cs="Arial"/>
                <w:b/>
                <w:color w:val="000000"/>
                <w:sz w:val="18"/>
                <w:szCs w:val="18"/>
              </w:rPr>
              <w:t>1.99</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28777A" w:rsidRDefault="00D22F5F" w:rsidP="0079525F">
            <w:pPr>
              <w:jc w:val="center"/>
              <w:rPr>
                <w:rFonts w:ascii="Arial" w:hAnsi="Arial" w:cs="Arial"/>
                <w:b/>
                <w:color w:val="000000"/>
                <w:sz w:val="18"/>
                <w:szCs w:val="18"/>
              </w:rPr>
            </w:pPr>
            <w:r w:rsidRPr="0028777A">
              <w:rPr>
                <w:rFonts w:ascii="Arial" w:hAnsi="Arial" w:cs="Arial"/>
                <w:b/>
                <w:color w:val="000000"/>
                <w:sz w:val="18"/>
                <w:szCs w:val="18"/>
              </w:rPr>
              <w:t>5%</w:t>
            </w:r>
          </w:p>
        </w:tc>
        <w:tc>
          <w:tcPr>
            <w:tcW w:w="1232" w:type="dxa"/>
            <w:tcBorders>
              <w:top w:val="nil"/>
              <w:left w:val="nil"/>
              <w:bottom w:val="single" w:sz="8" w:space="0" w:color="auto"/>
              <w:right w:val="single" w:sz="8" w:space="0" w:color="auto"/>
            </w:tcBorders>
            <w:shd w:val="clear" w:color="000000" w:fill="FFFFFF"/>
            <w:noWrap/>
            <w:vAlign w:val="center"/>
            <w:hideMark/>
          </w:tcPr>
          <w:p w:rsidR="00D22F5F" w:rsidRPr="0028777A" w:rsidRDefault="00D22F5F" w:rsidP="0079525F">
            <w:pPr>
              <w:jc w:val="center"/>
              <w:rPr>
                <w:rFonts w:ascii="Arial" w:hAnsi="Arial" w:cs="Arial"/>
                <w:b/>
                <w:color w:val="000000"/>
                <w:sz w:val="18"/>
                <w:szCs w:val="18"/>
              </w:rPr>
            </w:pPr>
            <w:r w:rsidRPr="0028777A">
              <w:rPr>
                <w:rFonts w:ascii="Arial" w:hAnsi="Arial" w:cs="Arial"/>
                <w:b/>
                <w:color w:val="000000"/>
                <w:sz w:val="18"/>
                <w:szCs w:val="18"/>
              </w:rPr>
              <w:t>0.68</w:t>
            </w:r>
          </w:p>
        </w:tc>
        <w:tc>
          <w:tcPr>
            <w:tcW w:w="1197" w:type="dxa"/>
            <w:tcBorders>
              <w:top w:val="nil"/>
              <w:left w:val="nil"/>
              <w:bottom w:val="single" w:sz="8" w:space="0" w:color="auto"/>
              <w:right w:val="single" w:sz="8" w:space="0" w:color="auto"/>
            </w:tcBorders>
            <w:shd w:val="clear" w:color="000000" w:fill="FFFFFF"/>
            <w:noWrap/>
            <w:vAlign w:val="center"/>
            <w:hideMark/>
          </w:tcPr>
          <w:p w:rsidR="00D22F5F" w:rsidRPr="0028777A" w:rsidRDefault="00D22F5F" w:rsidP="0079525F">
            <w:pPr>
              <w:jc w:val="center"/>
              <w:rPr>
                <w:rFonts w:ascii="Arial" w:hAnsi="Arial" w:cs="Arial"/>
                <w:b/>
                <w:color w:val="000000"/>
                <w:sz w:val="18"/>
                <w:szCs w:val="18"/>
              </w:rPr>
            </w:pPr>
            <w:r w:rsidRPr="0028777A">
              <w:rPr>
                <w:rFonts w:ascii="Arial" w:hAnsi="Arial" w:cs="Arial"/>
                <w:b/>
                <w:color w:val="000000"/>
                <w:sz w:val="18"/>
                <w:szCs w:val="18"/>
              </w:rPr>
              <w:t>0.22</w:t>
            </w:r>
          </w:p>
        </w:tc>
        <w:tc>
          <w:tcPr>
            <w:tcW w:w="877" w:type="dxa"/>
            <w:tcBorders>
              <w:top w:val="nil"/>
              <w:left w:val="nil"/>
              <w:bottom w:val="single" w:sz="8" w:space="0" w:color="auto"/>
              <w:right w:val="single" w:sz="8" w:space="0" w:color="auto"/>
            </w:tcBorders>
            <w:shd w:val="clear" w:color="000000" w:fill="FFFFFF"/>
            <w:noWrap/>
            <w:vAlign w:val="center"/>
            <w:hideMark/>
          </w:tcPr>
          <w:p w:rsidR="00D22F5F" w:rsidRPr="0028777A" w:rsidRDefault="00D22F5F" w:rsidP="0079525F">
            <w:pPr>
              <w:jc w:val="center"/>
              <w:rPr>
                <w:rFonts w:ascii="Arial" w:hAnsi="Arial" w:cs="Arial"/>
                <w:b/>
                <w:color w:val="000000"/>
                <w:sz w:val="18"/>
                <w:szCs w:val="18"/>
              </w:rPr>
            </w:pPr>
            <w:r w:rsidRPr="0028777A">
              <w:rPr>
                <w:rFonts w:ascii="Arial" w:hAnsi="Arial" w:cs="Arial"/>
                <w:b/>
                <w:color w:val="000000"/>
                <w:sz w:val="18"/>
                <w:szCs w:val="18"/>
              </w:rPr>
              <w:t>80</w:t>
            </w:r>
          </w:p>
        </w:tc>
      </w:tr>
    </w:tbl>
    <w:p w:rsidR="00D22F5F" w:rsidRPr="00673585" w:rsidRDefault="00D22F5F" w:rsidP="00D22F5F">
      <w:pPr>
        <w:pStyle w:val="Heading3"/>
        <w:keepLines/>
        <w:spacing w:before="360" w:after="120"/>
        <w:ind w:left="1080"/>
        <w:rPr>
          <w:rFonts w:ascii="Times New Roman" w:hAnsi="Times New Roman" w:cs="Times New Roman"/>
        </w:rPr>
      </w:pPr>
      <w:bookmarkStart w:id="284" w:name="_Toc413592758"/>
      <w:bookmarkStart w:id="285" w:name="_Toc415585932"/>
      <w:bookmarkStart w:id="286" w:name="_Toc415749048"/>
      <w:r w:rsidRPr="00673585">
        <w:rPr>
          <w:rFonts w:ascii="Times New Roman" w:hAnsi="Times New Roman" w:cs="Times New Roman"/>
        </w:rPr>
        <w:t xml:space="preserve">Load Impacts </w:t>
      </w:r>
      <w:bookmarkEnd w:id="282"/>
      <w:bookmarkEnd w:id="283"/>
      <w:bookmarkEnd w:id="284"/>
      <w:r w:rsidRPr="00673585">
        <w:rPr>
          <w:rFonts w:ascii="Times New Roman" w:hAnsi="Times New Roman" w:cs="Times New Roman"/>
        </w:rPr>
        <w:t>by Industry</w:t>
      </w:r>
      <w:bookmarkEnd w:id="285"/>
      <w:bookmarkEnd w:id="286"/>
    </w:p>
    <w:p w:rsidR="002A0033" w:rsidRDefault="002A0033" w:rsidP="002A0033">
      <w:pPr>
        <w:pStyle w:val="BodyParagraph"/>
        <w:spacing w:after="0" w:line="276" w:lineRule="auto"/>
        <w:ind w:firstLine="360"/>
        <w:rPr>
          <w:rFonts w:ascii="Times New Roman" w:hAnsi="Times New Roman"/>
          <w:sz w:val="24"/>
          <w:szCs w:val="24"/>
        </w:rPr>
      </w:pPr>
    </w:p>
    <w:p w:rsidR="00D22F5F" w:rsidRDefault="00D22F5F" w:rsidP="002A0033">
      <w:pPr>
        <w:pStyle w:val="BodyParagraph"/>
        <w:spacing w:after="0" w:line="276" w:lineRule="auto"/>
        <w:ind w:firstLine="360"/>
        <w:rPr>
          <w:rFonts w:ascii="Times New Roman" w:hAnsi="Times New Roman"/>
          <w:sz w:val="24"/>
          <w:szCs w:val="24"/>
        </w:rPr>
      </w:pPr>
      <w:r w:rsidRPr="002A0033">
        <w:rPr>
          <w:rFonts w:ascii="Times New Roman" w:hAnsi="Times New Roman"/>
          <w:sz w:val="24"/>
          <w:szCs w:val="24"/>
        </w:rPr>
        <w:t>The participants in the commercial thermostat program come from a number of different industries. During 2014 events, Offices, Hotels, Finance, and Services accounted for nearly half of all of the participating commercial customers and a slightly higher percentage of the total number of thermostats. Schools made up 12% of the total participating customers, but had 21% of the installed thermostats. Retail stores made up 8.5% of the participating customers, while having under 3% of the thermostats.</w:t>
      </w:r>
    </w:p>
    <w:p w:rsidR="002A0033" w:rsidRPr="002A0033" w:rsidRDefault="002A0033" w:rsidP="002A0033">
      <w:pPr>
        <w:pStyle w:val="BodyParagraph"/>
        <w:spacing w:after="0" w:line="276" w:lineRule="auto"/>
        <w:ind w:firstLine="360"/>
        <w:rPr>
          <w:rFonts w:ascii="Times New Roman" w:hAnsi="Times New Roman"/>
          <w:sz w:val="24"/>
          <w:szCs w:val="24"/>
        </w:rPr>
      </w:pPr>
    </w:p>
    <w:p w:rsidR="00D22F5F" w:rsidRPr="002A0033" w:rsidRDefault="00D22F5F" w:rsidP="002A0033">
      <w:pPr>
        <w:pStyle w:val="BodyParagraph"/>
        <w:ind w:firstLine="360"/>
        <w:rPr>
          <w:rFonts w:ascii="Times New Roman" w:hAnsi="Times New Roman"/>
          <w:sz w:val="24"/>
          <w:szCs w:val="24"/>
        </w:rPr>
      </w:pPr>
      <w:r w:rsidRPr="002A0033">
        <w:rPr>
          <w:rFonts w:ascii="Times New Roman" w:hAnsi="Times New Roman"/>
          <w:sz w:val="24"/>
          <w:szCs w:val="24"/>
        </w:rPr>
        <w:t xml:space="preserve">Table 10-5 shows the average load reduction by industry. Some industries are left out of the table altogether due to insufficient sample sizes. Given the sample size, the most reliable estimate for any industry breakout is that for Offices, Hotels, Finance, and Services. The per-thermostat impact for this industry was 0.13 kW, nearly 41% lower than the estimate for the average commercial customer (0.22 kW per thermostat). The average event-day temperature for participants in this industry was nearly the same as the average event-day temperature for the average commercial customer, indicating that the higher impact per thermostat among these customer was most likely not due to weather conditions. Since there are relatively few customers in the other industries, it is difficult to assess why this industry underperformed other industries and whether it will continue to in the future. It is, instead, just a sign that there may be other industries that can be targeted to achieve greater per-thermostat savings. </w:t>
      </w:r>
    </w:p>
    <w:p w:rsidR="006D7836" w:rsidRDefault="006D7836">
      <w:pPr>
        <w:rPr>
          <w:b/>
          <w:sz w:val="20"/>
          <w:szCs w:val="20"/>
        </w:rPr>
      </w:pPr>
      <w:bookmarkStart w:id="287" w:name="_Ref286766239"/>
      <w:r>
        <w:rPr>
          <w:b/>
          <w:sz w:val="20"/>
          <w:szCs w:val="20"/>
        </w:rPr>
        <w:br w:type="page"/>
      </w:r>
    </w:p>
    <w:p w:rsidR="00D22F5F" w:rsidRPr="00D22F5F" w:rsidRDefault="00D22F5F" w:rsidP="00D22F5F">
      <w:pPr>
        <w:jc w:val="center"/>
        <w:rPr>
          <w:b/>
          <w:sz w:val="20"/>
          <w:szCs w:val="20"/>
        </w:rPr>
      </w:pPr>
      <w:r w:rsidRPr="00D22F5F">
        <w:rPr>
          <w:b/>
          <w:sz w:val="20"/>
          <w:szCs w:val="20"/>
        </w:rPr>
        <w:lastRenderedPageBreak/>
        <w:t>Table 10-5</w:t>
      </w:r>
      <w:bookmarkEnd w:id="287"/>
      <w:r w:rsidRPr="00D22F5F">
        <w:rPr>
          <w:b/>
          <w:sz w:val="20"/>
          <w:szCs w:val="20"/>
        </w:rPr>
        <w:t xml:space="preserve">: 2014 Commercial Thermostat Average Hourly Load Reduction </w:t>
      </w:r>
      <w:r w:rsidRPr="00D22F5F">
        <w:rPr>
          <w:b/>
          <w:sz w:val="20"/>
          <w:szCs w:val="20"/>
        </w:rPr>
        <w:br/>
        <w:t xml:space="preserve">for Event Period (2 to 6 PM) by Industry </w:t>
      </w:r>
      <w:r w:rsidRPr="00D22F5F">
        <w:rPr>
          <w:b/>
          <w:sz w:val="20"/>
          <w:szCs w:val="20"/>
        </w:rPr>
        <w:br/>
        <w:t>(kW per Customer, Aggregate MW, and kW per Thermostat)</w:t>
      </w:r>
    </w:p>
    <w:tbl>
      <w:tblPr>
        <w:tblW w:w="11389" w:type="dxa"/>
        <w:jc w:val="center"/>
        <w:tblInd w:w="-868" w:type="dxa"/>
        <w:tblLayout w:type="fixed"/>
        <w:tblLook w:val="04A0" w:firstRow="1" w:lastRow="0" w:firstColumn="1" w:lastColumn="0" w:noHBand="0" w:noVBand="1"/>
      </w:tblPr>
      <w:tblGrid>
        <w:gridCol w:w="2643"/>
        <w:gridCol w:w="1170"/>
        <w:gridCol w:w="1260"/>
        <w:gridCol w:w="1080"/>
        <w:gridCol w:w="1080"/>
        <w:gridCol w:w="1080"/>
        <w:gridCol w:w="1080"/>
        <w:gridCol w:w="1170"/>
        <w:gridCol w:w="826"/>
      </w:tblGrid>
      <w:tr w:rsidR="00D22F5F" w:rsidRPr="001933D2" w:rsidTr="0079525F">
        <w:trPr>
          <w:trHeight w:val="799"/>
          <w:jc w:val="center"/>
        </w:trPr>
        <w:tc>
          <w:tcPr>
            <w:tcW w:w="2643" w:type="dxa"/>
            <w:tcBorders>
              <w:top w:val="single" w:sz="8" w:space="0" w:color="auto"/>
              <w:left w:val="single" w:sz="8" w:space="0" w:color="auto"/>
              <w:bottom w:val="single" w:sz="8"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Industry</w:t>
            </w:r>
          </w:p>
        </w:tc>
        <w:tc>
          <w:tcPr>
            <w:tcW w:w="1170" w:type="dxa"/>
            <w:tcBorders>
              <w:top w:val="single" w:sz="8" w:space="0" w:color="auto"/>
              <w:left w:val="nil"/>
              <w:bottom w:val="single" w:sz="8"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Enrolled Participants</w:t>
            </w:r>
          </w:p>
        </w:tc>
        <w:tc>
          <w:tcPr>
            <w:tcW w:w="1260" w:type="dxa"/>
            <w:tcBorders>
              <w:top w:val="single" w:sz="8" w:space="0" w:color="auto"/>
              <w:left w:val="nil"/>
              <w:bottom w:val="single" w:sz="8"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Pr>
                <w:rFonts w:ascii="Arial" w:hAnsi="Arial" w:cs="Arial"/>
                <w:b/>
                <w:bCs/>
                <w:color w:val="FFFFFF"/>
                <w:sz w:val="16"/>
                <w:szCs w:val="16"/>
              </w:rPr>
              <w:t xml:space="preserve">Total </w:t>
            </w:r>
            <w:r w:rsidRPr="00DE2A61">
              <w:rPr>
                <w:rFonts w:ascii="Arial" w:hAnsi="Arial" w:cs="Arial"/>
                <w:b/>
                <w:bCs/>
                <w:color w:val="FFFFFF"/>
                <w:sz w:val="16"/>
                <w:szCs w:val="16"/>
              </w:rPr>
              <w:t>Number of Thermostats</w:t>
            </w:r>
          </w:p>
        </w:tc>
        <w:tc>
          <w:tcPr>
            <w:tcW w:w="1080" w:type="dxa"/>
            <w:tcBorders>
              <w:top w:val="single" w:sz="8" w:space="0" w:color="auto"/>
              <w:left w:val="nil"/>
              <w:bottom w:val="single" w:sz="8"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Avg. Reference Load (kW)</w:t>
            </w:r>
          </w:p>
        </w:tc>
        <w:tc>
          <w:tcPr>
            <w:tcW w:w="1080" w:type="dxa"/>
            <w:tcBorders>
              <w:top w:val="single" w:sz="8" w:space="0" w:color="auto"/>
              <w:left w:val="nil"/>
              <w:bottom w:val="single" w:sz="8"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Avg. Load Reduction (kW)</w:t>
            </w:r>
          </w:p>
        </w:tc>
        <w:tc>
          <w:tcPr>
            <w:tcW w:w="1080" w:type="dxa"/>
            <w:tcBorders>
              <w:top w:val="single" w:sz="8" w:space="0" w:color="auto"/>
              <w:left w:val="nil"/>
              <w:bottom w:val="single" w:sz="8"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Percent Load Reduction (%)</w:t>
            </w:r>
          </w:p>
        </w:tc>
        <w:tc>
          <w:tcPr>
            <w:tcW w:w="1080" w:type="dxa"/>
            <w:tcBorders>
              <w:top w:val="single" w:sz="8" w:space="0" w:color="auto"/>
              <w:left w:val="nil"/>
              <w:bottom w:val="single" w:sz="8"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Aggregate Load Reduction (MW)</w:t>
            </w:r>
          </w:p>
        </w:tc>
        <w:tc>
          <w:tcPr>
            <w:tcW w:w="1170" w:type="dxa"/>
            <w:tcBorders>
              <w:top w:val="single" w:sz="8" w:space="0" w:color="auto"/>
              <w:left w:val="nil"/>
              <w:bottom w:val="single" w:sz="8"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Average Thermostat Impact (kW)</w:t>
            </w:r>
          </w:p>
        </w:tc>
        <w:tc>
          <w:tcPr>
            <w:tcW w:w="826" w:type="dxa"/>
            <w:tcBorders>
              <w:top w:val="single" w:sz="8" w:space="0" w:color="auto"/>
              <w:left w:val="nil"/>
              <w:bottom w:val="single" w:sz="8" w:space="0" w:color="auto"/>
              <w:right w:val="single" w:sz="8" w:space="0" w:color="auto"/>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Mean17 (°F)</w:t>
            </w:r>
          </w:p>
        </w:tc>
      </w:tr>
      <w:tr w:rsidR="00D22F5F" w:rsidRPr="001933D2" w:rsidTr="0079525F">
        <w:trPr>
          <w:trHeight w:val="44"/>
          <w:jc w:val="center"/>
        </w:trPr>
        <w:tc>
          <w:tcPr>
            <w:tcW w:w="2643" w:type="dxa"/>
            <w:tcBorders>
              <w:top w:val="nil"/>
              <w:left w:val="single" w:sz="8" w:space="0" w:color="auto"/>
              <w:bottom w:val="single" w:sz="8" w:space="0" w:color="auto"/>
              <w:right w:val="single" w:sz="8" w:space="0" w:color="auto"/>
            </w:tcBorders>
            <w:shd w:val="clear" w:color="000000" w:fill="FFFFFF"/>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Institutional/Government</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82</w:t>
            </w:r>
          </w:p>
        </w:tc>
        <w:tc>
          <w:tcPr>
            <w:tcW w:w="126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691</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31.30</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2.16</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7%</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0.18</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0.26</w:t>
            </w:r>
          </w:p>
        </w:tc>
        <w:tc>
          <w:tcPr>
            <w:tcW w:w="826"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80</w:t>
            </w:r>
          </w:p>
        </w:tc>
      </w:tr>
      <w:tr w:rsidR="00D22F5F" w:rsidRPr="001933D2" w:rsidTr="0079525F">
        <w:trPr>
          <w:trHeight w:val="44"/>
          <w:jc w:val="center"/>
        </w:trPr>
        <w:tc>
          <w:tcPr>
            <w:tcW w:w="2643" w:type="dxa"/>
            <w:tcBorders>
              <w:top w:val="nil"/>
              <w:left w:val="single" w:sz="8" w:space="0" w:color="auto"/>
              <w:bottom w:val="single" w:sz="8" w:space="0" w:color="auto"/>
              <w:right w:val="single" w:sz="8" w:space="0" w:color="auto"/>
            </w:tcBorders>
            <w:shd w:val="clear" w:color="000000" w:fill="FFFFFF"/>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Offices, Hotels, Fina</w:t>
            </w:r>
            <w:r>
              <w:rPr>
                <w:rFonts w:ascii="Arial" w:hAnsi="Arial" w:cs="Arial"/>
                <w:color w:val="000000"/>
                <w:sz w:val="16"/>
                <w:szCs w:val="16"/>
              </w:rPr>
              <w:t>nce, S</w:t>
            </w:r>
            <w:r w:rsidRPr="00DE2A61">
              <w:rPr>
                <w:rFonts w:ascii="Arial" w:hAnsi="Arial" w:cs="Arial"/>
                <w:color w:val="000000"/>
                <w:sz w:val="16"/>
                <w:szCs w:val="16"/>
              </w:rPr>
              <w:t>ervices</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165</w:t>
            </w:r>
          </w:p>
        </w:tc>
        <w:tc>
          <w:tcPr>
            <w:tcW w:w="126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1,549</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42.81</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1.25</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3%</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0.21</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0.13</w:t>
            </w:r>
          </w:p>
        </w:tc>
        <w:tc>
          <w:tcPr>
            <w:tcW w:w="826"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80</w:t>
            </w:r>
          </w:p>
        </w:tc>
      </w:tr>
      <w:tr w:rsidR="00D22F5F" w:rsidRPr="001933D2" w:rsidTr="0079525F">
        <w:trPr>
          <w:trHeight w:val="44"/>
          <w:jc w:val="center"/>
        </w:trPr>
        <w:tc>
          <w:tcPr>
            <w:tcW w:w="2643" w:type="dxa"/>
            <w:tcBorders>
              <w:top w:val="nil"/>
              <w:left w:val="single" w:sz="8" w:space="0" w:color="auto"/>
              <w:bottom w:val="single" w:sz="8" w:space="0" w:color="auto"/>
              <w:right w:val="single" w:sz="8" w:space="0" w:color="auto"/>
            </w:tcBorders>
            <w:shd w:val="clear" w:color="000000" w:fill="FFFFFF"/>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Retail Stores</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29</w:t>
            </w:r>
          </w:p>
        </w:tc>
        <w:tc>
          <w:tcPr>
            <w:tcW w:w="126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84</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27.00</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3.09</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11%</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0.09</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1.06</w:t>
            </w:r>
          </w:p>
        </w:tc>
        <w:tc>
          <w:tcPr>
            <w:tcW w:w="826"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80</w:t>
            </w:r>
          </w:p>
        </w:tc>
      </w:tr>
      <w:tr w:rsidR="00D22F5F" w:rsidRPr="001933D2" w:rsidTr="0079525F">
        <w:trPr>
          <w:trHeight w:val="44"/>
          <w:jc w:val="center"/>
        </w:trPr>
        <w:tc>
          <w:tcPr>
            <w:tcW w:w="2643" w:type="dxa"/>
            <w:tcBorders>
              <w:top w:val="nil"/>
              <w:left w:val="single" w:sz="8" w:space="0" w:color="auto"/>
              <w:bottom w:val="single" w:sz="8" w:space="0" w:color="auto"/>
              <w:right w:val="single" w:sz="8" w:space="0" w:color="auto"/>
            </w:tcBorders>
            <w:shd w:val="clear" w:color="000000" w:fill="FFFFFF"/>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Schools</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41</w:t>
            </w:r>
          </w:p>
        </w:tc>
        <w:tc>
          <w:tcPr>
            <w:tcW w:w="126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641</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63.16</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4.19</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7%</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0.17</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0.26</w:t>
            </w:r>
          </w:p>
        </w:tc>
        <w:tc>
          <w:tcPr>
            <w:tcW w:w="826" w:type="dxa"/>
            <w:tcBorders>
              <w:top w:val="nil"/>
              <w:left w:val="nil"/>
              <w:bottom w:val="single" w:sz="8" w:space="0" w:color="auto"/>
              <w:right w:val="single" w:sz="8"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79</w:t>
            </w:r>
          </w:p>
        </w:tc>
      </w:tr>
      <w:tr w:rsidR="00D22F5F" w:rsidRPr="001F15CA" w:rsidTr="0079525F">
        <w:trPr>
          <w:trHeight w:val="44"/>
          <w:jc w:val="center"/>
        </w:trPr>
        <w:tc>
          <w:tcPr>
            <w:tcW w:w="2643" w:type="dxa"/>
            <w:tcBorders>
              <w:top w:val="nil"/>
              <w:left w:val="single" w:sz="8" w:space="0" w:color="auto"/>
              <w:bottom w:val="single" w:sz="8" w:space="0" w:color="auto"/>
              <w:right w:val="single" w:sz="8" w:space="0" w:color="auto"/>
            </w:tcBorders>
            <w:shd w:val="clear" w:color="000000" w:fill="FFFFFF"/>
            <w:noWrap/>
            <w:vAlign w:val="center"/>
            <w:hideMark/>
          </w:tcPr>
          <w:p w:rsidR="00D22F5F" w:rsidRPr="001F15CA" w:rsidRDefault="00D22F5F" w:rsidP="0079525F">
            <w:pPr>
              <w:spacing w:before="60" w:after="60"/>
              <w:jc w:val="center"/>
              <w:rPr>
                <w:rFonts w:ascii="Arial" w:hAnsi="Arial" w:cs="Arial"/>
                <w:b/>
                <w:color w:val="000000"/>
                <w:sz w:val="16"/>
                <w:szCs w:val="16"/>
              </w:rPr>
            </w:pPr>
            <w:r w:rsidRPr="001F15CA">
              <w:rPr>
                <w:rFonts w:ascii="Arial" w:hAnsi="Arial" w:cs="Arial"/>
                <w:b/>
                <w:color w:val="000000"/>
                <w:sz w:val="16"/>
                <w:szCs w:val="16"/>
              </w:rPr>
              <w:t>All</w:t>
            </w:r>
            <w:r>
              <w:rPr>
                <w:rFonts w:ascii="Arial" w:hAnsi="Arial" w:cs="Arial"/>
                <w:b/>
                <w:color w:val="000000"/>
                <w:sz w:val="16"/>
                <w:szCs w:val="16"/>
              </w:rPr>
              <w:t xml:space="preserve"> Industries</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1F15CA" w:rsidRDefault="00D22F5F" w:rsidP="0079525F">
            <w:pPr>
              <w:spacing w:before="60" w:after="60"/>
              <w:jc w:val="center"/>
              <w:rPr>
                <w:rFonts w:ascii="Arial" w:hAnsi="Arial" w:cs="Arial"/>
                <w:b/>
                <w:color w:val="000000"/>
                <w:sz w:val="16"/>
                <w:szCs w:val="16"/>
              </w:rPr>
            </w:pPr>
            <w:r w:rsidRPr="001F15CA">
              <w:rPr>
                <w:rFonts w:ascii="Arial" w:hAnsi="Arial" w:cs="Arial"/>
                <w:b/>
                <w:color w:val="000000"/>
                <w:sz w:val="16"/>
                <w:szCs w:val="16"/>
              </w:rPr>
              <w:t>341</w:t>
            </w:r>
          </w:p>
        </w:tc>
        <w:tc>
          <w:tcPr>
            <w:tcW w:w="1260" w:type="dxa"/>
            <w:tcBorders>
              <w:top w:val="nil"/>
              <w:left w:val="nil"/>
              <w:bottom w:val="single" w:sz="8" w:space="0" w:color="auto"/>
              <w:right w:val="single" w:sz="8" w:space="0" w:color="auto"/>
            </w:tcBorders>
            <w:shd w:val="clear" w:color="000000" w:fill="FFFFFF"/>
            <w:noWrap/>
            <w:vAlign w:val="center"/>
            <w:hideMark/>
          </w:tcPr>
          <w:p w:rsidR="00D22F5F" w:rsidRPr="001F15CA" w:rsidRDefault="00D22F5F" w:rsidP="0079525F">
            <w:pPr>
              <w:spacing w:before="60" w:after="60"/>
              <w:jc w:val="center"/>
              <w:rPr>
                <w:rFonts w:ascii="Arial" w:hAnsi="Arial" w:cs="Arial"/>
                <w:b/>
                <w:color w:val="000000"/>
                <w:sz w:val="16"/>
                <w:szCs w:val="16"/>
              </w:rPr>
            </w:pPr>
            <w:r w:rsidRPr="001F15CA">
              <w:rPr>
                <w:rFonts w:ascii="Arial" w:hAnsi="Arial" w:cs="Arial"/>
                <w:b/>
                <w:color w:val="000000"/>
                <w:sz w:val="16"/>
                <w:szCs w:val="16"/>
              </w:rPr>
              <w:t>3,085</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1F15CA" w:rsidRDefault="00D22F5F" w:rsidP="0079525F">
            <w:pPr>
              <w:spacing w:before="60" w:after="60"/>
              <w:jc w:val="center"/>
              <w:rPr>
                <w:rFonts w:ascii="Arial" w:hAnsi="Arial" w:cs="Arial"/>
                <w:b/>
                <w:color w:val="000000"/>
                <w:sz w:val="16"/>
                <w:szCs w:val="16"/>
              </w:rPr>
            </w:pPr>
            <w:r w:rsidRPr="001F15CA">
              <w:rPr>
                <w:rFonts w:ascii="Arial" w:hAnsi="Arial" w:cs="Arial"/>
                <w:b/>
                <w:color w:val="000000"/>
                <w:sz w:val="16"/>
                <w:szCs w:val="16"/>
              </w:rPr>
              <w:t>39.12</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1F15CA" w:rsidRDefault="00D22F5F" w:rsidP="0079525F">
            <w:pPr>
              <w:spacing w:before="60" w:after="60"/>
              <w:jc w:val="center"/>
              <w:rPr>
                <w:rFonts w:ascii="Arial" w:hAnsi="Arial" w:cs="Arial"/>
                <w:b/>
                <w:color w:val="000000"/>
                <w:sz w:val="16"/>
                <w:szCs w:val="16"/>
              </w:rPr>
            </w:pPr>
            <w:r w:rsidRPr="001F15CA">
              <w:rPr>
                <w:rFonts w:ascii="Arial" w:hAnsi="Arial" w:cs="Arial"/>
                <w:b/>
                <w:color w:val="000000"/>
                <w:sz w:val="16"/>
                <w:szCs w:val="16"/>
              </w:rPr>
              <w:t>1.99</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1F15CA" w:rsidRDefault="00D22F5F" w:rsidP="0079525F">
            <w:pPr>
              <w:spacing w:before="60" w:after="60"/>
              <w:jc w:val="center"/>
              <w:rPr>
                <w:rFonts w:ascii="Arial" w:hAnsi="Arial" w:cs="Arial"/>
                <w:b/>
                <w:color w:val="000000"/>
                <w:sz w:val="16"/>
                <w:szCs w:val="16"/>
              </w:rPr>
            </w:pPr>
            <w:r w:rsidRPr="001F15CA">
              <w:rPr>
                <w:rFonts w:ascii="Arial" w:hAnsi="Arial" w:cs="Arial"/>
                <w:b/>
                <w:color w:val="000000"/>
                <w:sz w:val="16"/>
                <w:szCs w:val="16"/>
              </w:rPr>
              <w:t>5%</w:t>
            </w:r>
          </w:p>
        </w:tc>
        <w:tc>
          <w:tcPr>
            <w:tcW w:w="1080" w:type="dxa"/>
            <w:tcBorders>
              <w:top w:val="nil"/>
              <w:left w:val="nil"/>
              <w:bottom w:val="single" w:sz="8" w:space="0" w:color="auto"/>
              <w:right w:val="single" w:sz="8" w:space="0" w:color="auto"/>
            </w:tcBorders>
            <w:shd w:val="clear" w:color="000000" w:fill="FFFFFF"/>
            <w:noWrap/>
            <w:vAlign w:val="center"/>
            <w:hideMark/>
          </w:tcPr>
          <w:p w:rsidR="00D22F5F" w:rsidRPr="001F15CA" w:rsidRDefault="00D22F5F" w:rsidP="0079525F">
            <w:pPr>
              <w:spacing w:before="60" w:after="60"/>
              <w:jc w:val="center"/>
              <w:rPr>
                <w:rFonts w:ascii="Arial" w:hAnsi="Arial" w:cs="Arial"/>
                <w:b/>
                <w:color w:val="000000"/>
                <w:sz w:val="16"/>
                <w:szCs w:val="16"/>
              </w:rPr>
            </w:pPr>
            <w:r w:rsidRPr="001F15CA">
              <w:rPr>
                <w:rFonts w:ascii="Arial" w:hAnsi="Arial" w:cs="Arial"/>
                <w:b/>
                <w:color w:val="000000"/>
                <w:sz w:val="16"/>
                <w:szCs w:val="16"/>
              </w:rPr>
              <w:t>0.68</w:t>
            </w:r>
          </w:p>
        </w:tc>
        <w:tc>
          <w:tcPr>
            <w:tcW w:w="1170" w:type="dxa"/>
            <w:tcBorders>
              <w:top w:val="nil"/>
              <w:left w:val="nil"/>
              <w:bottom w:val="single" w:sz="8" w:space="0" w:color="auto"/>
              <w:right w:val="single" w:sz="8" w:space="0" w:color="auto"/>
            </w:tcBorders>
            <w:shd w:val="clear" w:color="000000" w:fill="FFFFFF"/>
            <w:noWrap/>
            <w:vAlign w:val="center"/>
            <w:hideMark/>
          </w:tcPr>
          <w:p w:rsidR="00D22F5F" w:rsidRPr="001F15CA" w:rsidRDefault="00D22F5F" w:rsidP="0079525F">
            <w:pPr>
              <w:spacing w:before="60" w:after="60"/>
              <w:jc w:val="center"/>
              <w:rPr>
                <w:rFonts w:ascii="Arial" w:hAnsi="Arial" w:cs="Arial"/>
                <w:b/>
                <w:color w:val="000000"/>
                <w:sz w:val="16"/>
                <w:szCs w:val="16"/>
              </w:rPr>
            </w:pPr>
            <w:r w:rsidRPr="001F15CA">
              <w:rPr>
                <w:rFonts w:ascii="Arial" w:hAnsi="Arial" w:cs="Arial"/>
                <w:b/>
                <w:color w:val="000000"/>
                <w:sz w:val="16"/>
                <w:szCs w:val="16"/>
              </w:rPr>
              <w:t>0.22</w:t>
            </w:r>
          </w:p>
        </w:tc>
        <w:tc>
          <w:tcPr>
            <w:tcW w:w="826" w:type="dxa"/>
            <w:tcBorders>
              <w:top w:val="nil"/>
              <w:left w:val="nil"/>
              <w:bottom w:val="single" w:sz="8" w:space="0" w:color="auto"/>
              <w:right w:val="single" w:sz="8" w:space="0" w:color="auto"/>
            </w:tcBorders>
            <w:shd w:val="clear" w:color="000000" w:fill="FFFFFF"/>
            <w:noWrap/>
            <w:vAlign w:val="center"/>
            <w:hideMark/>
          </w:tcPr>
          <w:p w:rsidR="00D22F5F" w:rsidRPr="001F15CA" w:rsidRDefault="00D22F5F" w:rsidP="0079525F">
            <w:pPr>
              <w:spacing w:before="60" w:after="60"/>
              <w:jc w:val="center"/>
              <w:rPr>
                <w:rFonts w:ascii="Arial" w:hAnsi="Arial" w:cs="Arial"/>
                <w:b/>
                <w:color w:val="000000"/>
                <w:sz w:val="16"/>
                <w:szCs w:val="16"/>
              </w:rPr>
            </w:pPr>
            <w:r w:rsidRPr="001F15CA">
              <w:rPr>
                <w:rFonts w:ascii="Arial" w:hAnsi="Arial" w:cs="Arial"/>
                <w:b/>
                <w:color w:val="000000"/>
                <w:sz w:val="16"/>
                <w:szCs w:val="16"/>
              </w:rPr>
              <w:t>80</w:t>
            </w:r>
          </w:p>
        </w:tc>
      </w:tr>
    </w:tbl>
    <w:p w:rsidR="00D22F5F" w:rsidRPr="00382BDA" w:rsidRDefault="00D22F5F" w:rsidP="00D22F5F">
      <w:pPr>
        <w:pStyle w:val="Heading3"/>
        <w:keepLines/>
        <w:spacing w:before="360" w:after="120"/>
        <w:rPr>
          <w:rFonts w:ascii="Times New Roman" w:hAnsi="Times New Roman" w:cs="Times New Roman"/>
        </w:rPr>
      </w:pPr>
      <w:bookmarkStart w:id="288" w:name="_Toc415585933"/>
      <w:bookmarkStart w:id="289" w:name="_Toc415749049"/>
      <w:r w:rsidRPr="00382BDA">
        <w:rPr>
          <w:rFonts w:ascii="Times New Roman" w:hAnsi="Times New Roman" w:cs="Times New Roman"/>
        </w:rPr>
        <w:t>Load Impacts by Cycling Strategy</w:t>
      </w:r>
      <w:bookmarkEnd w:id="288"/>
      <w:bookmarkEnd w:id="289"/>
    </w:p>
    <w:p w:rsidR="00B51882" w:rsidRDefault="00B51882" w:rsidP="00B51882">
      <w:pPr>
        <w:pStyle w:val="BodyParagraph"/>
        <w:spacing w:after="0" w:line="276" w:lineRule="auto"/>
        <w:rPr>
          <w:rFonts w:ascii="Times New Roman" w:hAnsi="Times New Roman"/>
          <w:sz w:val="24"/>
          <w:szCs w:val="24"/>
        </w:rPr>
      </w:pPr>
    </w:p>
    <w:p w:rsidR="00D22F5F" w:rsidRPr="00B51882" w:rsidRDefault="00D22F5F" w:rsidP="00B51882">
      <w:pPr>
        <w:pStyle w:val="BodyParagraph"/>
        <w:spacing w:after="0" w:line="276" w:lineRule="auto"/>
        <w:ind w:firstLine="720"/>
        <w:rPr>
          <w:rFonts w:ascii="Times New Roman" w:hAnsi="Times New Roman"/>
          <w:sz w:val="24"/>
          <w:szCs w:val="24"/>
        </w:rPr>
      </w:pPr>
      <w:r w:rsidRPr="00B51882">
        <w:rPr>
          <w:rFonts w:ascii="Times New Roman" w:hAnsi="Times New Roman"/>
          <w:sz w:val="24"/>
          <w:szCs w:val="24"/>
        </w:rPr>
        <w:t>Commercial thermostat program participants are on one of two cycling strategies – a 4-degree setback or 50% cycling. These customers are split almost evenly into the two groups. This segmentation allows for a comparison between the two cycling strategies. Table 10-6 shows the average load reduction by cycling strategy. The average event-day temperature for participants assigned to each of the two strategies were nearly the same, yet the load reduction in aggregate, per-thermostat, and per-customer terms were all considerably higher among the 4-degree setback customers. Since there were large and statistically significant differences in peak demand on non-event days for these two groups, it is difficult to assess whether this effect will continue to hold in the future, but it suggests that the 4-degree setback may be a better approach going forward</w:t>
      </w:r>
      <w:r w:rsidR="00B51882">
        <w:rPr>
          <w:rFonts w:ascii="Times New Roman" w:hAnsi="Times New Roman"/>
          <w:sz w:val="24"/>
          <w:szCs w:val="24"/>
        </w:rPr>
        <w:t>.</w:t>
      </w:r>
    </w:p>
    <w:p w:rsidR="00B51882" w:rsidRDefault="00B51882" w:rsidP="00D22F5F">
      <w:pPr>
        <w:pStyle w:val="TableFigureCaption"/>
        <w:rPr>
          <w:rFonts w:ascii="Times New Roman" w:hAnsi="Times New Roman"/>
          <w:sz w:val="20"/>
          <w:szCs w:val="20"/>
        </w:rPr>
      </w:pPr>
    </w:p>
    <w:p w:rsidR="00D22F5F" w:rsidRPr="00287CF2" w:rsidRDefault="00D22F5F" w:rsidP="00D22F5F">
      <w:pPr>
        <w:pStyle w:val="TableFigureCaption"/>
        <w:rPr>
          <w:rFonts w:ascii="Times New Roman" w:hAnsi="Times New Roman"/>
          <w:sz w:val="20"/>
          <w:szCs w:val="20"/>
        </w:rPr>
      </w:pPr>
      <w:r w:rsidRPr="00287CF2">
        <w:rPr>
          <w:rFonts w:ascii="Times New Roman" w:hAnsi="Times New Roman"/>
          <w:sz w:val="20"/>
          <w:szCs w:val="20"/>
        </w:rPr>
        <w:t xml:space="preserve">Table 10-6: 2014 Commercial Thermostat Average Hourly Load Reduction </w:t>
      </w:r>
      <w:r w:rsidRPr="00287CF2">
        <w:rPr>
          <w:rFonts w:ascii="Times New Roman" w:hAnsi="Times New Roman"/>
          <w:sz w:val="20"/>
          <w:szCs w:val="20"/>
        </w:rPr>
        <w:br/>
        <w:t xml:space="preserve">for Event Period (2 to 6 PM) by Cycling Strategy </w:t>
      </w:r>
      <w:r w:rsidRPr="00287CF2">
        <w:rPr>
          <w:rFonts w:ascii="Times New Roman" w:hAnsi="Times New Roman"/>
          <w:sz w:val="20"/>
          <w:szCs w:val="20"/>
        </w:rPr>
        <w:br/>
        <w:t>(kW per Customer, Aggregate MW, and kW per Thermostat)</w:t>
      </w:r>
    </w:p>
    <w:tbl>
      <w:tblPr>
        <w:tblW w:w="11146" w:type="dxa"/>
        <w:jc w:val="center"/>
        <w:tblInd w:w="-858" w:type="dxa"/>
        <w:tblLook w:val="04A0" w:firstRow="1" w:lastRow="0" w:firstColumn="1" w:lastColumn="0" w:noHBand="0" w:noVBand="1"/>
      </w:tblPr>
      <w:tblGrid>
        <w:gridCol w:w="1797"/>
        <w:gridCol w:w="1195"/>
        <w:gridCol w:w="1242"/>
        <w:gridCol w:w="1043"/>
        <w:gridCol w:w="999"/>
        <w:gridCol w:w="1254"/>
        <w:gridCol w:w="1515"/>
        <w:gridCol w:w="1147"/>
        <w:gridCol w:w="1117"/>
      </w:tblGrid>
      <w:tr w:rsidR="00D22F5F" w:rsidRPr="00307162" w:rsidTr="0079525F">
        <w:trPr>
          <w:trHeight w:val="790"/>
          <w:jc w:val="center"/>
        </w:trPr>
        <w:tc>
          <w:tcPr>
            <w:tcW w:w="1797" w:type="dxa"/>
            <w:tcBorders>
              <w:top w:val="single" w:sz="8" w:space="0" w:color="auto"/>
              <w:left w:val="single" w:sz="8" w:space="0" w:color="auto"/>
              <w:bottom w:val="single" w:sz="4"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Strategy</w:t>
            </w:r>
          </w:p>
        </w:tc>
        <w:tc>
          <w:tcPr>
            <w:tcW w:w="1195" w:type="dxa"/>
            <w:tcBorders>
              <w:top w:val="single" w:sz="8" w:space="0" w:color="auto"/>
              <w:left w:val="nil"/>
              <w:bottom w:val="single" w:sz="4"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Enrolled Participants</w:t>
            </w:r>
          </w:p>
        </w:tc>
        <w:tc>
          <w:tcPr>
            <w:tcW w:w="1242" w:type="dxa"/>
            <w:tcBorders>
              <w:top w:val="single" w:sz="8" w:space="0" w:color="auto"/>
              <w:left w:val="nil"/>
              <w:bottom w:val="single" w:sz="4"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Pr>
                <w:rFonts w:ascii="Arial" w:hAnsi="Arial" w:cs="Arial"/>
                <w:b/>
                <w:bCs/>
                <w:color w:val="FFFFFF"/>
                <w:sz w:val="16"/>
                <w:szCs w:val="16"/>
              </w:rPr>
              <w:t xml:space="preserve">Total </w:t>
            </w:r>
            <w:r w:rsidRPr="00DE2A61">
              <w:rPr>
                <w:rFonts w:ascii="Arial" w:hAnsi="Arial" w:cs="Arial"/>
                <w:b/>
                <w:bCs/>
                <w:color w:val="FFFFFF"/>
                <w:sz w:val="16"/>
                <w:szCs w:val="16"/>
              </w:rPr>
              <w:t>Number of Thermostats</w:t>
            </w:r>
          </w:p>
        </w:tc>
        <w:tc>
          <w:tcPr>
            <w:tcW w:w="1043" w:type="dxa"/>
            <w:tcBorders>
              <w:top w:val="single" w:sz="8" w:space="0" w:color="auto"/>
              <w:left w:val="nil"/>
              <w:bottom w:val="single" w:sz="4"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Avg. Reference Load (kW)</w:t>
            </w:r>
          </w:p>
        </w:tc>
        <w:tc>
          <w:tcPr>
            <w:tcW w:w="836" w:type="dxa"/>
            <w:tcBorders>
              <w:top w:val="single" w:sz="8" w:space="0" w:color="auto"/>
              <w:left w:val="nil"/>
              <w:bottom w:val="single" w:sz="4"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Avg. Load Reduction (kW)</w:t>
            </w:r>
          </w:p>
        </w:tc>
        <w:tc>
          <w:tcPr>
            <w:tcW w:w="1254" w:type="dxa"/>
            <w:tcBorders>
              <w:top w:val="single" w:sz="8" w:space="0" w:color="auto"/>
              <w:left w:val="nil"/>
              <w:bottom w:val="single" w:sz="4"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Percent Load Reduction</w:t>
            </w:r>
            <w:r>
              <w:rPr>
                <w:rFonts w:ascii="Arial" w:hAnsi="Arial" w:cs="Arial"/>
                <w:b/>
                <w:bCs/>
                <w:color w:val="FFFFFF"/>
                <w:sz w:val="16"/>
                <w:szCs w:val="16"/>
              </w:rPr>
              <w:t xml:space="preserve"> </w:t>
            </w:r>
            <w:r w:rsidRPr="00DE2A61">
              <w:rPr>
                <w:rFonts w:ascii="Arial" w:hAnsi="Arial" w:cs="Arial"/>
                <w:b/>
                <w:bCs/>
                <w:color w:val="FFFFFF"/>
                <w:sz w:val="16"/>
                <w:szCs w:val="16"/>
              </w:rPr>
              <w:t>(%)</w:t>
            </w:r>
          </w:p>
        </w:tc>
        <w:tc>
          <w:tcPr>
            <w:tcW w:w="1515" w:type="dxa"/>
            <w:tcBorders>
              <w:top w:val="single" w:sz="8" w:space="0" w:color="auto"/>
              <w:left w:val="nil"/>
              <w:bottom w:val="single" w:sz="4"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Aggregate Load Reduction</w:t>
            </w:r>
            <w:r>
              <w:rPr>
                <w:rFonts w:ascii="Arial" w:hAnsi="Arial" w:cs="Arial"/>
                <w:b/>
                <w:bCs/>
                <w:color w:val="FFFFFF"/>
                <w:sz w:val="16"/>
                <w:szCs w:val="16"/>
              </w:rPr>
              <w:t xml:space="preserve"> </w:t>
            </w:r>
            <w:r w:rsidRPr="00DE2A61">
              <w:rPr>
                <w:rFonts w:ascii="Arial" w:hAnsi="Arial" w:cs="Arial"/>
                <w:b/>
                <w:bCs/>
                <w:color w:val="FFFFFF"/>
                <w:sz w:val="16"/>
                <w:szCs w:val="16"/>
              </w:rPr>
              <w:t>(MW)</w:t>
            </w:r>
          </w:p>
        </w:tc>
        <w:tc>
          <w:tcPr>
            <w:tcW w:w="1147" w:type="dxa"/>
            <w:tcBorders>
              <w:top w:val="single" w:sz="8" w:space="0" w:color="auto"/>
              <w:left w:val="nil"/>
              <w:bottom w:val="single" w:sz="4" w:space="0" w:color="auto"/>
              <w:right w:val="single" w:sz="8" w:space="0" w:color="FFFFFF"/>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Average Thermostat Impact</w:t>
            </w:r>
            <w:r>
              <w:rPr>
                <w:rFonts w:ascii="Arial" w:hAnsi="Arial" w:cs="Arial"/>
                <w:b/>
                <w:bCs/>
                <w:color w:val="FFFFFF"/>
                <w:sz w:val="16"/>
                <w:szCs w:val="16"/>
              </w:rPr>
              <w:t xml:space="preserve"> </w:t>
            </w:r>
            <w:r w:rsidRPr="00DE2A61">
              <w:rPr>
                <w:rFonts w:ascii="Arial" w:hAnsi="Arial" w:cs="Arial"/>
                <w:b/>
                <w:bCs/>
                <w:color w:val="FFFFFF"/>
                <w:sz w:val="16"/>
                <w:szCs w:val="16"/>
              </w:rPr>
              <w:t>(kW)</w:t>
            </w:r>
          </w:p>
        </w:tc>
        <w:tc>
          <w:tcPr>
            <w:tcW w:w="1117" w:type="dxa"/>
            <w:tcBorders>
              <w:top w:val="single" w:sz="8" w:space="0" w:color="auto"/>
              <w:left w:val="nil"/>
              <w:bottom w:val="single" w:sz="4" w:space="0" w:color="auto"/>
              <w:right w:val="single" w:sz="8" w:space="0" w:color="auto"/>
            </w:tcBorders>
            <w:shd w:val="clear" w:color="000000" w:fill="0070CD"/>
            <w:vAlign w:val="center"/>
            <w:hideMark/>
          </w:tcPr>
          <w:p w:rsidR="00D22F5F" w:rsidRPr="00DE2A61" w:rsidRDefault="00D22F5F" w:rsidP="0079525F">
            <w:pPr>
              <w:spacing w:before="60" w:after="60"/>
              <w:jc w:val="center"/>
              <w:rPr>
                <w:rFonts w:ascii="Arial" w:hAnsi="Arial" w:cs="Arial"/>
                <w:b/>
                <w:bCs/>
                <w:color w:val="FFFFFF"/>
                <w:sz w:val="16"/>
                <w:szCs w:val="16"/>
              </w:rPr>
            </w:pPr>
            <w:r w:rsidRPr="00DE2A61">
              <w:rPr>
                <w:rFonts w:ascii="Arial" w:hAnsi="Arial" w:cs="Arial"/>
                <w:b/>
                <w:bCs/>
                <w:color w:val="FFFFFF"/>
                <w:sz w:val="16"/>
                <w:szCs w:val="16"/>
              </w:rPr>
              <w:t>Mean17 (°F)</w:t>
            </w:r>
          </w:p>
        </w:tc>
      </w:tr>
      <w:tr w:rsidR="00D22F5F" w:rsidRPr="00307162" w:rsidTr="0079525F">
        <w:trPr>
          <w:trHeight w:val="315"/>
          <w:jc w:val="center"/>
        </w:trPr>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4-Degree Setback</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173</w:t>
            </w:r>
          </w:p>
        </w:tc>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1,855</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46.51</w:t>
            </w:r>
          </w:p>
        </w:tc>
        <w:tc>
          <w:tcPr>
            <w:tcW w:w="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2.74</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6%</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0.47</w:t>
            </w:r>
          </w:p>
        </w:tc>
        <w:tc>
          <w:tcPr>
            <w:tcW w:w="11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0.25</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80</w:t>
            </w:r>
          </w:p>
        </w:tc>
      </w:tr>
      <w:tr w:rsidR="00D22F5F" w:rsidRPr="00307162" w:rsidTr="0079525F">
        <w:trPr>
          <w:trHeight w:val="315"/>
          <w:jc w:val="center"/>
        </w:trPr>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50% Cycling</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163</w:t>
            </w:r>
          </w:p>
        </w:tc>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1,193</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30.87</w:t>
            </w:r>
          </w:p>
        </w:tc>
        <w:tc>
          <w:tcPr>
            <w:tcW w:w="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1.21</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4%</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0.20</w:t>
            </w:r>
          </w:p>
        </w:tc>
        <w:tc>
          <w:tcPr>
            <w:tcW w:w="11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0.17</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color w:val="000000"/>
                <w:sz w:val="16"/>
                <w:szCs w:val="16"/>
              </w:rPr>
            </w:pPr>
            <w:r w:rsidRPr="00DE2A61">
              <w:rPr>
                <w:rFonts w:ascii="Arial" w:hAnsi="Arial" w:cs="Arial"/>
                <w:color w:val="000000"/>
                <w:sz w:val="16"/>
                <w:szCs w:val="16"/>
              </w:rPr>
              <w:t>80</w:t>
            </w:r>
          </w:p>
        </w:tc>
      </w:tr>
      <w:tr w:rsidR="00D22F5F" w:rsidRPr="006752C9" w:rsidTr="0079525F">
        <w:trPr>
          <w:trHeight w:val="315"/>
          <w:jc w:val="center"/>
        </w:trPr>
        <w:tc>
          <w:tcPr>
            <w:tcW w:w="1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b/>
                <w:color w:val="000000"/>
                <w:sz w:val="16"/>
                <w:szCs w:val="16"/>
              </w:rPr>
            </w:pPr>
            <w:r w:rsidRPr="00DE2A61">
              <w:rPr>
                <w:rFonts w:ascii="Arial" w:hAnsi="Arial" w:cs="Arial"/>
                <w:b/>
                <w:color w:val="000000"/>
                <w:sz w:val="16"/>
                <w:szCs w:val="16"/>
              </w:rPr>
              <w:t>Overall</w:t>
            </w:r>
          </w:p>
        </w:tc>
        <w:tc>
          <w:tcPr>
            <w:tcW w:w="11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b/>
                <w:color w:val="000000"/>
                <w:sz w:val="16"/>
                <w:szCs w:val="16"/>
              </w:rPr>
            </w:pPr>
            <w:r w:rsidRPr="00DE2A61">
              <w:rPr>
                <w:rFonts w:ascii="Arial" w:hAnsi="Arial" w:cs="Arial"/>
                <w:b/>
                <w:color w:val="000000"/>
                <w:sz w:val="16"/>
                <w:szCs w:val="16"/>
              </w:rPr>
              <w:t>341</w:t>
            </w:r>
          </w:p>
        </w:tc>
        <w:tc>
          <w:tcPr>
            <w:tcW w:w="12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b/>
                <w:color w:val="000000"/>
                <w:sz w:val="16"/>
                <w:szCs w:val="16"/>
              </w:rPr>
            </w:pPr>
            <w:r w:rsidRPr="00DE2A61">
              <w:rPr>
                <w:rFonts w:ascii="Arial" w:hAnsi="Arial" w:cs="Arial"/>
                <w:b/>
                <w:color w:val="000000"/>
                <w:sz w:val="16"/>
                <w:szCs w:val="16"/>
              </w:rPr>
              <w:t>3,085</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b/>
                <w:color w:val="000000"/>
                <w:sz w:val="16"/>
                <w:szCs w:val="16"/>
              </w:rPr>
            </w:pPr>
            <w:r w:rsidRPr="00DE2A61">
              <w:rPr>
                <w:rFonts w:ascii="Arial" w:hAnsi="Arial" w:cs="Arial"/>
                <w:b/>
                <w:color w:val="000000"/>
                <w:sz w:val="16"/>
                <w:szCs w:val="16"/>
              </w:rPr>
              <w:t>39.12</w:t>
            </w:r>
          </w:p>
        </w:tc>
        <w:tc>
          <w:tcPr>
            <w:tcW w:w="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b/>
                <w:color w:val="000000"/>
                <w:sz w:val="16"/>
                <w:szCs w:val="16"/>
              </w:rPr>
            </w:pPr>
            <w:r w:rsidRPr="00DE2A61">
              <w:rPr>
                <w:rFonts w:ascii="Arial" w:hAnsi="Arial" w:cs="Arial"/>
                <w:b/>
                <w:color w:val="000000"/>
                <w:sz w:val="16"/>
                <w:szCs w:val="16"/>
              </w:rPr>
              <w:t>1.99</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b/>
                <w:color w:val="000000"/>
                <w:sz w:val="16"/>
                <w:szCs w:val="16"/>
              </w:rPr>
            </w:pPr>
            <w:r w:rsidRPr="00DE2A61">
              <w:rPr>
                <w:rFonts w:ascii="Arial" w:hAnsi="Arial" w:cs="Arial"/>
                <w:b/>
                <w:color w:val="000000"/>
                <w:sz w:val="16"/>
                <w:szCs w:val="16"/>
              </w:rPr>
              <w:t>5%</w:t>
            </w:r>
          </w:p>
        </w:tc>
        <w:tc>
          <w:tcPr>
            <w:tcW w:w="15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b/>
                <w:color w:val="000000"/>
                <w:sz w:val="16"/>
                <w:szCs w:val="16"/>
              </w:rPr>
            </w:pPr>
            <w:r w:rsidRPr="00DE2A61">
              <w:rPr>
                <w:rFonts w:ascii="Arial" w:hAnsi="Arial" w:cs="Arial"/>
                <w:b/>
                <w:color w:val="000000"/>
                <w:sz w:val="16"/>
                <w:szCs w:val="16"/>
              </w:rPr>
              <w:t>0.68</w:t>
            </w:r>
          </w:p>
        </w:tc>
        <w:tc>
          <w:tcPr>
            <w:tcW w:w="11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b/>
                <w:color w:val="000000"/>
                <w:sz w:val="16"/>
                <w:szCs w:val="16"/>
              </w:rPr>
            </w:pPr>
            <w:r w:rsidRPr="00DE2A61">
              <w:rPr>
                <w:rFonts w:ascii="Arial" w:hAnsi="Arial" w:cs="Arial"/>
                <w:b/>
                <w:color w:val="000000"/>
                <w:sz w:val="16"/>
                <w:szCs w:val="16"/>
              </w:rPr>
              <w:t>0.22</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2F5F" w:rsidRPr="00DE2A61" w:rsidRDefault="00D22F5F" w:rsidP="0079525F">
            <w:pPr>
              <w:spacing w:before="60" w:after="60"/>
              <w:jc w:val="center"/>
              <w:rPr>
                <w:rFonts w:ascii="Arial" w:hAnsi="Arial" w:cs="Arial"/>
                <w:b/>
                <w:color w:val="000000"/>
                <w:sz w:val="16"/>
                <w:szCs w:val="16"/>
              </w:rPr>
            </w:pPr>
            <w:r w:rsidRPr="00DE2A61">
              <w:rPr>
                <w:rFonts w:ascii="Arial" w:hAnsi="Arial" w:cs="Arial"/>
                <w:b/>
                <w:color w:val="000000"/>
                <w:sz w:val="16"/>
                <w:szCs w:val="16"/>
              </w:rPr>
              <w:t>80</w:t>
            </w:r>
          </w:p>
        </w:tc>
      </w:tr>
    </w:tbl>
    <w:p w:rsidR="002D38CC" w:rsidRDefault="002D38CC" w:rsidP="00873F41">
      <w:pPr>
        <w:pStyle w:val="BodyParagraph"/>
      </w:pPr>
    </w:p>
    <w:p w:rsidR="00047421" w:rsidRPr="00382BDA" w:rsidRDefault="00047421" w:rsidP="00047421">
      <w:pPr>
        <w:pStyle w:val="Heading3"/>
        <w:keepLines/>
        <w:spacing w:before="360" w:after="120"/>
        <w:rPr>
          <w:rFonts w:ascii="Times New Roman" w:hAnsi="Times New Roman" w:cs="Times New Roman"/>
        </w:rPr>
      </w:pPr>
      <w:bookmarkStart w:id="290" w:name="_Toc415585934"/>
      <w:bookmarkStart w:id="291" w:name="_Toc415749050"/>
      <w:r w:rsidRPr="00382BDA">
        <w:rPr>
          <w:rFonts w:ascii="Times New Roman" w:hAnsi="Times New Roman" w:cs="Times New Roman"/>
        </w:rPr>
        <w:t>Load Impacts by Source</w:t>
      </w:r>
      <w:bookmarkEnd w:id="290"/>
      <w:bookmarkEnd w:id="291"/>
    </w:p>
    <w:p w:rsidR="00052850" w:rsidRDefault="00052850" w:rsidP="00052850">
      <w:pPr>
        <w:pStyle w:val="BodyParagraph"/>
        <w:spacing w:after="0" w:line="276" w:lineRule="auto"/>
        <w:rPr>
          <w:rFonts w:ascii="Times New Roman" w:hAnsi="Times New Roman"/>
          <w:sz w:val="24"/>
          <w:szCs w:val="24"/>
        </w:rPr>
      </w:pPr>
    </w:p>
    <w:p w:rsidR="00047421" w:rsidRDefault="00047421" w:rsidP="00052850">
      <w:pPr>
        <w:pStyle w:val="BodyParagraph"/>
        <w:spacing w:after="0" w:line="276" w:lineRule="auto"/>
        <w:ind w:firstLine="720"/>
        <w:rPr>
          <w:rFonts w:ascii="Times New Roman" w:hAnsi="Times New Roman"/>
          <w:sz w:val="24"/>
          <w:szCs w:val="24"/>
        </w:rPr>
      </w:pPr>
      <w:r w:rsidRPr="00052850">
        <w:rPr>
          <w:rFonts w:ascii="Times New Roman" w:hAnsi="Times New Roman"/>
          <w:sz w:val="24"/>
          <w:szCs w:val="24"/>
        </w:rPr>
        <w:t xml:space="preserve">The commercial thermostat customers came from one of two different internal sources within SDG&amp;E – Demand Response and Direct Install. Table 10-7 shows the average hourly load reduction by source. Many more commercial customers were signed up through Demand </w:t>
      </w:r>
      <w:r w:rsidRPr="00052850">
        <w:rPr>
          <w:rFonts w:ascii="Times New Roman" w:hAnsi="Times New Roman"/>
          <w:sz w:val="24"/>
          <w:szCs w:val="24"/>
        </w:rPr>
        <w:lastRenderedPageBreak/>
        <w:t>Response (262) than through Direct Install (78), and many more thermostats were signed up through Demand Response (2,849) than Direct Install (232). Nonetheless, the two customer groups provided very similar per-thermostat response.</w:t>
      </w:r>
    </w:p>
    <w:p w:rsidR="00052850" w:rsidRPr="00052850" w:rsidRDefault="00052850" w:rsidP="00052850">
      <w:pPr>
        <w:pStyle w:val="BodyParagraph"/>
        <w:spacing w:after="0" w:line="276" w:lineRule="auto"/>
        <w:ind w:firstLine="720"/>
        <w:rPr>
          <w:rFonts w:ascii="Times New Roman" w:hAnsi="Times New Roman"/>
          <w:sz w:val="24"/>
          <w:szCs w:val="24"/>
        </w:rPr>
      </w:pPr>
    </w:p>
    <w:p w:rsidR="00047421" w:rsidRPr="00D6772C" w:rsidRDefault="00047421" w:rsidP="00047421">
      <w:pPr>
        <w:pStyle w:val="TableFigureCaption"/>
        <w:rPr>
          <w:rFonts w:ascii="Times New Roman" w:hAnsi="Times New Roman"/>
          <w:sz w:val="20"/>
          <w:szCs w:val="20"/>
        </w:rPr>
      </w:pPr>
      <w:r w:rsidRPr="00D6772C">
        <w:rPr>
          <w:rFonts w:ascii="Times New Roman" w:hAnsi="Times New Roman"/>
          <w:sz w:val="20"/>
          <w:szCs w:val="20"/>
        </w:rPr>
        <w:t xml:space="preserve">Table 10-7: 2014 Commercial Thermostat Average Hourly Load Reduction </w:t>
      </w:r>
      <w:r w:rsidRPr="00D6772C">
        <w:rPr>
          <w:rFonts w:ascii="Times New Roman" w:hAnsi="Times New Roman"/>
          <w:sz w:val="20"/>
          <w:szCs w:val="20"/>
        </w:rPr>
        <w:br/>
        <w:t>for Event Period (2 to 6 PM) by Source within SDG&amp;E</w:t>
      </w:r>
      <w:r w:rsidRPr="00D6772C">
        <w:rPr>
          <w:rFonts w:ascii="Times New Roman" w:hAnsi="Times New Roman"/>
          <w:sz w:val="20"/>
          <w:szCs w:val="20"/>
        </w:rPr>
        <w:br/>
        <w:t>(kW per Customer, Aggregate MW, and kW per Thermostat)</w:t>
      </w:r>
    </w:p>
    <w:tbl>
      <w:tblPr>
        <w:tblW w:w="11047" w:type="dxa"/>
        <w:jc w:val="center"/>
        <w:tblInd w:w="912" w:type="dxa"/>
        <w:tblLook w:val="04A0" w:firstRow="1" w:lastRow="0" w:firstColumn="1" w:lastColumn="0" w:noHBand="0" w:noVBand="1"/>
      </w:tblPr>
      <w:tblGrid>
        <w:gridCol w:w="1849"/>
        <w:gridCol w:w="1247"/>
        <w:gridCol w:w="1297"/>
        <w:gridCol w:w="1162"/>
        <w:gridCol w:w="1096"/>
        <w:gridCol w:w="1170"/>
        <w:gridCol w:w="1152"/>
        <w:gridCol w:w="1197"/>
        <w:gridCol w:w="877"/>
      </w:tblGrid>
      <w:tr w:rsidR="00047421" w:rsidRPr="001E6657" w:rsidTr="0079525F">
        <w:trPr>
          <w:trHeight w:val="960"/>
          <w:jc w:val="center"/>
        </w:trPr>
        <w:tc>
          <w:tcPr>
            <w:tcW w:w="1849" w:type="dxa"/>
            <w:tcBorders>
              <w:top w:val="single" w:sz="8" w:space="0" w:color="auto"/>
              <w:left w:val="single" w:sz="8" w:space="0" w:color="auto"/>
              <w:bottom w:val="nil"/>
              <w:right w:val="single" w:sz="8" w:space="0" w:color="FFFFFF"/>
            </w:tcBorders>
            <w:shd w:val="clear" w:color="000000" w:fill="0070CD"/>
            <w:vAlign w:val="center"/>
            <w:hideMark/>
          </w:tcPr>
          <w:p w:rsidR="00047421" w:rsidRPr="001E6657" w:rsidRDefault="00047421" w:rsidP="0079525F">
            <w:pPr>
              <w:spacing w:before="60" w:after="60"/>
              <w:jc w:val="center"/>
              <w:rPr>
                <w:rFonts w:ascii="Arial" w:hAnsi="Arial" w:cs="Arial"/>
                <w:b/>
                <w:bCs/>
                <w:color w:val="FFFFFF"/>
                <w:sz w:val="18"/>
                <w:szCs w:val="18"/>
              </w:rPr>
            </w:pPr>
            <w:r w:rsidRPr="001E6657">
              <w:rPr>
                <w:rFonts w:ascii="Arial" w:hAnsi="Arial" w:cs="Arial"/>
                <w:b/>
                <w:bCs/>
                <w:color w:val="FFFFFF"/>
                <w:sz w:val="18"/>
                <w:szCs w:val="18"/>
              </w:rPr>
              <w:t>Source</w:t>
            </w:r>
          </w:p>
        </w:tc>
        <w:tc>
          <w:tcPr>
            <w:tcW w:w="1247" w:type="dxa"/>
            <w:tcBorders>
              <w:top w:val="single" w:sz="8" w:space="0" w:color="auto"/>
              <w:left w:val="nil"/>
              <w:bottom w:val="nil"/>
              <w:right w:val="single" w:sz="8" w:space="0" w:color="FFFFFF"/>
            </w:tcBorders>
            <w:shd w:val="clear" w:color="000000" w:fill="0070CD"/>
            <w:vAlign w:val="center"/>
            <w:hideMark/>
          </w:tcPr>
          <w:p w:rsidR="00047421" w:rsidRPr="001E6657" w:rsidRDefault="00047421" w:rsidP="0079525F">
            <w:pPr>
              <w:spacing w:before="60" w:after="60"/>
              <w:jc w:val="center"/>
              <w:rPr>
                <w:rFonts w:ascii="Arial" w:hAnsi="Arial" w:cs="Arial"/>
                <w:b/>
                <w:bCs/>
                <w:color w:val="FFFFFF"/>
                <w:sz w:val="18"/>
                <w:szCs w:val="18"/>
              </w:rPr>
            </w:pPr>
            <w:r w:rsidRPr="001E6657">
              <w:rPr>
                <w:rFonts w:ascii="Arial" w:hAnsi="Arial" w:cs="Arial"/>
                <w:b/>
                <w:bCs/>
                <w:color w:val="FFFFFF"/>
                <w:sz w:val="18"/>
                <w:szCs w:val="18"/>
              </w:rPr>
              <w:t>Enrolled Participants</w:t>
            </w:r>
          </w:p>
        </w:tc>
        <w:tc>
          <w:tcPr>
            <w:tcW w:w="1297" w:type="dxa"/>
            <w:tcBorders>
              <w:top w:val="single" w:sz="8" w:space="0" w:color="auto"/>
              <w:left w:val="nil"/>
              <w:bottom w:val="nil"/>
              <w:right w:val="single" w:sz="8" w:space="0" w:color="FFFFFF"/>
            </w:tcBorders>
            <w:shd w:val="clear" w:color="000000" w:fill="0070CD"/>
            <w:vAlign w:val="center"/>
            <w:hideMark/>
          </w:tcPr>
          <w:p w:rsidR="00047421" w:rsidRPr="001E6657" w:rsidRDefault="00047421" w:rsidP="0079525F">
            <w:pPr>
              <w:spacing w:before="60" w:after="60"/>
              <w:jc w:val="center"/>
              <w:rPr>
                <w:rFonts w:ascii="Arial" w:hAnsi="Arial" w:cs="Arial"/>
                <w:b/>
                <w:bCs/>
                <w:color w:val="FFFFFF"/>
                <w:sz w:val="18"/>
                <w:szCs w:val="18"/>
              </w:rPr>
            </w:pPr>
            <w:r>
              <w:rPr>
                <w:rFonts w:ascii="Arial" w:hAnsi="Arial" w:cs="Arial"/>
                <w:b/>
                <w:bCs/>
                <w:color w:val="FFFFFF"/>
                <w:sz w:val="18"/>
                <w:szCs w:val="18"/>
              </w:rPr>
              <w:t xml:space="preserve">Total </w:t>
            </w:r>
            <w:r w:rsidRPr="001E6657">
              <w:rPr>
                <w:rFonts w:ascii="Arial" w:hAnsi="Arial" w:cs="Arial"/>
                <w:b/>
                <w:bCs/>
                <w:color w:val="FFFFFF"/>
                <w:sz w:val="18"/>
                <w:szCs w:val="18"/>
              </w:rPr>
              <w:t>Number of Thermostats</w:t>
            </w:r>
          </w:p>
        </w:tc>
        <w:tc>
          <w:tcPr>
            <w:tcW w:w="1162" w:type="dxa"/>
            <w:tcBorders>
              <w:top w:val="single" w:sz="8" w:space="0" w:color="auto"/>
              <w:left w:val="nil"/>
              <w:bottom w:val="nil"/>
              <w:right w:val="single" w:sz="8" w:space="0" w:color="FFFFFF"/>
            </w:tcBorders>
            <w:shd w:val="clear" w:color="000000" w:fill="0070CD"/>
            <w:vAlign w:val="center"/>
            <w:hideMark/>
          </w:tcPr>
          <w:p w:rsidR="00047421" w:rsidRPr="001E6657" w:rsidRDefault="00047421" w:rsidP="0079525F">
            <w:pPr>
              <w:spacing w:before="60" w:after="60"/>
              <w:jc w:val="center"/>
              <w:rPr>
                <w:rFonts w:ascii="Arial" w:hAnsi="Arial" w:cs="Arial"/>
                <w:b/>
                <w:bCs/>
                <w:color w:val="FFFFFF"/>
                <w:sz w:val="18"/>
                <w:szCs w:val="18"/>
              </w:rPr>
            </w:pPr>
            <w:r w:rsidRPr="001E6657">
              <w:rPr>
                <w:rFonts w:ascii="Arial" w:hAnsi="Arial" w:cs="Arial"/>
                <w:b/>
                <w:bCs/>
                <w:color w:val="FFFFFF"/>
                <w:sz w:val="18"/>
                <w:szCs w:val="18"/>
              </w:rPr>
              <w:t>Avg. Reference Load (kW)</w:t>
            </w:r>
          </w:p>
        </w:tc>
        <w:tc>
          <w:tcPr>
            <w:tcW w:w="1096" w:type="dxa"/>
            <w:tcBorders>
              <w:top w:val="single" w:sz="8" w:space="0" w:color="auto"/>
              <w:left w:val="nil"/>
              <w:bottom w:val="nil"/>
              <w:right w:val="single" w:sz="8" w:space="0" w:color="FFFFFF"/>
            </w:tcBorders>
            <w:shd w:val="clear" w:color="000000" w:fill="0070CD"/>
            <w:vAlign w:val="center"/>
            <w:hideMark/>
          </w:tcPr>
          <w:p w:rsidR="00047421" w:rsidRPr="001E6657" w:rsidRDefault="00047421" w:rsidP="0079525F">
            <w:pPr>
              <w:spacing w:before="60" w:after="60"/>
              <w:jc w:val="center"/>
              <w:rPr>
                <w:rFonts w:ascii="Arial" w:hAnsi="Arial" w:cs="Arial"/>
                <w:b/>
                <w:bCs/>
                <w:color w:val="FFFFFF"/>
                <w:sz w:val="18"/>
                <w:szCs w:val="18"/>
              </w:rPr>
            </w:pPr>
            <w:r w:rsidRPr="001E6657">
              <w:rPr>
                <w:rFonts w:ascii="Arial" w:hAnsi="Arial" w:cs="Arial"/>
                <w:b/>
                <w:bCs/>
                <w:color w:val="FFFFFF"/>
                <w:sz w:val="18"/>
                <w:szCs w:val="18"/>
              </w:rPr>
              <w:t>Avg. Load Reduction (kW)</w:t>
            </w:r>
          </w:p>
        </w:tc>
        <w:tc>
          <w:tcPr>
            <w:tcW w:w="1170" w:type="dxa"/>
            <w:tcBorders>
              <w:top w:val="single" w:sz="8" w:space="0" w:color="auto"/>
              <w:left w:val="nil"/>
              <w:bottom w:val="nil"/>
              <w:right w:val="single" w:sz="8" w:space="0" w:color="FFFFFF"/>
            </w:tcBorders>
            <w:shd w:val="clear" w:color="000000" w:fill="0070CD"/>
            <w:vAlign w:val="center"/>
            <w:hideMark/>
          </w:tcPr>
          <w:p w:rsidR="00047421" w:rsidRPr="001E6657" w:rsidRDefault="00047421" w:rsidP="0079525F">
            <w:pPr>
              <w:spacing w:before="60" w:after="60"/>
              <w:jc w:val="center"/>
              <w:rPr>
                <w:rFonts w:ascii="Arial" w:hAnsi="Arial" w:cs="Arial"/>
                <w:b/>
                <w:bCs/>
                <w:color w:val="FFFFFF"/>
                <w:sz w:val="18"/>
                <w:szCs w:val="18"/>
              </w:rPr>
            </w:pPr>
            <w:r w:rsidRPr="001E6657">
              <w:rPr>
                <w:rFonts w:ascii="Arial" w:hAnsi="Arial" w:cs="Arial"/>
                <w:b/>
                <w:bCs/>
                <w:color w:val="FFFFFF"/>
                <w:sz w:val="18"/>
                <w:szCs w:val="18"/>
              </w:rPr>
              <w:t>Percent Load Reduction (%)</w:t>
            </w:r>
          </w:p>
        </w:tc>
        <w:tc>
          <w:tcPr>
            <w:tcW w:w="1152" w:type="dxa"/>
            <w:tcBorders>
              <w:top w:val="single" w:sz="8" w:space="0" w:color="auto"/>
              <w:left w:val="nil"/>
              <w:bottom w:val="nil"/>
              <w:right w:val="single" w:sz="8" w:space="0" w:color="FFFFFF"/>
            </w:tcBorders>
            <w:shd w:val="clear" w:color="000000" w:fill="0070CD"/>
            <w:vAlign w:val="center"/>
            <w:hideMark/>
          </w:tcPr>
          <w:p w:rsidR="00047421" w:rsidRPr="001E6657" w:rsidRDefault="00047421" w:rsidP="0079525F">
            <w:pPr>
              <w:spacing w:before="60" w:after="60"/>
              <w:jc w:val="center"/>
              <w:rPr>
                <w:rFonts w:ascii="Arial" w:hAnsi="Arial" w:cs="Arial"/>
                <w:b/>
                <w:bCs/>
                <w:color w:val="FFFFFF"/>
                <w:sz w:val="18"/>
                <w:szCs w:val="18"/>
              </w:rPr>
            </w:pPr>
            <w:r w:rsidRPr="001E6657">
              <w:rPr>
                <w:rFonts w:ascii="Arial" w:hAnsi="Arial" w:cs="Arial"/>
                <w:b/>
                <w:bCs/>
                <w:color w:val="FFFFFF"/>
                <w:sz w:val="18"/>
                <w:szCs w:val="18"/>
              </w:rPr>
              <w:t>Aggregate Load Reduction (MW)</w:t>
            </w:r>
          </w:p>
        </w:tc>
        <w:tc>
          <w:tcPr>
            <w:tcW w:w="1197" w:type="dxa"/>
            <w:tcBorders>
              <w:top w:val="single" w:sz="8" w:space="0" w:color="auto"/>
              <w:left w:val="nil"/>
              <w:bottom w:val="nil"/>
              <w:right w:val="single" w:sz="8" w:space="0" w:color="FFFFFF"/>
            </w:tcBorders>
            <w:shd w:val="clear" w:color="000000" w:fill="0070CD"/>
            <w:vAlign w:val="center"/>
            <w:hideMark/>
          </w:tcPr>
          <w:p w:rsidR="00047421" w:rsidRPr="001E6657" w:rsidRDefault="00047421" w:rsidP="0079525F">
            <w:pPr>
              <w:spacing w:before="60" w:after="60"/>
              <w:jc w:val="center"/>
              <w:rPr>
                <w:rFonts w:ascii="Arial" w:hAnsi="Arial" w:cs="Arial"/>
                <w:b/>
                <w:bCs/>
                <w:color w:val="FFFFFF"/>
                <w:sz w:val="18"/>
                <w:szCs w:val="18"/>
              </w:rPr>
            </w:pPr>
            <w:r w:rsidRPr="001E6657">
              <w:rPr>
                <w:rFonts w:ascii="Arial" w:hAnsi="Arial" w:cs="Arial"/>
                <w:b/>
                <w:bCs/>
                <w:color w:val="FFFFFF"/>
                <w:sz w:val="18"/>
                <w:szCs w:val="18"/>
              </w:rPr>
              <w:t>Average Thermostat Impact (kW)</w:t>
            </w:r>
          </w:p>
        </w:tc>
        <w:tc>
          <w:tcPr>
            <w:tcW w:w="877" w:type="dxa"/>
            <w:tcBorders>
              <w:top w:val="single" w:sz="8" w:space="0" w:color="auto"/>
              <w:left w:val="nil"/>
              <w:bottom w:val="nil"/>
              <w:right w:val="single" w:sz="8" w:space="0" w:color="auto"/>
            </w:tcBorders>
            <w:shd w:val="clear" w:color="000000" w:fill="0070CD"/>
            <w:vAlign w:val="center"/>
            <w:hideMark/>
          </w:tcPr>
          <w:p w:rsidR="00047421" w:rsidRPr="001E6657" w:rsidRDefault="00047421" w:rsidP="0079525F">
            <w:pPr>
              <w:spacing w:before="60" w:after="60"/>
              <w:jc w:val="center"/>
              <w:rPr>
                <w:rFonts w:ascii="Arial" w:hAnsi="Arial" w:cs="Arial"/>
                <w:b/>
                <w:bCs/>
                <w:color w:val="FFFFFF"/>
                <w:sz w:val="18"/>
                <w:szCs w:val="18"/>
              </w:rPr>
            </w:pPr>
            <w:r w:rsidRPr="001E6657">
              <w:rPr>
                <w:rFonts w:ascii="Arial" w:hAnsi="Arial" w:cs="Arial"/>
                <w:b/>
                <w:bCs/>
                <w:color w:val="FFFFFF"/>
                <w:sz w:val="18"/>
                <w:szCs w:val="18"/>
              </w:rPr>
              <w:t>Mean17 (°F)</w:t>
            </w:r>
          </w:p>
        </w:tc>
      </w:tr>
      <w:tr w:rsidR="00047421" w:rsidRPr="001E6657" w:rsidTr="0079525F">
        <w:trPr>
          <w:trHeight w:val="300"/>
          <w:jc w:val="center"/>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421" w:rsidRPr="001E6657" w:rsidRDefault="00047421" w:rsidP="0079525F">
            <w:pPr>
              <w:pStyle w:val="TableText"/>
              <w:rPr>
                <w:szCs w:val="18"/>
              </w:rPr>
            </w:pPr>
            <w:r w:rsidRPr="001E6657">
              <w:rPr>
                <w:szCs w:val="18"/>
              </w:rPr>
              <w:t>Demand Response</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262</w:t>
            </w:r>
          </w:p>
        </w:tc>
        <w:tc>
          <w:tcPr>
            <w:tcW w:w="1297" w:type="dxa"/>
            <w:tcBorders>
              <w:top w:val="single" w:sz="4" w:space="0" w:color="auto"/>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2,849</w:t>
            </w:r>
          </w:p>
        </w:tc>
        <w:tc>
          <w:tcPr>
            <w:tcW w:w="1162" w:type="dxa"/>
            <w:tcBorders>
              <w:top w:val="single" w:sz="4" w:space="0" w:color="auto"/>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46.76</w:t>
            </w:r>
          </w:p>
        </w:tc>
        <w:tc>
          <w:tcPr>
            <w:tcW w:w="1096" w:type="dxa"/>
            <w:tcBorders>
              <w:top w:val="single" w:sz="4" w:space="0" w:color="auto"/>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2.37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5%</w:t>
            </w:r>
          </w:p>
        </w:tc>
        <w:tc>
          <w:tcPr>
            <w:tcW w:w="1152" w:type="dxa"/>
            <w:tcBorders>
              <w:top w:val="single" w:sz="4" w:space="0" w:color="auto"/>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0.62</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0.22</w:t>
            </w:r>
          </w:p>
        </w:tc>
        <w:tc>
          <w:tcPr>
            <w:tcW w:w="877" w:type="dxa"/>
            <w:tcBorders>
              <w:top w:val="single" w:sz="4" w:space="0" w:color="auto"/>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80</w:t>
            </w:r>
          </w:p>
        </w:tc>
      </w:tr>
      <w:tr w:rsidR="00047421" w:rsidRPr="001E6657" w:rsidTr="0079525F">
        <w:trPr>
          <w:trHeight w:val="300"/>
          <w:jc w:val="center"/>
        </w:trPr>
        <w:tc>
          <w:tcPr>
            <w:tcW w:w="1849" w:type="dxa"/>
            <w:tcBorders>
              <w:top w:val="nil"/>
              <w:left w:val="single" w:sz="4" w:space="0" w:color="auto"/>
              <w:bottom w:val="single" w:sz="4" w:space="0" w:color="auto"/>
              <w:right w:val="single" w:sz="4" w:space="0" w:color="auto"/>
            </w:tcBorders>
            <w:shd w:val="clear" w:color="auto" w:fill="auto"/>
            <w:noWrap/>
            <w:vAlign w:val="bottom"/>
            <w:hideMark/>
          </w:tcPr>
          <w:p w:rsidR="00047421" w:rsidRPr="001E6657" w:rsidRDefault="00047421" w:rsidP="0079525F">
            <w:pPr>
              <w:pStyle w:val="TableText"/>
              <w:rPr>
                <w:szCs w:val="18"/>
              </w:rPr>
            </w:pPr>
            <w:r w:rsidRPr="001E6657">
              <w:rPr>
                <w:szCs w:val="18"/>
              </w:rPr>
              <w:t>Direct Install</w:t>
            </w:r>
          </w:p>
        </w:tc>
        <w:tc>
          <w:tcPr>
            <w:tcW w:w="1247"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78</w:t>
            </w:r>
          </w:p>
        </w:tc>
        <w:tc>
          <w:tcPr>
            <w:tcW w:w="1297"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232</w:t>
            </w:r>
          </w:p>
        </w:tc>
        <w:tc>
          <w:tcPr>
            <w:tcW w:w="1162"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14.01</w:t>
            </w:r>
          </w:p>
        </w:tc>
        <w:tc>
          <w:tcPr>
            <w:tcW w:w="1096"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0.69</w:t>
            </w:r>
          </w:p>
        </w:tc>
        <w:tc>
          <w:tcPr>
            <w:tcW w:w="1170"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5%</w:t>
            </w:r>
          </w:p>
        </w:tc>
        <w:tc>
          <w:tcPr>
            <w:tcW w:w="1152"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0.05</w:t>
            </w:r>
          </w:p>
        </w:tc>
        <w:tc>
          <w:tcPr>
            <w:tcW w:w="1197"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0.23</w:t>
            </w:r>
          </w:p>
        </w:tc>
        <w:tc>
          <w:tcPr>
            <w:tcW w:w="877"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szCs w:val="18"/>
              </w:rPr>
            </w:pPr>
            <w:r w:rsidRPr="001E6657">
              <w:rPr>
                <w:rFonts w:cs="Arial"/>
                <w:szCs w:val="18"/>
              </w:rPr>
              <w:t>80</w:t>
            </w:r>
          </w:p>
        </w:tc>
      </w:tr>
      <w:tr w:rsidR="00047421" w:rsidRPr="001E6657" w:rsidTr="0079525F">
        <w:trPr>
          <w:trHeight w:val="300"/>
          <w:jc w:val="center"/>
        </w:trPr>
        <w:tc>
          <w:tcPr>
            <w:tcW w:w="1849" w:type="dxa"/>
            <w:tcBorders>
              <w:top w:val="nil"/>
              <w:left w:val="single" w:sz="4" w:space="0" w:color="auto"/>
              <w:bottom w:val="single" w:sz="4" w:space="0" w:color="auto"/>
              <w:right w:val="single" w:sz="4" w:space="0" w:color="auto"/>
            </w:tcBorders>
            <w:shd w:val="clear" w:color="000000" w:fill="FFFFFF"/>
            <w:noWrap/>
            <w:vAlign w:val="center"/>
            <w:hideMark/>
          </w:tcPr>
          <w:p w:rsidR="00047421" w:rsidRPr="001E6657" w:rsidRDefault="00047421" w:rsidP="0079525F">
            <w:pPr>
              <w:pStyle w:val="TableText"/>
              <w:rPr>
                <w:rFonts w:cs="Arial"/>
                <w:b/>
                <w:szCs w:val="18"/>
              </w:rPr>
            </w:pPr>
            <w:r w:rsidRPr="001E6657">
              <w:rPr>
                <w:rFonts w:cs="Arial"/>
                <w:b/>
                <w:szCs w:val="18"/>
              </w:rPr>
              <w:t>Both</w:t>
            </w:r>
          </w:p>
        </w:tc>
        <w:tc>
          <w:tcPr>
            <w:tcW w:w="1247"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b/>
                <w:szCs w:val="18"/>
              </w:rPr>
            </w:pPr>
            <w:r w:rsidRPr="001E6657">
              <w:rPr>
                <w:rFonts w:cs="Arial"/>
                <w:b/>
                <w:szCs w:val="18"/>
              </w:rPr>
              <w:t>341</w:t>
            </w:r>
          </w:p>
        </w:tc>
        <w:tc>
          <w:tcPr>
            <w:tcW w:w="1297"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b/>
                <w:szCs w:val="18"/>
              </w:rPr>
            </w:pPr>
            <w:r w:rsidRPr="001E6657">
              <w:rPr>
                <w:rFonts w:cs="Arial"/>
                <w:b/>
                <w:szCs w:val="18"/>
              </w:rPr>
              <w:t>3,085</w:t>
            </w:r>
          </w:p>
        </w:tc>
        <w:tc>
          <w:tcPr>
            <w:tcW w:w="1162"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b/>
                <w:szCs w:val="18"/>
              </w:rPr>
            </w:pPr>
            <w:r w:rsidRPr="001E6657">
              <w:rPr>
                <w:rFonts w:cs="Arial"/>
                <w:b/>
                <w:szCs w:val="18"/>
              </w:rPr>
              <w:t>39.12</w:t>
            </w:r>
          </w:p>
        </w:tc>
        <w:tc>
          <w:tcPr>
            <w:tcW w:w="1096"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b/>
                <w:szCs w:val="18"/>
              </w:rPr>
            </w:pPr>
            <w:r w:rsidRPr="001E6657">
              <w:rPr>
                <w:rFonts w:cs="Arial"/>
                <w:b/>
                <w:szCs w:val="18"/>
              </w:rPr>
              <w:t>1.99</w:t>
            </w:r>
          </w:p>
        </w:tc>
        <w:tc>
          <w:tcPr>
            <w:tcW w:w="1170"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b/>
                <w:szCs w:val="18"/>
              </w:rPr>
            </w:pPr>
            <w:r w:rsidRPr="001E6657">
              <w:rPr>
                <w:rFonts w:cs="Arial"/>
                <w:b/>
                <w:szCs w:val="18"/>
              </w:rPr>
              <w:t>5%</w:t>
            </w:r>
          </w:p>
        </w:tc>
        <w:tc>
          <w:tcPr>
            <w:tcW w:w="1152"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b/>
                <w:szCs w:val="18"/>
              </w:rPr>
            </w:pPr>
            <w:r w:rsidRPr="001E6657">
              <w:rPr>
                <w:rFonts w:cs="Arial"/>
                <w:b/>
                <w:szCs w:val="18"/>
              </w:rPr>
              <w:t>0.68</w:t>
            </w:r>
          </w:p>
        </w:tc>
        <w:tc>
          <w:tcPr>
            <w:tcW w:w="1197"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b/>
                <w:szCs w:val="18"/>
              </w:rPr>
            </w:pPr>
            <w:r w:rsidRPr="001E6657">
              <w:rPr>
                <w:rFonts w:cs="Arial"/>
                <w:b/>
                <w:szCs w:val="18"/>
              </w:rPr>
              <w:t>0.22</w:t>
            </w:r>
          </w:p>
        </w:tc>
        <w:tc>
          <w:tcPr>
            <w:tcW w:w="877" w:type="dxa"/>
            <w:tcBorders>
              <w:top w:val="nil"/>
              <w:left w:val="nil"/>
              <w:bottom w:val="single" w:sz="4" w:space="0" w:color="auto"/>
              <w:right w:val="single" w:sz="4" w:space="0" w:color="auto"/>
            </w:tcBorders>
            <w:shd w:val="clear" w:color="000000" w:fill="FFFFFF"/>
            <w:noWrap/>
            <w:vAlign w:val="center"/>
            <w:hideMark/>
          </w:tcPr>
          <w:p w:rsidR="00047421" w:rsidRPr="001E6657" w:rsidRDefault="00047421" w:rsidP="00B64BC8">
            <w:pPr>
              <w:pStyle w:val="TableText"/>
              <w:jc w:val="center"/>
              <w:rPr>
                <w:rFonts w:cs="Arial"/>
                <w:b/>
                <w:szCs w:val="18"/>
              </w:rPr>
            </w:pPr>
            <w:r w:rsidRPr="001E6657">
              <w:rPr>
                <w:rFonts w:cs="Arial"/>
                <w:b/>
                <w:szCs w:val="18"/>
              </w:rPr>
              <w:t>80</w:t>
            </w:r>
          </w:p>
        </w:tc>
      </w:tr>
    </w:tbl>
    <w:p w:rsidR="00D22F5F" w:rsidRPr="00382BDA" w:rsidRDefault="00D22F5F" w:rsidP="00873F41">
      <w:pPr>
        <w:pStyle w:val="BodyParagraph"/>
        <w:rPr>
          <w:rFonts w:ascii="Times New Roman" w:hAnsi="Times New Roman"/>
        </w:rPr>
      </w:pPr>
    </w:p>
    <w:p w:rsidR="00482412" w:rsidRPr="00382BDA" w:rsidRDefault="00482412" w:rsidP="00482412">
      <w:pPr>
        <w:pStyle w:val="Heading2"/>
        <w:rPr>
          <w:rFonts w:ascii="Times New Roman" w:hAnsi="Times New Roman" w:cs="Times New Roman"/>
        </w:rPr>
      </w:pPr>
      <w:bookmarkStart w:id="292" w:name="_Toc415749051"/>
      <w:bookmarkEnd w:id="228"/>
      <w:r w:rsidRPr="00382BDA">
        <w:rPr>
          <w:rFonts w:ascii="Times New Roman" w:hAnsi="Times New Roman" w:cs="Times New Roman"/>
        </w:rPr>
        <w:t>Ex Ante Methodology and Results</w:t>
      </w:r>
      <w:bookmarkEnd w:id="292"/>
    </w:p>
    <w:p w:rsidR="00382BDA" w:rsidRDefault="00382BDA" w:rsidP="00382BDA">
      <w:pPr>
        <w:pStyle w:val="BodyParagraph"/>
        <w:spacing w:after="0" w:line="276" w:lineRule="auto"/>
        <w:ind w:firstLine="547"/>
        <w:rPr>
          <w:rFonts w:ascii="Times New Roman" w:hAnsi="Times New Roman"/>
          <w:sz w:val="24"/>
          <w:szCs w:val="24"/>
        </w:rPr>
      </w:pPr>
    </w:p>
    <w:p w:rsidR="00D6772C" w:rsidRDefault="00D6772C" w:rsidP="00382BDA">
      <w:pPr>
        <w:pStyle w:val="BodyParagraph"/>
        <w:spacing w:after="0" w:line="276" w:lineRule="auto"/>
        <w:ind w:firstLine="547"/>
        <w:rPr>
          <w:rFonts w:ascii="Times New Roman" w:hAnsi="Times New Roman"/>
          <w:sz w:val="24"/>
          <w:szCs w:val="24"/>
        </w:rPr>
      </w:pPr>
      <w:r w:rsidRPr="00052850">
        <w:rPr>
          <w:rFonts w:ascii="Times New Roman" w:hAnsi="Times New Roman"/>
          <w:sz w:val="24"/>
          <w:szCs w:val="24"/>
        </w:rPr>
        <w:t>This section summarizes the modeling approach and results associated with ex ante impact estimation for the commercial thermostat program. Ex ante impacts are intended to represent what the commercial thermostat program can deliver under a standardized set of weather and event conditions given changes in enrollment over the forecast horizon. The weather used for ex ante load impact estimation is meant to reflect conditions on high demand days when there is a high likelihood that events will be called under normal (1-in-2 year) and extreme (1-in-10 year) weather.</w:t>
      </w:r>
    </w:p>
    <w:p w:rsidR="00382BDA" w:rsidRPr="00052850" w:rsidRDefault="00382BDA" w:rsidP="00382BDA">
      <w:pPr>
        <w:pStyle w:val="BodyParagraph"/>
        <w:spacing w:after="0" w:line="276" w:lineRule="auto"/>
        <w:ind w:firstLine="547"/>
        <w:rPr>
          <w:rFonts w:ascii="Times New Roman" w:hAnsi="Times New Roman"/>
          <w:sz w:val="24"/>
          <w:szCs w:val="24"/>
        </w:rPr>
      </w:pPr>
    </w:p>
    <w:p w:rsidR="00D6772C" w:rsidRPr="00382BDA" w:rsidRDefault="00D6772C" w:rsidP="00D6772C">
      <w:pPr>
        <w:pStyle w:val="Heading2"/>
        <w:spacing w:before="0" w:after="120"/>
        <w:ind w:left="540" w:hanging="540"/>
        <w:rPr>
          <w:rFonts w:ascii="Times New Roman" w:hAnsi="Times New Roman" w:cs="Times New Roman"/>
        </w:rPr>
      </w:pPr>
      <w:bookmarkStart w:id="293" w:name="_Toc413592767"/>
      <w:bookmarkStart w:id="294" w:name="_Toc414535057"/>
      <w:bookmarkStart w:id="295" w:name="_Toc415585937"/>
      <w:bookmarkStart w:id="296" w:name="_Toc415749052"/>
      <w:r w:rsidRPr="00382BDA">
        <w:rPr>
          <w:rFonts w:ascii="Times New Roman" w:hAnsi="Times New Roman" w:cs="Times New Roman"/>
        </w:rPr>
        <w:t>Ex Ante Estimation Methodology</w:t>
      </w:r>
      <w:bookmarkEnd w:id="293"/>
      <w:bookmarkEnd w:id="294"/>
      <w:bookmarkEnd w:id="295"/>
      <w:bookmarkEnd w:id="296"/>
    </w:p>
    <w:p w:rsidR="00D6772C" w:rsidRDefault="00D6772C" w:rsidP="00D6772C">
      <w:pPr>
        <w:pStyle w:val="BodyBeforeBullet"/>
      </w:pPr>
    </w:p>
    <w:p w:rsidR="00D6772C" w:rsidRPr="00052850" w:rsidRDefault="00D6772C" w:rsidP="00D6772C">
      <w:pPr>
        <w:pStyle w:val="BodyBeforeBullet"/>
        <w:rPr>
          <w:rFonts w:ascii="Times New Roman" w:hAnsi="Times New Roman"/>
          <w:sz w:val="24"/>
          <w:szCs w:val="24"/>
        </w:rPr>
      </w:pPr>
      <w:r w:rsidRPr="00052850">
        <w:rPr>
          <w:rFonts w:ascii="Times New Roman" w:hAnsi="Times New Roman"/>
          <w:sz w:val="24"/>
          <w:szCs w:val="24"/>
        </w:rPr>
        <w:t>At a high level, ex ante impact estimates were developed using the following multi-step process:</w:t>
      </w:r>
    </w:p>
    <w:p w:rsidR="00D6772C" w:rsidRPr="00052850" w:rsidRDefault="00D6772C" w:rsidP="00D6772C">
      <w:pPr>
        <w:pStyle w:val="Bullets"/>
        <w:rPr>
          <w:rFonts w:ascii="Times New Roman" w:hAnsi="Times New Roman" w:cs="Times New Roman"/>
          <w:sz w:val="24"/>
          <w:szCs w:val="24"/>
        </w:rPr>
      </w:pPr>
      <w:r w:rsidRPr="00052850">
        <w:rPr>
          <w:rFonts w:ascii="Times New Roman" w:hAnsi="Times New Roman" w:cs="Times New Roman"/>
          <w:sz w:val="24"/>
          <w:szCs w:val="24"/>
        </w:rPr>
        <w:t>First, ex post estimates were developed using the matching methodology described in Section 3, with the key output being the 2014 average event day per-thermostat impact (0.22 kW);</w:t>
      </w:r>
    </w:p>
    <w:p w:rsidR="00D6772C" w:rsidRPr="00052850" w:rsidRDefault="00D6772C" w:rsidP="00D6772C">
      <w:pPr>
        <w:pStyle w:val="Bullets"/>
        <w:rPr>
          <w:rFonts w:ascii="Times New Roman" w:hAnsi="Times New Roman" w:cs="Times New Roman"/>
          <w:sz w:val="24"/>
          <w:szCs w:val="24"/>
        </w:rPr>
      </w:pPr>
      <w:r w:rsidRPr="00052850">
        <w:rPr>
          <w:rFonts w:ascii="Times New Roman" w:hAnsi="Times New Roman" w:cs="Times New Roman"/>
          <w:sz w:val="24"/>
          <w:szCs w:val="24"/>
        </w:rPr>
        <w:t>Second, regression models were estimated that relate hourly usage to weather for customers that are currently enrolled in the commercial thermostat program. This model was fit using one data point for each customer segment, hour and day;</w:t>
      </w:r>
    </w:p>
    <w:p w:rsidR="00D6772C" w:rsidRPr="00052850" w:rsidRDefault="00D6772C" w:rsidP="00D6772C">
      <w:pPr>
        <w:pStyle w:val="Bullets"/>
        <w:rPr>
          <w:rFonts w:ascii="Times New Roman" w:hAnsi="Times New Roman" w:cs="Times New Roman"/>
          <w:sz w:val="24"/>
          <w:szCs w:val="24"/>
        </w:rPr>
      </w:pPr>
      <w:r w:rsidRPr="00052850">
        <w:rPr>
          <w:rFonts w:ascii="Times New Roman" w:hAnsi="Times New Roman" w:cs="Times New Roman"/>
          <w:sz w:val="24"/>
          <w:szCs w:val="24"/>
        </w:rPr>
        <w:t>Third, a regression model was estimated that related the ex post impacts for 50% cycling customers in the Summer Saver program to average temperatures from midnight to 5 PM (referred to as mean17) on the event day. Ex ante weather conditions were used as input to the regression model to predict Summer Saver impacts for each hour for monthly system peak days and for the typical event day; and</w:t>
      </w:r>
    </w:p>
    <w:p w:rsidR="00D6772C" w:rsidRPr="00052850" w:rsidRDefault="00D6772C" w:rsidP="00D6772C">
      <w:pPr>
        <w:pStyle w:val="BulletLast"/>
        <w:tabs>
          <w:tab w:val="clear" w:pos="720"/>
        </w:tabs>
        <w:spacing w:after="240"/>
        <w:rPr>
          <w:rFonts w:ascii="Times New Roman" w:hAnsi="Times New Roman" w:cs="Times New Roman"/>
          <w:sz w:val="24"/>
          <w:szCs w:val="24"/>
        </w:rPr>
      </w:pPr>
      <w:r w:rsidRPr="00052850">
        <w:rPr>
          <w:rFonts w:ascii="Times New Roman" w:hAnsi="Times New Roman" w:cs="Times New Roman"/>
          <w:sz w:val="24"/>
          <w:szCs w:val="24"/>
        </w:rPr>
        <w:lastRenderedPageBreak/>
        <w:t>Fourth, the ratio of impact to weather observed in the Summer Saver program was applied to the 2014 average event day per-thermostat impact for the commercial thermostat program (from Step 1).</w:t>
      </w:r>
    </w:p>
    <w:p w:rsidR="00D6772C" w:rsidRPr="00052850" w:rsidRDefault="00D6772C" w:rsidP="00D6772C">
      <w:pPr>
        <w:pStyle w:val="BodyParagraph"/>
        <w:rPr>
          <w:rFonts w:ascii="Times New Roman" w:hAnsi="Times New Roman"/>
          <w:sz w:val="24"/>
          <w:szCs w:val="24"/>
        </w:rPr>
      </w:pPr>
      <w:r w:rsidRPr="00052850">
        <w:rPr>
          <w:rFonts w:ascii="Times New Roman" w:hAnsi="Times New Roman"/>
          <w:sz w:val="24"/>
          <w:szCs w:val="24"/>
        </w:rPr>
        <w:t>The final model specifications used for the reference loads and Summer Saver impact-temperature relationship are shown below. The reference load specification was chosen based on its performance in estimating reference loads in the 2014 Critical Peak Pricing program ex ante evaluation. The impact model matches the model used in the 2014 Summer Saver evaluation to maintain consistency.</w:t>
      </w:r>
    </w:p>
    <w:p w:rsidR="00D6772C" w:rsidRPr="0079525F" w:rsidRDefault="00D6772C" w:rsidP="00D6772C">
      <w:pPr>
        <w:pStyle w:val="TableFigureCaption"/>
        <w:rPr>
          <w:rFonts w:ascii="Times New Roman" w:hAnsi="Times New Roman"/>
          <w:sz w:val="20"/>
          <w:szCs w:val="20"/>
        </w:rPr>
      </w:pPr>
      <w:r w:rsidRPr="0079525F">
        <w:rPr>
          <w:rFonts w:ascii="Times New Roman" w:hAnsi="Times New Roman"/>
          <w:sz w:val="20"/>
          <w:szCs w:val="20"/>
        </w:rPr>
        <w:t xml:space="preserve">Equation </w:t>
      </w:r>
      <w:r w:rsidR="004F583F" w:rsidRPr="0079525F">
        <w:rPr>
          <w:rFonts w:ascii="Times New Roman" w:hAnsi="Times New Roman"/>
          <w:sz w:val="20"/>
          <w:szCs w:val="20"/>
        </w:rPr>
        <w:t>10-3</w:t>
      </w:r>
      <w:r w:rsidRPr="0079525F">
        <w:rPr>
          <w:rFonts w:ascii="Times New Roman" w:hAnsi="Times New Roman"/>
          <w:sz w:val="20"/>
          <w:szCs w:val="20"/>
        </w:rPr>
        <w:t>: Reference Load Ex Ante Regression Model Specification</w:t>
      </w:r>
    </w:p>
    <w:p w:rsidR="00D6772C" w:rsidRPr="008E103E" w:rsidRDefault="00947B52" w:rsidP="00D6772C">
      <w:pPr>
        <w:pStyle w:val="BodyParagraph"/>
        <w:jc w:val="center"/>
        <w:rPr>
          <w:sz w:val="24"/>
          <w:szCs w:val="24"/>
        </w:rPr>
      </w:pPr>
      <m:oMathPara>
        <m:oMath>
          <m:sSub>
            <m:sSubPr>
              <m:ctrlPr>
                <w:rPr>
                  <w:rFonts w:ascii="Cambria Math" w:hAnsi="Cambria Math" w:cs="Arial"/>
                  <w:i/>
                </w:rPr>
              </m:ctrlPr>
            </m:sSubPr>
            <m:e>
              <m:r>
                <w:rPr>
                  <w:rFonts w:ascii="Cambria Math" w:hAnsi="Cambria Math" w:cs="Arial"/>
                </w:rPr>
                <m:t>kW</m:t>
              </m:r>
            </m:e>
            <m:sub>
              <m:r>
                <w:rPr>
                  <w:rFonts w:ascii="Cambria Math" w:hAnsi="Cambria Math" w:cs="Arial"/>
                </w:rPr>
                <m:t>t</m:t>
              </m:r>
            </m:sub>
          </m:sSub>
          <m:r>
            <w:rPr>
              <w:rFonts w:ascii="Cambria Math" w:cs="Arial"/>
            </w:rPr>
            <m:t>=</m:t>
          </m:r>
          <m:r>
            <w:rPr>
              <w:rFonts w:ascii="Cambria Math" w:hAnsi="Cambria Math" w:cs="Arial"/>
            </w:rPr>
            <m:t>a</m:t>
          </m:r>
          <m:r>
            <w:rPr>
              <w:rFonts w:ascii="Cambria Math" w:cs="Arial"/>
            </w:rPr>
            <m:t>+b</m:t>
          </m:r>
          <m:sSub>
            <m:sSubPr>
              <m:ctrlPr>
                <w:rPr>
                  <w:rFonts w:ascii="Cambria Math" w:hAnsi="Cambria Math" w:cs="Arial"/>
                  <w:sz w:val="24"/>
                  <w:szCs w:val="24"/>
                </w:rPr>
              </m:ctrlPr>
            </m:sSubPr>
            <m:e>
              <m:r>
                <w:rPr>
                  <w:rFonts w:ascii="Cambria Math" w:hAnsi="Cambria Math" w:cs="Arial"/>
                </w:rPr>
                <m:t>∙</m:t>
              </m:r>
              <m:sSub>
                <m:sSubPr>
                  <m:ctrlPr>
                    <w:rPr>
                      <w:rFonts w:ascii="Cambria Math" w:hAnsi="Cambria Math" w:cs="Arial"/>
                      <w:i/>
                    </w:rPr>
                  </m:ctrlPr>
                </m:sSubPr>
                <m:e>
                  <m:r>
                    <w:rPr>
                      <w:rFonts w:ascii="Cambria Math" w:cs="Arial"/>
                    </w:rPr>
                    <m:t>mean17</m:t>
                  </m:r>
                </m:e>
                <m:sub>
                  <m:r>
                    <w:rPr>
                      <w:rFonts w:ascii="Cambria Math" w:cs="Arial"/>
                    </w:rPr>
                    <m:t>t</m:t>
                  </m:r>
                </m:sub>
              </m:sSub>
            </m:e>
            <m:sub>
              <m:r>
                <m:rPr>
                  <m:sty m:val="p"/>
                </m:rPr>
                <w:rPr>
                  <w:rFonts w:ascii="Cambria Math" w:hAnsi="Cambria Math" w:cs="Arial"/>
                  <w:sz w:val="24"/>
                  <w:szCs w:val="24"/>
                </w:rPr>
                <m:t xml:space="preserve"> </m:t>
              </m:r>
            </m:sub>
          </m:sSub>
          <m:r>
            <w:rPr>
              <w:rFonts w:ascii="Cambria Math" w:cs="Arial"/>
            </w:rPr>
            <m:t>+c</m:t>
          </m:r>
          <m:sSub>
            <m:sSubPr>
              <m:ctrlPr>
                <w:rPr>
                  <w:rFonts w:ascii="Cambria Math" w:hAnsi="Cambria Math" w:cs="Arial"/>
                  <w:sz w:val="24"/>
                  <w:szCs w:val="24"/>
                </w:rPr>
              </m:ctrlPr>
            </m:sSubPr>
            <m:e>
              <m:r>
                <w:rPr>
                  <w:rFonts w:ascii="Cambria Math" w:hAnsi="Cambria Math" w:cs="Arial"/>
                </w:rPr>
                <m:t>∙</m:t>
              </m:r>
              <m:sSubSup>
                <m:sSubSupPr>
                  <m:ctrlPr>
                    <w:rPr>
                      <w:rFonts w:ascii="Cambria Math" w:hAnsi="Cambria Math" w:cs="Arial"/>
                      <w:i/>
                    </w:rPr>
                  </m:ctrlPr>
                </m:sSubSupPr>
                <m:e>
                  <m:r>
                    <w:rPr>
                      <w:rFonts w:ascii="Cambria Math" w:hAnsi="Cambria Math" w:cs="Arial"/>
                    </w:rPr>
                    <m:t>mean17</m:t>
                  </m:r>
                </m:e>
                <m:sub>
                  <m:r>
                    <w:rPr>
                      <w:rFonts w:ascii="Cambria Math" w:hAnsi="Cambria Math" w:cs="Arial"/>
                    </w:rPr>
                    <m:t>t</m:t>
                  </m:r>
                </m:sub>
                <m:sup>
                  <m:r>
                    <w:rPr>
                      <w:rFonts w:ascii="Cambria Math" w:hAnsi="Cambria Math" w:cs="Arial"/>
                    </w:rPr>
                    <m:t>2</m:t>
                  </m:r>
                </m:sup>
              </m:sSubSup>
            </m:e>
            <m:sub>
              <m:r>
                <m:rPr>
                  <m:sty m:val="p"/>
                </m:rPr>
                <w:rPr>
                  <w:rFonts w:ascii="Cambria Math" w:hAnsi="Cambria Math" w:cs="Arial"/>
                  <w:sz w:val="24"/>
                  <w:szCs w:val="24"/>
                </w:rPr>
                <m:t xml:space="preserve"> </m:t>
              </m:r>
            </m:sub>
          </m:sSub>
          <m:r>
            <m:rPr>
              <m:sty m:val="b"/>
            </m:rPr>
            <w:rPr>
              <w:rFonts w:ascii="Cambria Math" w:hAnsi="Cambria Math"/>
            </w:rPr>
            <m:t>+</m:t>
          </m:r>
          <m:nary>
            <m:naryPr>
              <m:chr m:val="∑"/>
              <m:limLoc m:val="undOvr"/>
              <m:ctrlPr>
                <w:rPr>
                  <w:rFonts w:ascii="Cambria Math" w:hAnsi="Cambria Math"/>
                </w:rPr>
              </m:ctrlPr>
            </m:naryPr>
            <m:sub>
              <m:r>
                <w:rPr>
                  <w:rFonts w:ascii="Cambria Math" w:hAnsi="Cambria Math"/>
                </w:rPr>
                <m:t>day=Tuesday</m:t>
              </m:r>
            </m:sub>
            <m:sup>
              <m:r>
                <w:rPr>
                  <w:rFonts w:ascii="Cambria Math" w:hAnsi="Cambria Math"/>
                </w:rPr>
                <m:t>Friday</m:t>
              </m:r>
            </m:sup>
            <m:e>
              <m:sSub>
                <m:sSubPr>
                  <m:ctrlPr>
                    <w:rPr>
                      <w:rFonts w:ascii="Cambria Math" w:hAnsi="Cambria Math" w:cs="Arial"/>
                      <w:i/>
                    </w:rPr>
                  </m:ctrlPr>
                </m:sSubPr>
                <m:e>
                  <m:r>
                    <w:rPr>
                      <w:rFonts w:ascii="Cambria Math" w:cs="Arial"/>
                    </w:rPr>
                    <m:t>d</m:t>
                  </m:r>
                </m:e>
                <m:sub>
                  <m:r>
                    <w:rPr>
                      <w:rFonts w:ascii="Cambria Math" w:cs="Arial"/>
                    </w:rPr>
                    <m:t>day</m:t>
                  </m:r>
                </m:sub>
              </m:sSub>
              <m:sSub>
                <m:sSubPr>
                  <m:ctrlPr>
                    <w:rPr>
                      <w:rFonts w:ascii="Cambria Math" w:hAnsi="Cambria Math" w:cs="Arial"/>
                      <w:sz w:val="24"/>
                      <w:szCs w:val="24"/>
                    </w:rPr>
                  </m:ctrlPr>
                </m:sSubPr>
                <m:e>
                  <m:r>
                    <w:rPr>
                      <w:rFonts w:ascii="Cambria Math" w:hAnsi="Cambria Math" w:cs="Arial"/>
                    </w:rPr>
                    <m:t>∙</m:t>
                  </m:r>
                  <m:sSub>
                    <m:sSubPr>
                      <m:ctrlPr>
                        <w:rPr>
                          <w:rFonts w:ascii="Cambria Math" w:hAnsi="Cambria Math" w:cs="Arial"/>
                          <w:i/>
                        </w:rPr>
                      </m:ctrlPr>
                    </m:sSubPr>
                    <m:e>
                      <m:r>
                        <w:rPr>
                          <w:rFonts w:ascii="Cambria Math" w:cs="Arial"/>
                        </w:rPr>
                        <m:t>DOW</m:t>
                      </m:r>
                    </m:e>
                    <m:sub>
                      <m:r>
                        <w:rPr>
                          <w:rFonts w:ascii="Cambria Math" w:cs="Arial"/>
                        </w:rPr>
                        <m:t>t,day</m:t>
                      </m:r>
                    </m:sub>
                  </m:sSub>
                </m:e>
                <m:sub>
                  <m:r>
                    <m:rPr>
                      <m:sty m:val="p"/>
                    </m:rPr>
                    <w:rPr>
                      <w:rFonts w:ascii="Cambria Math" w:hAnsi="Cambria Math" w:cs="Arial"/>
                      <w:sz w:val="24"/>
                      <w:szCs w:val="24"/>
                    </w:rPr>
                    <m:t xml:space="preserve"> </m:t>
                  </m:r>
                </m:sub>
              </m:sSub>
            </m:e>
          </m:nary>
          <m:r>
            <m:rPr>
              <m:sty m:val="b"/>
            </m:rPr>
            <w:rPr>
              <w:rFonts w:ascii="Cambria Math" w:hAnsi="Cambria Math"/>
            </w:rPr>
            <m:t>+</m:t>
          </m:r>
          <m:nary>
            <m:naryPr>
              <m:chr m:val="∑"/>
              <m:limLoc m:val="undOvr"/>
              <m:ctrlPr>
                <w:rPr>
                  <w:rFonts w:ascii="Cambria Math" w:hAnsi="Cambria Math"/>
                </w:rPr>
              </m:ctrlPr>
            </m:naryPr>
            <m:sub>
              <m:r>
                <w:rPr>
                  <w:rFonts w:ascii="Cambria Math" w:hAnsi="Cambria Math"/>
                </w:rPr>
                <m:t>month=February</m:t>
              </m:r>
            </m:sub>
            <m:sup>
              <m:r>
                <w:rPr>
                  <w:rFonts w:ascii="Cambria Math" w:hAnsi="Cambria Math"/>
                </w:rPr>
                <m:t>December</m:t>
              </m:r>
            </m:sup>
            <m:e>
              <m:sSub>
                <m:sSubPr>
                  <m:ctrlPr>
                    <w:rPr>
                      <w:rFonts w:ascii="Cambria Math" w:hAnsi="Cambria Math" w:cs="Arial"/>
                      <w:i/>
                    </w:rPr>
                  </m:ctrlPr>
                </m:sSubPr>
                <m:e>
                  <m:r>
                    <w:rPr>
                      <w:rFonts w:ascii="Cambria Math" w:hAnsi="Cambria Math" w:cs="Arial"/>
                    </w:rPr>
                    <m:t>m</m:t>
                  </m:r>
                </m:e>
                <m:sub>
                  <m:r>
                    <w:rPr>
                      <w:rFonts w:ascii="Cambria Math" w:hAnsi="Cambria Math"/>
                    </w:rPr>
                    <m:t>month</m:t>
                  </m:r>
                </m:sub>
              </m:sSub>
              <m:sSub>
                <m:sSubPr>
                  <m:ctrlPr>
                    <w:rPr>
                      <w:rFonts w:ascii="Cambria Math" w:hAnsi="Cambria Math" w:cs="Arial"/>
                      <w:sz w:val="24"/>
                      <w:szCs w:val="24"/>
                    </w:rPr>
                  </m:ctrlPr>
                </m:sSubPr>
                <m:e>
                  <m:r>
                    <w:rPr>
                      <w:rFonts w:ascii="Cambria Math" w:hAnsi="Cambria Math" w:cs="Arial"/>
                    </w:rPr>
                    <m:t>∙</m:t>
                  </m:r>
                  <m:sSub>
                    <m:sSubPr>
                      <m:ctrlPr>
                        <w:rPr>
                          <w:rFonts w:ascii="Cambria Math" w:hAnsi="Cambria Math" w:cs="Arial"/>
                          <w:i/>
                        </w:rPr>
                      </m:ctrlPr>
                    </m:sSubPr>
                    <m:e>
                      <m:r>
                        <w:rPr>
                          <w:rFonts w:ascii="Cambria Math" w:cs="Arial"/>
                        </w:rPr>
                        <m:t>Mont</m:t>
                      </m:r>
                      <m:r>
                        <w:rPr>
                          <w:rFonts w:ascii="Cambria Math" w:hAnsi="Cambria Math"/>
                        </w:rPr>
                        <m:t>h</m:t>
                      </m:r>
                    </m:e>
                    <m:sub>
                      <m:r>
                        <w:rPr>
                          <w:rFonts w:ascii="Cambria Math" w:cs="Arial"/>
                        </w:rPr>
                        <m:t>t,</m:t>
                      </m:r>
                      <m:r>
                        <w:rPr>
                          <w:rFonts w:ascii="Cambria Math" w:hAnsi="Cambria Math"/>
                        </w:rPr>
                        <m:t>month</m:t>
                      </m:r>
                    </m:sub>
                  </m:sSub>
                </m:e>
                <m:sub>
                  <m:r>
                    <m:rPr>
                      <m:sty m:val="p"/>
                    </m:rPr>
                    <w:rPr>
                      <w:rFonts w:ascii="Cambria Math" w:hAnsi="Cambria Math" w:cs="Arial"/>
                      <w:sz w:val="24"/>
                      <w:szCs w:val="24"/>
                    </w:rPr>
                    <m:t xml:space="preserve"> </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w:rPr>
                  <w:rFonts w:ascii="Cambria Math" w:hAnsi="Cambria Math"/>
                </w:rPr>
                <m:t>t</m:t>
              </m:r>
            </m:sub>
          </m:sSub>
        </m:oMath>
      </m:oMathPara>
    </w:p>
    <w:p w:rsidR="00D6772C" w:rsidRPr="00052850" w:rsidRDefault="00D6772C" w:rsidP="00D6772C">
      <w:pPr>
        <w:pStyle w:val="TableFigureCaption"/>
        <w:rPr>
          <w:rFonts w:ascii="Times New Roman" w:hAnsi="Times New Roman"/>
          <w:sz w:val="20"/>
          <w:szCs w:val="20"/>
        </w:rPr>
      </w:pPr>
      <w:r w:rsidRPr="00052850">
        <w:rPr>
          <w:rFonts w:ascii="Times New Roman" w:hAnsi="Times New Roman"/>
          <w:sz w:val="20"/>
          <w:szCs w:val="20"/>
        </w:rPr>
        <w:t xml:space="preserve">Table </w:t>
      </w:r>
      <w:r w:rsidR="004F583F" w:rsidRPr="00052850">
        <w:rPr>
          <w:rFonts w:ascii="Times New Roman" w:hAnsi="Times New Roman"/>
          <w:sz w:val="20"/>
          <w:szCs w:val="20"/>
        </w:rPr>
        <w:t>10-8</w:t>
      </w:r>
      <w:r w:rsidRPr="00052850">
        <w:rPr>
          <w:rFonts w:ascii="Times New Roman" w:hAnsi="Times New Roman"/>
          <w:sz w:val="20"/>
          <w:szCs w:val="20"/>
        </w:rPr>
        <w:t>: Description of Ex Ante Reference Load Regression Variables</w:t>
      </w:r>
    </w:p>
    <w:tbl>
      <w:tblPr>
        <w:tblW w:w="6570" w:type="dxa"/>
        <w:jc w:val="center"/>
        <w:tblLook w:val="04A0" w:firstRow="1" w:lastRow="0" w:firstColumn="1" w:lastColumn="0" w:noHBand="0" w:noVBand="1"/>
      </w:tblPr>
      <w:tblGrid>
        <w:gridCol w:w="1180"/>
        <w:gridCol w:w="5390"/>
      </w:tblGrid>
      <w:tr w:rsidR="00D6772C" w:rsidRPr="008E103E" w:rsidTr="0079525F">
        <w:trPr>
          <w:trHeight w:val="315"/>
          <w:jc w:val="center"/>
        </w:trPr>
        <w:tc>
          <w:tcPr>
            <w:tcW w:w="1180" w:type="dxa"/>
            <w:tcBorders>
              <w:top w:val="single" w:sz="8" w:space="0" w:color="auto"/>
              <w:left w:val="single" w:sz="8" w:space="0" w:color="auto"/>
              <w:bottom w:val="single" w:sz="8" w:space="0" w:color="auto"/>
              <w:right w:val="single" w:sz="8" w:space="0" w:color="FFFFFF"/>
            </w:tcBorders>
            <w:shd w:val="clear" w:color="auto" w:fill="0070CD"/>
            <w:vAlign w:val="center"/>
            <w:hideMark/>
          </w:tcPr>
          <w:p w:rsidR="00D6772C" w:rsidRPr="008E103E" w:rsidRDefault="00D6772C" w:rsidP="0079525F">
            <w:pPr>
              <w:pStyle w:val="TableHeader"/>
            </w:pPr>
            <w:r w:rsidRPr="008E103E">
              <w:t>Variable</w:t>
            </w:r>
          </w:p>
        </w:tc>
        <w:tc>
          <w:tcPr>
            <w:tcW w:w="5390" w:type="dxa"/>
            <w:tcBorders>
              <w:top w:val="single" w:sz="8" w:space="0" w:color="auto"/>
              <w:left w:val="nil"/>
              <w:bottom w:val="single" w:sz="8" w:space="0" w:color="auto"/>
              <w:right w:val="single" w:sz="8" w:space="0" w:color="auto"/>
            </w:tcBorders>
            <w:shd w:val="clear" w:color="auto" w:fill="0070CD"/>
            <w:vAlign w:val="center"/>
            <w:hideMark/>
          </w:tcPr>
          <w:p w:rsidR="00D6772C" w:rsidRPr="008E103E" w:rsidRDefault="00D6772C" w:rsidP="0079525F">
            <w:pPr>
              <w:pStyle w:val="TableHeader"/>
            </w:pPr>
            <w:r w:rsidRPr="008E103E">
              <w:t>Description</w:t>
            </w:r>
          </w:p>
        </w:tc>
      </w:tr>
      <w:tr w:rsidR="00D6772C" w:rsidRPr="008E103E" w:rsidTr="0079525F">
        <w:trPr>
          <w:trHeight w:val="495"/>
          <w:jc w:val="center"/>
        </w:trPr>
        <w:tc>
          <w:tcPr>
            <w:tcW w:w="1180" w:type="dxa"/>
            <w:tcBorders>
              <w:top w:val="nil"/>
              <w:left w:val="single" w:sz="8" w:space="0" w:color="auto"/>
              <w:bottom w:val="single" w:sz="8" w:space="0" w:color="auto"/>
              <w:right w:val="single" w:sz="8" w:space="0" w:color="auto"/>
            </w:tcBorders>
            <w:shd w:val="clear" w:color="000000" w:fill="FFFFFF"/>
            <w:vAlign w:val="center"/>
            <w:hideMark/>
          </w:tcPr>
          <w:p w:rsidR="00D6772C" w:rsidRPr="008E103E" w:rsidRDefault="00D6772C" w:rsidP="0079525F">
            <w:pPr>
              <w:jc w:val="center"/>
              <w:rPr>
                <w:rFonts w:ascii="Calibri" w:hAnsi="Calibri"/>
                <w:i/>
                <w:iCs/>
                <w:color w:val="000000"/>
                <w:sz w:val="18"/>
                <w:szCs w:val="18"/>
              </w:rPr>
            </w:pPr>
            <w:r>
              <w:rPr>
                <w:rFonts w:ascii="Calibri" w:hAnsi="Calibri"/>
                <w:i/>
                <w:iCs/>
                <w:color w:val="000000"/>
                <w:sz w:val="18"/>
                <w:szCs w:val="18"/>
              </w:rPr>
              <w:t>kW</w:t>
            </w:r>
          </w:p>
        </w:tc>
        <w:tc>
          <w:tcPr>
            <w:tcW w:w="5390" w:type="dxa"/>
            <w:tcBorders>
              <w:top w:val="nil"/>
              <w:left w:val="nil"/>
              <w:bottom w:val="single" w:sz="8" w:space="0" w:color="auto"/>
              <w:right w:val="single" w:sz="8" w:space="0" w:color="auto"/>
            </w:tcBorders>
            <w:shd w:val="clear" w:color="000000" w:fill="FFFFFF"/>
            <w:vAlign w:val="center"/>
            <w:hideMark/>
          </w:tcPr>
          <w:p w:rsidR="00D6772C" w:rsidRPr="008E103E" w:rsidRDefault="00D6772C" w:rsidP="0079525F">
            <w:pPr>
              <w:pStyle w:val="TableText"/>
            </w:pPr>
            <w:r w:rsidRPr="008E103E">
              <w:t xml:space="preserve">Per customer ex post </w:t>
            </w:r>
            <w:r>
              <w:t xml:space="preserve">reference </w:t>
            </w:r>
            <w:r w:rsidRPr="008E103E">
              <w:t>load for each event day</w:t>
            </w:r>
          </w:p>
        </w:tc>
      </w:tr>
      <w:tr w:rsidR="00D6772C" w:rsidRPr="008E103E" w:rsidTr="0079525F">
        <w:trPr>
          <w:trHeight w:val="315"/>
          <w:jc w:val="center"/>
        </w:trPr>
        <w:tc>
          <w:tcPr>
            <w:tcW w:w="1180" w:type="dxa"/>
            <w:tcBorders>
              <w:top w:val="nil"/>
              <w:left w:val="single" w:sz="8" w:space="0" w:color="auto"/>
              <w:bottom w:val="single" w:sz="8" w:space="0" w:color="auto"/>
              <w:right w:val="single" w:sz="8" w:space="0" w:color="auto"/>
            </w:tcBorders>
            <w:shd w:val="clear" w:color="000000" w:fill="FFFFFF"/>
            <w:vAlign w:val="center"/>
            <w:hideMark/>
          </w:tcPr>
          <w:p w:rsidR="00D6772C" w:rsidRPr="008E103E" w:rsidRDefault="00D6772C" w:rsidP="0079525F">
            <w:pPr>
              <w:jc w:val="center"/>
              <w:rPr>
                <w:rFonts w:ascii="Arial" w:hAnsi="Arial" w:cs="Arial"/>
                <w:i/>
                <w:iCs/>
                <w:color w:val="000000"/>
                <w:sz w:val="18"/>
                <w:szCs w:val="18"/>
              </w:rPr>
            </w:pPr>
            <w:r w:rsidRPr="008E103E">
              <w:rPr>
                <w:rFonts w:ascii="Arial" w:hAnsi="Arial" w:cs="Arial"/>
                <w:i/>
                <w:iCs/>
                <w:color w:val="000000"/>
                <w:sz w:val="18"/>
                <w:szCs w:val="18"/>
              </w:rPr>
              <w:t>a</w:t>
            </w:r>
          </w:p>
        </w:tc>
        <w:tc>
          <w:tcPr>
            <w:tcW w:w="5390" w:type="dxa"/>
            <w:tcBorders>
              <w:top w:val="nil"/>
              <w:left w:val="nil"/>
              <w:bottom w:val="single" w:sz="8" w:space="0" w:color="auto"/>
              <w:right w:val="single" w:sz="8" w:space="0" w:color="auto"/>
            </w:tcBorders>
            <w:shd w:val="clear" w:color="000000" w:fill="FFFFFF"/>
            <w:vAlign w:val="center"/>
            <w:hideMark/>
          </w:tcPr>
          <w:p w:rsidR="00D6772C" w:rsidRPr="008E103E" w:rsidRDefault="00D6772C" w:rsidP="0079525F">
            <w:pPr>
              <w:pStyle w:val="TableText"/>
            </w:pPr>
            <w:r w:rsidRPr="008E103E">
              <w:t>Estimated constant</w:t>
            </w:r>
          </w:p>
        </w:tc>
      </w:tr>
      <w:tr w:rsidR="00D6772C" w:rsidRPr="008E103E" w:rsidTr="0079525F">
        <w:trPr>
          <w:trHeight w:val="31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6772C" w:rsidRPr="008E103E" w:rsidRDefault="00D6772C" w:rsidP="0079525F">
            <w:pPr>
              <w:jc w:val="center"/>
              <w:rPr>
                <w:rFonts w:ascii="Arial" w:hAnsi="Arial" w:cs="Arial"/>
                <w:i/>
                <w:iCs/>
                <w:color w:val="000000"/>
                <w:sz w:val="18"/>
                <w:szCs w:val="18"/>
              </w:rPr>
            </w:pPr>
            <w:r>
              <w:rPr>
                <w:rFonts w:ascii="Arial" w:hAnsi="Arial" w:cs="Arial"/>
                <w:i/>
                <w:iCs/>
                <w:color w:val="000000"/>
                <w:sz w:val="18"/>
                <w:szCs w:val="18"/>
              </w:rPr>
              <w:t>b and c</w:t>
            </w:r>
          </w:p>
        </w:tc>
        <w:tc>
          <w:tcPr>
            <w:tcW w:w="5390" w:type="dxa"/>
            <w:tcBorders>
              <w:top w:val="nil"/>
              <w:left w:val="nil"/>
              <w:bottom w:val="single" w:sz="8" w:space="0" w:color="auto"/>
              <w:right w:val="single" w:sz="8" w:space="0" w:color="auto"/>
            </w:tcBorders>
            <w:shd w:val="clear" w:color="auto" w:fill="auto"/>
            <w:vAlign w:val="center"/>
            <w:hideMark/>
          </w:tcPr>
          <w:p w:rsidR="00D6772C" w:rsidRPr="008E103E" w:rsidRDefault="00D6772C" w:rsidP="0079525F">
            <w:pPr>
              <w:pStyle w:val="TableText"/>
            </w:pPr>
            <w:r>
              <w:t>Estimated parameters describing the relationship between temperature and demand</w:t>
            </w:r>
          </w:p>
        </w:tc>
      </w:tr>
      <w:tr w:rsidR="00D6772C" w:rsidRPr="008E103E" w:rsidTr="0079525F">
        <w:trPr>
          <w:trHeight w:val="315"/>
          <w:jc w:val="center"/>
        </w:trPr>
        <w:tc>
          <w:tcPr>
            <w:tcW w:w="1180" w:type="dxa"/>
            <w:tcBorders>
              <w:top w:val="nil"/>
              <w:left w:val="single" w:sz="8" w:space="0" w:color="auto"/>
              <w:bottom w:val="single" w:sz="8" w:space="0" w:color="auto"/>
              <w:right w:val="single" w:sz="8" w:space="0" w:color="auto"/>
            </w:tcBorders>
            <w:shd w:val="clear" w:color="auto" w:fill="auto"/>
            <w:vAlign w:val="center"/>
          </w:tcPr>
          <w:p w:rsidR="00D6772C" w:rsidRPr="008E103E" w:rsidRDefault="00D6772C" w:rsidP="0079525F">
            <w:pPr>
              <w:jc w:val="center"/>
              <w:rPr>
                <w:rFonts w:ascii="Arial" w:hAnsi="Arial" w:cs="Arial"/>
                <w:i/>
                <w:iCs/>
                <w:color w:val="000000"/>
                <w:sz w:val="18"/>
                <w:szCs w:val="18"/>
              </w:rPr>
            </w:pPr>
            <w:r>
              <w:rPr>
                <w:rFonts w:ascii="Arial" w:hAnsi="Arial" w:cs="Arial"/>
                <w:i/>
                <w:iCs/>
                <w:color w:val="000000"/>
                <w:sz w:val="18"/>
                <w:szCs w:val="18"/>
              </w:rPr>
              <w:t>d</w:t>
            </w:r>
          </w:p>
        </w:tc>
        <w:tc>
          <w:tcPr>
            <w:tcW w:w="5390" w:type="dxa"/>
            <w:tcBorders>
              <w:top w:val="nil"/>
              <w:left w:val="nil"/>
              <w:bottom w:val="single" w:sz="8" w:space="0" w:color="auto"/>
              <w:right w:val="single" w:sz="8" w:space="0" w:color="auto"/>
            </w:tcBorders>
            <w:shd w:val="clear" w:color="auto" w:fill="auto"/>
            <w:vAlign w:val="center"/>
          </w:tcPr>
          <w:p w:rsidR="00D6772C" w:rsidRPr="008E103E" w:rsidRDefault="00D6772C" w:rsidP="0079525F">
            <w:pPr>
              <w:pStyle w:val="TableText"/>
            </w:pPr>
            <w:r>
              <w:t>Estimated parameters describing the average difference in load for that weekday from Monday</w:t>
            </w:r>
          </w:p>
        </w:tc>
      </w:tr>
      <w:tr w:rsidR="00D6772C" w:rsidRPr="008E103E" w:rsidTr="0079525F">
        <w:trPr>
          <w:trHeight w:val="315"/>
          <w:jc w:val="center"/>
        </w:trPr>
        <w:tc>
          <w:tcPr>
            <w:tcW w:w="1180" w:type="dxa"/>
            <w:tcBorders>
              <w:top w:val="nil"/>
              <w:left w:val="single" w:sz="8" w:space="0" w:color="auto"/>
              <w:bottom w:val="single" w:sz="8" w:space="0" w:color="auto"/>
              <w:right w:val="single" w:sz="8" w:space="0" w:color="auto"/>
            </w:tcBorders>
            <w:shd w:val="clear" w:color="auto" w:fill="auto"/>
            <w:vAlign w:val="center"/>
          </w:tcPr>
          <w:p w:rsidR="00D6772C" w:rsidRPr="008E103E" w:rsidRDefault="00D6772C" w:rsidP="0079525F">
            <w:pPr>
              <w:jc w:val="center"/>
              <w:rPr>
                <w:rFonts w:ascii="Arial" w:hAnsi="Arial" w:cs="Arial"/>
                <w:i/>
                <w:iCs/>
                <w:color w:val="000000"/>
                <w:sz w:val="18"/>
                <w:szCs w:val="18"/>
              </w:rPr>
            </w:pPr>
            <w:r>
              <w:rPr>
                <w:rFonts w:ascii="Arial" w:hAnsi="Arial" w:cs="Arial"/>
                <w:i/>
                <w:iCs/>
                <w:color w:val="000000"/>
                <w:sz w:val="18"/>
                <w:szCs w:val="18"/>
              </w:rPr>
              <w:t>m</w:t>
            </w:r>
          </w:p>
        </w:tc>
        <w:tc>
          <w:tcPr>
            <w:tcW w:w="5390" w:type="dxa"/>
            <w:tcBorders>
              <w:top w:val="nil"/>
              <w:left w:val="nil"/>
              <w:bottom w:val="single" w:sz="8" w:space="0" w:color="auto"/>
              <w:right w:val="single" w:sz="8" w:space="0" w:color="auto"/>
            </w:tcBorders>
            <w:shd w:val="clear" w:color="auto" w:fill="auto"/>
            <w:vAlign w:val="center"/>
          </w:tcPr>
          <w:p w:rsidR="00D6772C" w:rsidRPr="008E103E" w:rsidRDefault="00D6772C" w:rsidP="0079525F">
            <w:pPr>
              <w:pStyle w:val="TableText"/>
            </w:pPr>
            <w:r>
              <w:t>Estimated parameters describing the average difference in load for that month from January</w:t>
            </w:r>
          </w:p>
        </w:tc>
      </w:tr>
      <w:tr w:rsidR="00D6772C" w:rsidRPr="008E103E" w:rsidTr="0079525F">
        <w:trPr>
          <w:trHeight w:val="31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6772C" w:rsidRPr="008E103E" w:rsidRDefault="00D6772C" w:rsidP="0079525F">
            <w:pPr>
              <w:jc w:val="center"/>
              <w:rPr>
                <w:rFonts w:ascii="Arial" w:hAnsi="Arial" w:cs="Arial"/>
                <w:i/>
                <w:iCs/>
                <w:color w:val="000000"/>
                <w:sz w:val="18"/>
                <w:szCs w:val="18"/>
              </w:rPr>
            </w:pPr>
            <w:r w:rsidRPr="008E103E">
              <w:rPr>
                <w:rFonts w:ascii="Arial" w:hAnsi="Arial" w:cs="Arial"/>
                <w:i/>
                <w:iCs/>
                <w:color w:val="000000"/>
                <w:sz w:val="18"/>
                <w:szCs w:val="18"/>
              </w:rPr>
              <w:t>mean17</w:t>
            </w:r>
          </w:p>
        </w:tc>
        <w:tc>
          <w:tcPr>
            <w:tcW w:w="5390" w:type="dxa"/>
            <w:tcBorders>
              <w:top w:val="nil"/>
              <w:left w:val="nil"/>
              <w:bottom w:val="single" w:sz="8" w:space="0" w:color="auto"/>
              <w:right w:val="single" w:sz="8" w:space="0" w:color="auto"/>
            </w:tcBorders>
            <w:shd w:val="clear" w:color="auto" w:fill="auto"/>
            <w:vAlign w:val="center"/>
            <w:hideMark/>
          </w:tcPr>
          <w:p w:rsidR="00D6772C" w:rsidRPr="008E103E" w:rsidRDefault="00D6772C" w:rsidP="0079525F">
            <w:pPr>
              <w:pStyle w:val="TableText"/>
            </w:pPr>
            <w:r w:rsidRPr="008E103E">
              <w:t>Average temperature</w:t>
            </w:r>
            <w:r>
              <w:t xml:space="preserve"> from</w:t>
            </w:r>
            <w:r w:rsidRPr="008E103E">
              <w:t xml:space="preserve">  midnight to 5 PM</w:t>
            </w:r>
          </w:p>
        </w:tc>
      </w:tr>
      <w:tr w:rsidR="00D6772C" w:rsidRPr="008E103E" w:rsidTr="0079525F">
        <w:trPr>
          <w:trHeight w:val="315"/>
          <w:jc w:val="center"/>
        </w:trPr>
        <w:tc>
          <w:tcPr>
            <w:tcW w:w="1180" w:type="dxa"/>
            <w:tcBorders>
              <w:top w:val="nil"/>
              <w:left w:val="single" w:sz="8" w:space="0" w:color="auto"/>
              <w:bottom w:val="single" w:sz="8" w:space="0" w:color="auto"/>
              <w:right w:val="single" w:sz="8" w:space="0" w:color="auto"/>
            </w:tcBorders>
            <w:shd w:val="clear" w:color="auto" w:fill="auto"/>
            <w:vAlign w:val="center"/>
          </w:tcPr>
          <w:p w:rsidR="00D6772C" w:rsidRPr="00530D46" w:rsidRDefault="00D6772C" w:rsidP="0079525F">
            <w:pPr>
              <w:jc w:val="center"/>
              <w:rPr>
                <w:rFonts w:ascii="Arial" w:hAnsi="Arial" w:cs="Arial"/>
                <w:i/>
                <w:iCs/>
                <w:color w:val="000000"/>
                <w:sz w:val="18"/>
                <w:szCs w:val="18"/>
                <w:vertAlign w:val="superscript"/>
              </w:rPr>
            </w:pPr>
            <w:r w:rsidRPr="008E103E">
              <w:rPr>
                <w:rFonts w:ascii="Arial" w:hAnsi="Arial" w:cs="Arial"/>
                <w:i/>
                <w:iCs/>
                <w:color w:val="000000"/>
                <w:sz w:val="18"/>
                <w:szCs w:val="18"/>
              </w:rPr>
              <w:t>mean17</w:t>
            </w:r>
            <w:r>
              <w:rPr>
                <w:rFonts w:ascii="Arial" w:hAnsi="Arial" w:cs="Arial"/>
                <w:i/>
                <w:iCs/>
                <w:color w:val="000000"/>
                <w:sz w:val="18"/>
                <w:szCs w:val="18"/>
                <w:vertAlign w:val="superscript"/>
              </w:rPr>
              <w:t>2</w:t>
            </w:r>
          </w:p>
        </w:tc>
        <w:tc>
          <w:tcPr>
            <w:tcW w:w="5390" w:type="dxa"/>
            <w:tcBorders>
              <w:top w:val="nil"/>
              <w:left w:val="nil"/>
              <w:bottom w:val="single" w:sz="8" w:space="0" w:color="auto"/>
              <w:right w:val="single" w:sz="8" w:space="0" w:color="auto"/>
            </w:tcBorders>
            <w:shd w:val="clear" w:color="auto" w:fill="auto"/>
            <w:vAlign w:val="center"/>
          </w:tcPr>
          <w:p w:rsidR="00D6772C" w:rsidRPr="008E103E" w:rsidRDefault="00D6772C" w:rsidP="0079525F">
            <w:pPr>
              <w:pStyle w:val="TableText"/>
            </w:pPr>
            <w:r w:rsidRPr="008E103E">
              <w:t>Average temperature</w:t>
            </w:r>
            <w:r>
              <w:t xml:space="preserve"> from</w:t>
            </w:r>
            <w:r w:rsidRPr="008E103E">
              <w:t xml:space="preserve">  midnight to 5 PM</w:t>
            </w:r>
            <w:r>
              <w:t>, squared</w:t>
            </w:r>
          </w:p>
        </w:tc>
      </w:tr>
      <w:tr w:rsidR="00D6772C" w:rsidRPr="008E103E" w:rsidTr="0079525F">
        <w:trPr>
          <w:trHeight w:val="49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6772C" w:rsidRPr="008E103E" w:rsidRDefault="00D6772C" w:rsidP="0079525F">
            <w:pPr>
              <w:jc w:val="center"/>
              <w:rPr>
                <w:rFonts w:ascii="Arial" w:hAnsi="Arial" w:cs="Arial"/>
                <w:i/>
                <w:iCs/>
                <w:color w:val="000000"/>
                <w:sz w:val="18"/>
                <w:szCs w:val="18"/>
              </w:rPr>
            </w:pPr>
            <w:r>
              <w:rPr>
                <w:rFonts w:ascii="Arial" w:hAnsi="Arial" w:cs="Arial"/>
                <w:i/>
                <w:iCs/>
                <w:color w:val="000000"/>
                <w:sz w:val="18"/>
                <w:szCs w:val="18"/>
              </w:rPr>
              <w:t>DOW</w:t>
            </w:r>
          </w:p>
        </w:tc>
        <w:tc>
          <w:tcPr>
            <w:tcW w:w="5390" w:type="dxa"/>
            <w:tcBorders>
              <w:top w:val="nil"/>
              <w:left w:val="nil"/>
              <w:bottom w:val="single" w:sz="8" w:space="0" w:color="auto"/>
              <w:right w:val="single" w:sz="8" w:space="0" w:color="auto"/>
            </w:tcBorders>
            <w:shd w:val="clear" w:color="auto" w:fill="auto"/>
            <w:vAlign w:val="center"/>
            <w:hideMark/>
          </w:tcPr>
          <w:p w:rsidR="00D6772C" w:rsidRPr="008E103E" w:rsidRDefault="00D6772C" w:rsidP="0079525F">
            <w:pPr>
              <w:pStyle w:val="TableText"/>
            </w:pPr>
            <w:r>
              <w:t>Dummy variable for each weekday (Monday not included)</w:t>
            </w:r>
          </w:p>
        </w:tc>
      </w:tr>
      <w:tr w:rsidR="00D6772C" w:rsidRPr="008E103E" w:rsidTr="0079525F">
        <w:trPr>
          <w:trHeight w:val="495"/>
          <w:jc w:val="center"/>
        </w:trPr>
        <w:tc>
          <w:tcPr>
            <w:tcW w:w="1180" w:type="dxa"/>
            <w:tcBorders>
              <w:top w:val="nil"/>
              <w:left w:val="single" w:sz="8" w:space="0" w:color="auto"/>
              <w:bottom w:val="single" w:sz="8" w:space="0" w:color="auto"/>
              <w:right w:val="single" w:sz="8" w:space="0" w:color="auto"/>
            </w:tcBorders>
            <w:shd w:val="clear" w:color="auto" w:fill="auto"/>
            <w:vAlign w:val="center"/>
          </w:tcPr>
          <w:p w:rsidR="00D6772C" w:rsidRDefault="00D6772C" w:rsidP="0079525F">
            <w:pPr>
              <w:jc w:val="center"/>
              <w:rPr>
                <w:rFonts w:ascii="Arial" w:hAnsi="Arial" w:cs="Arial"/>
                <w:i/>
                <w:iCs/>
                <w:color w:val="000000"/>
                <w:sz w:val="18"/>
                <w:szCs w:val="18"/>
              </w:rPr>
            </w:pPr>
            <w:r>
              <w:rPr>
                <w:rFonts w:ascii="Arial" w:hAnsi="Arial" w:cs="Arial"/>
                <w:i/>
                <w:iCs/>
                <w:color w:val="000000"/>
                <w:sz w:val="18"/>
                <w:szCs w:val="18"/>
              </w:rPr>
              <w:t>Month</w:t>
            </w:r>
          </w:p>
        </w:tc>
        <w:tc>
          <w:tcPr>
            <w:tcW w:w="5390" w:type="dxa"/>
            <w:tcBorders>
              <w:top w:val="nil"/>
              <w:left w:val="nil"/>
              <w:bottom w:val="single" w:sz="8" w:space="0" w:color="auto"/>
              <w:right w:val="single" w:sz="8" w:space="0" w:color="auto"/>
            </w:tcBorders>
            <w:shd w:val="clear" w:color="auto" w:fill="auto"/>
            <w:vAlign w:val="center"/>
          </w:tcPr>
          <w:p w:rsidR="00D6772C" w:rsidRDefault="00D6772C" w:rsidP="0079525F">
            <w:pPr>
              <w:pStyle w:val="TableText"/>
            </w:pPr>
            <w:r>
              <w:t>Dummy variable for each month (January not included)</w:t>
            </w:r>
          </w:p>
        </w:tc>
      </w:tr>
      <w:tr w:rsidR="00D6772C" w:rsidRPr="008E103E" w:rsidTr="0079525F">
        <w:trPr>
          <w:trHeight w:val="49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6772C" w:rsidRPr="008E103E" w:rsidRDefault="00D6772C" w:rsidP="0079525F">
            <w:pPr>
              <w:jc w:val="center"/>
              <w:rPr>
                <w:rFonts w:ascii="Arial" w:hAnsi="Arial" w:cs="Arial"/>
                <w:i/>
                <w:iCs/>
                <w:color w:val="000000"/>
                <w:sz w:val="18"/>
                <w:szCs w:val="18"/>
              </w:rPr>
            </w:pPr>
            <w:r w:rsidRPr="008E103E">
              <w:rPr>
                <w:rFonts w:ascii="Calibri" w:hAnsi="Calibri"/>
                <w:i/>
                <w:iCs/>
                <w:color w:val="000000"/>
                <w:sz w:val="18"/>
                <w:szCs w:val="18"/>
              </w:rPr>
              <w:t>Ɛ</w:t>
            </w:r>
          </w:p>
        </w:tc>
        <w:tc>
          <w:tcPr>
            <w:tcW w:w="5390" w:type="dxa"/>
            <w:tcBorders>
              <w:top w:val="nil"/>
              <w:left w:val="nil"/>
              <w:bottom w:val="single" w:sz="8" w:space="0" w:color="auto"/>
              <w:right w:val="single" w:sz="8" w:space="0" w:color="auto"/>
            </w:tcBorders>
            <w:shd w:val="clear" w:color="auto" w:fill="auto"/>
            <w:vAlign w:val="center"/>
            <w:hideMark/>
          </w:tcPr>
          <w:p w:rsidR="00D6772C" w:rsidRPr="008E103E" w:rsidRDefault="00D6772C" w:rsidP="0079525F">
            <w:pPr>
              <w:pStyle w:val="TableText"/>
            </w:pPr>
            <w:r w:rsidRPr="008E103E">
              <w:t>The error term, assumed to be a mean zero and uncorrelated with any of the independent variables</w:t>
            </w:r>
          </w:p>
        </w:tc>
      </w:tr>
      <w:tr w:rsidR="00D6772C" w:rsidRPr="00981BF8" w:rsidTr="0079525F">
        <w:trPr>
          <w:trHeight w:val="495"/>
          <w:jc w:val="center"/>
        </w:trPr>
        <w:tc>
          <w:tcPr>
            <w:tcW w:w="1180" w:type="dxa"/>
            <w:tcBorders>
              <w:top w:val="nil"/>
              <w:left w:val="single" w:sz="8" w:space="0" w:color="auto"/>
              <w:bottom w:val="single" w:sz="8" w:space="0" w:color="auto"/>
              <w:right w:val="single" w:sz="8" w:space="0" w:color="auto"/>
            </w:tcBorders>
            <w:shd w:val="clear" w:color="auto" w:fill="auto"/>
            <w:vAlign w:val="center"/>
          </w:tcPr>
          <w:p w:rsidR="00D6772C" w:rsidRDefault="00D6772C" w:rsidP="0079525F">
            <w:pPr>
              <w:jc w:val="center"/>
              <w:rPr>
                <w:rFonts w:ascii="Calibri" w:hAnsi="Calibri"/>
                <w:i/>
                <w:iCs/>
                <w:color w:val="000000"/>
                <w:sz w:val="18"/>
                <w:szCs w:val="18"/>
              </w:rPr>
            </w:pPr>
            <w:r>
              <w:rPr>
                <w:rFonts w:ascii="Calibri" w:hAnsi="Calibri"/>
                <w:i/>
                <w:iCs/>
                <w:color w:val="000000"/>
                <w:sz w:val="18"/>
                <w:szCs w:val="18"/>
              </w:rPr>
              <w:t>d</w:t>
            </w:r>
          </w:p>
        </w:tc>
        <w:tc>
          <w:tcPr>
            <w:tcW w:w="5390" w:type="dxa"/>
            <w:tcBorders>
              <w:top w:val="nil"/>
              <w:left w:val="nil"/>
              <w:bottom w:val="single" w:sz="8" w:space="0" w:color="auto"/>
              <w:right w:val="single" w:sz="8" w:space="0" w:color="auto"/>
            </w:tcBorders>
            <w:shd w:val="clear" w:color="auto" w:fill="auto"/>
            <w:vAlign w:val="center"/>
          </w:tcPr>
          <w:p w:rsidR="00D6772C" w:rsidRPr="008E103E" w:rsidRDefault="00D6772C" w:rsidP="0079525F">
            <w:pPr>
              <w:pStyle w:val="TableText"/>
            </w:pPr>
            <w:r>
              <w:t>Indexes event days within a given segment</w:t>
            </w:r>
          </w:p>
        </w:tc>
      </w:tr>
      <w:tr w:rsidR="00D6772C" w:rsidRPr="00981BF8" w:rsidTr="0079525F">
        <w:trPr>
          <w:trHeight w:val="495"/>
          <w:jc w:val="center"/>
        </w:trPr>
        <w:tc>
          <w:tcPr>
            <w:tcW w:w="1180" w:type="dxa"/>
            <w:tcBorders>
              <w:top w:val="nil"/>
              <w:left w:val="single" w:sz="8" w:space="0" w:color="auto"/>
              <w:bottom w:val="single" w:sz="8" w:space="0" w:color="auto"/>
              <w:right w:val="single" w:sz="8" w:space="0" w:color="auto"/>
            </w:tcBorders>
            <w:shd w:val="clear" w:color="auto" w:fill="auto"/>
            <w:vAlign w:val="center"/>
          </w:tcPr>
          <w:p w:rsidR="00D6772C" w:rsidRDefault="00D6772C" w:rsidP="0079525F">
            <w:pPr>
              <w:jc w:val="center"/>
              <w:rPr>
                <w:rFonts w:ascii="Calibri" w:hAnsi="Calibri"/>
                <w:i/>
                <w:iCs/>
                <w:color w:val="000000"/>
                <w:sz w:val="18"/>
                <w:szCs w:val="18"/>
              </w:rPr>
            </w:pPr>
            <w:r>
              <w:rPr>
                <w:rFonts w:ascii="Calibri" w:hAnsi="Calibri"/>
                <w:i/>
                <w:iCs/>
                <w:color w:val="000000"/>
                <w:sz w:val="18"/>
                <w:szCs w:val="18"/>
              </w:rPr>
              <w:t>day</w:t>
            </w:r>
          </w:p>
        </w:tc>
        <w:tc>
          <w:tcPr>
            <w:tcW w:w="5390" w:type="dxa"/>
            <w:tcBorders>
              <w:top w:val="nil"/>
              <w:left w:val="nil"/>
              <w:bottom w:val="single" w:sz="8" w:space="0" w:color="auto"/>
              <w:right w:val="single" w:sz="8" w:space="0" w:color="auto"/>
            </w:tcBorders>
            <w:shd w:val="clear" w:color="auto" w:fill="auto"/>
            <w:vAlign w:val="center"/>
          </w:tcPr>
          <w:p w:rsidR="00D6772C" w:rsidRDefault="00D6772C" w:rsidP="0079525F">
            <w:pPr>
              <w:pStyle w:val="TableText"/>
            </w:pPr>
            <w:r>
              <w:t>Indexes weekday</w:t>
            </w:r>
          </w:p>
        </w:tc>
      </w:tr>
      <w:tr w:rsidR="00D6772C" w:rsidRPr="00981BF8" w:rsidTr="0079525F">
        <w:trPr>
          <w:trHeight w:val="49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6772C" w:rsidRPr="008E103E" w:rsidRDefault="00D6772C" w:rsidP="0079525F">
            <w:pPr>
              <w:jc w:val="center"/>
              <w:rPr>
                <w:rFonts w:ascii="Calibri" w:hAnsi="Calibri"/>
                <w:i/>
                <w:iCs/>
                <w:color w:val="000000"/>
                <w:sz w:val="18"/>
                <w:szCs w:val="18"/>
              </w:rPr>
            </w:pPr>
            <w:r>
              <w:rPr>
                <w:rFonts w:ascii="Calibri" w:hAnsi="Calibri"/>
                <w:i/>
                <w:iCs/>
                <w:color w:val="000000"/>
                <w:sz w:val="18"/>
                <w:szCs w:val="18"/>
              </w:rPr>
              <w:t>month</w:t>
            </w:r>
          </w:p>
        </w:tc>
        <w:tc>
          <w:tcPr>
            <w:tcW w:w="5390" w:type="dxa"/>
            <w:tcBorders>
              <w:top w:val="nil"/>
              <w:left w:val="nil"/>
              <w:bottom w:val="single" w:sz="8" w:space="0" w:color="auto"/>
              <w:right w:val="single" w:sz="8" w:space="0" w:color="auto"/>
            </w:tcBorders>
            <w:shd w:val="clear" w:color="auto" w:fill="auto"/>
            <w:vAlign w:val="center"/>
            <w:hideMark/>
          </w:tcPr>
          <w:p w:rsidR="00D6772C" w:rsidRPr="008E103E" w:rsidRDefault="00D6772C" w:rsidP="0079525F">
            <w:pPr>
              <w:pStyle w:val="TableText"/>
            </w:pPr>
            <w:r>
              <w:t>Indexes month</w:t>
            </w:r>
          </w:p>
        </w:tc>
      </w:tr>
    </w:tbl>
    <w:p w:rsidR="00D6772C" w:rsidRDefault="00D6772C" w:rsidP="00D6772C">
      <w:pPr>
        <w:pStyle w:val="BodyParagraph"/>
        <w:spacing w:before="240"/>
      </w:pPr>
    </w:p>
    <w:p w:rsidR="00D6772C" w:rsidRPr="0079525F" w:rsidRDefault="00D6772C" w:rsidP="00D6772C">
      <w:pPr>
        <w:pStyle w:val="TableFigureCaption"/>
        <w:rPr>
          <w:rFonts w:ascii="Times New Roman" w:hAnsi="Times New Roman"/>
          <w:sz w:val="20"/>
          <w:szCs w:val="20"/>
        </w:rPr>
      </w:pPr>
      <w:r w:rsidRPr="0079525F">
        <w:rPr>
          <w:rFonts w:ascii="Times New Roman" w:hAnsi="Times New Roman"/>
          <w:sz w:val="20"/>
          <w:szCs w:val="20"/>
        </w:rPr>
        <w:lastRenderedPageBreak/>
        <w:t xml:space="preserve">Equation </w:t>
      </w:r>
      <w:r w:rsidR="004F583F" w:rsidRPr="0079525F">
        <w:rPr>
          <w:rFonts w:ascii="Times New Roman" w:hAnsi="Times New Roman"/>
          <w:sz w:val="20"/>
          <w:szCs w:val="20"/>
        </w:rPr>
        <w:t>10-4</w:t>
      </w:r>
      <w:r w:rsidRPr="0079525F">
        <w:rPr>
          <w:rFonts w:ascii="Times New Roman" w:hAnsi="Times New Roman"/>
          <w:sz w:val="20"/>
          <w:szCs w:val="20"/>
        </w:rPr>
        <w:t>: Summer Saver Load Impact Ex Ante Regression Model Specification</w:t>
      </w:r>
    </w:p>
    <w:p w:rsidR="00D6772C" w:rsidRPr="008E103E" w:rsidRDefault="00947B52" w:rsidP="00D6772C">
      <w:pPr>
        <w:pStyle w:val="BodyParagraph"/>
        <w:jc w:val="center"/>
        <w:rPr>
          <w:sz w:val="24"/>
          <w:szCs w:val="24"/>
        </w:rPr>
      </w:pPr>
      <m:oMathPara>
        <m:oMath>
          <m:sSub>
            <m:sSubPr>
              <m:ctrlPr>
                <w:rPr>
                  <w:rFonts w:ascii="Cambria Math" w:hAnsi="Cambria Math" w:cs="Arial"/>
                  <w:i/>
                </w:rPr>
              </m:ctrlPr>
            </m:sSubPr>
            <m:e>
              <m:r>
                <w:rPr>
                  <w:rFonts w:ascii="Cambria Math" w:hAnsi="Cambria Math" w:cs="Arial"/>
                </w:rPr>
                <m:t>impact</m:t>
              </m:r>
            </m:e>
            <m:sub>
              <m:r>
                <w:rPr>
                  <w:rFonts w:ascii="Cambria Math" w:hAnsi="Cambria Math" w:cs="Arial"/>
                </w:rPr>
                <m:t>t</m:t>
              </m:r>
            </m:sub>
          </m:sSub>
          <m:r>
            <w:rPr>
              <w:rFonts w:ascii="Cambria Math" w:cs="Arial"/>
            </w:rPr>
            <m:t>=</m:t>
          </m:r>
          <m:r>
            <w:rPr>
              <w:rFonts w:ascii="Cambria Math" w:hAnsi="Cambria Math" w:cs="Arial"/>
            </w:rPr>
            <m:t>a</m:t>
          </m:r>
          <m:r>
            <w:rPr>
              <w:rFonts w:ascii="Cambria Math" w:cs="Arial"/>
            </w:rPr>
            <m:t>+b</m:t>
          </m:r>
          <m:sSub>
            <m:sSubPr>
              <m:ctrlPr>
                <w:rPr>
                  <w:rFonts w:ascii="Cambria Math" w:hAnsi="Cambria Math" w:cs="Arial"/>
                  <w:sz w:val="24"/>
                  <w:szCs w:val="24"/>
                </w:rPr>
              </m:ctrlPr>
            </m:sSubPr>
            <m:e>
              <m:r>
                <w:rPr>
                  <w:rFonts w:ascii="Cambria Math" w:hAnsi="Cambria Math" w:cs="Arial"/>
                </w:rPr>
                <m:t>∙</m:t>
              </m:r>
              <m:sSub>
                <m:sSubPr>
                  <m:ctrlPr>
                    <w:rPr>
                      <w:rFonts w:ascii="Cambria Math" w:hAnsi="Cambria Math" w:cs="Arial"/>
                      <w:i/>
                    </w:rPr>
                  </m:ctrlPr>
                </m:sSubPr>
                <m:e>
                  <m:r>
                    <w:rPr>
                      <w:rFonts w:ascii="Cambria Math" w:cs="Arial"/>
                    </w:rPr>
                    <m:t>mean17</m:t>
                  </m:r>
                </m:e>
                <m:sub>
                  <m:r>
                    <w:rPr>
                      <w:rFonts w:ascii="Cambria Math" w:cs="Arial"/>
                    </w:rPr>
                    <m:t>t</m:t>
                  </m:r>
                </m:sub>
              </m:sSub>
            </m:e>
            <m:sub>
              <m:r>
                <m:rPr>
                  <m:sty m:val="p"/>
                </m:rPr>
                <w:rPr>
                  <w:rFonts w:ascii="Cambria Math" w:hAnsi="Cambria Math" w:cs="Arial"/>
                  <w:sz w:val="24"/>
                  <w:szCs w:val="24"/>
                </w:rPr>
                <m:t xml:space="preserve"> </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ε</m:t>
              </m:r>
            </m:e>
            <m:sub>
              <m:r>
                <w:rPr>
                  <w:rFonts w:ascii="Cambria Math" w:hAnsi="Cambria Math"/>
                </w:rPr>
                <m:t>t</m:t>
              </m:r>
            </m:sub>
          </m:sSub>
        </m:oMath>
      </m:oMathPara>
    </w:p>
    <w:p w:rsidR="00D6772C" w:rsidRPr="00052850" w:rsidRDefault="00D6772C" w:rsidP="00D6772C">
      <w:pPr>
        <w:pStyle w:val="TableFigureCaption"/>
        <w:rPr>
          <w:rFonts w:ascii="Times New Roman" w:hAnsi="Times New Roman"/>
          <w:sz w:val="20"/>
          <w:szCs w:val="20"/>
        </w:rPr>
      </w:pPr>
      <w:r w:rsidRPr="00052850">
        <w:rPr>
          <w:rFonts w:ascii="Times New Roman" w:hAnsi="Times New Roman"/>
          <w:sz w:val="20"/>
          <w:szCs w:val="20"/>
        </w:rPr>
        <w:t xml:space="preserve">Table </w:t>
      </w:r>
      <w:r w:rsidR="004F583F" w:rsidRPr="00052850">
        <w:rPr>
          <w:rFonts w:ascii="Times New Roman" w:hAnsi="Times New Roman"/>
          <w:sz w:val="20"/>
          <w:szCs w:val="20"/>
        </w:rPr>
        <w:t>10-9</w:t>
      </w:r>
      <w:r w:rsidRPr="00052850">
        <w:rPr>
          <w:rFonts w:ascii="Times New Roman" w:hAnsi="Times New Roman"/>
          <w:sz w:val="20"/>
          <w:szCs w:val="20"/>
        </w:rPr>
        <w:t>: Description of Ex Ante Reference Load Regression Variables</w:t>
      </w:r>
    </w:p>
    <w:tbl>
      <w:tblPr>
        <w:tblW w:w="6548" w:type="dxa"/>
        <w:jc w:val="center"/>
        <w:tblLook w:val="04A0" w:firstRow="1" w:lastRow="0" w:firstColumn="1" w:lastColumn="0" w:noHBand="0" w:noVBand="1"/>
      </w:tblPr>
      <w:tblGrid>
        <w:gridCol w:w="1180"/>
        <w:gridCol w:w="5368"/>
      </w:tblGrid>
      <w:tr w:rsidR="00D6772C" w:rsidRPr="008E103E" w:rsidTr="0079525F">
        <w:trPr>
          <w:trHeight w:val="315"/>
          <w:jc w:val="center"/>
        </w:trPr>
        <w:tc>
          <w:tcPr>
            <w:tcW w:w="1180" w:type="dxa"/>
            <w:tcBorders>
              <w:top w:val="single" w:sz="8" w:space="0" w:color="auto"/>
              <w:left w:val="single" w:sz="8" w:space="0" w:color="auto"/>
              <w:bottom w:val="single" w:sz="8" w:space="0" w:color="auto"/>
              <w:right w:val="single" w:sz="8" w:space="0" w:color="FFFFFF"/>
            </w:tcBorders>
            <w:shd w:val="clear" w:color="auto" w:fill="0070CD"/>
            <w:vAlign w:val="center"/>
            <w:hideMark/>
          </w:tcPr>
          <w:p w:rsidR="00D6772C" w:rsidRPr="008E103E" w:rsidRDefault="00D6772C" w:rsidP="0079525F">
            <w:pPr>
              <w:pStyle w:val="TableHeader"/>
              <w:keepNext/>
            </w:pPr>
            <w:r w:rsidRPr="008E103E">
              <w:t>Variable</w:t>
            </w:r>
          </w:p>
        </w:tc>
        <w:tc>
          <w:tcPr>
            <w:tcW w:w="5368" w:type="dxa"/>
            <w:tcBorders>
              <w:top w:val="single" w:sz="8" w:space="0" w:color="auto"/>
              <w:left w:val="nil"/>
              <w:bottom w:val="single" w:sz="8" w:space="0" w:color="auto"/>
              <w:right w:val="single" w:sz="8" w:space="0" w:color="auto"/>
            </w:tcBorders>
            <w:shd w:val="clear" w:color="auto" w:fill="0070CD"/>
            <w:vAlign w:val="center"/>
            <w:hideMark/>
          </w:tcPr>
          <w:p w:rsidR="00D6772C" w:rsidRPr="008E103E" w:rsidRDefault="00D6772C" w:rsidP="0079525F">
            <w:pPr>
              <w:pStyle w:val="TableHeader"/>
              <w:keepNext/>
            </w:pPr>
            <w:r w:rsidRPr="008E103E">
              <w:t>Description</w:t>
            </w:r>
          </w:p>
        </w:tc>
      </w:tr>
      <w:tr w:rsidR="00D6772C" w:rsidRPr="008E103E" w:rsidTr="0079525F">
        <w:trPr>
          <w:trHeight w:val="495"/>
          <w:jc w:val="center"/>
        </w:trPr>
        <w:tc>
          <w:tcPr>
            <w:tcW w:w="1180" w:type="dxa"/>
            <w:tcBorders>
              <w:top w:val="nil"/>
              <w:left w:val="single" w:sz="8" w:space="0" w:color="auto"/>
              <w:bottom w:val="single" w:sz="8" w:space="0" w:color="auto"/>
              <w:right w:val="single" w:sz="8" w:space="0" w:color="auto"/>
            </w:tcBorders>
            <w:shd w:val="clear" w:color="000000" w:fill="FFFFFF"/>
            <w:vAlign w:val="center"/>
            <w:hideMark/>
          </w:tcPr>
          <w:p w:rsidR="00D6772C" w:rsidRPr="008E103E" w:rsidRDefault="00D6772C" w:rsidP="0079525F">
            <w:pPr>
              <w:keepNext/>
              <w:jc w:val="center"/>
              <w:rPr>
                <w:rFonts w:ascii="Calibri" w:hAnsi="Calibri"/>
                <w:i/>
                <w:iCs/>
                <w:color w:val="000000"/>
                <w:sz w:val="18"/>
                <w:szCs w:val="18"/>
              </w:rPr>
            </w:pPr>
            <w:r>
              <w:rPr>
                <w:rFonts w:ascii="Calibri" w:hAnsi="Calibri"/>
                <w:i/>
                <w:iCs/>
                <w:color w:val="000000"/>
                <w:sz w:val="18"/>
                <w:szCs w:val="18"/>
              </w:rPr>
              <w:t>impact</w:t>
            </w:r>
          </w:p>
        </w:tc>
        <w:tc>
          <w:tcPr>
            <w:tcW w:w="5368" w:type="dxa"/>
            <w:tcBorders>
              <w:top w:val="nil"/>
              <w:left w:val="nil"/>
              <w:bottom w:val="single" w:sz="8" w:space="0" w:color="auto"/>
              <w:right w:val="single" w:sz="8" w:space="0" w:color="auto"/>
            </w:tcBorders>
            <w:shd w:val="clear" w:color="000000" w:fill="FFFFFF"/>
            <w:vAlign w:val="center"/>
            <w:hideMark/>
          </w:tcPr>
          <w:p w:rsidR="00D6772C" w:rsidRPr="008E103E" w:rsidRDefault="00D6772C" w:rsidP="0079525F">
            <w:pPr>
              <w:pStyle w:val="TableText"/>
              <w:keepNext/>
            </w:pPr>
            <w:r w:rsidRPr="008E103E">
              <w:t xml:space="preserve">Per customer ex post </w:t>
            </w:r>
            <w:r>
              <w:t xml:space="preserve">load impact (kW) </w:t>
            </w:r>
            <w:r w:rsidRPr="008E103E">
              <w:t>for each event day</w:t>
            </w:r>
          </w:p>
        </w:tc>
      </w:tr>
      <w:tr w:rsidR="00D6772C" w:rsidRPr="008E103E" w:rsidTr="0079525F">
        <w:trPr>
          <w:trHeight w:val="315"/>
          <w:jc w:val="center"/>
        </w:trPr>
        <w:tc>
          <w:tcPr>
            <w:tcW w:w="1180" w:type="dxa"/>
            <w:tcBorders>
              <w:top w:val="nil"/>
              <w:left w:val="single" w:sz="8" w:space="0" w:color="auto"/>
              <w:bottom w:val="single" w:sz="8" w:space="0" w:color="auto"/>
              <w:right w:val="single" w:sz="8" w:space="0" w:color="auto"/>
            </w:tcBorders>
            <w:shd w:val="clear" w:color="000000" w:fill="FFFFFF"/>
            <w:vAlign w:val="center"/>
            <w:hideMark/>
          </w:tcPr>
          <w:p w:rsidR="00D6772C" w:rsidRPr="008E103E" w:rsidRDefault="00D6772C" w:rsidP="0079525F">
            <w:pPr>
              <w:keepNext/>
              <w:jc w:val="center"/>
              <w:rPr>
                <w:rFonts w:ascii="Arial" w:hAnsi="Arial" w:cs="Arial"/>
                <w:i/>
                <w:iCs/>
                <w:color w:val="000000"/>
                <w:sz w:val="18"/>
                <w:szCs w:val="18"/>
              </w:rPr>
            </w:pPr>
            <w:r w:rsidRPr="008E103E">
              <w:rPr>
                <w:rFonts w:ascii="Arial" w:hAnsi="Arial" w:cs="Arial"/>
                <w:i/>
                <w:iCs/>
                <w:color w:val="000000"/>
                <w:sz w:val="18"/>
                <w:szCs w:val="18"/>
              </w:rPr>
              <w:t>a</w:t>
            </w:r>
          </w:p>
        </w:tc>
        <w:tc>
          <w:tcPr>
            <w:tcW w:w="5368" w:type="dxa"/>
            <w:tcBorders>
              <w:top w:val="nil"/>
              <w:left w:val="nil"/>
              <w:bottom w:val="single" w:sz="8" w:space="0" w:color="auto"/>
              <w:right w:val="single" w:sz="8" w:space="0" w:color="auto"/>
            </w:tcBorders>
            <w:shd w:val="clear" w:color="000000" w:fill="FFFFFF"/>
            <w:vAlign w:val="center"/>
            <w:hideMark/>
          </w:tcPr>
          <w:p w:rsidR="00D6772C" w:rsidRPr="008E103E" w:rsidRDefault="00D6772C" w:rsidP="0079525F">
            <w:pPr>
              <w:pStyle w:val="TableText"/>
              <w:keepNext/>
            </w:pPr>
            <w:r w:rsidRPr="008E103E">
              <w:t>Estimated constant</w:t>
            </w:r>
          </w:p>
        </w:tc>
      </w:tr>
      <w:tr w:rsidR="00D6772C" w:rsidRPr="008E103E" w:rsidTr="0079525F">
        <w:trPr>
          <w:trHeight w:val="31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6772C" w:rsidRPr="008E103E" w:rsidRDefault="00D6772C" w:rsidP="0079525F">
            <w:pPr>
              <w:keepNext/>
              <w:jc w:val="center"/>
              <w:rPr>
                <w:rFonts w:ascii="Arial" w:hAnsi="Arial" w:cs="Arial"/>
                <w:i/>
                <w:iCs/>
                <w:color w:val="000000"/>
                <w:sz w:val="18"/>
                <w:szCs w:val="18"/>
              </w:rPr>
            </w:pPr>
            <w:r>
              <w:rPr>
                <w:rFonts w:ascii="Arial" w:hAnsi="Arial" w:cs="Arial"/>
                <w:i/>
                <w:iCs/>
                <w:color w:val="000000"/>
                <w:sz w:val="18"/>
                <w:szCs w:val="18"/>
              </w:rPr>
              <w:t>b</w:t>
            </w:r>
          </w:p>
        </w:tc>
        <w:tc>
          <w:tcPr>
            <w:tcW w:w="5368" w:type="dxa"/>
            <w:tcBorders>
              <w:top w:val="nil"/>
              <w:left w:val="nil"/>
              <w:bottom w:val="single" w:sz="8" w:space="0" w:color="auto"/>
              <w:right w:val="single" w:sz="8" w:space="0" w:color="auto"/>
            </w:tcBorders>
            <w:shd w:val="clear" w:color="auto" w:fill="auto"/>
            <w:vAlign w:val="center"/>
            <w:hideMark/>
          </w:tcPr>
          <w:p w:rsidR="00D6772C" w:rsidRPr="008E103E" w:rsidRDefault="00D6772C" w:rsidP="0079525F">
            <w:pPr>
              <w:pStyle w:val="TableText"/>
              <w:keepNext/>
            </w:pPr>
            <w:r>
              <w:t>Estimated parameter describing the relationship between temperature and demand</w:t>
            </w:r>
          </w:p>
        </w:tc>
      </w:tr>
      <w:tr w:rsidR="00D6772C" w:rsidRPr="008E103E" w:rsidTr="0079525F">
        <w:trPr>
          <w:trHeight w:val="31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6772C" w:rsidRPr="008E103E" w:rsidRDefault="00D6772C" w:rsidP="0079525F">
            <w:pPr>
              <w:keepNext/>
              <w:jc w:val="center"/>
              <w:rPr>
                <w:rFonts w:ascii="Arial" w:hAnsi="Arial" w:cs="Arial"/>
                <w:i/>
                <w:iCs/>
                <w:color w:val="000000"/>
                <w:sz w:val="18"/>
                <w:szCs w:val="18"/>
              </w:rPr>
            </w:pPr>
            <w:r w:rsidRPr="008E103E">
              <w:rPr>
                <w:rFonts w:ascii="Arial" w:hAnsi="Arial" w:cs="Arial"/>
                <w:i/>
                <w:iCs/>
                <w:color w:val="000000"/>
                <w:sz w:val="18"/>
                <w:szCs w:val="18"/>
              </w:rPr>
              <w:t>mean17</w:t>
            </w:r>
          </w:p>
        </w:tc>
        <w:tc>
          <w:tcPr>
            <w:tcW w:w="5368" w:type="dxa"/>
            <w:tcBorders>
              <w:top w:val="nil"/>
              <w:left w:val="nil"/>
              <w:bottom w:val="single" w:sz="8" w:space="0" w:color="auto"/>
              <w:right w:val="single" w:sz="8" w:space="0" w:color="auto"/>
            </w:tcBorders>
            <w:shd w:val="clear" w:color="auto" w:fill="auto"/>
            <w:vAlign w:val="center"/>
            <w:hideMark/>
          </w:tcPr>
          <w:p w:rsidR="00D6772C" w:rsidRPr="008E103E" w:rsidRDefault="00D6772C" w:rsidP="0079525F">
            <w:pPr>
              <w:pStyle w:val="TableText"/>
              <w:keepNext/>
            </w:pPr>
            <w:r w:rsidRPr="008E103E">
              <w:t>Average temperature</w:t>
            </w:r>
            <w:r>
              <w:t xml:space="preserve"> from</w:t>
            </w:r>
            <w:r w:rsidRPr="008E103E">
              <w:t xml:space="preserve">  midnight to 5 PM</w:t>
            </w:r>
          </w:p>
        </w:tc>
      </w:tr>
      <w:tr w:rsidR="00D6772C" w:rsidRPr="008E103E" w:rsidTr="0079525F">
        <w:trPr>
          <w:trHeight w:val="495"/>
          <w:jc w:val="center"/>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D6772C" w:rsidRPr="008E103E" w:rsidRDefault="00D6772C" w:rsidP="0079525F">
            <w:pPr>
              <w:jc w:val="center"/>
              <w:rPr>
                <w:rFonts w:ascii="Arial" w:hAnsi="Arial" w:cs="Arial"/>
                <w:i/>
                <w:iCs/>
                <w:color w:val="000000"/>
                <w:sz w:val="18"/>
                <w:szCs w:val="18"/>
              </w:rPr>
            </w:pPr>
            <w:r w:rsidRPr="008E103E">
              <w:rPr>
                <w:rFonts w:ascii="Calibri" w:hAnsi="Calibri"/>
                <w:i/>
                <w:iCs/>
                <w:color w:val="000000"/>
                <w:sz w:val="18"/>
                <w:szCs w:val="18"/>
              </w:rPr>
              <w:t>Ɛ</w:t>
            </w:r>
          </w:p>
        </w:tc>
        <w:tc>
          <w:tcPr>
            <w:tcW w:w="5368" w:type="dxa"/>
            <w:tcBorders>
              <w:top w:val="nil"/>
              <w:left w:val="nil"/>
              <w:bottom w:val="single" w:sz="8" w:space="0" w:color="auto"/>
              <w:right w:val="single" w:sz="8" w:space="0" w:color="auto"/>
            </w:tcBorders>
            <w:shd w:val="clear" w:color="auto" w:fill="auto"/>
            <w:vAlign w:val="center"/>
            <w:hideMark/>
          </w:tcPr>
          <w:p w:rsidR="00D6772C" w:rsidRPr="008E103E" w:rsidRDefault="00D6772C" w:rsidP="0079525F">
            <w:pPr>
              <w:pStyle w:val="TableText"/>
            </w:pPr>
            <w:r w:rsidRPr="008E103E">
              <w:t>The error term, assumed to be a mean zero and uncorrelated with any of the independent variables</w:t>
            </w:r>
          </w:p>
        </w:tc>
      </w:tr>
    </w:tbl>
    <w:p w:rsidR="00D6772C" w:rsidRDefault="00D6772C" w:rsidP="00D6772C">
      <w:pPr>
        <w:pStyle w:val="BodyParaAfterTableFigure"/>
        <w:spacing w:before="0"/>
      </w:pPr>
    </w:p>
    <w:p w:rsidR="007C631D" w:rsidRPr="00052850" w:rsidRDefault="007C631D" w:rsidP="00052850">
      <w:pPr>
        <w:pStyle w:val="BodyParaAfterTableFigure"/>
        <w:spacing w:before="0"/>
        <w:ind w:firstLine="720"/>
        <w:rPr>
          <w:rFonts w:ascii="Times New Roman" w:hAnsi="Times New Roman"/>
          <w:sz w:val="24"/>
          <w:szCs w:val="24"/>
        </w:rPr>
      </w:pPr>
      <w:r w:rsidRPr="00052850">
        <w:rPr>
          <w:rFonts w:ascii="Times New Roman" w:hAnsi="Times New Roman"/>
          <w:sz w:val="24"/>
          <w:szCs w:val="24"/>
        </w:rPr>
        <w:t>Table 10-10 shows the results of the ex ante impact modeling for the four event days at hour ending 4 PM, as compared to the estimates in the ex post analysis. The July 31 event had the largest per-customer impact, while it was the coldest day. Since, in general, higher impacts on hotter days are expected, and that is consistent with the findings in the Summer Saver analysis, the impacts for July 31 are underestimated with the ex ante methodology. The estimates are closest for the September 17 event, which was a day like many of the summer monthly peaking conditions.</w:t>
      </w:r>
    </w:p>
    <w:p w:rsidR="007C631D" w:rsidRPr="00052850" w:rsidRDefault="007C631D" w:rsidP="007C631D">
      <w:pPr>
        <w:pStyle w:val="TableFigureCaption"/>
        <w:rPr>
          <w:rFonts w:ascii="Times New Roman" w:hAnsi="Times New Roman"/>
          <w:sz w:val="20"/>
          <w:szCs w:val="20"/>
        </w:rPr>
      </w:pPr>
      <w:r w:rsidRPr="00052850">
        <w:rPr>
          <w:rFonts w:ascii="Times New Roman" w:hAnsi="Times New Roman"/>
          <w:sz w:val="20"/>
          <w:szCs w:val="20"/>
        </w:rPr>
        <w:t>Table 10-10: Ex Post and Ex Ante Impact Validation for Event Days at Hour Ending 4 PM</w:t>
      </w:r>
    </w:p>
    <w:tbl>
      <w:tblPr>
        <w:tblW w:w="7966" w:type="dxa"/>
        <w:jc w:val="center"/>
        <w:tblInd w:w="-611" w:type="dxa"/>
        <w:tblLook w:val="04A0" w:firstRow="1" w:lastRow="0" w:firstColumn="1" w:lastColumn="0" w:noHBand="0" w:noVBand="1"/>
      </w:tblPr>
      <w:tblGrid>
        <w:gridCol w:w="1724"/>
        <w:gridCol w:w="1783"/>
        <w:gridCol w:w="1869"/>
        <w:gridCol w:w="1397"/>
        <w:gridCol w:w="1193"/>
      </w:tblGrid>
      <w:tr w:rsidR="007C631D" w:rsidRPr="00701656" w:rsidTr="0079525F">
        <w:trPr>
          <w:trHeight w:val="720"/>
          <w:jc w:val="center"/>
        </w:trPr>
        <w:tc>
          <w:tcPr>
            <w:tcW w:w="1724" w:type="dxa"/>
            <w:vMerge w:val="restart"/>
            <w:tcBorders>
              <w:top w:val="single" w:sz="8" w:space="0" w:color="auto"/>
              <w:left w:val="single" w:sz="8" w:space="0" w:color="auto"/>
              <w:bottom w:val="nil"/>
              <w:right w:val="single" w:sz="8" w:space="0" w:color="FFFFFF"/>
            </w:tcBorders>
            <w:shd w:val="clear" w:color="000000" w:fill="0070CD"/>
            <w:vAlign w:val="center"/>
            <w:hideMark/>
          </w:tcPr>
          <w:p w:rsidR="007C631D" w:rsidRPr="00701656" w:rsidRDefault="007C631D" w:rsidP="0079525F">
            <w:pPr>
              <w:pStyle w:val="TableHeader"/>
              <w:spacing w:before="60" w:after="60"/>
            </w:pPr>
            <w:r w:rsidRPr="00701656">
              <w:t>Date</w:t>
            </w:r>
          </w:p>
        </w:tc>
        <w:tc>
          <w:tcPr>
            <w:tcW w:w="1783" w:type="dxa"/>
            <w:vMerge w:val="restart"/>
            <w:tcBorders>
              <w:top w:val="single" w:sz="8" w:space="0" w:color="auto"/>
              <w:left w:val="single" w:sz="8" w:space="0" w:color="FFFFFF"/>
              <w:bottom w:val="nil"/>
              <w:right w:val="single" w:sz="8" w:space="0" w:color="FFFFFF"/>
            </w:tcBorders>
            <w:shd w:val="clear" w:color="000000" w:fill="0070CD"/>
            <w:vAlign w:val="center"/>
            <w:hideMark/>
          </w:tcPr>
          <w:p w:rsidR="007C631D" w:rsidRPr="00701656" w:rsidRDefault="007C631D" w:rsidP="0079525F">
            <w:pPr>
              <w:pStyle w:val="TableHeader"/>
              <w:spacing w:before="60" w:after="60"/>
            </w:pPr>
            <w:r w:rsidRPr="00701656">
              <w:t>Ex Post Impact</w:t>
            </w:r>
            <w:r w:rsidRPr="00701656">
              <w:br/>
              <w:t>(kW)</w:t>
            </w:r>
          </w:p>
        </w:tc>
        <w:tc>
          <w:tcPr>
            <w:tcW w:w="1869" w:type="dxa"/>
            <w:vMerge w:val="restart"/>
            <w:tcBorders>
              <w:top w:val="single" w:sz="8" w:space="0" w:color="auto"/>
              <w:left w:val="single" w:sz="8" w:space="0" w:color="FFFFFF"/>
              <w:bottom w:val="nil"/>
              <w:right w:val="single" w:sz="8" w:space="0" w:color="FFFFFF"/>
            </w:tcBorders>
            <w:shd w:val="clear" w:color="000000" w:fill="0070CD"/>
            <w:vAlign w:val="center"/>
            <w:hideMark/>
          </w:tcPr>
          <w:p w:rsidR="007C631D" w:rsidRPr="00701656" w:rsidRDefault="007C631D" w:rsidP="0079525F">
            <w:pPr>
              <w:pStyle w:val="TableHeader"/>
              <w:spacing w:before="60" w:after="60"/>
            </w:pPr>
            <w:r w:rsidRPr="00701656">
              <w:t>Ex Ante Impact</w:t>
            </w:r>
            <w:r w:rsidRPr="00701656">
              <w:br/>
              <w:t>(kW)</w:t>
            </w:r>
          </w:p>
        </w:tc>
        <w:tc>
          <w:tcPr>
            <w:tcW w:w="1397" w:type="dxa"/>
            <w:vMerge w:val="restart"/>
            <w:tcBorders>
              <w:top w:val="single" w:sz="8" w:space="0" w:color="auto"/>
              <w:left w:val="single" w:sz="8" w:space="0" w:color="FFFFFF"/>
              <w:bottom w:val="nil"/>
              <w:right w:val="single" w:sz="4" w:space="0" w:color="FFFFFF" w:themeColor="background1"/>
            </w:tcBorders>
            <w:shd w:val="clear" w:color="000000" w:fill="0070CD"/>
            <w:vAlign w:val="center"/>
            <w:hideMark/>
          </w:tcPr>
          <w:p w:rsidR="007C631D" w:rsidRPr="00701656" w:rsidRDefault="007C631D" w:rsidP="0079525F">
            <w:pPr>
              <w:pStyle w:val="TableHeader"/>
              <w:spacing w:before="60" w:after="60"/>
            </w:pPr>
            <w:r w:rsidRPr="00701656">
              <w:t>Difference (kW)</w:t>
            </w:r>
          </w:p>
        </w:tc>
        <w:tc>
          <w:tcPr>
            <w:tcW w:w="1193" w:type="dxa"/>
            <w:vMerge w:val="restart"/>
            <w:tcBorders>
              <w:top w:val="single" w:sz="8" w:space="0" w:color="auto"/>
              <w:left w:val="single" w:sz="4" w:space="0" w:color="FFFFFF" w:themeColor="background1"/>
              <w:bottom w:val="nil"/>
              <w:right w:val="single" w:sz="8" w:space="0" w:color="auto"/>
            </w:tcBorders>
            <w:shd w:val="clear" w:color="000000" w:fill="0070CD"/>
            <w:vAlign w:val="center"/>
            <w:hideMark/>
          </w:tcPr>
          <w:p w:rsidR="007C631D" w:rsidRPr="00701656" w:rsidRDefault="007C631D" w:rsidP="0079525F">
            <w:pPr>
              <w:pStyle w:val="TableHeader"/>
              <w:spacing w:before="60" w:after="60"/>
            </w:pPr>
            <w:r w:rsidRPr="00701656">
              <w:t>Mean17</w:t>
            </w:r>
          </w:p>
        </w:tc>
      </w:tr>
      <w:tr w:rsidR="007C631D" w:rsidRPr="00701656" w:rsidTr="0079525F">
        <w:trPr>
          <w:trHeight w:val="327"/>
          <w:jc w:val="center"/>
        </w:trPr>
        <w:tc>
          <w:tcPr>
            <w:tcW w:w="1724" w:type="dxa"/>
            <w:vMerge/>
            <w:tcBorders>
              <w:top w:val="single" w:sz="8" w:space="0" w:color="auto"/>
              <w:left w:val="single" w:sz="8" w:space="0" w:color="auto"/>
              <w:bottom w:val="nil"/>
              <w:right w:val="single" w:sz="8" w:space="0" w:color="FFFFFF"/>
            </w:tcBorders>
            <w:vAlign w:val="center"/>
            <w:hideMark/>
          </w:tcPr>
          <w:p w:rsidR="007C631D" w:rsidRPr="00701656" w:rsidRDefault="007C631D" w:rsidP="0079525F">
            <w:pPr>
              <w:spacing w:before="60" w:after="60"/>
              <w:rPr>
                <w:rFonts w:ascii="Arial" w:hAnsi="Arial" w:cs="Arial"/>
                <w:b/>
                <w:bCs/>
                <w:color w:val="FFFFFF"/>
                <w:sz w:val="18"/>
                <w:szCs w:val="18"/>
              </w:rPr>
            </w:pPr>
          </w:p>
        </w:tc>
        <w:tc>
          <w:tcPr>
            <w:tcW w:w="1783" w:type="dxa"/>
            <w:vMerge/>
            <w:tcBorders>
              <w:top w:val="single" w:sz="8" w:space="0" w:color="auto"/>
              <w:left w:val="single" w:sz="8" w:space="0" w:color="FFFFFF"/>
              <w:bottom w:val="nil"/>
              <w:right w:val="single" w:sz="8" w:space="0" w:color="FFFFFF"/>
            </w:tcBorders>
            <w:vAlign w:val="center"/>
            <w:hideMark/>
          </w:tcPr>
          <w:p w:rsidR="007C631D" w:rsidRPr="00701656" w:rsidRDefault="007C631D" w:rsidP="0079525F">
            <w:pPr>
              <w:spacing w:before="60" w:after="60"/>
              <w:rPr>
                <w:rFonts w:ascii="Arial" w:hAnsi="Arial" w:cs="Arial"/>
                <w:b/>
                <w:bCs/>
                <w:color w:val="FFFFFF"/>
                <w:sz w:val="18"/>
                <w:szCs w:val="18"/>
              </w:rPr>
            </w:pPr>
          </w:p>
        </w:tc>
        <w:tc>
          <w:tcPr>
            <w:tcW w:w="1869" w:type="dxa"/>
            <w:vMerge/>
            <w:tcBorders>
              <w:top w:val="single" w:sz="8" w:space="0" w:color="auto"/>
              <w:left w:val="single" w:sz="8" w:space="0" w:color="FFFFFF"/>
              <w:bottom w:val="nil"/>
              <w:right w:val="single" w:sz="8" w:space="0" w:color="FFFFFF"/>
            </w:tcBorders>
            <w:vAlign w:val="center"/>
            <w:hideMark/>
          </w:tcPr>
          <w:p w:rsidR="007C631D" w:rsidRPr="00701656" w:rsidRDefault="007C631D" w:rsidP="0079525F">
            <w:pPr>
              <w:spacing w:before="60" w:after="60"/>
              <w:rPr>
                <w:rFonts w:ascii="Arial" w:hAnsi="Arial" w:cs="Arial"/>
                <w:b/>
                <w:bCs/>
                <w:color w:val="FFFFFF"/>
                <w:sz w:val="18"/>
                <w:szCs w:val="18"/>
              </w:rPr>
            </w:pPr>
          </w:p>
        </w:tc>
        <w:tc>
          <w:tcPr>
            <w:tcW w:w="1397" w:type="dxa"/>
            <w:vMerge/>
            <w:tcBorders>
              <w:top w:val="single" w:sz="8" w:space="0" w:color="auto"/>
              <w:left w:val="single" w:sz="8" w:space="0" w:color="FFFFFF"/>
              <w:bottom w:val="nil"/>
              <w:right w:val="single" w:sz="4" w:space="0" w:color="FFFFFF" w:themeColor="background1"/>
            </w:tcBorders>
            <w:vAlign w:val="center"/>
            <w:hideMark/>
          </w:tcPr>
          <w:p w:rsidR="007C631D" w:rsidRPr="00701656" w:rsidRDefault="007C631D" w:rsidP="0079525F">
            <w:pPr>
              <w:spacing w:before="60" w:after="60"/>
              <w:rPr>
                <w:rFonts w:ascii="Arial" w:hAnsi="Arial" w:cs="Arial"/>
                <w:b/>
                <w:bCs/>
                <w:color w:val="FFFFFF"/>
                <w:sz w:val="18"/>
                <w:szCs w:val="18"/>
              </w:rPr>
            </w:pPr>
          </w:p>
        </w:tc>
        <w:tc>
          <w:tcPr>
            <w:tcW w:w="1193" w:type="dxa"/>
            <w:vMerge/>
            <w:tcBorders>
              <w:top w:val="single" w:sz="8" w:space="0" w:color="auto"/>
              <w:left w:val="single" w:sz="4" w:space="0" w:color="FFFFFF" w:themeColor="background1"/>
              <w:bottom w:val="nil"/>
              <w:right w:val="single" w:sz="8" w:space="0" w:color="auto"/>
            </w:tcBorders>
            <w:vAlign w:val="center"/>
            <w:hideMark/>
          </w:tcPr>
          <w:p w:rsidR="007C631D" w:rsidRPr="00701656" w:rsidRDefault="007C631D" w:rsidP="0079525F">
            <w:pPr>
              <w:spacing w:before="60" w:after="60"/>
              <w:rPr>
                <w:rFonts w:ascii="Arial" w:hAnsi="Arial" w:cs="Arial"/>
                <w:b/>
                <w:bCs/>
                <w:color w:val="FFFFFF"/>
                <w:sz w:val="18"/>
                <w:szCs w:val="18"/>
              </w:rPr>
            </w:pPr>
          </w:p>
        </w:tc>
      </w:tr>
      <w:tr w:rsidR="007C631D" w:rsidRPr="00701656" w:rsidTr="0079525F">
        <w:trPr>
          <w:trHeight w:val="300"/>
          <w:jc w:val="center"/>
        </w:trPr>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31D" w:rsidRPr="00FC6A48" w:rsidRDefault="007C631D" w:rsidP="0079525F">
            <w:pPr>
              <w:spacing w:before="60" w:after="60"/>
              <w:jc w:val="center"/>
              <w:rPr>
                <w:rFonts w:ascii="Arial" w:hAnsi="Arial" w:cs="Arial"/>
                <w:sz w:val="20"/>
                <w:szCs w:val="20"/>
              </w:rPr>
            </w:pPr>
            <w:r w:rsidRPr="00FC6A48">
              <w:rPr>
                <w:rFonts w:ascii="Arial" w:hAnsi="Arial" w:cs="Arial"/>
                <w:sz w:val="20"/>
                <w:szCs w:val="20"/>
              </w:rPr>
              <w:t>July 31, 2014</w:t>
            </w:r>
          </w:p>
        </w:tc>
        <w:tc>
          <w:tcPr>
            <w:tcW w:w="1783" w:type="dxa"/>
            <w:tcBorders>
              <w:top w:val="single" w:sz="4" w:space="0" w:color="auto"/>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2.81</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1.52</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-1.29</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74.6</w:t>
            </w:r>
          </w:p>
        </w:tc>
      </w:tr>
      <w:tr w:rsidR="007C631D" w:rsidRPr="00701656" w:rsidTr="0079525F">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vAlign w:val="center"/>
            <w:hideMark/>
          </w:tcPr>
          <w:p w:rsidR="007C631D" w:rsidRPr="00FC6A48" w:rsidRDefault="007C631D" w:rsidP="0079525F">
            <w:pPr>
              <w:spacing w:before="60" w:after="60"/>
              <w:jc w:val="center"/>
              <w:rPr>
                <w:rFonts w:ascii="Arial" w:hAnsi="Arial" w:cs="Arial"/>
                <w:sz w:val="20"/>
                <w:szCs w:val="20"/>
              </w:rPr>
            </w:pPr>
            <w:r w:rsidRPr="00FC6A48">
              <w:rPr>
                <w:rFonts w:ascii="Arial" w:hAnsi="Arial" w:cs="Arial"/>
                <w:sz w:val="20"/>
                <w:szCs w:val="20"/>
              </w:rPr>
              <w:t>Sept. 15, 2014</w:t>
            </w:r>
          </w:p>
        </w:tc>
        <w:tc>
          <w:tcPr>
            <w:tcW w:w="1783"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1.32</w:t>
            </w:r>
          </w:p>
        </w:tc>
        <w:tc>
          <w:tcPr>
            <w:tcW w:w="1869"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2.02</w:t>
            </w:r>
          </w:p>
        </w:tc>
        <w:tc>
          <w:tcPr>
            <w:tcW w:w="1397"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0.70</w:t>
            </w:r>
          </w:p>
        </w:tc>
        <w:tc>
          <w:tcPr>
            <w:tcW w:w="1193"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80.0</w:t>
            </w:r>
          </w:p>
        </w:tc>
      </w:tr>
      <w:tr w:rsidR="007C631D" w:rsidRPr="00701656" w:rsidTr="0079525F">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vAlign w:val="center"/>
            <w:hideMark/>
          </w:tcPr>
          <w:p w:rsidR="007C631D" w:rsidRPr="00FC6A48" w:rsidRDefault="007C631D" w:rsidP="0079525F">
            <w:pPr>
              <w:spacing w:before="60" w:after="60"/>
              <w:jc w:val="center"/>
              <w:rPr>
                <w:rFonts w:ascii="Arial" w:hAnsi="Arial" w:cs="Arial"/>
                <w:sz w:val="20"/>
                <w:szCs w:val="20"/>
              </w:rPr>
            </w:pPr>
            <w:r w:rsidRPr="00FC6A48">
              <w:rPr>
                <w:rFonts w:ascii="Arial" w:hAnsi="Arial" w:cs="Arial"/>
                <w:sz w:val="20"/>
                <w:szCs w:val="20"/>
              </w:rPr>
              <w:t>Sept. 16, 2014</w:t>
            </w:r>
          </w:p>
        </w:tc>
        <w:tc>
          <w:tcPr>
            <w:tcW w:w="1783"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1.88</w:t>
            </w:r>
          </w:p>
        </w:tc>
        <w:tc>
          <w:tcPr>
            <w:tcW w:w="1869"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2.33</w:t>
            </w:r>
          </w:p>
        </w:tc>
        <w:tc>
          <w:tcPr>
            <w:tcW w:w="1397"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0.45</w:t>
            </w:r>
          </w:p>
        </w:tc>
        <w:tc>
          <w:tcPr>
            <w:tcW w:w="1193"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82.9</w:t>
            </w:r>
          </w:p>
        </w:tc>
      </w:tr>
      <w:tr w:rsidR="007C631D" w:rsidRPr="00701656" w:rsidTr="0079525F">
        <w:trPr>
          <w:trHeight w:val="300"/>
          <w:jc w:val="center"/>
        </w:trPr>
        <w:tc>
          <w:tcPr>
            <w:tcW w:w="1724" w:type="dxa"/>
            <w:tcBorders>
              <w:top w:val="nil"/>
              <w:left w:val="single" w:sz="4" w:space="0" w:color="auto"/>
              <w:bottom w:val="single" w:sz="4" w:space="0" w:color="auto"/>
              <w:right w:val="single" w:sz="4" w:space="0" w:color="auto"/>
            </w:tcBorders>
            <w:shd w:val="clear" w:color="auto" w:fill="auto"/>
            <w:noWrap/>
            <w:vAlign w:val="center"/>
            <w:hideMark/>
          </w:tcPr>
          <w:p w:rsidR="007C631D" w:rsidRPr="00FC6A48" w:rsidRDefault="007C631D" w:rsidP="0079525F">
            <w:pPr>
              <w:spacing w:before="60" w:after="60"/>
              <w:jc w:val="center"/>
              <w:rPr>
                <w:rFonts w:ascii="Arial" w:hAnsi="Arial" w:cs="Arial"/>
                <w:sz w:val="20"/>
                <w:szCs w:val="20"/>
              </w:rPr>
            </w:pPr>
            <w:r w:rsidRPr="00FC6A48">
              <w:rPr>
                <w:rFonts w:ascii="Arial" w:hAnsi="Arial" w:cs="Arial"/>
                <w:sz w:val="20"/>
                <w:szCs w:val="20"/>
              </w:rPr>
              <w:t>Sept. 17, 2014</w:t>
            </w:r>
          </w:p>
        </w:tc>
        <w:tc>
          <w:tcPr>
            <w:tcW w:w="1783"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2.12</w:t>
            </w:r>
          </w:p>
        </w:tc>
        <w:tc>
          <w:tcPr>
            <w:tcW w:w="1869"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2.23</w:t>
            </w:r>
          </w:p>
        </w:tc>
        <w:tc>
          <w:tcPr>
            <w:tcW w:w="1397"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0.12</w:t>
            </w:r>
          </w:p>
        </w:tc>
        <w:tc>
          <w:tcPr>
            <w:tcW w:w="1193" w:type="dxa"/>
            <w:tcBorders>
              <w:top w:val="nil"/>
              <w:left w:val="nil"/>
              <w:bottom w:val="single" w:sz="4" w:space="0" w:color="auto"/>
              <w:right w:val="single" w:sz="4" w:space="0" w:color="auto"/>
            </w:tcBorders>
            <w:shd w:val="clear" w:color="auto" w:fill="auto"/>
            <w:noWrap/>
            <w:vAlign w:val="bottom"/>
            <w:hideMark/>
          </w:tcPr>
          <w:p w:rsidR="007C631D" w:rsidRPr="00701656" w:rsidRDefault="007C631D" w:rsidP="00B64BC8">
            <w:pPr>
              <w:pStyle w:val="TableText"/>
              <w:jc w:val="center"/>
            </w:pPr>
            <w:r w:rsidRPr="00701656">
              <w:t>81.9</w:t>
            </w:r>
          </w:p>
        </w:tc>
      </w:tr>
    </w:tbl>
    <w:p w:rsidR="007A210C" w:rsidRPr="0079525F" w:rsidRDefault="007A210C" w:rsidP="007A210C">
      <w:pPr>
        <w:pStyle w:val="Heading2"/>
        <w:spacing w:before="360" w:after="120"/>
        <w:ind w:left="540" w:hanging="540"/>
        <w:rPr>
          <w:rFonts w:ascii="Times New Roman" w:hAnsi="Times New Roman" w:cs="Times New Roman"/>
        </w:rPr>
      </w:pPr>
      <w:bookmarkStart w:id="297" w:name="_Toc411938072"/>
      <w:bookmarkStart w:id="298" w:name="_Toc413592768"/>
      <w:bookmarkStart w:id="299" w:name="_Toc414535058"/>
      <w:bookmarkStart w:id="300" w:name="_Toc415585938"/>
      <w:bookmarkStart w:id="301" w:name="_Toc415749053"/>
      <w:r w:rsidRPr="0079525F">
        <w:rPr>
          <w:rFonts w:ascii="Times New Roman" w:hAnsi="Times New Roman" w:cs="Times New Roman"/>
        </w:rPr>
        <w:t>Estimating Ex Ante Weather Conditions</w:t>
      </w:r>
      <w:bookmarkEnd w:id="297"/>
      <w:bookmarkEnd w:id="298"/>
      <w:bookmarkEnd w:id="299"/>
      <w:bookmarkEnd w:id="300"/>
      <w:bookmarkEnd w:id="301"/>
    </w:p>
    <w:p w:rsidR="00052850" w:rsidRDefault="00052850" w:rsidP="002F7F1A">
      <w:pPr>
        <w:pStyle w:val="BodyParagraph"/>
        <w:spacing w:after="0" w:line="276" w:lineRule="auto"/>
        <w:rPr>
          <w:rFonts w:ascii="Times New Roman" w:hAnsi="Times New Roman"/>
          <w:sz w:val="24"/>
          <w:szCs w:val="24"/>
        </w:rPr>
      </w:pPr>
    </w:p>
    <w:p w:rsidR="007A210C" w:rsidRPr="00052850" w:rsidRDefault="007A210C" w:rsidP="002F7F1A">
      <w:pPr>
        <w:pStyle w:val="BodyParagraph"/>
        <w:spacing w:after="0" w:line="276" w:lineRule="auto"/>
        <w:ind w:firstLine="547"/>
        <w:rPr>
          <w:rFonts w:ascii="Times New Roman" w:hAnsi="Times New Roman"/>
          <w:sz w:val="24"/>
          <w:szCs w:val="24"/>
        </w:rPr>
      </w:pPr>
      <w:r w:rsidRPr="00052850">
        <w:rPr>
          <w:rFonts w:ascii="Times New Roman" w:hAnsi="Times New Roman"/>
          <w:sz w:val="24"/>
          <w:szCs w:val="24"/>
        </w:rPr>
        <w:t>The CPUC Load Impact Protocols</w:t>
      </w:r>
      <w:r w:rsidRPr="00052850">
        <w:rPr>
          <w:rFonts w:ascii="Times New Roman" w:hAnsi="Times New Roman"/>
          <w:sz w:val="24"/>
          <w:szCs w:val="24"/>
        </w:rPr>
        <w:footnoteReference w:id="19"/>
      </w:r>
      <w:r w:rsidRPr="00052850">
        <w:rPr>
          <w:rFonts w:ascii="Times New Roman" w:hAnsi="Times New Roman"/>
          <w:sz w:val="24"/>
          <w:szCs w:val="24"/>
        </w:rPr>
        <w:t xml:space="preserve"> require that ex ante load impacts be estimated assuming weather conditions associated with both normal and extreme utility operating conditions. Normal conditions are defined as those that would be expected to occur once every 2 </w:t>
      </w:r>
      <w:r w:rsidRPr="00052850">
        <w:rPr>
          <w:rFonts w:ascii="Times New Roman" w:hAnsi="Times New Roman"/>
          <w:sz w:val="24"/>
          <w:szCs w:val="24"/>
        </w:rPr>
        <w:lastRenderedPageBreak/>
        <w:t xml:space="preserve">years (1-in-2 conditions) and extreme conditions are those that would be expected to occur once every 10 years (1-in-10 conditions). Since 2008, the IOUs have based the ex ante weather conditions on system operating conditions specific to each individual utility. However, ex ante weather conditions could alternatively reflect 1-in-2 and 1-in-10 year operating conditions for the California Independent System Operator (CAISO) rather than the operating conditions for each IOU. While the protocols are silent on this issue, a letter from the CPUC Energy Division to the IOUs dated October 21, 2014 directed the utilities to provide impact estimates under two sets of operating conditions starting with the April 1, 2015 filings: one reflecting operating conditions for each IOU and one reflecting operating conditions for the CAISO system. </w:t>
      </w:r>
    </w:p>
    <w:p w:rsidR="002F7F1A" w:rsidRDefault="002F7F1A" w:rsidP="002F7F1A">
      <w:pPr>
        <w:pStyle w:val="BodyParagraph"/>
        <w:spacing w:after="0" w:line="276" w:lineRule="auto"/>
        <w:ind w:firstLine="547"/>
        <w:rPr>
          <w:rFonts w:ascii="Times New Roman" w:hAnsi="Times New Roman"/>
          <w:sz w:val="24"/>
          <w:szCs w:val="24"/>
        </w:rPr>
      </w:pPr>
    </w:p>
    <w:p w:rsidR="007A210C" w:rsidRDefault="007A210C" w:rsidP="002F7F1A">
      <w:pPr>
        <w:pStyle w:val="BodyParagraph"/>
        <w:spacing w:after="0" w:line="276" w:lineRule="auto"/>
        <w:ind w:firstLine="547"/>
        <w:rPr>
          <w:rFonts w:ascii="Times New Roman" w:hAnsi="Times New Roman"/>
          <w:sz w:val="24"/>
          <w:szCs w:val="24"/>
        </w:rPr>
      </w:pPr>
      <w:r w:rsidRPr="00052850">
        <w:rPr>
          <w:rFonts w:ascii="Times New Roman" w:hAnsi="Times New Roman"/>
          <w:sz w:val="24"/>
          <w:szCs w:val="24"/>
        </w:rPr>
        <w:t>In order to meet this new requirement, California’s IOUs contracted with Nexant to develop ex ante weather conditions based on the peaking conditions for each utility and for the CAISO system. The previous ex ante weather conditions for each utility were developed in 2009 and were updated this year along with the development of the new CAISO based conditions. Both sets of estimates used a common methodology, which is documented in a report delivered to the IOUs.</w:t>
      </w:r>
      <w:r w:rsidRPr="00052850">
        <w:rPr>
          <w:rFonts w:ascii="Times New Roman" w:hAnsi="Times New Roman"/>
          <w:sz w:val="24"/>
          <w:szCs w:val="24"/>
        </w:rPr>
        <w:footnoteReference w:id="20"/>
      </w:r>
      <w:r w:rsidRPr="00052850">
        <w:rPr>
          <w:rFonts w:ascii="Times New Roman" w:hAnsi="Times New Roman"/>
          <w:sz w:val="24"/>
          <w:szCs w:val="24"/>
        </w:rPr>
        <w:t xml:space="preserve"> </w:t>
      </w:r>
      <w:r w:rsidR="002F7F1A">
        <w:rPr>
          <w:rFonts w:ascii="Times New Roman" w:hAnsi="Times New Roman"/>
          <w:sz w:val="24"/>
          <w:szCs w:val="24"/>
        </w:rPr>
        <w:t>.</w:t>
      </w:r>
    </w:p>
    <w:p w:rsidR="002F7F1A" w:rsidRPr="00052850" w:rsidRDefault="002F7F1A" w:rsidP="002F7F1A">
      <w:pPr>
        <w:pStyle w:val="BodyParagraph"/>
        <w:spacing w:after="0" w:line="276" w:lineRule="auto"/>
        <w:ind w:firstLine="547"/>
        <w:rPr>
          <w:rFonts w:ascii="Times New Roman" w:hAnsi="Times New Roman"/>
          <w:sz w:val="24"/>
          <w:szCs w:val="24"/>
        </w:rPr>
      </w:pPr>
    </w:p>
    <w:p w:rsidR="007A210C" w:rsidRPr="002F7F1A" w:rsidRDefault="007A210C" w:rsidP="002F7F1A">
      <w:pPr>
        <w:pStyle w:val="BodyParagraph"/>
        <w:ind w:firstLine="547"/>
        <w:rPr>
          <w:rFonts w:ascii="Times New Roman" w:hAnsi="Times New Roman"/>
          <w:sz w:val="24"/>
          <w:szCs w:val="24"/>
        </w:rPr>
      </w:pPr>
      <w:r w:rsidRPr="002F7F1A">
        <w:rPr>
          <w:rFonts w:ascii="Times New Roman" w:hAnsi="Times New Roman"/>
          <w:sz w:val="24"/>
          <w:szCs w:val="24"/>
        </w:rPr>
        <w:t>Table 10-11 shows the value for mean17 for the typical event day and the monthly system peak day under the four sets of weather for which load impacts are estimated. As seen, there are small differences in weather conditions based on SDG&amp;E peak conditions and CAISO peak conditions, for normal and extreme weather. The CAISO-based conditions on the typical event day are slightly higher in a 1-in-2 weather year and lower in a 1-in-10 weather year. For the September peak day under 1-in-10 weather conditions, the mean17 value is the same (83.9 °F).</w:t>
      </w:r>
    </w:p>
    <w:p w:rsidR="006D7836" w:rsidRDefault="006D7836">
      <w:pPr>
        <w:rPr>
          <w:b/>
          <w:sz w:val="20"/>
          <w:szCs w:val="20"/>
        </w:rPr>
      </w:pPr>
      <w:r>
        <w:rPr>
          <w:sz w:val="20"/>
          <w:szCs w:val="20"/>
        </w:rPr>
        <w:br w:type="page"/>
      </w:r>
    </w:p>
    <w:p w:rsidR="007A210C" w:rsidRPr="002F7F1A" w:rsidRDefault="007A210C" w:rsidP="007A210C">
      <w:pPr>
        <w:pStyle w:val="TableFigureCaption"/>
        <w:rPr>
          <w:rFonts w:ascii="Times New Roman" w:hAnsi="Times New Roman"/>
          <w:sz w:val="20"/>
          <w:szCs w:val="20"/>
        </w:rPr>
      </w:pPr>
      <w:r w:rsidRPr="002F7F1A">
        <w:rPr>
          <w:rFonts w:ascii="Times New Roman" w:hAnsi="Times New Roman"/>
          <w:sz w:val="20"/>
          <w:szCs w:val="20"/>
        </w:rPr>
        <w:lastRenderedPageBreak/>
        <w:t>Table 10-11: Ex Ante Weather Values (</w:t>
      </w:r>
      <w:r w:rsidRPr="002F7F1A">
        <w:rPr>
          <w:rFonts w:ascii="Times New Roman" w:hAnsi="Times New Roman"/>
          <w:i/>
          <w:sz w:val="20"/>
          <w:szCs w:val="20"/>
        </w:rPr>
        <w:t>mean17</w:t>
      </w:r>
      <w:r w:rsidRPr="002F7F1A">
        <w:rPr>
          <w:rFonts w:ascii="Times New Roman" w:hAnsi="Times New Roman"/>
          <w:sz w:val="20"/>
          <w:szCs w:val="20"/>
        </w:rPr>
        <w:t>, °F)</w:t>
      </w:r>
    </w:p>
    <w:tbl>
      <w:tblPr>
        <w:tblW w:w="6220" w:type="dxa"/>
        <w:jc w:val="center"/>
        <w:tblInd w:w="93" w:type="dxa"/>
        <w:tblLook w:val="04A0" w:firstRow="1" w:lastRow="0" w:firstColumn="1" w:lastColumn="0" w:noHBand="0" w:noVBand="1"/>
      </w:tblPr>
      <w:tblGrid>
        <w:gridCol w:w="2380"/>
        <w:gridCol w:w="960"/>
        <w:gridCol w:w="960"/>
        <w:gridCol w:w="960"/>
        <w:gridCol w:w="960"/>
      </w:tblGrid>
      <w:tr w:rsidR="007A210C" w:rsidRPr="00425278" w:rsidTr="0079525F">
        <w:trPr>
          <w:trHeight w:val="510"/>
          <w:jc w:val="center"/>
        </w:trPr>
        <w:tc>
          <w:tcPr>
            <w:tcW w:w="2380" w:type="dxa"/>
            <w:vMerge w:val="restart"/>
            <w:tcBorders>
              <w:top w:val="single" w:sz="8" w:space="0" w:color="auto"/>
              <w:left w:val="single" w:sz="8" w:space="0" w:color="auto"/>
              <w:bottom w:val="nil"/>
              <w:right w:val="single" w:sz="8" w:space="0" w:color="FFFFFF"/>
            </w:tcBorders>
            <w:shd w:val="clear" w:color="000000" w:fill="0070CD"/>
            <w:vAlign w:val="center"/>
            <w:hideMark/>
          </w:tcPr>
          <w:p w:rsidR="007A210C" w:rsidRPr="00425278" w:rsidRDefault="007A210C" w:rsidP="0079525F">
            <w:pPr>
              <w:pStyle w:val="TableHeader"/>
            </w:pPr>
            <w:bookmarkStart w:id="302" w:name="_Toc413592769"/>
            <w:bookmarkEnd w:id="302"/>
            <w:r w:rsidRPr="00425278">
              <w:t>Day Type</w:t>
            </w:r>
          </w:p>
        </w:tc>
        <w:tc>
          <w:tcPr>
            <w:tcW w:w="1920" w:type="dxa"/>
            <w:gridSpan w:val="2"/>
            <w:tcBorders>
              <w:top w:val="single" w:sz="8" w:space="0" w:color="auto"/>
              <w:left w:val="nil"/>
              <w:bottom w:val="single" w:sz="8" w:space="0" w:color="FFFFFF"/>
              <w:right w:val="single" w:sz="8" w:space="0" w:color="FFFFFF"/>
            </w:tcBorders>
            <w:shd w:val="clear" w:color="000000" w:fill="0070CD"/>
            <w:vAlign w:val="center"/>
            <w:hideMark/>
          </w:tcPr>
          <w:p w:rsidR="007A210C" w:rsidRPr="00425278" w:rsidRDefault="007A210C" w:rsidP="0079525F">
            <w:pPr>
              <w:pStyle w:val="TableHeader"/>
            </w:pPr>
            <w:r w:rsidRPr="00425278">
              <w:t>SDG&amp;E Based Weather</w:t>
            </w:r>
            <w:r>
              <w:t xml:space="preserve"> </w:t>
            </w:r>
            <w:r w:rsidRPr="00EF203E">
              <w:t>(°F</w:t>
            </w:r>
            <w:r>
              <w:t>)</w:t>
            </w:r>
          </w:p>
        </w:tc>
        <w:tc>
          <w:tcPr>
            <w:tcW w:w="1920" w:type="dxa"/>
            <w:gridSpan w:val="2"/>
            <w:tcBorders>
              <w:top w:val="single" w:sz="8" w:space="0" w:color="auto"/>
              <w:left w:val="nil"/>
              <w:bottom w:val="single" w:sz="8" w:space="0" w:color="FFFFFF"/>
              <w:right w:val="single" w:sz="8" w:space="0" w:color="000000"/>
            </w:tcBorders>
            <w:shd w:val="clear" w:color="000000" w:fill="0070CD"/>
            <w:vAlign w:val="center"/>
            <w:hideMark/>
          </w:tcPr>
          <w:p w:rsidR="007A210C" w:rsidRPr="00425278" w:rsidRDefault="007A210C" w:rsidP="0079525F">
            <w:pPr>
              <w:pStyle w:val="TableHeader"/>
            </w:pPr>
            <w:r w:rsidRPr="00425278">
              <w:t>CAISO Based Weather</w:t>
            </w:r>
            <w:r>
              <w:t xml:space="preserve"> </w:t>
            </w:r>
            <w:r w:rsidRPr="00EF203E">
              <w:t>(°F</w:t>
            </w:r>
            <w:r>
              <w:t>)</w:t>
            </w:r>
          </w:p>
        </w:tc>
      </w:tr>
      <w:tr w:rsidR="007A210C" w:rsidRPr="00425278" w:rsidTr="0079525F">
        <w:trPr>
          <w:trHeight w:val="300"/>
          <w:jc w:val="center"/>
        </w:trPr>
        <w:tc>
          <w:tcPr>
            <w:tcW w:w="2380" w:type="dxa"/>
            <w:vMerge/>
            <w:tcBorders>
              <w:top w:val="single" w:sz="8" w:space="0" w:color="auto"/>
              <w:left w:val="single" w:sz="8" w:space="0" w:color="auto"/>
              <w:bottom w:val="nil"/>
              <w:right w:val="single" w:sz="8" w:space="0" w:color="FFFFFF"/>
            </w:tcBorders>
            <w:vAlign w:val="center"/>
            <w:hideMark/>
          </w:tcPr>
          <w:p w:rsidR="007A210C" w:rsidRPr="00425278" w:rsidRDefault="007A210C" w:rsidP="0079525F">
            <w:pPr>
              <w:pStyle w:val="TableHeader"/>
            </w:pPr>
          </w:p>
        </w:tc>
        <w:tc>
          <w:tcPr>
            <w:tcW w:w="960" w:type="dxa"/>
            <w:tcBorders>
              <w:top w:val="nil"/>
              <w:left w:val="nil"/>
              <w:bottom w:val="nil"/>
              <w:right w:val="single" w:sz="8" w:space="0" w:color="FFFFFF"/>
            </w:tcBorders>
            <w:shd w:val="clear" w:color="000000" w:fill="0070CD"/>
            <w:vAlign w:val="center"/>
            <w:hideMark/>
          </w:tcPr>
          <w:p w:rsidR="007A210C" w:rsidRPr="00425278" w:rsidRDefault="007A210C" w:rsidP="0079525F">
            <w:pPr>
              <w:pStyle w:val="TableHeader"/>
            </w:pPr>
            <w:r w:rsidRPr="00425278">
              <w:t>1-in-2</w:t>
            </w:r>
          </w:p>
        </w:tc>
        <w:tc>
          <w:tcPr>
            <w:tcW w:w="960" w:type="dxa"/>
            <w:tcBorders>
              <w:top w:val="nil"/>
              <w:left w:val="nil"/>
              <w:bottom w:val="nil"/>
              <w:right w:val="single" w:sz="8" w:space="0" w:color="FFFFFF"/>
            </w:tcBorders>
            <w:shd w:val="clear" w:color="000000" w:fill="0070CD"/>
            <w:vAlign w:val="center"/>
            <w:hideMark/>
          </w:tcPr>
          <w:p w:rsidR="007A210C" w:rsidRPr="00425278" w:rsidRDefault="007A210C" w:rsidP="0079525F">
            <w:pPr>
              <w:pStyle w:val="TableHeader"/>
            </w:pPr>
            <w:r w:rsidRPr="00425278">
              <w:t>1-in-10</w:t>
            </w:r>
          </w:p>
        </w:tc>
        <w:tc>
          <w:tcPr>
            <w:tcW w:w="960" w:type="dxa"/>
            <w:tcBorders>
              <w:top w:val="nil"/>
              <w:left w:val="nil"/>
              <w:bottom w:val="nil"/>
              <w:right w:val="single" w:sz="8" w:space="0" w:color="FFFFFF"/>
            </w:tcBorders>
            <w:shd w:val="clear" w:color="000000" w:fill="0070CD"/>
            <w:vAlign w:val="center"/>
            <w:hideMark/>
          </w:tcPr>
          <w:p w:rsidR="007A210C" w:rsidRPr="00425278" w:rsidRDefault="007A210C" w:rsidP="0079525F">
            <w:pPr>
              <w:pStyle w:val="TableHeader"/>
            </w:pPr>
            <w:r w:rsidRPr="00425278">
              <w:t>1-in-2</w:t>
            </w:r>
          </w:p>
        </w:tc>
        <w:tc>
          <w:tcPr>
            <w:tcW w:w="960" w:type="dxa"/>
            <w:tcBorders>
              <w:top w:val="nil"/>
              <w:left w:val="nil"/>
              <w:bottom w:val="nil"/>
              <w:right w:val="single" w:sz="8" w:space="0" w:color="auto"/>
            </w:tcBorders>
            <w:shd w:val="clear" w:color="000000" w:fill="0070CD"/>
            <w:vAlign w:val="center"/>
            <w:hideMark/>
          </w:tcPr>
          <w:p w:rsidR="007A210C" w:rsidRPr="00425278" w:rsidRDefault="007A210C" w:rsidP="0079525F">
            <w:pPr>
              <w:pStyle w:val="TableHeader"/>
            </w:pPr>
            <w:r w:rsidRPr="00425278">
              <w:t>1-in-10</w:t>
            </w:r>
          </w:p>
        </w:tc>
      </w:tr>
      <w:tr w:rsidR="007A210C" w:rsidRPr="00425278" w:rsidTr="0079525F">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Typical Event Day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73.8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79.9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74.6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78.0</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January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51.0</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47.7</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50.7</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46.0</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February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51.2</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52.5</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53.8</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53.6</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March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55.7</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64.4</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53.0</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66.3</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April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65.9</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76.0</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64.6</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75.1</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May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69.1</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77.6</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65.6</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74.7</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June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68.7</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75.1</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69.5</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74.4</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July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73.7</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79.9</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72.3</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bookmarkStart w:id="303" w:name="RANGE!F11"/>
            <w:r w:rsidRPr="00425278">
              <w:t>75.1</w:t>
            </w:r>
            <w:bookmarkEnd w:id="303"/>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August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75.6</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80.7</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77.7</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78.4</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September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77.0</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83.9</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78.6</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83.9</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October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72.1</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78.1</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68.3</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75.9</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November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64.6</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73.4</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63.0</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70.0</w:t>
            </w:r>
          </w:p>
        </w:tc>
      </w:tr>
      <w:tr w:rsidR="007A210C" w:rsidRPr="00425278" w:rsidTr="0079525F">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7A210C" w:rsidRPr="00425278" w:rsidRDefault="007A210C" w:rsidP="0079525F">
            <w:pPr>
              <w:pStyle w:val="TableText"/>
            </w:pPr>
            <w:r w:rsidRPr="00425278">
              <w:t>December Peak Day</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54.8</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49.6</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55.7</w:t>
            </w:r>
          </w:p>
        </w:tc>
        <w:tc>
          <w:tcPr>
            <w:tcW w:w="960" w:type="dxa"/>
            <w:tcBorders>
              <w:top w:val="nil"/>
              <w:left w:val="nil"/>
              <w:bottom w:val="single" w:sz="4" w:space="0" w:color="auto"/>
              <w:right w:val="single" w:sz="4" w:space="0" w:color="auto"/>
            </w:tcBorders>
            <w:shd w:val="clear" w:color="auto" w:fill="auto"/>
            <w:noWrap/>
            <w:vAlign w:val="bottom"/>
            <w:hideMark/>
          </w:tcPr>
          <w:p w:rsidR="007A210C" w:rsidRPr="00425278" w:rsidRDefault="007A210C" w:rsidP="00B64BC8">
            <w:pPr>
              <w:pStyle w:val="TableText"/>
              <w:jc w:val="center"/>
            </w:pPr>
            <w:r w:rsidRPr="00425278">
              <w:t>49.6</w:t>
            </w:r>
          </w:p>
        </w:tc>
      </w:tr>
    </w:tbl>
    <w:p w:rsidR="002D38CC" w:rsidRDefault="002D38CC" w:rsidP="00482412">
      <w:pPr>
        <w:pStyle w:val="Heading2"/>
        <w:numPr>
          <w:ilvl w:val="0"/>
          <w:numId w:val="0"/>
        </w:numPr>
        <w:ind w:left="576"/>
      </w:pPr>
    </w:p>
    <w:p w:rsidR="00A27AF1" w:rsidRPr="0079525F" w:rsidRDefault="00A27AF1" w:rsidP="00A27AF1">
      <w:pPr>
        <w:pStyle w:val="Heading2"/>
        <w:spacing w:before="0" w:after="120"/>
        <w:ind w:left="540" w:hanging="540"/>
        <w:rPr>
          <w:rFonts w:ascii="Times New Roman" w:hAnsi="Times New Roman" w:cs="Times New Roman"/>
        </w:rPr>
      </w:pPr>
      <w:bookmarkStart w:id="304" w:name="_Toc413592770"/>
      <w:bookmarkStart w:id="305" w:name="_Toc414535059"/>
      <w:bookmarkStart w:id="306" w:name="_Toc415585939"/>
      <w:bookmarkStart w:id="307" w:name="_Toc415749054"/>
      <w:r w:rsidRPr="0079525F">
        <w:rPr>
          <w:rFonts w:ascii="Times New Roman" w:hAnsi="Times New Roman" w:cs="Times New Roman"/>
        </w:rPr>
        <w:t>Ex Ante Load Impact Results</w:t>
      </w:r>
      <w:bookmarkEnd w:id="304"/>
      <w:bookmarkEnd w:id="305"/>
      <w:bookmarkEnd w:id="306"/>
      <w:bookmarkEnd w:id="307"/>
    </w:p>
    <w:p w:rsidR="004D3CD0" w:rsidRDefault="004D3CD0" w:rsidP="004D3CD0">
      <w:pPr>
        <w:pStyle w:val="BodyParagraph"/>
        <w:spacing w:after="0" w:line="276" w:lineRule="auto"/>
        <w:rPr>
          <w:rFonts w:ascii="Times New Roman" w:hAnsi="Times New Roman"/>
          <w:sz w:val="24"/>
          <w:szCs w:val="24"/>
        </w:rPr>
      </w:pPr>
    </w:p>
    <w:p w:rsidR="00A27AF1" w:rsidRDefault="00A27AF1" w:rsidP="004D3CD0">
      <w:pPr>
        <w:pStyle w:val="BodyParagraph"/>
        <w:spacing w:after="0" w:line="276" w:lineRule="auto"/>
        <w:ind w:firstLine="540"/>
      </w:pPr>
      <w:r w:rsidRPr="004D3CD0">
        <w:rPr>
          <w:rFonts w:ascii="Times New Roman" w:hAnsi="Times New Roman"/>
          <w:sz w:val="24"/>
          <w:szCs w:val="24"/>
        </w:rPr>
        <w:t>Aggregate ex ante estimates combine these average estimates with projections of program enrollment provided by SDG&amp;E. Per-thermostat ex ante estimates also combine the average customer estimates with projections of the average number of thermostats, which is expected to remain around 9 thermostats per customer. Table 10-12 summarizes the projected commercial thermostat enrollment by month and year from 2015 through 2025. Currently, there are nearly 1,200 customers enrolled. This number is</w:t>
      </w:r>
      <w:r>
        <w:t xml:space="preserve"> expected to gradually increase to 2,013 customers by the end of 2016. From 2017 through 2025, enrollment is expected to remain constant at 2,013 customers.</w:t>
      </w:r>
    </w:p>
    <w:p w:rsidR="004D3CD0" w:rsidRDefault="004D3CD0" w:rsidP="004D3CD0">
      <w:pPr>
        <w:pStyle w:val="BodyParagraph"/>
        <w:spacing w:after="0" w:line="276" w:lineRule="auto"/>
        <w:ind w:firstLine="540"/>
      </w:pPr>
    </w:p>
    <w:p w:rsidR="00A27AF1" w:rsidRPr="004D3CD0" w:rsidRDefault="00A27AF1" w:rsidP="00A27AF1">
      <w:pPr>
        <w:pStyle w:val="TableFigureCaption"/>
        <w:rPr>
          <w:rFonts w:ascii="Times New Roman" w:hAnsi="Times New Roman"/>
          <w:sz w:val="20"/>
          <w:szCs w:val="20"/>
        </w:rPr>
      </w:pPr>
      <w:r w:rsidRPr="004D3CD0">
        <w:rPr>
          <w:rFonts w:ascii="Times New Roman" w:hAnsi="Times New Roman"/>
          <w:sz w:val="20"/>
          <w:szCs w:val="20"/>
        </w:rPr>
        <w:t>Table 10-12: Projected 2015-2025 Commercial Thermostat Enrollment</w:t>
      </w:r>
      <w:r w:rsidRPr="004D3CD0">
        <w:rPr>
          <w:rFonts w:ascii="Times New Roman" w:hAnsi="Times New Roman"/>
          <w:sz w:val="20"/>
          <w:szCs w:val="20"/>
        </w:rPr>
        <w:br/>
        <w:t>Total Number of Customers Enrolled</w:t>
      </w:r>
    </w:p>
    <w:tbl>
      <w:tblPr>
        <w:tblW w:w="5559" w:type="pct"/>
        <w:jc w:val="center"/>
        <w:tblInd w:w="-435" w:type="dxa"/>
        <w:tblCellMar>
          <w:left w:w="0" w:type="dxa"/>
          <w:right w:w="0" w:type="dxa"/>
        </w:tblCellMar>
        <w:tblLook w:val="04A0" w:firstRow="1" w:lastRow="0" w:firstColumn="1" w:lastColumn="0" w:noHBand="0" w:noVBand="1"/>
      </w:tblPr>
      <w:tblGrid>
        <w:gridCol w:w="1328"/>
        <w:gridCol w:w="760"/>
        <w:gridCol w:w="760"/>
        <w:gridCol w:w="760"/>
        <w:gridCol w:w="760"/>
        <w:gridCol w:w="760"/>
        <w:gridCol w:w="760"/>
        <w:gridCol w:w="760"/>
        <w:gridCol w:w="760"/>
        <w:gridCol w:w="760"/>
        <w:gridCol w:w="760"/>
        <w:gridCol w:w="760"/>
        <w:gridCol w:w="752"/>
      </w:tblGrid>
      <w:tr w:rsidR="00A27AF1" w:rsidRPr="009344DF" w:rsidTr="0079525F">
        <w:trPr>
          <w:trHeight w:val="425"/>
          <w:jc w:val="center"/>
        </w:trPr>
        <w:tc>
          <w:tcPr>
            <w:tcW w:w="636" w:type="pct"/>
            <w:tcBorders>
              <w:top w:val="single" w:sz="4" w:space="0" w:color="000000"/>
              <w:left w:val="single" w:sz="4" w:space="0" w:color="000000"/>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Year</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Jan</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Feb</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Mar</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Apr</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May</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Jun</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Jul</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Aug</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Sept</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Oct</w:t>
            </w:r>
          </w:p>
        </w:tc>
        <w:tc>
          <w:tcPr>
            <w:tcW w:w="364" w:type="pct"/>
            <w:tcBorders>
              <w:top w:val="single" w:sz="4" w:space="0" w:color="000000"/>
              <w:left w:val="nil"/>
              <w:bottom w:val="single" w:sz="4" w:space="0" w:color="000000"/>
              <w:right w:val="single" w:sz="4" w:space="0" w:color="FFFFFF"/>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Nov</w:t>
            </w:r>
          </w:p>
        </w:tc>
        <w:tc>
          <w:tcPr>
            <w:tcW w:w="360" w:type="pct"/>
            <w:tcBorders>
              <w:top w:val="single" w:sz="4" w:space="0" w:color="000000"/>
              <w:left w:val="nil"/>
              <w:bottom w:val="single" w:sz="4" w:space="0" w:color="000000"/>
              <w:right w:val="single" w:sz="4" w:space="0" w:color="000000"/>
            </w:tcBorders>
            <w:shd w:val="clear" w:color="000000" w:fill="0070CD"/>
            <w:tcMar>
              <w:top w:w="15" w:type="dxa"/>
              <w:left w:w="15" w:type="dxa"/>
              <w:bottom w:w="0" w:type="dxa"/>
              <w:right w:w="15" w:type="dxa"/>
            </w:tcMar>
            <w:vAlign w:val="center"/>
            <w:hideMark/>
          </w:tcPr>
          <w:p w:rsidR="00A27AF1" w:rsidRPr="009344DF" w:rsidRDefault="00A27AF1" w:rsidP="0079525F">
            <w:pPr>
              <w:spacing w:before="60" w:after="60"/>
              <w:jc w:val="center"/>
              <w:rPr>
                <w:rFonts w:ascii="Arial" w:hAnsi="Arial" w:cs="Arial"/>
                <w:b/>
                <w:bCs/>
                <w:color w:val="FFFFFF"/>
                <w:sz w:val="18"/>
                <w:szCs w:val="18"/>
              </w:rPr>
            </w:pPr>
            <w:r w:rsidRPr="009344DF">
              <w:rPr>
                <w:rFonts w:ascii="Arial" w:hAnsi="Arial" w:cs="Arial"/>
                <w:b/>
                <w:bCs/>
                <w:color w:val="FFFFFF"/>
                <w:sz w:val="18"/>
                <w:szCs w:val="18"/>
              </w:rPr>
              <w:t>Dec</w:t>
            </w:r>
          </w:p>
        </w:tc>
      </w:tr>
      <w:tr w:rsidR="00A27AF1" w:rsidTr="0079525F">
        <w:trPr>
          <w:trHeight w:val="315"/>
          <w:jc w:val="center"/>
        </w:trPr>
        <w:tc>
          <w:tcPr>
            <w:tcW w:w="636"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2015</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1,193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1,193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1,245</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1,297</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1,349</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1,401</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1,453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1,505</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1,557</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1,609</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1,661</w:t>
            </w:r>
          </w:p>
        </w:tc>
        <w:tc>
          <w:tcPr>
            <w:tcW w:w="36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1,713</w:t>
            </w:r>
          </w:p>
        </w:tc>
      </w:tr>
      <w:tr w:rsidR="00A27AF1" w:rsidTr="0079525F">
        <w:trPr>
          <w:trHeight w:val="300"/>
          <w:jc w:val="center"/>
        </w:trPr>
        <w:tc>
          <w:tcPr>
            <w:tcW w:w="636"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2016</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1,738</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1,763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1,788</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1,813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1,838</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1,863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1,888</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1,913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1,938</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1,963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1,988</w:t>
            </w:r>
          </w:p>
        </w:tc>
        <w:tc>
          <w:tcPr>
            <w:tcW w:w="36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r>
      <w:tr w:rsidR="00A27AF1" w:rsidTr="0079525F">
        <w:trPr>
          <w:trHeight w:val="300"/>
          <w:jc w:val="center"/>
        </w:trPr>
        <w:tc>
          <w:tcPr>
            <w:tcW w:w="636"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2017-2025</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c>
          <w:tcPr>
            <w:tcW w:w="36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27AF1" w:rsidRDefault="00A27AF1" w:rsidP="0079525F">
            <w:pPr>
              <w:spacing w:before="60" w:after="60"/>
              <w:jc w:val="center"/>
              <w:rPr>
                <w:rFonts w:ascii="Arial" w:hAnsi="Arial" w:cs="Arial"/>
                <w:color w:val="000000"/>
                <w:sz w:val="18"/>
                <w:szCs w:val="18"/>
              </w:rPr>
            </w:pPr>
            <w:r>
              <w:rPr>
                <w:rFonts w:ascii="Arial" w:hAnsi="Arial" w:cs="Arial"/>
                <w:color w:val="000000"/>
                <w:sz w:val="18"/>
                <w:szCs w:val="18"/>
              </w:rPr>
              <w:t>2,013</w:t>
            </w:r>
          </w:p>
        </w:tc>
      </w:tr>
    </w:tbl>
    <w:p w:rsidR="00A27AF1" w:rsidRPr="004D3CD0" w:rsidRDefault="00A27AF1" w:rsidP="004D3CD0">
      <w:pPr>
        <w:pStyle w:val="BodyParaAfterTableFigure"/>
        <w:ind w:firstLine="720"/>
        <w:rPr>
          <w:rFonts w:ascii="Times New Roman" w:hAnsi="Times New Roman"/>
          <w:sz w:val="24"/>
          <w:szCs w:val="24"/>
        </w:rPr>
      </w:pPr>
      <w:r w:rsidRPr="004D3CD0">
        <w:rPr>
          <w:rFonts w:ascii="Times New Roman" w:hAnsi="Times New Roman"/>
          <w:sz w:val="24"/>
          <w:szCs w:val="24"/>
        </w:rPr>
        <w:t xml:space="preserve">Table 10-13 summarizes the 2017-2025 ex ante load impact estimates by weather year and day type. The third and sixth columns in the table show the average hourly ex ante load </w:t>
      </w:r>
      <w:r w:rsidRPr="004D3CD0">
        <w:rPr>
          <w:rFonts w:ascii="Times New Roman" w:hAnsi="Times New Roman"/>
          <w:sz w:val="24"/>
          <w:szCs w:val="24"/>
        </w:rPr>
        <w:lastRenderedPageBreak/>
        <w:t>impact per thermostat (kW) over the event period from 2 to 6 PM for each type of weather, followed by the per-customer impact (kW) and the aggregate impact (MW). The first set of rows corresponds to 1-in-2 year weather conditions while the second set covers 1-in-10 year weather conditions. The highest impacts consistently occur on September peak days under both SDG&amp;E and CAISO weather conditions, with aggregate impacts of 5.3 MW in a 1-in-10 year and around 4 MW in a 1-in-2 year.</w:t>
      </w:r>
    </w:p>
    <w:p w:rsidR="00A27AF1" w:rsidRPr="004D3CD0" w:rsidRDefault="00A27AF1" w:rsidP="00A27AF1">
      <w:pPr>
        <w:pStyle w:val="TableFigureCaption"/>
        <w:rPr>
          <w:rFonts w:ascii="Times New Roman" w:hAnsi="Times New Roman"/>
          <w:sz w:val="20"/>
          <w:szCs w:val="20"/>
        </w:rPr>
      </w:pPr>
      <w:r w:rsidRPr="004D3CD0">
        <w:rPr>
          <w:rFonts w:ascii="Times New Roman" w:hAnsi="Times New Roman"/>
          <w:sz w:val="20"/>
          <w:szCs w:val="20"/>
        </w:rPr>
        <w:t xml:space="preserve">Table 10-13: 2017-2025 Ex Ante Load Impact Estimates by Weather Year and Day Type </w:t>
      </w:r>
      <w:r w:rsidRPr="004D3CD0">
        <w:rPr>
          <w:rFonts w:ascii="Times New Roman" w:hAnsi="Times New Roman"/>
          <w:sz w:val="20"/>
          <w:szCs w:val="20"/>
        </w:rPr>
        <w:br/>
        <w:t>(kW per Customer, Aggregate MW, and kW per Thermostat)</w:t>
      </w:r>
    </w:p>
    <w:tbl>
      <w:tblPr>
        <w:tblW w:w="0" w:type="auto"/>
        <w:jc w:val="center"/>
        <w:tblInd w:w="-432" w:type="dxa"/>
        <w:tblLayout w:type="fixed"/>
        <w:tblLook w:val="04A0" w:firstRow="1" w:lastRow="0" w:firstColumn="1" w:lastColumn="0" w:noHBand="0" w:noVBand="1"/>
      </w:tblPr>
      <w:tblGrid>
        <w:gridCol w:w="900"/>
        <w:gridCol w:w="2160"/>
        <w:gridCol w:w="1158"/>
        <w:gridCol w:w="1158"/>
        <w:gridCol w:w="1158"/>
        <w:gridCol w:w="1158"/>
        <w:gridCol w:w="1158"/>
        <w:gridCol w:w="1158"/>
      </w:tblGrid>
      <w:tr w:rsidR="00A27AF1" w:rsidRPr="0058137F" w:rsidTr="0079525F">
        <w:trPr>
          <w:trHeight w:val="250"/>
          <w:tblHeader/>
          <w:jc w:val="center"/>
        </w:trPr>
        <w:tc>
          <w:tcPr>
            <w:tcW w:w="900" w:type="dxa"/>
            <w:vMerge w:val="restart"/>
            <w:tcBorders>
              <w:top w:val="single" w:sz="8" w:space="0" w:color="auto"/>
              <w:left w:val="single" w:sz="8" w:space="0" w:color="auto"/>
              <w:bottom w:val="single" w:sz="8" w:space="0" w:color="000000"/>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Weather Year</w:t>
            </w:r>
          </w:p>
        </w:tc>
        <w:tc>
          <w:tcPr>
            <w:tcW w:w="2160" w:type="dxa"/>
            <w:vMerge w:val="restart"/>
            <w:tcBorders>
              <w:top w:val="single" w:sz="8" w:space="0" w:color="auto"/>
              <w:left w:val="single" w:sz="8" w:space="0" w:color="FFFFFF"/>
              <w:bottom w:val="single" w:sz="8" w:space="0" w:color="000000"/>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Day Type</w:t>
            </w:r>
          </w:p>
        </w:tc>
        <w:tc>
          <w:tcPr>
            <w:tcW w:w="3474" w:type="dxa"/>
            <w:gridSpan w:val="3"/>
            <w:tcBorders>
              <w:top w:val="single" w:sz="8" w:space="0" w:color="auto"/>
              <w:left w:val="nil"/>
              <w:bottom w:val="single" w:sz="8" w:space="0" w:color="FFFFFF"/>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Pr>
                <w:sz w:val="16"/>
                <w:szCs w:val="16"/>
              </w:rPr>
              <w:t>SDG&amp;E Mean Hourly Impacts (2-6 PM)</w:t>
            </w:r>
          </w:p>
        </w:tc>
        <w:tc>
          <w:tcPr>
            <w:tcW w:w="3474" w:type="dxa"/>
            <w:gridSpan w:val="3"/>
            <w:tcBorders>
              <w:top w:val="single" w:sz="8" w:space="0" w:color="auto"/>
              <w:left w:val="nil"/>
              <w:bottom w:val="single" w:sz="8" w:space="0" w:color="FFFFFF"/>
              <w:right w:val="single" w:sz="8" w:space="0" w:color="000000"/>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CAISO</w:t>
            </w:r>
            <w:r>
              <w:rPr>
                <w:sz w:val="16"/>
                <w:szCs w:val="16"/>
              </w:rPr>
              <w:t xml:space="preserve"> Mean Hourly Impacts (2-6 PM)</w:t>
            </w:r>
          </w:p>
        </w:tc>
      </w:tr>
      <w:tr w:rsidR="00A27AF1" w:rsidRPr="0058137F" w:rsidTr="0079525F">
        <w:trPr>
          <w:trHeight w:val="574"/>
          <w:tblHeader/>
          <w:jc w:val="center"/>
        </w:trPr>
        <w:tc>
          <w:tcPr>
            <w:tcW w:w="900" w:type="dxa"/>
            <w:vMerge/>
            <w:tcBorders>
              <w:top w:val="single" w:sz="8" w:space="0" w:color="auto"/>
              <w:left w:val="single" w:sz="8" w:space="0" w:color="auto"/>
              <w:bottom w:val="single" w:sz="8" w:space="0" w:color="000000"/>
              <w:right w:val="single" w:sz="8" w:space="0" w:color="FFFFFF"/>
            </w:tcBorders>
            <w:vAlign w:val="center"/>
            <w:hideMark/>
          </w:tcPr>
          <w:p w:rsidR="00A27AF1" w:rsidRPr="00B50BBC" w:rsidRDefault="00A27AF1" w:rsidP="0079525F">
            <w:pPr>
              <w:pStyle w:val="TableHeader"/>
              <w:spacing w:before="60" w:after="60"/>
              <w:rPr>
                <w:sz w:val="16"/>
                <w:szCs w:val="16"/>
              </w:rPr>
            </w:pPr>
          </w:p>
        </w:tc>
        <w:tc>
          <w:tcPr>
            <w:tcW w:w="2160" w:type="dxa"/>
            <w:vMerge/>
            <w:tcBorders>
              <w:top w:val="single" w:sz="8" w:space="0" w:color="auto"/>
              <w:left w:val="single" w:sz="8" w:space="0" w:color="FFFFFF"/>
              <w:bottom w:val="single" w:sz="8" w:space="0" w:color="000000"/>
              <w:right w:val="single" w:sz="8" w:space="0" w:color="FFFFFF"/>
            </w:tcBorders>
            <w:vAlign w:val="center"/>
            <w:hideMark/>
          </w:tcPr>
          <w:p w:rsidR="00A27AF1" w:rsidRPr="00B50BBC" w:rsidRDefault="00A27AF1" w:rsidP="0079525F">
            <w:pPr>
              <w:pStyle w:val="TableHeader"/>
              <w:spacing w:before="60" w:after="60"/>
              <w:rPr>
                <w:sz w:val="16"/>
                <w:szCs w:val="16"/>
              </w:rPr>
            </w:pPr>
          </w:p>
        </w:tc>
        <w:tc>
          <w:tcPr>
            <w:tcW w:w="1158" w:type="dxa"/>
            <w:tcBorders>
              <w:top w:val="nil"/>
              <w:left w:val="nil"/>
              <w:bottom w:val="single" w:sz="8" w:space="0" w:color="FFFFFF"/>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Pr>
                <w:sz w:val="16"/>
                <w:szCs w:val="16"/>
              </w:rPr>
              <w:t>Per Thermostat</w:t>
            </w:r>
          </w:p>
        </w:tc>
        <w:tc>
          <w:tcPr>
            <w:tcW w:w="1158" w:type="dxa"/>
            <w:tcBorders>
              <w:top w:val="nil"/>
              <w:left w:val="nil"/>
              <w:bottom w:val="single" w:sz="8" w:space="0" w:color="FFFFFF"/>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Pr>
                <w:sz w:val="16"/>
                <w:szCs w:val="16"/>
              </w:rPr>
              <w:t>Per Customer</w:t>
            </w:r>
          </w:p>
        </w:tc>
        <w:tc>
          <w:tcPr>
            <w:tcW w:w="1158" w:type="dxa"/>
            <w:tcBorders>
              <w:top w:val="nil"/>
              <w:left w:val="nil"/>
              <w:bottom w:val="single" w:sz="8" w:space="0" w:color="FFFFFF"/>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Ag</w:t>
            </w:r>
            <w:r>
              <w:rPr>
                <w:sz w:val="16"/>
                <w:szCs w:val="16"/>
              </w:rPr>
              <w:t>gregate</w:t>
            </w:r>
          </w:p>
        </w:tc>
        <w:tc>
          <w:tcPr>
            <w:tcW w:w="1158" w:type="dxa"/>
            <w:tcBorders>
              <w:top w:val="nil"/>
              <w:left w:val="nil"/>
              <w:bottom w:val="single" w:sz="8" w:space="0" w:color="FFFFFF"/>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Pr>
                <w:sz w:val="16"/>
                <w:szCs w:val="16"/>
              </w:rPr>
              <w:t>Per Thermostat</w:t>
            </w:r>
          </w:p>
        </w:tc>
        <w:tc>
          <w:tcPr>
            <w:tcW w:w="1158" w:type="dxa"/>
            <w:tcBorders>
              <w:top w:val="nil"/>
              <w:left w:val="nil"/>
              <w:bottom w:val="single" w:sz="8" w:space="0" w:color="FFFFFF"/>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Pr>
                <w:sz w:val="16"/>
                <w:szCs w:val="16"/>
              </w:rPr>
              <w:t>Per Customer</w:t>
            </w:r>
          </w:p>
        </w:tc>
        <w:tc>
          <w:tcPr>
            <w:tcW w:w="1158" w:type="dxa"/>
            <w:tcBorders>
              <w:top w:val="nil"/>
              <w:left w:val="nil"/>
              <w:bottom w:val="single" w:sz="8" w:space="0" w:color="FFFFFF"/>
              <w:right w:val="single" w:sz="8" w:space="0" w:color="auto"/>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Ag</w:t>
            </w:r>
            <w:r>
              <w:rPr>
                <w:sz w:val="16"/>
                <w:szCs w:val="16"/>
              </w:rPr>
              <w:t>gregate</w:t>
            </w:r>
          </w:p>
        </w:tc>
      </w:tr>
      <w:tr w:rsidR="00A27AF1" w:rsidRPr="0058137F" w:rsidTr="0079525F">
        <w:trPr>
          <w:trHeight w:val="241"/>
          <w:tblHeader/>
          <w:jc w:val="center"/>
        </w:trPr>
        <w:tc>
          <w:tcPr>
            <w:tcW w:w="900" w:type="dxa"/>
            <w:vMerge/>
            <w:tcBorders>
              <w:top w:val="single" w:sz="8" w:space="0" w:color="auto"/>
              <w:left w:val="single" w:sz="8" w:space="0" w:color="auto"/>
              <w:bottom w:val="single" w:sz="8" w:space="0" w:color="000000"/>
              <w:right w:val="single" w:sz="8" w:space="0" w:color="FFFFFF"/>
            </w:tcBorders>
            <w:vAlign w:val="center"/>
            <w:hideMark/>
          </w:tcPr>
          <w:p w:rsidR="00A27AF1" w:rsidRPr="00B50BBC" w:rsidRDefault="00A27AF1" w:rsidP="0079525F">
            <w:pPr>
              <w:pStyle w:val="TableHeader"/>
              <w:spacing w:before="60" w:after="60"/>
              <w:rPr>
                <w:sz w:val="16"/>
                <w:szCs w:val="16"/>
              </w:rPr>
            </w:pPr>
          </w:p>
        </w:tc>
        <w:tc>
          <w:tcPr>
            <w:tcW w:w="2160" w:type="dxa"/>
            <w:vMerge/>
            <w:tcBorders>
              <w:top w:val="single" w:sz="8" w:space="0" w:color="auto"/>
              <w:left w:val="single" w:sz="8" w:space="0" w:color="FFFFFF"/>
              <w:bottom w:val="single" w:sz="8" w:space="0" w:color="000000"/>
              <w:right w:val="single" w:sz="8" w:space="0" w:color="FFFFFF"/>
            </w:tcBorders>
            <w:vAlign w:val="center"/>
            <w:hideMark/>
          </w:tcPr>
          <w:p w:rsidR="00A27AF1" w:rsidRPr="00B50BBC" w:rsidRDefault="00A27AF1" w:rsidP="0079525F">
            <w:pPr>
              <w:pStyle w:val="TableHeader"/>
              <w:spacing w:before="60" w:after="60"/>
              <w:rPr>
                <w:sz w:val="16"/>
                <w:szCs w:val="16"/>
              </w:rPr>
            </w:pPr>
          </w:p>
        </w:tc>
        <w:tc>
          <w:tcPr>
            <w:tcW w:w="1158" w:type="dxa"/>
            <w:tcBorders>
              <w:top w:val="nil"/>
              <w:left w:val="nil"/>
              <w:bottom w:val="single" w:sz="8" w:space="0" w:color="auto"/>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(kW)</w:t>
            </w:r>
          </w:p>
        </w:tc>
        <w:tc>
          <w:tcPr>
            <w:tcW w:w="1158" w:type="dxa"/>
            <w:tcBorders>
              <w:top w:val="nil"/>
              <w:left w:val="nil"/>
              <w:bottom w:val="single" w:sz="8" w:space="0" w:color="auto"/>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(kW)</w:t>
            </w:r>
          </w:p>
        </w:tc>
        <w:tc>
          <w:tcPr>
            <w:tcW w:w="1158" w:type="dxa"/>
            <w:tcBorders>
              <w:top w:val="nil"/>
              <w:left w:val="nil"/>
              <w:bottom w:val="single" w:sz="8" w:space="0" w:color="auto"/>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(MW)</w:t>
            </w:r>
          </w:p>
        </w:tc>
        <w:tc>
          <w:tcPr>
            <w:tcW w:w="1158" w:type="dxa"/>
            <w:tcBorders>
              <w:top w:val="nil"/>
              <w:left w:val="nil"/>
              <w:bottom w:val="single" w:sz="8" w:space="0" w:color="auto"/>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(kW)</w:t>
            </w:r>
          </w:p>
        </w:tc>
        <w:tc>
          <w:tcPr>
            <w:tcW w:w="1158" w:type="dxa"/>
            <w:tcBorders>
              <w:top w:val="nil"/>
              <w:left w:val="nil"/>
              <w:bottom w:val="single" w:sz="8" w:space="0" w:color="auto"/>
              <w:right w:val="single" w:sz="8" w:space="0" w:color="FFFFFF"/>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(kW)</w:t>
            </w:r>
          </w:p>
        </w:tc>
        <w:tc>
          <w:tcPr>
            <w:tcW w:w="1158" w:type="dxa"/>
            <w:tcBorders>
              <w:top w:val="nil"/>
              <w:left w:val="nil"/>
              <w:bottom w:val="single" w:sz="8" w:space="0" w:color="auto"/>
              <w:right w:val="single" w:sz="8" w:space="0" w:color="auto"/>
            </w:tcBorders>
            <w:shd w:val="clear" w:color="000000" w:fill="0070CD"/>
            <w:vAlign w:val="center"/>
            <w:hideMark/>
          </w:tcPr>
          <w:p w:rsidR="00A27AF1" w:rsidRPr="00B50BBC" w:rsidRDefault="00A27AF1" w:rsidP="0079525F">
            <w:pPr>
              <w:pStyle w:val="TableHeader"/>
              <w:spacing w:before="60" w:after="60"/>
              <w:rPr>
                <w:sz w:val="16"/>
                <w:szCs w:val="16"/>
              </w:rPr>
            </w:pPr>
            <w:r w:rsidRPr="00B50BBC">
              <w:rPr>
                <w:sz w:val="16"/>
                <w:szCs w:val="16"/>
              </w:rPr>
              <w:t>(MW)</w:t>
            </w:r>
          </w:p>
        </w:tc>
      </w:tr>
      <w:tr w:rsidR="00A27AF1" w:rsidRPr="0058137F" w:rsidTr="0079525F">
        <w:trPr>
          <w:trHeight w:val="223"/>
          <w:jc w:val="center"/>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1-in-2</w:t>
            </w: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Typical Event Day</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0.15</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1.49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2.99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0.16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1.58</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3.17</w:t>
            </w:r>
          </w:p>
        </w:tc>
      </w:tr>
      <w:tr w:rsidR="00A27AF1" w:rsidRPr="0058137F" w:rsidTr="0079525F">
        <w:trPr>
          <w:trHeight w:val="170"/>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January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r>
      <w:tr w:rsidR="00A27AF1" w:rsidRPr="0058137F" w:rsidTr="0079525F">
        <w:trPr>
          <w:trHeight w:val="215"/>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February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r>
      <w:tr w:rsidR="00A27AF1" w:rsidRPr="0058137F" w:rsidTr="0079525F">
        <w:trPr>
          <w:trHeight w:val="89"/>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March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r>
      <w:tr w:rsidR="00A27AF1" w:rsidRPr="0058137F" w:rsidTr="0079525F">
        <w:trPr>
          <w:trHeight w:val="134"/>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April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0.59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1.19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0.45</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0.90</w:t>
            </w:r>
          </w:p>
        </w:tc>
      </w:tr>
      <w:tr w:rsidR="00A27AF1" w:rsidRPr="0058137F" w:rsidTr="0079525F">
        <w:trPr>
          <w:trHeight w:val="197"/>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May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0.10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0.95</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1.92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0.56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1.12</w:t>
            </w:r>
          </w:p>
        </w:tc>
      </w:tr>
      <w:tr w:rsidR="00A27AF1" w:rsidRPr="0058137F" w:rsidTr="0079525F">
        <w:trPr>
          <w:trHeight w:val="242"/>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June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0.91</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1.83</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0.10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2.02</w:t>
            </w:r>
          </w:p>
        </w:tc>
      </w:tr>
      <w:tr w:rsidR="00A27AF1" w:rsidRPr="0058137F" w:rsidTr="0079525F">
        <w:trPr>
          <w:trHeight w:val="197"/>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July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0.15</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1.48</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2.98</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0.13</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1.32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2.67</w:t>
            </w:r>
          </w:p>
        </w:tc>
      </w:tr>
      <w:tr w:rsidR="00A27AF1" w:rsidRPr="0058137F" w:rsidTr="0079525F">
        <w:trPr>
          <w:trHeight w:val="152"/>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August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0.17</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1.69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3.41</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0.20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1.94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3.90</w:t>
            </w:r>
          </w:p>
        </w:tc>
      </w:tr>
      <w:tr w:rsidR="00A27AF1" w:rsidRPr="0058137F" w:rsidTr="0079525F">
        <w:trPr>
          <w:trHeight w:val="125"/>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September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0.19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1.86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3.74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0.21</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2.04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4.11</w:t>
            </w:r>
          </w:p>
        </w:tc>
      </w:tr>
      <w:tr w:rsidR="00A27AF1" w:rsidRPr="0058137F" w:rsidTr="0079525F">
        <w:trPr>
          <w:trHeight w:val="89"/>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October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0.13</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1.30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2.62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0.86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1.73</w:t>
            </w:r>
          </w:p>
        </w:tc>
      </w:tr>
      <w:tr w:rsidR="00A27AF1" w:rsidRPr="0058137F" w:rsidTr="0079525F">
        <w:trPr>
          <w:cantSplit/>
          <w:trHeight w:val="134"/>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November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0.44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0.89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0.03</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0.26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0.53</w:t>
            </w:r>
          </w:p>
        </w:tc>
      </w:tr>
      <w:tr w:rsidR="00A27AF1" w:rsidRPr="0058137F" w:rsidTr="0079525F">
        <w:trPr>
          <w:trHeight w:val="179"/>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December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r>
      <w:tr w:rsidR="00A27AF1" w:rsidRPr="0058137F" w:rsidTr="0079525F">
        <w:trPr>
          <w:trHeight w:val="134"/>
          <w:jc w:val="center"/>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1-in-10</w:t>
            </w: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Typical Event Day</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0.22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2.19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4.40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0.20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1.97</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3.96</w:t>
            </w:r>
          </w:p>
        </w:tc>
      </w:tr>
      <w:tr w:rsidR="00A27AF1" w:rsidRPr="0058137F" w:rsidTr="0079525F">
        <w:trPr>
          <w:trHeight w:val="188"/>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January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r>
      <w:tr w:rsidR="00A27AF1" w:rsidRPr="0058137F" w:rsidTr="0079525F">
        <w:trPr>
          <w:trHeight w:val="152"/>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February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0.00</w:t>
            </w:r>
          </w:p>
        </w:tc>
      </w:tr>
      <w:tr w:rsidR="00A27AF1" w:rsidRPr="0058137F" w:rsidTr="0079525F">
        <w:trPr>
          <w:trHeight w:val="116"/>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March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0.42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0.85</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0.06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0.63</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1.27</w:t>
            </w:r>
          </w:p>
        </w:tc>
      </w:tr>
      <w:tr w:rsidR="00A27AF1" w:rsidRPr="0058137F" w:rsidTr="0079525F">
        <w:trPr>
          <w:trHeight w:val="161"/>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April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0.18</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1.74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3.50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0.17</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1.64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3.31</w:t>
            </w:r>
          </w:p>
        </w:tc>
      </w:tr>
      <w:tr w:rsidR="00A27AF1" w:rsidRPr="0058137F" w:rsidTr="0079525F">
        <w:trPr>
          <w:trHeight w:val="206"/>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May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1.93</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3.88</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1.59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3.20</w:t>
            </w:r>
          </w:p>
        </w:tc>
      </w:tr>
      <w:tr w:rsidR="00A27AF1" w:rsidRPr="0058137F" w:rsidTr="0079525F">
        <w:trPr>
          <w:trHeight w:val="170"/>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June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1.63</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3.29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1.56</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3.14</w:t>
            </w:r>
          </w:p>
        </w:tc>
      </w:tr>
      <w:tr w:rsidR="00A27AF1" w:rsidRPr="0058137F" w:rsidTr="0079525F">
        <w:trPr>
          <w:trHeight w:val="224"/>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July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0.22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2.19</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4.41</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0.17</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1.64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3.31</w:t>
            </w:r>
          </w:p>
        </w:tc>
      </w:tr>
      <w:tr w:rsidR="00A27AF1" w:rsidRPr="0058137F" w:rsidTr="0079525F">
        <w:trPr>
          <w:trHeight w:val="188"/>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August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0.23</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2.28</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4.58</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0.20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2.02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4.06</w:t>
            </w:r>
          </w:p>
        </w:tc>
      </w:tr>
      <w:tr w:rsidR="00A27AF1" w:rsidRPr="0058137F" w:rsidTr="0079525F">
        <w:trPr>
          <w:trHeight w:val="233"/>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September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0.27</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2.64</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5.32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0.27</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2.65</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5.33</w:t>
            </w:r>
          </w:p>
        </w:tc>
      </w:tr>
      <w:tr w:rsidR="00A27AF1" w:rsidRPr="0058137F" w:rsidTr="0079525F">
        <w:trPr>
          <w:trHeight w:val="98"/>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October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0.20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1.98</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3.98</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0.17</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1.72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3.47</w:t>
            </w:r>
          </w:p>
        </w:tc>
      </w:tr>
      <w:tr w:rsidR="00A27AF1" w:rsidRPr="0058137F" w:rsidTr="0079525F">
        <w:trPr>
          <w:trHeight w:val="170"/>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keepN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keepNext/>
              <w:contextualSpacing/>
              <w:rPr>
                <w:sz w:val="16"/>
                <w:szCs w:val="16"/>
              </w:rPr>
            </w:pPr>
            <w:r w:rsidRPr="00B50BBC">
              <w:rPr>
                <w:sz w:val="16"/>
                <w:szCs w:val="16"/>
              </w:rPr>
              <w:t>November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0.15</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1.45</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2.92</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0.11</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1.05</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keepNext/>
              <w:spacing w:before="60" w:after="60"/>
              <w:jc w:val="center"/>
              <w:rPr>
                <w:rFonts w:ascii="Arial" w:hAnsi="Arial" w:cs="Arial"/>
                <w:color w:val="000000"/>
                <w:sz w:val="16"/>
                <w:szCs w:val="16"/>
              </w:rPr>
            </w:pPr>
            <w:r w:rsidRPr="000E400E">
              <w:rPr>
                <w:rFonts w:ascii="Arial" w:hAnsi="Arial" w:cs="Arial"/>
                <w:color w:val="000000"/>
                <w:sz w:val="16"/>
                <w:szCs w:val="16"/>
              </w:rPr>
              <w:t>2.12</w:t>
            </w:r>
          </w:p>
        </w:tc>
      </w:tr>
      <w:tr w:rsidR="00A27AF1" w:rsidRPr="0058137F" w:rsidTr="0079525F">
        <w:trPr>
          <w:trHeight w:val="233"/>
          <w:jc w:val="center"/>
        </w:trPr>
        <w:tc>
          <w:tcPr>
            <w:tcW w:w="900" w:type="dxa"/>
            <w:vMerge/>
            <w:tcBorders>
              <w:top w:val="nil"/>
              <w:left w:val="single" w:sz="4" w:space="0" w:color="auto"/>
              <w:bottom w:val="single" w:sz="4" w:space="0" w:color="auto"/>
              <w:right w:val="single" w:sz="4" w:space="0" w:color="auto"/>
            </w:tcBorders>
            <w:vAlign w:val="center"/>
            <w:hideMark/>
          </w:tcPr>
          <w:p w:rsidR="00A27AF1" w:rsidRPr="00B50BBC" w:rsidRDefault="00A27AF1" w:rsidP="0079525F">
            <w:pPr>
              <w:pStyle w:val="TableText"/>
              <w:contextualSpacing/>
              <w:rPr>
                <w:sz w:val="16"/>
                <w:szCs w:val="16"/>
              </w:rPr>
            </w:pPr>
          </w:p>
        </w:tc>
        <w:tc>
          <w:tcPr>
            <w:tcW w:w="2160" w:type="dxa"/>
            <w:tcBorders>
              <w:top w:val="nil"/>
              <w:left w:val="nil"/>
              <w:bottom w:val="single" w:sz="4" w:space="0" w:color="auto"/>
              <w:right w:val="single" w:sz="4" w:space="0" w:color="auto"/>
            </w:tcBorders>
            <w:shd w:val="clear" w:color="auto" w:fill="auto"/>
            <w:noWrap/>
            <w:vAlign w:val="center"/>
            <w:hideMark/>
          </w:tcPr>
          <w:p w:rsidR="00A27AF1" w:rsidRPr="00B50BBC" w:rsidRDefault="00A27AF1" w:rsidP="0079525F">
            <w:pPr>
              <w:pStyle w:val="TableText"/>
              <w:contextualSpacing/>
              <w:rPr>
                <w:sz w:val="16"/>
                <w:szCs w:val="16"/>
              </w:rPr>
            </w:pPr>
            <w:r w:rsidRPr="00B50BBC">
              <w:rPr>
                <w:sz w:val="16"/>
                <w:szCs w:val="16"/>
              </w:rPr>
              <w:t>December Monthly Peak</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c>
          <w:tcPr>
            <w:tcW w:w="1158" w:type="dxa"/>
            <w:tcBorders>
              <w:top w:val="nil"/>
              <w:left w:val="nil"/>
              <w:bottom w:val="single" w:sz="4" w:space="0" w:color="auto"/>
              <w:right w:val="single" w:sz="4" w:space="0" w:color="auto"/>
            </w:tcBorders>
            <w:shd w:val="clear" w:color="auto" w:fill="auto"/>
            <w:noWrap/>
            <w:vAlign w:val="center"/>
            <w:hideMark/>
          </w:tcPr>
          <w:p w:rsidR="00A27AF1" w:rsidRPr="000E400E" w:rsidRDefault="00A27AF1" w:rsidP="0079525F">
            <w:pPr>
              <w:spacing w:before="60" w:after="60"/>
              <w:jc w:val="center"/>
              <w:rPr>
                <w:rFonts w:ascii="Arial" w:hAnsi="Arial" w:cs="Arial"/>
                <w:color w:val="000000"/>
                <w:sz w:val="16"/>
                <w:szCs w:val="16"/>
              </w:rPr>
            </w:pPr>
            <w:r w:rsidRPr="000E400E">
              <w:rPr>
                <w:rFonts w:ascii="Arial" w:hAnsi="Arial" w:cs="Arial"/>
                <w:color w:val="000000"/>
                <w:sz w:val="16"/>
                <w:szCs w:val="16"/>
              </w:rPr>
              <w:t>0.00</w:t>
            </w:r>
          </w:p>
        </w:tc>
      </w:tr>
    </w:tbl>
    <w:p w:rsidR="00F7486A" w:rsidRPr="0079525F" w:rsidRDefault="00F7486A" w:rsidP="00F7486A">
      <w:pPr>
        <w:pStyle w:val="Heading2"/>
        <w:spacing w:before="0" w:after="120"/>
        <w:ind w:left="540" w:hanging="540"/>
        <w:rPr>
          <w:rFonts w:ascii="Times New Roman" w:hAnsi="Times New Roman" w:cs="Times New Roman"/>
        </w:rPr>
      </w:pPr>
      <w:bookmarkStart w:id="308" w:name="_Toc372883584"/>
      <w:bookmarkStart w:id="309" w:name="_Toc413592771"/>
      <w:bookmarkStart w:id="310" w:name="_Toc414535060"/>
      <w:bookmarkStart w:id="311" w:name="_Toc415585940"/>
      <w:bookmarkStart w:id="312" w:name="_Toc415749055"/>
      <w:r w:rsidRPr="0079525F">
        <w:rPr>
          <w:rFonts w:ascii="Times New Roman" w:hAnsi="Times New Roman" w:cs="Times New Roman"/>
        </w:rPr>
        <w:lastRenderedPageBreak/>
        <w:t>Relationship Between Ex Post and Ex Ante Estimates</w:t>
      </w:r>
      <w:bookmarkEnd w:id="308"/>
      <w:bookmarkEnd w:id="309"/>
      <w:bookmarkEnd w:id="310"/>
      <w:bookmarkEnd w:id="311"/>
      <w:bookmarkEnd w:id="312"/>
    </w:p>
    <w:p w:rsidR="00F7486A" w:rsidRDefault="00F7486A" w:rsidP="0079525F">
      <w:pPr>
        <w:pStyle w:val="BodyParagraph"/>
        <w:spacing w:after="0" w:line="276" w:lineRule="auto"/>
      </w:pPr>
    </w:p>
    <w:p w:rsidR="00F7486A" w:rsidRDefault="00F7486A" w:rsidP="0079525F">
      <w:pPr>
        <w:pStyle w:val="BodyParagraph"/>
        <w:spacing w:after="0" w:line="276" w:lineRule="auto"/>
        <w:ind w:firstLine="540"/>
        <w:rPr>
          <w:rFonts w:ascii="Times New Roman" w:hAnsi="Times New Roman"/>
          <w:sz w:val="24"/>
          <w:szCs w:val="24"/>
        </w:rPr>
      </w:pPr>
      <w:r w:rsidRPr="004D3CD0">
        <w:rPr>
          <w:rFonts w:ascii="Times New Roman" w:hAnsi="Times New Roman"/>
          <w:sz w:val="24"/>
          <w:szCs w:val="24"/>
        </w:rPr>
        <w:t>This section discusses the impact of each of these factors on the difference between ex post and ex ante impact estimates.</w:t>
      </w:r>
    </w:p>
    <w:p w:rsidR="0079525F" w:rsidRPr="004D3CD0" w:rsidRDefault="0079525F" w:rsidP="0079525F">
      <w:pPr>
        <w:pStyle w:val="BodyParagraph"/>
        <w:spacing w:after="0" w:line="276" w:lineRule="auto"/>
        <w:ind w:firstLine="540"/>
        <w:rPr>
          <w:rFonts w:ascii="Times New Roman" w:hAnsi="Times New Roman"/>
          <w:sz w:val="24"/>
          <w:szCs w:val="24"/>
        </w:rPr>
      </w:pPr>
    </w:p>
    <w:p w:rsidR="00F7486A" w:rsidRDefault="00F7486A" w:rsidP="004D3CD0">
      <w:pPr>
        <w:pStyle w:val="BodyParagraph"/>
        <w:ind w:firstLine="540"/>
        <w:rPr>
          <w:rFonts w:ascii="Times New Roman" w:hAnsi="Times New Roman"/>
          <w:sz w:val="24"/>
          <w:szCs w:val="24"/>
        </w:rPr>
      </w:pPr>
      <w:r w:rsidRPr="004D3CD0">
        <w:rPr>
          <w:rFonts w:ascii="Times New Roman" w:hAnsi="Times New Roman"/>
          <w:sz w:val="24"/>
          <w:szCs w:val="24"/>
        </w:rPr>
        <w:t xml:space="preserve">Table 10-14 summarizes the key factors that lead to differences between ex post and ex ante estimates for the commercial thermostat program and the expected influence that these factors have on the relationship between ex post and ex ante impacts. Given that the load impacts are quite sensitive to variation in weather, even small changes in mean17 between ex post actual and ex ante weather conditions can produce relatively large differences in load impacts. Changes in enrollment between the values used for ex post estimation and the 2015 enrollment values are expected to more than double impact estimates as the program has grown substantially since the </w:t>
      </w:r>
      <w:r w:rsidR="0064720B">
        <w:rPr>
          <w:rFonts w:ascii="Times New Roman" w:hAnsi="Times New Roman"/>
          <w:sz w:val="24"/>
          <w:szCs w:val="24"/>
        </w:rPr>
        <w:t>l</w:t>
      </w:r>
      <w:r w:rsidRPr="004D3CD0">
        <w:rPr>
          <w:rFonts w:ascii="Times New Roman" w:hAnsi="Times New Roman"/>
          <w:sz w:val="24"/>
          <w:szCs w:val="24"/>
        </w:rPr>
        <w:t>ast event in September.</w:t>
      </w:r>
    </w:p>
    <w:p w:rsidR="0064720B" w:rsidRPr="004D3CD0" w:rsidRDefault="0064720B" w:rsidP="0064720B">
      <w:pPr>
        <w:pStyle w:val="TableFigureCaption"/>
        <w:rPr>
          <w:rFonts w:ascii="Times New Roman" w:hAnsi="Times New Roman"/>
          <w:sz w:val="20"/>
          <w:szCs w:val="20"/>
        </w:rPr>
      </w:pPr>
      <w:r w:rsidRPr="004D3CD0">
        <w:rPr>
          <w:rFonts w:ascii="Times New Roman" w:hAnsi="Times New Roman"/>
          <w:sz w:val="20"/>
          <w:szCs w:val="20"/>
        </w:rPr>
        <w:t xml:space="preserve">Table 10-14: Summary of Factors Underlying Differences Between Ex Post and Ex Ante Impacts </w:t>
      </w:r>
      <w:r w:rsidRPr="004D3CD0">
        <w:rPr>
          <w:rFonts w:ascii="Times New Roman" w:hAnsi="Times New Roman"/>
          <w:sz w:val="20"/>
          <w:szCs w:val="20"/>
        </w:rPr>
        <w:br/>
        <w:t>for the Commercial Thermostat Program for the Ex Ante Typical Event Day</w:t>
      </w:r>
    </w:p>
    <w:tbl>
      <w:tblPr>
        <w:tblW w:w="1108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610"/>
        <w:gridCol w:w="3420"/>
        <w:gridCol w:w="3600"/>
      </w:tblGrid>
      <w:tr w:rsidR="0064720B" w:rsidRPr="00981BF8" w:rsidTr="0064720B">
        <w:trPr>
          <w:trHeight w:val="525"/>
        </w:trPr>
        <w:tc>
          <w:tcPr>
            <w:tcW w:w="1458" w:type="dxa"/>
            <w:tcBorders>
              <w:right w:val="single" w:sz="4" w:space="0" w:color="FFFFFF" w:themeColor="background1"/>
            </w:tcBorders>
            <w:shd w:val="clear" w:color="auto" w:fill="0070CD"/>
            <w:vAlign w:val="center"/>
            <w:hideMark/>
          </w:tcPr>
          <w:p w:rsidR="0064720B" w:rsidRPr="00CE3A74" w:rsidRDefault="0064720B" w:rsidP="00170272">
            <w:pPr>
              <w:pStyle w:val="TableHeader"/>
              <w:spacing w:before="60" w:after="60"/>
            </w:pPr>
            <w:r w:rsidRPr="00CE3A74">
              <w:t>Factor</w:t>
            </w:r>
          </w:p>
        </w:tc>
        <w:tc>
          <w:tcPr>
            <w:tcW w:w="2610" w:type="dxa"/>
            <w:tcBorders>
              <w:left w:val="single" w:sz="4" w:space="0" w:color="FFFFFF" w:themeColor="background1"/>
              <w:right w:val="single" w:sz="4" w:space="0" w:color="FFFFFF" w:themeColor="background1"/>
            </w:tcBorders>
            <w:shd w:val="clear" w:color="auto" w:fill="0070CD"/>
            <w:vAlign w:val="center"/>
            <w:hideMark/>
          </w:tcPr>
          <w:p w:rsidR="0064720B" w:rsidRPr="00CE3A74" w:rsidRDefault="0064720B" w:rsidP="00170272">
            <w:pPr>
              <w:pStyle w:val="TableHeader"/>
              <w:spacing w:before="60" w:after="60"/>
            </w:pPr>
            <w:r w:rsidRPr="00CE3A74">
              <w:t>Ex Post</w:t>
            </w:r>
          </w:p>
        </w:tc>
        <w:tc>
          <w:tcPr>
            <w:tcW w:w="3420" w:type="dxa"/>
            <w:tcBorders>
              <w:left w:val="single" w:sz="4" w:space="0" w:color="FFFFFF" w:themeColor="background1"/>
              <w:right w:val="single" w:sz="4" w:space="0" w:color="FFFFFF" w:themeColor="background1"/>
            </w:tcBorders>
            <w:shd w:val="clear" w:color="auto" w:fill="0070CD"/>
            <w:vAlign w:val="center"/>
            <w:hideMark/>
          </w:tcPr>
          <w:p w:rsidR="0064720B" w:rsidRPr="00CE3A74" w:rsidRDefault="0064720B" w:rsidP="00170272">
            <w:pPr>
              <w:pStyle w:val="TableHeader"/>
              <w:spacing w:before="60" w:after="60"/>
            </w:pPr>
            <w:r w:rsidRPr="00CE3A74">
              <w:t>Ex Ante</w:t>
            </w:r>
          </w:p>
        </w:tc>
        <w:tc>
          <w:tcPr>
            <w:tcW w:w="3600" w:type="dxa"/>
            <w:tcBorders>
              <w:left w:val="single" w:sz="4" w:space="0" w:color="FFFFFF" w:themeColor="background1"/>
            </w:tcBorders>
            <w:shd w:val="clear" w:color="auto" w:fill="0070CD"/>
            <w:vAlign w:val="center"/>
            <w:hideMark/>
          </w:tcPr>
          <w:p w:rsidR="0064720B" w:rsidRPr="00CE3A74" w:rsidRDefault="0064720B" w:rsidP="00170272">
            <w:pPr>
              <w:pStyle w:val="TableHeader"/>
              <w:spacing w:before="60" w:after="60"/>
            </w:pPr>
            <w:r w:rsidRPr="00CE3A74">
              <w:t>Expected Impact</w:t>
            </w:r>
          </w:p>
        </w:tc>
      </w:tr>
      <w:tr w:rsidR="0064720B" w:rsidRPr="00981BF8" w:rsidTr="0064720B">
        <w:trPr>
          <w:trHeight w:val="1178"/>
        </w:trPr>
        <w:tc>
          <w:tcPr>
            <w:tcW w:w="1458" w:type="dxa"/>
            <w:vMerge w:val="restart"/>
            <w:shd w:val="clear" w:color="auto" w:fill="auto"/>
            <w:noWrap/>
            <w:vAlign w:val="center"/>
            <w:hideMark/>
          </w:tcPr>
          <w:p w:rsidR="0064720B" w:rsidRPr="00981BF8" w:rsidRDefault="0064720B" w:rsidP="00170272">
            <w:pPr>
              <w:pStyle w:val="TableText"/>
              <w:contextualSpacing/>
              <w:rPr>
                <w:highlight w:val="lightGray"/>
              </w:rPr>
            </w:pPr>
            <w:r w:rsidRPr="00805E9C">
              <w:t>Weather</w:t>
            </w:r>
          </w:p>
        </w:tc>
        <w:tc>
          <w:tcPr>
            <w:tcW w:w="2610" w:type="dxa"/>
            <w:vMerge w:val="restart"/>
            <w:shd w:val="clear" w:color="auto" w:fill="auto"/>
            <w:noWrap/>
            <w:vAlign w:val="center"/>
            <w:hideMark/>
          </w:tcPr>
          <w:p w:rsidR="0064720B" w:rsidRPr="001475E7" w:rsidRDefault="0064720B" w:rsidP="00170272">
            <w:pPr>
              <w:pStyle w:val="TableText"/>
              <w:contextualSpacing/>
            </w:pPr>
            <w:r>
              <w:rPr>
                <w:rFonts w:cs="Calibri"/>
              </w:rPr>
              <w:t>75&lt; event day mean17 &lt; 83</w:t>
            </w:r>
          </w:p>
          <w:p w:rsidR="0064720B" w:rsidRPr="001475E7" w:rsidRDefault="0064720B" w:rsidP="00170272">
            <w:pPr>
              <w:pStyle w:val="TableText"/>
              <w:contextualSpacing/>
              <w:rPr>
                <w:rFonts w:cs="Calibri"/>
              </w:rPr>
            </w:pPr>
            <w:r>
              <w:rPr>
                <w:rFonts w:cs="Calibri"/>
              </w:rPr>
              <w:t>Average event day mean17 = 80</w:t>
            </w:r>
          </w:p>
          <w:p w:rsidR="0064720B" w:rsidRPr="00981BF8" w:rsidRDefault="0064720B" w:rsidP="00170272">
            <w:pPr>
              <w:pStyle w:val="TableText"/>
              <w:contextualSpacing/>
              <w:rPr>
                <w:highlight w:val="lightGray"/>
              </w:rPr>
            </w:pPr>
          </w:p>
        </w:tc>
        <w:tc>
          <w:tcPr>
            <w:tcW w:w="3420" w:type="dxa"/>
            <w:shd w:val="clear" w:color="000000" w:fill="FFFFFF"/>
            <w:vAlign w:val="center"/>
            <w:hideMark/>
          </w:tcPr>
          <w:p w:rsidR="0064720B" w:rsidRPr="001940FD" w:rsidRDefault="0064720B" w:rsidP="00170272">
            <w:pPr>
              <w:pStyle w:val="TableText"/>
              <w:contextualSpacing/>
            </w:pPr>
            <w:r>
              <w:t>Mean17</w:t>
            </w:r>
            <w:r w:rsidRPr="001940FD">
              <w:t xml:space="preserve"> </w:t>
            </w:r>
            <w:r>
              <w:t>for 1-in-2 typical event day = 73.8 and 74.6 for SDG&amp;E and CAISO weather, respectively</w:t>
            </w:r>
            <w:r w:rsidRPr="001940FD">
              <w:t xml:space="preserve"> </w:t>
            </w:r>
          </w:p>
        </w:tc>
        <w:tc>
          <w:tcPr>
            <w:tcW w:w="3600" w:type="dxa"/>
            <w:vMerge w:val="restart"/>
            <w:shd w:val="clear" w:color="000000" w:fill="FFFFFF"/>
            <w:vAlign w:val="center"/>
            <w:hideMark/>
          </w:tcPr>
          <w:p w:rsidR="0064720B" w:rsidRPr="001940FD" w:rsidRDefault="0064720B" w:rsidP="00170272">
            <w:pPr>
              <w:pStyle w:val="TableText"/>
              <w:contextualSpacing/>
            </w:pPr>
            <w:r>
              <w:t>Ex ante estimates are highly sensitive to variation in mean17 – ex ante weather is generally cooler than the observed weather for 2014, so ex ante should generally be lower than ex post, all else equal</w:t>
            </w:r>
          </w:p>
        </w:tc>
      </w:tr>
      <w:tr w:rsidR="0064720B" w:rsidRPr="00981BF8" w:rsidTr="0064720B">
        <w:trPr>
          <w:trHeight w:val="745"/>
        </w:trPr>
        <w:tc>
          <w:tcPr>
            <w:tcW w:w="1458" w:type="dxa"/>
            <w:vMerge/>
            <w:vAlign w:val="center"/>
            <w:hideMark/>
          </w:tcPr>
          <w:p w:rsidR="0064720B" w:rsidRPr="00981BF8" w:rsidRDefault="0064720B" w:rsidP="00170272">
            <w:pPr>
              <w:pStyle w:val="TableText"/>
              <w:contextualSpacing/>
              <w:rPr>
                <w:highlight w:val="lightGray"/>
              </w:rPr>
            </w:pPr>
          </w:p>
        </w:tc>
        <w:tc>
          <w:tcPr>
            <w:tcW w:w="2610" w:type="dxa"/>
            <w:vMerge/>
            <w:shd w:val="clear" w:color="auto" w:fill="auto"/>
            <w:noWrap/>
            <w:vAlign w:val="center"/>
            <w:hideMark/>
          </w:tcPr>
          <w:p w:rsidR="0064720B" w:rsidRPr="00981BF8" w:rsidRDefault="0064720B" w:rsidP="00170272">
            <w:pPr>
              <w:pStyle w:val="TableText"/>
              <w:contextualSpacing/>
              <w:rPr>
                <w:highlight w:val="lightGray"/>
              </w:rPr>
            </w:pPr>
          </w:p>
        </w:tc>
        <w:tc>
          <w:tcPr>
            <w:tcW w:w="3420" w:type="dxa"/>
            <w:shd w:val="clear" w:color="000000" w:fill="FFFFFF"/>
            <w:vAlign w:val="center"/>
            <w:hideMark/>
          </w:tcPr>
          <w:p w:rsidR="0064720B" w:rsidRPr="001940FD" w:rsidRDefault="0064720B" w:rsidP="00170272">
            <w:pPr>
              <w:pStyle w:val="TableText"/>
              <w:contextualSpacing/>
            </w:pPr>
            <w:r>
              <w:t>M</w:t>
            </w:r>
            <w:r w:rsidRPr="001940FD">
              <w:t>ean17 f</w:t>
            </w:r>
            <w:r>
              <w:t>or 1-in-10 typical event day = 79.9 and 78.0 for PG&amp;E and CAISO weather, respectively</w:t>
            </w:r>
          </w:p>
        </w:tc>
        <w:tc>
          <w:tcPr>
            <w:tcW w:w="3600" w:type="dxa"/>
            <w:vMerge/>
            <w:shd w:val="clear" w:color="000000" w:fill="FFFFFF"/>
            <w:vAlign w:val="center"/>
            <w:hideMark/>
          </w:tcPr>
          <w:p w:rsidR="0064720B" w:rsidRPr="00981BF8" w:rsidRDefault="0064720B" w:rsidP="00170272">
            <w:pPr>
              <w:pStyle w:val="TableText"/>
              <w:contextualSpacing/>
              <w:rPr>
                <w:highlight w:val="lightGray"/>
              </w:rPr>
            </w:pPr>
          </w:p>
        </w:tc>
      </w:tr>
      <w:tr w:rsidR="0064720B" w:rsidRPr="00981BF8" w:rsidTr="0064720B">
        <w:trPr>
          <w:trHeight w:val="772"/>
        </w:trPr>
        <w:tc>
          <w:tcPr>
            <w:tcW w:w="1458" w:type="dxa"/>
            <w:shd w:val="clear" w:color="auto" w:fill="auto"/>
            <w:noWrap/>
            <w:vAlign w:val="center"/>
            <w:hideMark/>
          </w:tcPr>
          <w:p w:rsidR="0064720B" w:rsidRPr="00E82778" w:rsidRDefault="0064720B" w:rsidP="00170272">
            <w:pPr>
              <w:pStyle w:val="TableText"/>
              <w:contextualSpacing/>
            </w:pPr>
            <w:r w:rsidRPr="00E82778">
              <w:t>Enrollment</w:t>
            </w:r>
          </w:p>
        </w:tc>
        <w:tc>
          <w:tcPr>
            <w:tcW w:w="2610" w:type="dxa"/>
            <w:shd w:val="clear" w:color="auto" w:fill="auto"/>
            <w:noWrap/>
            <w:vAlign w:val="center"/>
            <w:hideMark/>
          </w:tcPr>
          <w:p w:rsidR="0064720B" w:rsidRPr="00E82778" w:rsidRDefault="0064720B" w:rsidP="00170272">
            <w:pPr>
              <w:pStyle w:val="TableText"/>
              <w:contextualSpacing/>
            </w:pPr>
            <w:r>
              <w:rPr>
                <w:rFonts w:cs="Calibri"/>
              </w:rPr>
              <w:t>E</w:t>
            </w:r>
            <w:r w:rsidRPr="00E82778">
              <w:rPr>
                <w:rFonts w:cs="Calibri"/>
              </w:rPr>
              <w:t xml:space="preserve">nrollment </w:t>
            </w:r>
            <w:r>
              <w:rPr>
                <w:rFonts w:cs="Calibri"/>
              </w:rPr>
              <w:t>grew by nearly 50% from the first to second event</w:t>
            </w:r>
          </w:p>
        </w:tc>
        <w:tc>
          <w:tcPr>
            <w:tcW w:w="3420" w:type="dxa"/>
            <w:shd w:val="clear" w:color="000000" w:fill="FFFFFF"/>
            <w:vAlign w:val="center"/>
            <w:hideMark/>
          </w:tcPr>
          <w:p w:rsidR="0064720B" w:rsidRPr="00E82778" w:rsidRDefault="0064720B" w:rsidP="00170272">
            <w:pPr>
              <w:pStyle w:val="TableText"/>
              <w:contextualSpacing/>
            </w:pPr>
            <w:r>
              <w:t>2017-2015 enrollment is forecast to be more than five times higher than September 2014 enrollment</w:t>
            </w:r>
          </w:p>
        </w:tc>
        <w:tc>
          <w:tcPr>
            <w:tcW w:w="3600" w:type="dxa"/>
            <w:shd w:val="clear" w:color="000000" w:fill="FFFFFF"/>
            <w:vAlign w:val="center"/>
            <w:hideMark/>
          </w:tcPr>
          <w:p w:rsidR="0064720B" w:rsidRPr="00E82778" w:rsidRDefault="0064720B" w:rsidP="00170272">
            <w:pPr>
              <w:pStyle w:val="TableText"/>
              <w:contextualSpacing/>
            </w:pPr>
            <w:r>
              <w:t>Ex ante estimates will grow to be more than five-times higher than ex post</w:t>
            </w:r>
          </w:p>
        </w:tc>
      </w:tr>
      <w:tr w:rsidR="0064720B" w:rsidRPr="00981BF8" w:rsidTr="0064720B">
        <w:trPr>
          <w:trHeight w:val="1456"/>
        </w:trPr>
        <w:tc>
          <w:tcPr>
            <w:tcW w:w="1458" w:type="dxa"/>
            <w:shd w:val="clear" w:color="auto" w:fill="auto"/>
            <w:noWrap/>
            <w:vAlign w:val="center"/>
            <w:hideMark/>
          </w:tcPr>
          <w:p w:rsidR="0064720B" w:rsidRPr="00C77672" w:rsidRDefault="0064720B" w:rsidP="00170272">
            <w:pPr>
              <w:pStyle w:val="TableText"/>
              <w:contextualSpacing/>
            </w:pPr>
            <w:r w:rsidRPr="00C77672">
              <w:t>Methodology</w:t>
            </w:r>
          </w:p>
        </w:tc>
        <w:tc>
          <w:tcPr>
            <w:tcW w:w="2610" w:type="dxa"/>
            <w:shd w:val="clear" w:color="auto" w:fill="auto"/>
            <w:vAlign w:val="center"/>
            <w:hideMark/>
          </w:tcPr>
          <w:p w:rsidR="0064720B" w:rsidRPr="00C77672" w:rsidRDefault="0064720B" w:rsidP="00170272">
            <w:pPr>
              <w:pStyle w:val="TableText"/>
              <w:contextualSpacing/>
            </w:pPr>
            <w:r>
              <w:rPr>
                <w:rFonts w:cs="Calibri"/>
              </w:rPr>
              <w:t>I</w:t>
            </w:r>
            <w:r w:rsidRPr="00C77672">
              <w:rPr>
                <w:rFonts w:cs="Calibri"/>
              </w:rPr>
              <w:t xml:space="preserve">mpacts </w:t>
            </w:r>
            <w:r>
              <w:rPr>
                <w:rFonts w:cs="Calibri"/>
              </w:rPr>
              <w:t xml:space="preserve">are largely </w:t>
            </w:r>
            <w:r w:rsidRPr="00C77672">
              <w:rPr>
                <w:rFonts w:cs="Calibri"/>
              </w:rPr>
              <w:t>base</w:t>
            </w:r>
            <w:r>
              <w:rPr>
                <w:rFonts w:cs="Calibri"/>
              </w:rPr>
              <w:t xml:space="preserve">d on matched control groups and </w:t>
            </w:r>
            <w:r w:rsidRPr="00C77672">
              <w:rPr>
                <w:rFonts w:cs="Calibri"/>
              </w:rPr>
              <w:t>adjustment</w:t>
            </w:r>
            <w:r>
              <w:rPr>
                <w:rFonts w:cs="Calibri"/>
              </w:rPr>
              <w:t>s</w:t>
            </w:r>
            <w:r w:rsidRPr="00C77672">
              <w:rPr>
                <w:rFonts w:cs="Calibri"/>
              </w:rPr>
              <w:t xml:space="preserve"> based on differences in pre-event hours</w:t>
            </w:r>
            <w:r>
              <w:rPr>
                <w:rFonts w:cs="Calibri"/>
              </w:rPr>
              <w:t xml:space="preserve"> and weather sensitivity</w:t>
            </w:r>
          </w:p>
        </w:tc>
        <w:tc>
          <w:tcPr>
            <w:tcW w:w="3420" w:type="dxa"/>
            <w:shd w:val="clear" w:color="000000" w:fill="FFFFFF"/>
            <w:vAlign w:val="center"/>
            <w:hideMark/>
          </w:tcPr>
          <w:p w:rsidR="0064720B" w:rsidRPr="00C77672" w:rsidRDefault="0064720B" w:rsidP="00170272">
            <w:pPr>
              <w:pStyle w:val="TableText"/>
              <w:contextualSpacing/>
            </w:pPr>
            <w:r w:rsidRPr="00C77672">
              <w:t xml:space="preserve">Regression of ex post </w:t>
            </w:r>
            <w:r>
              <w:t>reference loads</w:t>
            </w:r>
            <w:r w:rsidRPr="00C77672">
              <w:t xml:space="preserve"> against mean17 for </w:t>
            </w:r>
            <w:r>
              <w:t>each hour</w:t>
            </w:r>
            <w:r w:rsidRPr="00C77672">
              <w:t xml:space="preserve"> </w:t>
            </w:r>
            <w:r>
              <w:t>and a weather-based adjustment estimated from Summer Saver weather-sensitivity</w:t>
            </w:r>
          </w:p>
        </w:tc>
        <w:tc>
          <w:tcPr>
            <w:tcW w:w="3600" w:type="dxa"/>
            <w:shd w:val="clear" w:color="000000" w:fill="FFFFFF"/>
            <w:vAlign w:val="center"/>
            <w:hideMark/>
          </w:tcPr>
          <w:p w:rsidR="0064720B" w:rsidRPr="00C77672" w:rsidRDefault="0064720B" w:rsidP="00170272">
            <w:pPr>
              <w:pStyle w:val="TableText"/>
              <w:contextualSpacing/>
            </w:pPr>
            <w:r>
              <w:t>Impacts will vary differently with weather, given that Summer Saver is a larger, more established program that shows a strong relationship between weather and impacts, whereas the commercial thermostat temperature-impact relationship has few data points (4 event days)</w:t>
            </w:r>
          </w:p>
        </w:tc>
      </w:tr>
    </w:tbl>
    <w:p w:rsidR="0064720B" w:rsidRDefault="0064720B" w:rsidP="00D733A1">
      <w:pPr>
        <w:pStyle w:val="BodyParagraph"/>
        <w:ind w:firstLine="720"/>
        <w:rPr>
          <w:rFonts w:ascii="Times New Roman" w:hAnsi="Times New Roman"/>
          <w:sz w:val="24"/>
          <w:szCs w:val="24"/>
        </w:rPr>
      </w:pPr>
    </w:p>
    <w:p w:rsidR="00F7486A" w:rsidRPr="00D733A1" w:rsidRDefault="00F7486A" w:rsidP="00D733A1">
      <w:pPr>
        <w:pStyle w:val="BodyParagraph"/>
        <w:ind w:firstLine="720"/>
        <w:rPr>
          <w:rFonts w:ascii="Times New Roman" w:hAnsi="Times New Roman"/>
          <w:sz w:val="24"/>
          <w:szCs w:val="24"/>
        </w:rPr>
      </w:pPr>
      <w:r w:rsidRPr="00D733A1">
        <w:rPr>
          <w:rFonts w:ascii="Times New Roman" w:hAnsi="Times New Roman"/>
          <w:sz w:val="24"/>
          <w:szCs w:val="24"/>
        </w:rPr>
        <w:t xml:space="preserve">Table 10-15 shows how aggregate load impacts change as a result of differences in the factors underlying ex post and ex ante estimates. The third column reproduces the ex post values from Table 4-1. The next column grosses these estimates up by the difference in ex post and ex ante enrollment in August 2016. As expected, this produces a nearly five-times increase in the impacts. The next column shows what the ex ante model would produce using the same 2016 </w:t>
      </w:r>
      <w:r w:rsidRPr="00D733A1">
        <w:rPr>
          <w:rFonts w:ascii="Times New Roman" w:hAnsi="Times New Roman"/>
          <w:sz w:val="24"/>
          <w:szCs w:val="24"/>
        </w:rPr>
        <w:lastRenderedPageBreak/>
        <w:t>August enrollment figures and the ex post weather conditions for each event day. As discussed above, the ex ante model over predicts load reductions for September and under predicts for July. This is due to the unexpected high impact on the relatively cool July 31 event day, and the relatively limited number of events available to determine whether the observed trend of higher impacts on cooler day was spurious, or was due to a real trend. One other potential explanation for this difference is the change in the population from the July event to the September events. The final four columns show how aggregate load reductions vary with the different ex ante weather scenarios. The SDG&amp;E 1-in-10 conditions are most similar to the 2014 SDG&amp;E ex post weather conditions on average across all event days, although for any given ex post day, the weather conditions can differ significantly. Using the SDG&amp;E 1-in-10 year conditions decreases the average impacts by about 2% compared with ex post weather.</w:t>
      </w:r>
    </w:p>
    <w:p w:rsidR="00F7486A" w:rsidRPr="00D733A1" w:rsidRDefault="00F7486A" w:rsidP="00F7486A">
      <w:pPr>
        <w:pStyle w:val="TableFigureCaption"/>
        <w:rPr>
          <w:rFonts w:ascii="Times New Roman" w:hAnsi="Times New Roman"/>
          <w:sz w:val="20"/>
          <w:szCs w:val="20"/>
        </w:rPr>
      </w:pPr>
      <w:r w:rsidRPr="00D733A1">
        <w:rPr>
          <w:rFonts w:ascii="Times New Roman" w:hAnsi="Times New Roman"/>
          <w:sz w:val="20"/>
          <w:szCs w:val="20"/>
        </w:rPr>
        <w:t xml:space="preserve">Table 10-15: Differences in Ex Post and Ex Ante Impacts Due to Key Factors </w:t>
      </w:r>
    </w:p>
    <w:tbl>
      <w:tblPr>
        <w:tblW w:w="5852" w:type="pct"/>
        <w:jc w:val="center"/>
        <w:tblLayout w:type="fixed"/>
        <w:tblLook w:val="04A0" w:firstRow="1" w:lastRow="0" w:firstColumn="1" w:lastColumn="0" w:noHBand="0" w:noVBand="1"/>
      </w:tblPr>
      <w:tblGrid>
        <w:gridCol w:w="1112"/>
        <w:gridCol w:w="957"/>
        <w:gridCol w:w="865"/>
        <w:gridCol w:w="2302"/>
        <w:gridCol w:w="1979"/>
        <w:gridCol w:w="899"/>
        <w:gridCol w:w="989"/>
        <w:gridCol w:w="1116"/>
        <w:gridCol w:w="989"/>
      </w:tblGrid>
      <w:tr w:rsidR="00F7486A" w:rsidRPr="00EF203E" w:rsidTr="0079525F">
        <w:trPr>
          <w:trHeight w:val="900"/>
          <w:jc w:val="center"/>
        </w:trPr>
        <w:tc>
          <w:tcPr>
            <w:tcW w:w="496" w:type="pct"/>
            <w:vMerge w:val="restart"/>
            <w:tcBorders>
              <w:top w:val="single" w:sz="8" w:space="0" w:color="auto"/>
              <w:left w:val="single" w:sz="8" w:space="0" w:color="auto"/>
              <w:bottom w:val="single" w:sz="8" w:space="0" w:color="000000"/>
              <w:right w:val="single" w:sz="8" w:space="0" w:color="FFFFFF"/>
            </w:tcBorders>
            <w:shd w:val="clear" w:color="000000" w:fill="0070CD"/>
            <w:vAlign w:val="center"/>
            <w:hideMark/>
          </w:tcPr>
          <w:p w:rsidR="00F7486A" w:rsidRPr="00EF203E" w:rsidRDefault="00F7486A" w:rsidP="0079525F">
            <w:pPr>
              <w:pStyle w:val="TableHeader"/>
            </w:pPr>
            <w:r w:rsidRPr="00EF203E">
              <w:t>Date</w:t>
            </w:r>
          </w:p>
        </w:tc>
        <w:tc>
          <w:tcPr>
            <w:tcW w:w="427" w:type="pct"/>
            <w:tcBorders>
              <w:top w:val="single" w:sz="8" w:space="0" w:color="auto"/>
              <w:left w:val="nil"/>
              <w:bottom w:val="single" w:sz="4" w:space="0" w:color="FFFFFF" w:themeColor="background1"/>
              <w:right w:val="single" w:sz="8" w:space="0" w:color="FFFFFF"/>
            </w:tcBorders>
            <w:shd w:val="clear" w:color="000000" w:fill="0070CD"/>
            <w:vAlign w:val="center"/>
            <w:hideMark/>
          </w:tcPr>
          <w:p w:rsidR="00F7486A" w:rsidRPr="00EF203E" w:rsidRDefault="00F7486A" w:rsidP="0079525F">
            <w:pPr>
              <w:pStyle w:val="TableHeader"/>
            </w:pPr>
            <w:r w:rsidRPr="00EF203E">
              <w:t>Mean17</w:t>
            </w:r>
          </w:p>
        </w:tc>
        <w:tc>
          <w:tcPr>
            <w:tcW w:w="386" w:type="pct"/>
            <w:tcBorders>
              <w:top w:val="single" w:sz="8" w:space="0" w:color="auto"/>
              <w:left w:val="nil"/>
              <w:bottom w:val="single" w:sz="4" w:space="0" w:color="FFFFFF" w:themeColor="background1"/>
              <w:right w:val="single" w:sz="8" w:space="0" w:color="FFFFFF"/>
            </w:tcBorders>
            <w:shd w:val="clear" w:color="000000" w:fill="0070CD"/>
            <w:vAlign w:val="center"/>
            <w:hideMark/>
          </w:tcPr>
          <w:p w:rsidR="00F7486A" w:rsidRPr="00EF203E" w:rsidRDefault="00F7486A" w:rsidP="0079525F">
            <w:pPr>
              <w:pStyle w:val="TableHeader"/>
            </w:pPr>
            <w:r w:rsidRPr="00EF203E">
              <w:t>Ex Post Impact</w:t>
            </w:r>
          </w:p>
        </w:tc>
        <w:tc>
          <w:tcPr>
            <w:tcW w:w="1027" w:type="pct"/>
            <w:tcBorders>
              <w:top w:val="single" w:sz="8" w:space="0" w:color="auto"/>
              <w:left w:val="nil"/>
              <w:bottom w:val="single" w:sz="4" w:space="0" w:color="FFFFFF" w:themeColor="background1"/>
              <w:right w:val="single" w:sz="8" w:space="0" w:color="FFFFFF"/>
            </w:tcBorders>
            <w:shd w:val="clear" w:color="000000" w:fill="0070CD"/>
            <w:vAlign w:val="center"/>
            <w:hideMark/>
          </w:tcPr>
          <w:p w:rsidR="00F7486A" w:rsidRPr="00EF203E" w:rsidRDefault="00F7486A" w:rsidP="0079525F">
            <w:pPr>
              <w:pStyle w:val="TableHeader"/>
            </w:pPr>
            <w:r w:rsidRPr="00EF203E">
              <w:t>Ex Post Impact with August 2016 Ex Ante Enrollment</w:t>
            </w:r>
          </w:p>
        </w:tc>
        <w:tc>
          <w:tcPr>
            <w:tcW w:w="883" w:type="pct"/>
            <w:tcBorders>
              <w:top w:val="single" w:sz="8" w:space="0" w:color="auto"/>
              <w:left w:val="single" w:sz="8" w:space="0" w:color="FFFFFF"/>
              <w:bottom w:val="single" w:sz="4" w:space="0" w:color="FFFFFF" w:themeColor="background1"/>
              <w:right w:val="single" w:sz="8" w:space="0" w:color="FFFFFF"/>
            </w:tcBorders>
            <w:shd w:val="clear" w:color="000000" w:fill="0070CD"/>
            <w:vAlign w:val="center"/>
            <w:hideMark/>
          </w:tcPr>
          <w:p w:rsidR="00F7486A" w:rsidRPr="00EF203E" w:rsidRDefault="00F7486A" w:rsidP="0079525F">
            <w:pPr>
              <w:pStyle w:val="TableHeader"/>
            </w:pPr>
            <w:r w:rsidRPr="00EF203E">
              <w:t>Ex Ante Model E</w:t>
            </w:r>
            <w:r>
              <w:t>x Post Weather and Event Window</w:t>
            </w:r>
          </w:p>
        </w:tc>
        <w:tc>
          <w:tcPr>
            <w:tcW w:w="401" w:type="pct"/>
            <w:tcBorders>
              <w:top w:val="single" w:sz="8" w:space="0" w:color="auto"/>
              <w:left w:val="nil"/>
              <w:bottom w:val="single" w:sz="4" w:space="0" w:color="FFFFFF" w:themeColor="background1"/>
              <w:right w:val="single" w:sz="8" w:space="0" w:color="FFFFFF"/>
            </w:tcBorders>
            <w:shd w:val="clear" w:color="000000" w:fill="0070CD"/>
            <w:vAlign w:val="center"/>
            <w:hideMark/>
          </w:tcPr>
          <w:p w:rsidR="00F7486A" w:rsidRPr="00EF203E" w:rsidRDefault="00F7486A" w:rsidP="0079525F">
            <w:pPr>
              <w:pStyle w:val="TableHeader"/>
            </w:pPr>
            <w:r w:rsidRPr="00EF203E">
              <w:t>CAISO 1-in-2</w:t>
            </w:r>
          </w:p>
        </w:tc>
        <w:tc>
          <w:tcPr>
            <w:tcW w:w="441" w:type="pct"/>
            <w:tcBorders>
              <w:top w:val="single" w:sz="8" w:space="0" w:color="auto"/>
              <w:left w:val="nil"/>
              <w:bottom w:val="single" w:sz="4" w:space="0" w:color="FFFFFF" w:themeColor="background1"/>
              <w:right w:val="single" w:sz="8" w:space="0" w:color="FFFFFF"/>
            </w:tcBorders>
            <w:shd w:val="clear" w:color="000000" w:fill="0070CD"/>
            <w:vAlign w:val="center"/>
            <w:hideMark/>
          </w:tcPr>
          <w:p w:rsidR="00F7486A" w:rsidRPr="00EF203E" w:rsidRDefault="00F7486A" w:rsidP="0079525F">
            <w:pPr>
              <w:pStyle w:val="TableHeader"/>
            </w:pPr>
            <w:r w:rsidRPr="00EF203E">
              <w:t>SDG&amp;E 1-in-2</w:t>
            </w:r>
          </w:p>
        </w:tc>
        <w:tc>
          <w:tcPr>
            <w:tcW w:w="498" w:type="pct"/>
            <w:tcBorders>
              <w:top w:val="single" w:sz="8" w:space="0" w:color="auto"/>
              <w:left w:val="nil"/>
              <w:bottom w:val="single" w:sz="4" w:space="0" w:color="FFFFFF" w:themeColor="background1"/>
              <w:right w:val="single" w:sz="8" w:space="0" w:color="FFFFFF"/>
            </w:tcBorders>
            <w:shd w:val="clear" w:color="000000" w:fill="0070CD"/>
            <w:vAlign w:val="center"/>
            <w:hideMark/>
          </w:tcPr>
          <w:p w:rsidR="00F7486A" w:rsidRPr="00EF203E" w:rsidRDefault="00F7486A" w:rsidP="0079525F">
            <w:pPr>
              <w:pStyle w:val="TableHeader"/>
            </w:pPr>
            <w:r w:rsidRPr="00EF203E">
              <w:t xml:space="preserve">CAISO </w:t>
            </w:r>
            <w:r>
              <w:br/>
            </w:r>
            <w:r w:rsidRPr="00EF203E">
              <w:t>1-in-10</w:t>
            </w:r>
          </w:p>
        </w:tc>
        <w:tc>
          <w:tcPr>
            <w:tcW w:w="441" w:type="pct"/>
            <w:tcBorders>
              <w:top w:val="single" w:sz="8" w:space="0" w:color="auto"/>
              <w:left w:val="nil"/>
              <w:bottom w:val="single" w:sz="4" w:space="0" w:color="FFFFFF" w:themeColor="background1"/>
              <w:right w:val="single" w:sz="8" w:space="0" w:color="auto"/>
            </w:tcBorders>
            <w:shd w:val="clear" w:color="000000" w:fill="0070CD"/>
            <w:vAlign w:val="center"/>
            <w:hideMark/>
          </w:tcPr>
          <w:p w:rsidR="00F7486A" w:rsidRPr="00EF203E" w:rsidRDefault="00F7486A" w:rsidP="0079525F">
            <w:pPr>
              <w:pStyle w:val="TableHeader"/>
            </w:pPr>
            <w:r w:rsidRPr="00EF203E">
              <w:t>SDG&amp;E 1-in-10</w:t>
            </w:r>
          </w:p>
        </w:tc>
      </w:tr>
      <w:tr w:rsidR="00F7486A" w:rsidRPr="00EF203E" w:rsidTr="0079525F">
        <w:trPr>
          <w:trHeight w:val="315"/>
          <w:jc w:val="center"/>
        </w:trPr>
        <w:tc>
          <w:tcPr>
            <w:tcW w:w="496" w:type="pct"/>
            <w:vMerge/>
            <w:tcBorders>
              <w:top w:val="single" w:sz="8" w:space="0" w:color="auto"/>
              <w:left w:val="single" w:sz="8" w:space="0" w:color="auto"/>
              <w:bottom w:val="single" w:sz="8" w:space="0" w:color="000000"/>
              <w:right w:val="single" w:sz="8" w:space="0" w:color="FFFFFF"/>
            </w:tcBorders>
            <w:vAlign w:val="center"/>
            <w:hideMark/>
          </w:tcPr>
          <w:p w:rsidR="00F7486A" w:rsidRPr="00EF203E" w:rsidRDefault="00F7486A" w:rsidP="0079525F">
            <w:pPr>
              <w:pStyle w:val="TableHeader"/>
            </w:pPr>
          </w:p>
        </w:tc>
        <w:tc>
          <w:tcPr>
            <w:tcW w:w="427" w:type="pct"/>
            <w:tcBorders>
              <w:top w:val="single" w:sz="4" w:space="0" w:color="FFFFFF" w:themeColor="background1"/>
              <w:left w:val="nil"/>
              <w:bottom w:val="single" w:sz="8" w:space="0" w:color="auto"/>
              <w:right w:val="single" w:sz="8" w:space="0" w:color="FFFFFF"/>
            </w:tcBorders>
            <w:shd w:val="clear" w:color="000000" w:fill="0070CD"/>
            <w:vAlign w:val="center"/>
            <w:hideMark/>
          </w:tcPr>
          <w:p w:rsidR="00F7486A" w:rsidRPr="00EF203E" w:rsidRDefault="00F7486A" w:rsidP="0079525F">
            <w:pPr>
              <w:pStyle w:val="TableHeader"/>
            </w:pPr>
            <w:r w:rsidRPr="00EF203E">
              <w:t>(°F)</w:t>
            </w:r>
          </w:p>
        </w:tc>
        <w:tc>
          <w:tcPr>
            <w:tcW w:w="386" w:type="pct"/>
            <w:tcBorders>
              <w:top w:val="single" w:sz="4" w:space="0" w:color="FFFFFF" w:themeColor="background1"/>
              <w:left w:val="nil"/>
              <w:bottom w:val="single" w:sz="8" w:space="0" w:color="auto"/>
              <w:right w:val="single" w:sz="8" w:space="0" w:color="FFFFFF"/>
            </w:tcBorders>
            <w:shd w:val="clear" w:color="000000" w:fill="0070CD"/>
            <w:vAlign w:val="center"/>
            <w:hideMark/>
          </w:tcPr>
          <w:p w:rsidR="00F7486A" w:rsidRPr="00EF203E" w:rsidRDefault="00F7486A" w:rsidP="0079525F">
            <w:pPr>
              <w:pStyle w:val="TableHeader"/>
            </w:pPr>
            <w:r w:rsidRPr="00EF203E">
              <w:t>(MW)</w:t>
            </w:r>
          </w:p>
        </w:tc>
        <w:tc>
          <w:tcPr>
            <w:tcW w:w="1027" w:type="pct"/>
            <w:tcBorders>
              <w:top w:val="single" w:sz="4" w:space="0" w:color="FFFFFF" w:themeColor="background1"/>
              <w:left w:val="nil"/>
              <w:bottom w:val="single" w:sz="8" w:space="0" w:color="auto"/>
              <w:right w:val="single" w:sz="8" w:space="0" w:color="FFFFFF"/>
            </w:tcBorders>
            <w:shd w:val="clear" w:color="000000" w:fill="0070CD"/>
            <w:vAlign w:val="center"/>
            <w:hideMark/>
          </w:tcPr>
          <w:p w:rsidR="00F7486A" w:rsidRPr="00EF203E" w:rsidRDefault="00F7486A" w:rsidP="0079525F">
            <w:pPr>
              <w:pStyle w:val="TableHeader"/>
            </w:pPr>
            <w:r w:rsidRPr="00EF203E">
              <w:t>(MW)</w:t>
            </w:r>
          </w:p>
        </w:tc>
        <w:tc>
          <w:tcPr>
            <w:tcW w:w="883" w:type="pct"/>
            <w:tcBorders>
              <w:top w:val="single" w:sz="4" w:space="0" w:color="FFFFFF" w:themeColor="background1"/>
              <w:left w:val="single" w:sz="8" w:space="0" w:color="FFFFFF"/>
              <w:bottom w:val="single" w:sz="8" w:space="0" w:color="000000"/>
              <w:right w:val="single" w:sz="8" w:space="0" w:color="FFFFFF"/>
            </w:tcBorders>
            <w:shd w:val="clear" w:color="000000" w:fill="0070CD"/>
            <w:vAlign w:val="center"/>
            <w:hideMark/>
          </w:tcPr>
          <w:p w:rsidR="00F7486A" w:rsidRPr="00EF203E" w:rsidRDefault="00F7486A" w:rsidP="0079525F">
            <w:pPr>
              <w:pStyle w:val="TableHeader"/>
            </w:pPr>
            <w:r w:rsidRPr="00EF203E">
              <w:t>(MW)</w:t>
            </w:r>
          </w:p>
        </w:tc>
        <w:tc>
          <w:tcPr>
            <w:tcW w:w="401" w:type="pct"/>
            <w:tcBorders>
              <w:top w:val="single" w:sz="4" w:space="0" w:color="FFFFFF" w:themeColor="background1"/>
              <w:left w:val="nil"/>
              <w:bottom w:val="single" w:sz="8" w:space="0" w:color="auto"/>
              <w:right w:val="single" w:sz="8" w:space="0" w:color="FFFFFF"/>
            </w:tcBorders>
            <w:shd w:val="clear" w:color="000000" w:fill="0070CD"/>
            <w:vAlign w:val="center"/>
            <w:hideMark/>
          </w:tcPr>
          <w:p w:rsidR="00F7486A" w:rsidRPr="00EF203E" w:rsidRDefault="00F7486A" w:rsidP="0079525F">
            <w:pPr>
              <w:pStyle w:val="TableHeader"/>
            </w:pPr>
            <w:r w:rsidRPr="00EF203E">
              <w:t>(MW)</w:t>
            </w:r>
          </w:p>
        </w:tc>
        <w:tc>
          <w:tcPr>
            <w:tcW w:w="441" w:type="pct"/>
            <w:tcBorders>
              <w:top w:val="single" w:sz="4" w:space="0" w:color="FFFFFF" w:themeColor="background1"/>
              <w:left w:val="nil"/>
              <w:bottom w:val="single" w:sz="8" w:space="0" w:color="auto"/>
              <w:right w:val="single" w:sz="8" w:space="0" w:color="FFFFFF"/>
            </w:tcBorders>
            <w:shd w:val="clear" w:color="000000" w:fill="0070CD"/>
            <w:vAlign w:val="center"/>
            <w:hideMark/>
          </w:tcPr>
          <w:p w:rsidR="00F7486A" w:rsidRPr="00EF203E" w:rsidRDefault="00F7486A" w:rsidP="0079525F">
            <w:pPr>
              <w:pStyle w:val="TableHeader"/>
            </w:pPr>
            <w:r w:rsidRPr="00EF203E">
              <w:t>(MW)</w:t>
            </w:r>
          </w:p>
        </w:tc>
        <w:tc>
          <w:tcPr>
            <w:tcW w:w="498" w:type="pct"/>
            <w:tcBorders>
              <w:top w:val="single" w:sz="4" w:space="0" w:color="FFFFFF" w:themeColor="background1"/>
              <w:left w:val="nil"/>
              <w:bottom w:val="single" w:sz="8" w:space="0" w:color="auto"/>
              <w:right w:val="single" w:sz="8" w:space="0" w:color="FFFFFF"/>
            </w:tcBorders>
            <w:shd w:val="clear" w:color="000000" w:fill="0070CD"/>
            <w:vAlign w:val="center"/>
            <w:hideMark/>
          </w:tcPr>
          <w:p w:rsidR="00F7486A" w:rsidRPr="00EF203E" w:rsidRDefault="00F7486A" w:rsidP="0079525F">
            <w:pPr>
              <w:pStyle w:val="TableHeader"/>
            </w:pPr>
            <w:r w:rsidRPr="00EF203E">
              <w:t>(MW)</w:t>
            </w:r>
          </w:p>
        </w:tc>
        <w:tc>
          <w:tcPr>
            <w:tcW w:w="441" w:type="pct"/>
            <w:tcBorders>
              <w:top w:val="single" w:sz="4" w:space="0" w:color="FFFFFF" w:themeColor="background1"/>
              <w:left w:val="nil"/>
              <w:bottom w:val="single" w:sz="8" w:space="0" w:color="auto"/>
              <w:right w:val="single" w:sz="8" w:space="0" w:color="auto"/>
            </w:tcBorders>
            <w:shd w:val="clear" w:color="000000" w:fill="0070CD"/>
            <w:vAlign w:val="center"/>
            <w:hideMark/>
          </w:tcPr>
          <w:p w:rsidR="00F7486A" w:rsidRPr="00EF203E" w:rsidRDefault="00F7486A" w:rsidP="0079525F">
            <w:pPr>
              <w:pStyle w:val="TableHeader"/>
            </w:pPr>
            <w:r w:rsidRPr="00EF203E">
              <w:t>(MW)</w:t>
            </w:r>
          </w:p>
        </w:tc>
      </w:tr>
      <w:tr w:rsidR="00F7486A" w:rsidRPr="00EF203E" w:rsidTr="0079525F">
        <w:trPr>
          <w:trHeight w:val="315"/>
          <w:jc w:val="center"/>
        </w:trPr>
        <w:tc>
          <w:tcPr>
            <w:tcW w:w="496" w:type="pct"/>
            <w:tcBorders>
              <w:top w:val="nil"/>
              <w:left w:val="single" w:sz="8" w:space="0" w:color="auto"/>
              <w:bottom w:val="single" w:sz="8" w:space="0" w:color="auto"/>
              <w:right w:val="single" w:sz="8" w:space="0" w:color="auto"/>
            </w:tcBorders>
            <w:shd w:val="clear" w:color="auto" w:fill="auto"/>
            <w:noWrap/>
            <w:vAlign w:val="center"/>
            <w:hideMark/>
          </w:tcPr>
          <w:p w:rsidR="00F7486A" w:rsidRPr="00EF203E" w:rsidRDefault="00F7486A" w:rsidP="0079525F">
            <w:pPr>
              <w:pStyle w:val="TableText"/>
            </w:pPr>
            <w:r w:rsidRPr="00EF203E">
              <w:t>7/31/2014</w:t>
            </w:r>
          </w:p>
        </w:tc>
        <w:tc>
          <w:tcPr>
            <w:tcW w:w="4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75</w:t>
            </w:r>
          </w:p>
        </w:tc>
        <w:tc>
          <w:tcPr>
            <w:tcW w:w="386"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0.77</w:t>
            </w:r>
          </w:p>
        </w:tc>
        <w:tc>
          <w:tcPr>
            <w:tcW w:w="10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5.40</w:t>
            </w:r>
          </w:p>
        </w:tc>
        <w:tc>
          <w:tcPr>
            <w:tcW w:w="883"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2.91</w:t>
            </w:r>
          </w:p>
        </w:tc>
        <w:tc>
          <w:tcPr>
            <w:tcW w:w="40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7486A" w:rsidRPr="00EF203E" w:rsidRDefault="00F7486A" w:rsidP="00B64BC8">
            <w:pPr>
              <w:pStyle w:val="TableText"/>
              <w:jc w:val="center"/>
            </w:pPr>
            <w:r w:rsidRPr="00EF203E">
              <w:t>3.02</w:t>
            </w:r>
          </w:p>
        </w:tc>
        <w:tc>
          <w:tcPr>
            <w:tcW w:w="44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7486A" w:rsidRPr="00EF203E" w:rsidRDefault="00F7486A" w:rsidP="00B64BC8">
            <w:pPr>
              <w:pStyle w:val="TableText"/>
              <w:jc w:val="center"/>
            </w:pPr>
            <w:r w:rsidRPr="00EF203E">
              <w:t>2.84</w:t>
            </w:r>
          </w:p>
        </w:tc>
        <w:tc>
          <w:tcPr>
            <w:tcW w:w="49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7486A" w:rsidRPr="00EF203E" w:rsidRDefault="00F7486A" w:rsidP="00B64BC8">
            <w:pPr>
              <w:pStyle w:val="TableText"/>
              <w:jc w:val="center"/>
            </w:pPr>
            <w:r w:rsidRPr="00EF203E">
              <w:t>3.76</w:t>
            </w:r>
          </w:p>
        </w:tc>
        <w:tc>
          <w:tcPr>
            <w:tcW w:w="44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7486A" w:rsidRPr="00EF203E" w:rsidRDefault="00F7486A" w:rsidP="00B64BC8">
            <w:pPr>
              <w:pStyle w:val="TableText"/>
              <w:jc w:val="center"/>
            </w:pPr>
            <w:r w:rsidRPr="00EF203E">
              <w:t>4.18</w:t>
            </w:r>
          </w:p>
        </w:tc>
      </w:tr>
      <w:tr w:rsidR="00F7486A" w:rsidRPr="00EF203E" w:rsidTr="0079525F">
        <w:trPr>
          <w:trHeight w:val="315"/>
          <w:jc w:val="center"/>
        </w:trPr>
        <w:tc>
          <w:tcPr>
            <w:tcW w:w="496" w:type="pct"/>
            <w:tcBorders>
              <w:top w:val="nil"/>
              <w:left w:val="single" w:sz="8" w:space="0" w:color="auto"/>
              <w:bottom w:val="single" w:sz="8" w:space="0" w:color="auto"/>
              <w:right w:val="single" w:sz="8" w:space="0" w:color="auto"/>
            </w:tcBorders>
            <w:shd w:val="clear" w:color="auto" w:fill="auto"/>
            <w:noWrap/>
            <w:vAlign w:val="center"/>
            <w:hideMark/>
          </w:tcPr>
          <w:p w:rsidR="00F7486A" w:rsidRPr="00EF203E" w:rsidRDefault="00F7486A" w:rsidP="0079525F">
            <w:pPr>
              <w:pStyle w:val="TableText"/>
            </w:pPr>
            <w:r w:rsidRPr="00EF203E">
              <w:t>9/15/2014</w:t>
            </w:r>
          </w:p>
        </w:tc>
        <w:tc>
          <w:tcPr>
            <w:tcW w:w="4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80</w:t>
            </w:r>
          </w:p>
        </w:tc>
        <w:tc>
          <w:tcPr>
            <w:tcW w:w="386"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0.59</w:t>
            </w:r>
          </w:p>
        </w:tc>
        <w:tc>
          <w:tcPr>
            <w:tcW w:w="10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3.09</w:t>
            </w:r>
          </w:p>
        </w:tc>
        <w:tc>
          <w:tcPr>
            <w:tcW w:w="883"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3.87</w:t>
            </w:r>
          </w:p>
        </w:tc>
        <w:tc>
          <w:tcPr>
            <w:tcW w:w="40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4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98"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4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r>
      <w:tr w:rsidR="00F7486A" w:rsidRPr="00EF203E" w:rsidTr="0079525F">
        <w:trPr>
          <w:trHeight w:val="315"/>
          <w:jc w:val="center"/>
        </w:trPr>
        <w:tc>
          <w:tcPr>
            <w:tcW w:w="496" w:type="pct"/>
            <w:tcBorders>
              <w:top w:val="nil"/>
              <w:left w:val="single" w:sz="8" w:space="0" w:color="auto"/>
              <w:bottom w:val="single" w:sz="8" w:space="0" w:color="auto"/>
              <w:right w:val="single" w:sz="8" w:space="0" w:color="auto"/>
            </w:tcBorders>
            <w:shd w:val="clear" w:color="auto" w:fill="auto"/>
            <w:noWrap/>
            <w:vAlign w:val="center"/>
            <w:hideMark/>
          </w:tcPr>
          <w:p w:rsidR="00F7486A" w:rsidRPr="00EF203E" w:rsidRDefault="00F7486A" w:rsidP="0079525F">
            <w:pPr>
              <w:pStyle w:val="TableText"/>
            </w:pPr>
            <w:r w:rsidRPr="00EF203E">
              <w:t>9/16/2014</w:t>
            </w:r>
          </w:p>
        </w:tc>
        <w:tc>
          <w:tcPr>
            <w:tcW w:w="4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83</w:t>
            </w:r>
          </w:p>
        </w:tc>
        <w:tc>
          <w:tcPr>
            <w:tcW w:w="386"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0.59</w:t>
            </w:r>
          </w:p>
        </w:tc>
        <w:tc>
          <w:tcPr>
            <w:tcW w:w="10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3.11</w:t>
            </w:r>
          </w:p>
        </w:tc>
        <w:tc>
          <w:tcPr>
            <w:tcW w:w="883"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4.46</w:t>
            </w:r>
          </w:p>
        </w:tc>
        <w:tc>
          <w:tcPr>
            <w:tcW w:w="40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4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98"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4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r>
      <w:tr w:rsidR="00F7486A" w:rsidRPr="00EF203E" w:rsidTr="0079525F">
        <w:trPr>
          <w:trHeight w:val="315"/>
          <w:jc w:val="center"/>
        </w:trPr>
        <w:tc>
          <w:tcPr>
            <w:tcW w:w="496" w:type="pct"/>
            <w:tcBorders>
              <w:top w:val="nil"/>
              <w:left w:val="single" w:sz="8" w:space="0" w:color="auto"/>
              <w:bottom w:val="single" w:sz="8" w:space="0" w:color="auto"/>
              <w:right w:val="single" w:sz="8" w:space="0" w:color="auto"/>
            </w:tcBorders>
            <w:shd w:val="clear" w:color="auto" w:fill="auto"/>
            <w:noWrap/>
            <w:vAlign w:val="center"/>
            <w:hideMark/>
          </w:tcPr>
          <w:p w:rsidR="00F7486A" w:rsidRPr="00EF203E" w:rsidRDefault="00F7486A" w:rsidP="0079525F">
            <w:pPr>
              <w:pStyle w:val="TableText"/>
            </w:pPr>
            <w:r w:rsidRPr="00EF203E">
              <w:t>9/17/2014</w:t>
            </w:r>
          </w:p>
        </w:tc>
        <w:tc>
          <w:tcPr>
            <w:tcW w:w="4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82</w:t>
            </w:r>
          </w:p>
        </w:tc>
        <w:tc>
          <w:tcPr>
            <w:tcW w:w="386"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0.69</w:t>
            </w:r>
          </w:p>
        </w:tc>
        <w:tc>
          <w:tcPr>
            <w:tcW w:w="10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3.63</w:t>
            </w:r>
          </w:p>
        </w:tc>
        <w:tc>
          <w:tcPr>
            <w:tcW w:w="883"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4.46</w:t>
            </w:r>
          </w:p>
        </w:tc>
        <w:tc>
          <w:tcPr>
            <w:tcW w:w="40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4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98"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4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r>
      <w:tr w:rsidR="00F7486A" w:rsidRPr="00EF203E" w:rsidTr="0079525F">
        <w:trPr>
          <w:trHeight w:val="315"/>
          <w:jc w:val="center"/>
        </w:trPr>
        <w:tc>
          <w:tcPr>
            <w:tcW w:w="496" w:type="pct"/>
            <w:tcBorders>
              <w:top w:val="nil"/>
              <w:left w:val="single" w:sz="8" w:space="0" w:color="auto"/>
              <w:bottom w:val="single" w:sz="8" w:space="0" w:color="auto"/>
              <w:right w:val="single" w:sz="8" w:space="0" w:color="auto"/>
            </w:tcBorders>
            <w:shd w:val="clear" w:color="auto" w:fill="auto"/>
            <w:noWrap/>
            <w:vAlign w:val="center"/>
            <w:hideMark/>
          </w:tcPr>
          <w:p w:rsidR="00F7486A" w:rsidRPr="00EF203E" w:rsidRDefault="00F7486A" w:rsidP="0079525F">
            <w:pPr>
              <w:pStyle w:val="TableText"/>
            </w:pPr>
            <w:r w:rsidRPr="00EF203E">
              <w:t>Average</w:t>
            </w:r>
          </w:p>
        </w:tc>
        <w:tc>
          <w:tcPr>
            <w:tcW w:w="4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80</w:t>
            </w:r>
          </w:p>
        </w:tc>
        <w:tc>
          <w:tcPr>
            <w:tcW w:w="386"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0.68</w:t>
            </w:r>
          </w:p>
        </w:tc>
        <w:tc>
          <w:tcPr>
            <w:tcW w:w="1027"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3.80</w:t>
            </w:r>
          </w:p>
        </w:tc>
        <w:tc>
          <w:tcPr>
            <w:tcW w:w="883" w:type="pct"/>
            <w:tcBorders>
              <w:top w:val="nil"/>
              <w:left w:val="nil"/>
              <w:bottom w:val="single" w:sz="8" w:space="0" w:color="auto"/>
              <w:right w:val="single" w:sz="8" w:space="0" w:color="auto"/>
            </w:tcBorders>
            <w:shd w:val="clear" w:color="auto" w:fill="auto"/>
            <w:noWrap/>
            <w:vAlign w:val="center"/>
            <w:hideMark/>
          </w:tcPr>
          <w:p w:rsidR="00F7486A" w:rsidRPr="00EF203E" w:rsidRDefault="00F7486A" w:rsidP="00B64BC8">
            <w:pPr>
              <w:pStyle w:val="TableText"/>
              <w:jc w:val="center"/>
            </w:pPr>
            <w:r w:rsidRPr="00EF203E">
              <w:t>4.27</w:t>
            </w:r>
          </w:p>
        </w:tc>
        <w:tc>
          <w:tcPr>
            <w:tcW w:w="40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4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98"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c>
          <w:tcPr>
            <w:tcW w:w="441" w:type="pct"/>
            <w:vMerge/>
            <w:tcBorders>
              <w:top w:val="nil"/>
              <w:left w:val="single" w:sz="8" w:space="0" w:color="auto"/>
              <w:bottom w:val="single" w:sz="8" w:space="0" w:color="000000"/>
              <w:right w:val="single" w:sz="8" w:space="0" w:color="auto"/>
            </w:tcBorders>
            <w:vAlign w:val="center"/>
            <w:hideMark/>
          </w:tcPr>
          <w:p w:rsidR="00F7486A" w:rsidRPr="00EF203E" w:rsidRDefault="00F7486A" w:rsidP="0079525F">
            <w:pPr>
              <w:pStyle w:val="TableText"/>
            </w:pPr>
          </w:p>
        </w:tc>
      </w:tr>
    </w:tbl>
    <w:p w:rsidR="007A210C" w:rsidRPr="007A210C" w:rsidRDefault="007A210C" w:rsidP="00B64BC8"/>
    <w:sectPr w:rsidR="007A210C" w:rsidRPr="007A210C" w:rsidSect="006D478F">
      <w:footerReference w:type="even"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52" w:rsidRDefault="00947B52">
      <w:r>
        <w:separator/>
      </w:r>
    </w:p>
  </w:endnote>
  <w:endnote w:type="continuationSeparator" w:id="0">
    <w:p w:rsidR="00947B52" w:rsidRDefault="0094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tilliumText22L Xb">
    <w:altName w:val="Arial"/>
    <w:panose1 w:val="00000000000000000000"/>
    <w:charset w:val="00"/>
    <w:family w:val="modern"/>
    <w:notTrueType/>
    <w:pitch w:val="variable"/>
    <w:sig w:usb0="A00000EF" w:usb1="0000004B" w:usb2="00000000" w:usb3="00000000" w:csb0="00000193"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BookAntiqu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C2" w:rsidRDefault="00457DC2" w:rsidP="004708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57DC2" w:rsidRDefault="00457DC2" w:rsidP="004C3F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15029"/>
      <w:docPartObj>
        <w:docPartGallery w:val="Page Numbers (Bottom of Page)"/>
        <w:docPartUnique/>
      </w:docPartObj>
    </w:sdtPr>
    <w:sdtEndPr>
      <w:rPr>
        <w:noProof/>
      </w:rPr>
    </w:sdtEndPr>
    <w:sdtContent>
      <w:p w:rsidR="00457DC2" w:rsidRDefault="00457DC2">
        <w:pPr>
          <w:pStyle w:val="Footer"/>
          <w:jc w:val="right"/>
        </w:pPr>
        <w:r>
          <w:fldChar w:fldCharType="begin"/>
        </w:r>
        <w:r>
          <w:instrText xml:space="preserve"> PAGE   \* MERGEFORMAT </w:instrText>
        </w:r>
        <w:r>
          <w:fldChar w:fldCharType="separate"/>
        </w:r>
        <w:r w:rsidR="008863A0">
          <w:rPr>
            <w:noProof/>
          </w:rPr>
          <w:t>1</w:t>
        </w:r>
        <w:r>
          <w:rPr>
            <w:noProof/>
          </w:rPr>
          <w:fldChar w:fldCharType="end"/>
        </w:r>
      </w:p>
    </w:sdtContent>
  </w:sdt>
  <w:p w:rsidR="00457DC2" w:rsidRDefault="00457DC2" w:rsidP="00246C60">
    <w:pPr>
      <w:pStyle w:val="Footer"/>
      <w:tabs>
        <w:tab w:val="left" w:pos="816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52" w:rsidRDefault="00947B52">
      <w:r>
        <w:separator/>
      </w:r>
    </w:p>
  </w:footnote>
  <w:footnote w:type="continuationSeparator" w:id="0">
    <w:p w:rsidR="00947B52" w:rsidRDefault="00947B52">
      <w:r>
        <w:continuationSeparator/>
      </w:r>
    </w:p>
  </w:footnote>
  <w:footnote w:id="1">
    <w:p w:rsidR="00457DC2" w:rsidRPr="000249A3" w:rsidRDefault="00457DC2" w:rsidP="005D7374">
      <w:pPr>
        <w:pStyle w:val="FootnoteText"/>
      </w:pPr>
      <w:r w:rsidRPr="000249A3">
        <w:rPr>
          <w:rStyle w:val="FootnoteReference"/>
        </w:rPr>
        <w:footnoteRef/>
      </w:r>
      <w:r w:rsidRPr="000249A3">
        <w:t xml:space="preserve"> </w:t>
      </w:r>
      <w:r w:rsidRPr="00C13C0C">
        <w:t>The summer pricing season is July through September for SCE, May through September for SDG&amp;E, and May through October for PG&amp;E. This variable is designed to account for the effect of the strong summer peak TOU prices that are in effect during this period for most customers at each of the three utilities. Since the summer pricing season for PG&amp;E overlaps exactly with the months included in the regression analysis, no Summer variable is included in the regressions for PG&amp;E</w:t>
      </w:r>
    </w:p>
  </w:footnote>
  <w:footnote w:id="2">
    <w:p w:rsidR="00457DC2" w:rsidRDefault="00457DC2" w:rsidP="000117DA">
      <w:pPr>
        <w:pStyle w:val="Footnote"/>
      </w:pPr>
      <w:r>
        <w:rPr>
          <w:rStyle w:val="FootnoteReference"/>
        </w:rPr>
        <w:footnoteRef/>
      </w:r>
      <w:r>
        <w:t xml:space="preserve"> In practice, this term is absorbed by the time effects, but it is useful for representing the model logic.</w:t>
      </w:r>
    </w:p>
  </w:footnote>
  <w:footnote w:id="3">
    <w:p w:rsidR="00457DC2" w:rsidRDefault="00457DC2" w:rsidP="008912F3">
      <w:pPr>
        <w:pStyle w:val="FootnoteText"/>
      </w:pPr>
      <w:r>
        <w:rPr>
          <w:rStyle w:val="FootnoteReference"/>
        </w:rPr>
        <w:footnoteRef/>
      </w:r>
      <w:r>
        <w:t xml:space="preserve"> I</w:t>
      </w:r>
      <w:r w:rsidRPr="00D6331F">
        <w:t xml:space="preserve">nterim report on Sacramento Municipal Utility District’s Smart Pricing Options pilot:  </w:t>
      </w:r>
      <w:hyperlink r:id="rId1" w:history="1">
        <w:r w:rsidRPr="003D0450">
          <w:rPr>
            <w:rStyle w:val="Hyperlink"/>
            <w:rFonts w:ascii="Franklin Gothic Book" w:hAnsi="Franklin Gothic Book"/>
            <w:sz w:val="18"/>
          </w:rPr>
          <w:t>https://www.smartgrid.gov/sites/default/files/MASTER_SMUD%20CBS%20Interim%20Evaluation_Final_SUBMITTED%20TO%20TAG%2020131023.pdf</w:t>
        </w:r>
      </w:hyperlink>
      <w:r>
        <w:t xml:space="preserve"> </w:t>
      </w:r>
    </w:p>
  </w:footnote>
  <w:footnote w:id="4">
    <w:p w:rsidR="00457DC2" w:rsidRPr="00F34148" w:rsidRDefault="00457DC2" w:rsidP="00EF0F06">
      <w:pPr>
        <w:pStyle w:val="FootnoteText"/>
        <w:rPr>
          <w:rFonts w:ascii="Calibri" w:hAnsi="Calibri"/>
        </w:rPr>
      </w:pPr>
      <w:r w:rsidRPr="00F34148">
        <w:rPr>
          <w:rStyle w:val="FootnoteReference"/>
          <w:rFonts w:ascii="Calibri" w:hAnsi="Calibri"/>
        </w:rPr>
        <w:footnoteRef/>
      </w:r>
      <w:r w:rsidRPr="00F34148">
        <w:rPr>
          <w:rFonts w:ascii="Calibri" w:hAnsi="Calibri"/>
        </w:rPr>
        <w:t xml:space="preserve"> The summer pricing season is Ju</w:t>
      </w:r>
      <w:r>
        <w:rPr>
          <w:rFonts w:ascii="Calibri" w:hAnsi="Calibri"/>
        </w:rPr>
        <w:t>ne</w:t>
      </w:r>
      <w:r w:rsidRPr="00F34148">
        <w:rPr>
          <w:rFonts w:ascii="Calibri" w:hAnsi="Calibri"/>
        </w:rPr>
        <w:t xml:space="preserve"> through September for SCE, May through September for SDG&amp;E, and May through October for PG&amp;E.</w:t>
      </w:r>
    </w:p>
  </w:footnote>
  <w:footnote w:id="5">
    <w:p w:rsidR="00457DC2" w:rsidRDefault="00457DC2" w:rsidP="001C7314">
      <w:pPr>
        <w:pStyle w:val="FootnoteText"/>
      </w:pPr>
      <w:r>
        <w:rPr>
          <w:rStyle w:val="FootnoteReference"/>
        </w:rPr>
        <w:footnoteRef/>
      </w:r>
      <w:r>
        <w:t xml:space="preserve"> In particular, whereas CDH60 and </w:t>
      </w:r>
      <w:r w:rsidRPr="006F24DA">
        <w:t>CDH60</w:t>
      </w:r>
      <w:r>
        <w:t>_MA24</w:t>
      </w:r>
      <w:r w:rsidRPr="006F24DA">
        <w:t xml:space="preserve"> </w:t>
      </w:r>
      <w:r>
        <w:t>are used for summer ex post regressions, only CDH60 is used for the ex ante models. See Appendix A for weather variable details</w:t>
      </w:r>
      <w:r w:rsidRPr="003C262F">
        <w:t>.</w:t>
      </w:r>
    </w:p>
  </w:footnote>
  <w:footnote w:id="6">
    <w:p w:rsidR="00457DC2" w:rsidRPr="00F34148" w:rsidRDefault="00457DC2" w:rsidP="008E4E9C">
      <w:pPr>
        <w:pStyle w:val="FootnoteText"/>
        <w:rPr>
          <w:rFonts w:ascii="Calibri" w:hAnsi="Calibri"/>
        </w:rPr>
      </w:pPr>
      <w:r w:rsidRPr="00F34148">
        <w:rPr>
          <w:rStyle w:val="FootnoteReference"/>
          <w:rFonts w:ascii="Calibri" w:hAnsi="Calibri"/>
        </w:rPr>
        <w:footnoteRef/>
      </w:r>
      <w:r w:rsidRPr="00F34148">
        <w:rPr>
          <w:rFonts w:ascii="Calibri" w:hAnsi="Calibri"/>
        </w:rPr>
        <w:t xml:space="preserve"> Including weekends and holidays would require the addition of variables to capture the fact that load levels and patterns on weekends and holidays can differ greatly from those of non-holiday weekdays. Because event days do not occur on weekends or holidays, the exclusion of these data does not affect the model’s ability to estimate </w:t>
      </w:r>
      <w:r w:rsidRPr="00933F01">
        <w:rPr>
          <w:rFonts w:ascii="Calibri" w:hAnsi="Calibri"/>
          <w:i/>
        </w:rPr>
        <w:t>ex-post</w:t>
      </w:r>
      <w:r w:rsidRPr="00F34148">
        <w:rPr>
          <w:rFonts w:ascii="Calibri" w:hAnsi="Calibri"/>
        </w:rPr>
        <w:t xml:space="preserve"> load impacts. </w:t>
      </w:r>
    </w:p>
  </w:footnote>
  <w:footnote w:id="7">
    <w:p w:rsidR="00457DC2" w:rsidRPr="00F34148" w:rsidRDefault="00457DC2" w:rsidP="00FB7AE8">
      <w:pPr>
        <w:pStyle w:val="FootnoteText"/>
        <w:rPr>
          <w:rFonts w:ascii="Calibri" w:hAnsi="Calibri"/>
        </w:rPr>
      </w:pPr>
      <w:r w:rsidRPr="00F34148">
        <w:rPr>
          <w:rStyle w:val="FootnoteReference"/>
          <w:rFonts w:ascii="Calibri" w:hAnsi="Calibri"/>
        </w:rPr>
        <w:footnoteRef/>
      </w:r>
      <w:r w:rsidRPr="00F34148">
        <w:rPr>
          <w:rFonts w:ascii="Calibri" w:hAnsi="Calibri"/>
        </w:rPr>
        <w:t xml:space="preserve"> The summer pricing season is Ju</w:t>
      </w:r>
      <w:r>
        <w:rPr>
          <w:rFonts w:ascii="Calibri" w:hAnsi="Calibri"/>
        </w:rPr>
        <w:t>ne</w:t>
      </w:r>
      <w:r w:rsidRPr="00F34148">
        <w:rPr>
          <w:rFonts w:ascii="Calibri" w:hAnsi="Calibri"/>
        </w:rPr>
        <w:t xml:space="preserve"> through September for SCE, May through September for SDG&amp;E, and May through October for PG&amp;E.</w:t>
      </w:r>
    </w:p>
  </w:footnote>
  <w:footnote w:id="8">
    <w:p w:rsidR="00457DC2" w:rsidRPr="00F34148" w:rsidRDefault="00457DC2" w:rsidP="003E59AC">
      <w:pPr>
        <w:pStyle w:val="FootnoteText"/>
        <w:rPr>
          <w:rFonts w:ascii="Calibri" w:hAnsi="Calibri"/>
        </w:rPr>
      </w:pPr>
      <w:r w:rsidRPr="00F34148">
        <w:rPr>
          <w:rStyle w:val="FootnoteReference"/>
          <w:rFonts w:ascii="Calibri" w:hAnsi="Calibri"/>
        </w:rPr>
        <w:footnoteRef/>
      </w:r>
      <w:r w:rsidRPr="00F34148">
        <w:rPr>
          <w:rFonts w:ascii="Calibri" w:hAnsi="Calibri"/>
        </w:rPr>
        <w:t xml:space="preserve">  Heating degree hours (HDH) was defined as MAX[0, 50 – TMP], where TMP is the hourly temperature expressed in degrees Fahrenheit. Customer-specific HDH values are calculated using data from the most appropriate weather station.</w:t>
      </w:r>
    </w:p>
  </w:footnote>
  <w:footnote w:id="9">
    <w:p w:rsidR="00457DC2" w:rsidRPr="00600C1E" w:rsidRDefault="00457DC2" w:rsidP="00E308CB">
      <w:pPr>
        <w:pStyle w:val="Footnote"/>
      </w:pPr>
      <w:r w:rsidRPr="00600C1E">
        <w:rPr>
          <w:rStyle w:val="FootnoteReference"/>
          <w:szCs w:val="18"/>
        </w:rPr>
        <w:footnoteRef/>
      </w:r>
      <w:r w:rsidRPr="00600C1E">
        <w:t xml:space="preserve"> </w:t>
      </w:r>
      <w:r w:rsidRPr="009A46A1">
        <w:t xml:space="preserve">SDG&amp;E’s contract with </w:t>
      </w:r>
      <w:r>
        <w:t>Comverge, Inc.</w:t>
      </w:r>
      <w:r w:rsidRPr="009A46A1">
        <w:t xml:space="preserve"> was amended in 2007 to reflect that the agreement is thereafter recognized to be</w:t>
      </w:r>
      <w:r>
        <w:t> </w:t>
      </w:r>
      <w:r w:rsidRPr="009A46A1">
        <w:t xml:space="preserve">between a subsidiary of </w:t>
      </w:r>
      <w:r>
        <w:t>Comverge Inc.</w:t>
      </w:r>
      <w:r w:rsidRPr="009A46A1">
        <w:t>, AER</w:t>
      </w:r>
      <w:r>
        <w:t>,</w:t>
      </w:r>
      <w:r w:rsidRPr="009A46A1">
        <w:t xml:space="preserve"> and SDG&amp;E.  In </w:t>
      </w:r>
      <w:r>
        <w:t xml:space="preserve">remainder of </w:t>
      </w:r>
      <w:r w:rsidRPr="009A46A1">
        <w:t>this document, the company is referred to as</w:t>
      </w:r>
      <w:r>
        <w:t> Comverge</w:t>
      </w:r>
      <w:r w:rsidRPr="009A46A1">
        <w:t>.</w:t>
      </w:r>
    </w:p>
  </w:footnote>
  <w:footnote w:id="10">
    <w:p w:rsidR="00457DC2" w:rsidRDefault="00457DC2" w:rsidP="00C3765A">
      <w:pPr>
        <w:pStyle w:val="FootnoteText"/>
      </w:pPr>
      <w:r>
        <w:rPr>
          <w:rStyle w:val="FootnoteReference"/>
        </w:rPr>
        <w:footnoteRef/>
      </w:r>
      <w:r>
        <w:t xml:space="preserve"> The data modeled for NEM households represented the net of grid energy used minus PV generation returned to the grid. The negative load reduction in this case reflects an increase in the amount of excess PV generation returned to the grid. </w:t>
      </w:r>
    </w:p>
  </w:footnote>
  <w:footnote w:id="11">
    <w:p w:rsidR="00457DC2" w:rsidRDefault="00457DC2" w:rsidP="000D5959">
      <w:pPr>
        <w:pStyle w:val="FootnoteText"/>
      </w:pPr>
      <w:r>
        <w:rPr>
          <w:rStyle w:val="FootnoteReference"/>
        </w:rPr>
        <w:footnoteRef/>
      </w:r>
      <w:r>
        <w:t xml:space="preserve"> This peak load shift value is the amount of demand shifting that each utility expects to pay incentives for.  This means that these are expected output from the model used in the engineering feasibility study for each site.  Although we do not know with certainty what conditions the engineers performing the study used to represent peak yearly conditions, the new building simulation models were calibrated such that the 1-in-10 peak day conditions for the hottest month in each LCA represented the maximum cooling load conditions.  Because the models creating the conversion factors used the weather from the hottest 1-in-10 peak day to set the maximum cooling load, and consequently the maximum peak load shift, the hottest 1-in-10 peak weather day can also be used as a proxy for weather conditions under which the incentive would be calculated. See Appendix A for additional discussion.</w:t>
      </w:r>
    </w:p>
  </w:footnote>
  <w:footnote w:id="12">
    <w:p w:rsidR="00457DC2" w:rsidRPr="00272C9F" w:rsidRDefault="00457DC2" w:rsidP="00883E99">
      <w:pPr>
        <w:pStyle w:val="Footnote"/>
        <w:rPr>
          <w:sz w:val="17"/>
          <w:szCs w:val="17"/>
        </w:rPr>
      </w:pPr>
      <w:r w:rsidRPr="00272C9F">
        <w:rPr>
          <w:rStyle w:val="FootnoteReference"/>
          <w:sz w:val="17"/>
          <w:szCs w:val="17"/>
        </w:rPr>
        <w:footnoteRef/>
      </w:r>
      <w:r w:rsidRPr="00272C9F">
        <w:rPr>
          <w:sz w:val="17"/>
          <w:szCs w:val="17"/>
        </w:rPr>
        <w:t xml:space="preserve"> See Application A.10-07-009 for original proposal - http://www.sdge.com/node/476</w:t>
      </w:r>
    </w:p>
  </w:footnote>
  <w:footnote w:id="13">
    <w:p w:rsidR="00457DC2" w:rsidRPr="00272C9F" w:rsidRDefault="00457DC2" w:rsidP="00AC351F">
      <w:pPr>
        <w:pStyle w:val="FootnoteText"/>
        <w:rPr>
          <w:sz w:val="17"/>
          <w:szCs w:val="17"/>
        </w:rPr>
      </w:pPr>
      <w:r w:rsidRPr="00272C9F">
        <w:rPr>
          <w:rStyle w:val="FootnoteReference"/>
          <w:sz w:val="17"/>
          <w:szCs w:val="17"/>
        </w:rPr>
        <w:footnoteRef/>
      </w:r>
      <w:r w:rsidRPr="00272C9F">
        <w:rPr>
          <w:sz w:val="17"/>
          <w:szCs w:val="17"/>
        </w:rPr>
        <w:t xml:space="preserve"> Matching was performed separately for TOU and TOU-CPP customers</w:t>
      </w:r>
      <w:r>
        <w:rPr>
          <w:sz w:val="17"/>
          <w:szCs w:val="17"/>
        </w:rPr>
        <w:t xml:space="preserve">. </w:t>
      </w:r>
    </w:p>
  </w:footnote>
  <w:footnote w:id="14">
    <w:p w:rsidR="00457DC2" w:rsidRPr="00272C9F" w:rsidRDefault="00457DC2" w:rsidP="00AC351F">
      <w:pPr>
        <w:pStyle w:val="FootnoteText"/>
        <w:rPr>
          <w:sz w:val="17"/>
          <w:szCs w:val="17"/>
        </w:rPr>
      </w:pPr>
      <w:r w:rsidRPr="00272C9F">
        <w:rPr>
          <w:rStyle w:val="FootnoteReference"/>
          <w:sz w:val="17"/>
          <w:szCs w:val="17"/>
        </w:rPr>
        <w:footnoteRef/>
      </w:r>
      <w:r w:rsidRPr="00272C9F">
        <w:rPr>
          <w:sz w:val="17"/>
          <w:szCs w:val="17"/>
        </w:rPr>
        <w:t xml:space="preserve"> In Equation 6, </w:t>
      </w:r>
      <w:r w:rsidRPr="00272C9F">
        <w:rPr>
          <w:i/>
          <w:sz w:val="17"/>
          <w:szCs w:val="17"/>
        </w:rPr>
        <w:t>avg_pm_shouldershare</w:t>
      </w:r>
      <w:r w:rsidRPr="00272C9F">
        <w:rPr>
          <w:sz w:val="17"/>
          <w:szCs w:val="17"/>
        </w:rPr>
        <w:t xml:space="preserve"> is the average share of daily electricity consumed during the afternoon shoulder period.</w:t>
      </w:r>
    </w:p>
  </w:footnote>
  <w:footnote w:id="15">
    <w:p w:rsidR="00457DC2" w:rsidRPr="00272C9F" w:rsidRDefault="00457DC2" w:rsidP="00AC351F">
      <w:pPr>
        <w:pStyle w:val="FootnoteText"/>
        <w:rPr>
          <w:sz w:val="17"/>
          <w:szCs w:val="17"/>
        </w:rPr>
      </w:pPr>
      <w:r w:rsidRPr="00272C9F">
        <w:rPr>
          <w:rStyle w:val="FootnoteReference"/>
          <w:sz w:val="17"/>
          <w:szCs w:val="17"/>
        </w:rPr>
        <w:footnoteRef/>
      </w:r>
      <w:r w:rsidRPr="00272C9F">
        <w:rPr>
          <w:sz w:val="17"/>
          <w:szCs w:val="17"/>
        </w:rPr>
        <w:t xml:space="preserve"> In some cases (such as Information) the best performing model is quite clear</w:t>
      </w:r>
      <w:r>
        <w:rPr>
          <w:sz w:val="17"/>
          <w:szCs w:val="17"/>
        </w:rPr>
        <w:t xml:space="preserve">. </w:t>
      </w:r>
      <w:r w:rsidRPr="00272C9F">
        <w:rPr>
          <w:sz w:val="17"/>
          <w:szCs w:val="17"/>
        </w:rPr>
        <w:t>In situations where there is more ambiguity, we chose the model with the lowest APE</w:t>
      </w:r>
      <w:r>
        <w:rPr>
          <w:sz w:val="17"/>
          <w:szCs w:val="17"/>
        </w:rPr>
        <w:t xml:space="preserve">. </w:t>
      </w:r>
      <w:r w:rsidRPr="00272C9F">
        <w:rPr>
          <w:sz w:val="17"/>
          <w:szCs w:val="17"/>
        </w:rPr>
        <w:t>Sensitivity analysis of the final results was performed using different models and showed that the matching model used did not lead to any meaningful changes to the results.</w:t>
      </w:r>
    </w:p>
  </w:footnote>
  <w:footnote w:id="16">
    <w:p w:rsidR="00457DC2" w:rsidRDefault="00457DC2" w:rsidP="00FB5AEC">
      <w:pPr>
        <w:pStyle w:val="FootnoteText"/>
      </w:pPr>
      <w:r>
        <w:rPr>
          <w:rStyle w:val="FootnoteReference"/>
        </w:rPr>
        <w:footnoteRef/>
      </w:r>
      <w:r>
        <w:t xml:space="preserve"> </w:t>
      </w:r>
      <w:r w:rsidRPr="00272C9F">
        <w:t>Though negative impacts seem counterintuitive at first sight, load increases in response to the TOU rate may be a rational response since all</w:t>
      </w:r>
      <w:r>
        <w:t> </w:t>
      </w:r>
      <w:r w:rsidRPr="00272C9F">
        <w:t>customers were structural winners</w:t>
      </w:r>
      <w:r>
        <w:t xml:space="preserve">. </w:t>
      </w:r>
      <w:r w:rsidRPr="00272C9F">
        <w:t>For these customers, the switch to the TOU rate represented a reduction in their average price of electricity based on their historical consumption</w:t>
      </w:r>
      <w:r>
        <w:t> </w:t>
      </w:r>
      <w:r w:rsidRPr="00272C9F">
        <w:t>pattern.</w:t>
      </w:r>
    </w:p>
  </w:footnote>
  <w:footnote w:id="17">
    <w:p w:rsidR="00457DC2" w:rsidRPr="00272C9F" w:rsidRDefault="00457DC2" w:rsidP="00FB5AEC">
      <w:pPr>
        <w:pStyle w:val="FootnoteText"/>
        <w:rPr>
          <w:sz w:val="17"/>
          <w:szCs w:val="17"/>
        </w:rPr>
      </w:pPr>
      <w:r w:rsidRPr="00272C9F">
        <w:rPr>
          <w:rStyle w:val="FootnoteReference"/>
          <w:sz w:val="17"/>
          <w:szCs w:val="17"/>
        </w:rPr>
        <w:footnoteRef/>
      </w:r>
      <w:r w:rsidRPr="00272C9F">
        <w:rPr>
          <w:sz w:val="17"/>
          <w:szCs w:val="17"/>
        </w:rPr>
        <w:t xml:space="preserve"> Mean17 is the average temperature from midnight to 5 PM</w:t>
      </w:r>
      <w:r>
        <w:rPr>
          <w:sz w:val="17"/>
          <w:szCs w:val="17"/>
        </w:rPr>
        <w:t xml:space="preserve">. </w:t>
      </w:r>
    </w:p>
  </w:footnote>
  <w:footnote w:id="18">
    <w:p w:rsidR="00457DC2" w:rsidRPr="00272C9F" w:rsidRDefault="00457DC2" w:rsidP="00DE4A06">
      <w:pPr>
        <w:pStyle w:val="FootnoteText"/>
        <w:rPr>
          <w:sz w:val="17"/>
          <w:szCs w:val="17"/>
        </w:rPr>
      </w:pPr>
      <w:r w:rsidRPr="00272C9F">
        <w:rPr>
          <w:rStyle w:val="FootnoteReference"/>
          <w:sz w:val="17"/>
          <w:szCs w:val="17"/>
        </w:rPr>
        <w:footnoteRef/>
      </w:r>
      <w:r w:rsidRPr="00272C9F">
        <w:rPr>
          <w:sz w:val="17"/>
          <w:szCs w:val="17"/>
        </w:rPr>
        <w:t xml:space="preserve"> See CPUC Rulemaking (R.) 07-01-041 Decision (D.) 08-04-050, “Adopting Protocols for Estimating Demand Response Load Impacts” and Attachment A, “Protocols.”</w:t>
      </w:r>
    </w:p>
  </w:footnote>
  <w:footnote w:id="19">
    <w:p w:rsidR="00457DC2" w:rsidRDefault="00457DC2" w:rsidP="007A210C">
      <w:pPr>
        <w:pStyle w:val="FootnoteText"/>
      </w:pPr>
      <w:r>
        <w:rPr>
          <w:rStyle w:val="FootnoteReference"/>
        </w:rPr>
        <w:footnoteRef/>
      </w:r>
      <w:r>
        <w:t xml:space="preserve"> </w:t>
      </w:r>
      <w:r w:rsidRPr="00F42460">
        <w:t>See CPUC Rulemaking (R.) 07-01-041 Decision (D.) 08-04-050, “Adopting Protocols for Estimating Demand Response Load Impacts” and Attachment A, “Protocols.”</w:t>
      </w:r>
    </w:p>
  </w:footnote>
  <w:footnote w:id="20">
    <w:p w:rsidR="00457DC2" w:rsidRDefault="00457DC2" w:rsidP="007A210C">
      <w:pPr>
        <w:pStyle w:val="FootnoteText"/>
      </w:pPr>
      <w:r>
        <w:rPr>
          <w:rStyle w:val="FootnoteReference"/>
        </w:rPr>
        <w:footnoteRef/>
      </w:r>
      <w:r>
        <w:t xml:space="preserve"> See </w:t>
      </w:r>
      <w:r w:rsidRPr="00633D7C">
        <w:rPr>
          <w:i/>
        </w:rPr>
        <w:t>Statewide Demand Response Ex Ante Weather Conditions</w:t>
      </w:r>
      <w:r>
        <w:t>. Nexant, Inc. January 30,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EA7074"/>
    <w:lvl w:ilvl="0">
      <w:start w:val="1"/>
      <w:numFmt w:val="decimal"/>
      <w:pStyle w:val="ListNumber3"/>
      <w:lvlText w:val="%1."/>
      <w:lvlJc w:val="left"/>
      <w:pPr>
        <w:tabs>
          <w:tab w:val="num" w:pos="1080"/>
        </w:tabs>
        <w:ind w:left="1080" w:hanging="360"/>
      </w:pPr>
      <w:rPr>
        <w:rFonts w:cs="Times New Roman"/>
      </w:rPr>
    </w:lvl>
  </w:abstractNum>
  <w:abstractNum w:abstractNumId="1">
    <w:nsid w:val="021C1335"/>
    <w:multiLevelType w:val="multilevel"/>
    <w:tmpl w:val="5FB06294"/>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4154202"/>
    <w:multiLevelType w:val="hybridMultilevel"/>
    <w:tmpl w:val="085E4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F5674"/>
    <w:multiLevelType w:val="hybridMultilevel"/>
    <w:tmpl w:val="652A9A1E"/>
    <w:lvl w:ilvl="0" w:tplc="F5241B0E">
      <w:start w:val="6"/>
      <w:numFmt w:val="decimal"/>
      <w:pStyle w:val="NumbersLa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B549B"/>
    <w:multiLevelType w:val="multilevel"/>
    <w:tmpl w:val="029A357E"/>
    <w:lvl w:ilvl="0">
      <w:start w:val="1"/>
      <w:numFmt w:val="decimal"/>
      <w:pStyle w:val="Bullet"/>
      <w:lvlText w:val="%1."/>
      <w:lvlJc w:val="left"/>
      <w:pPr>
        <w:tabs>
          <w:tab w:val="num" w:pos="0"/>
        </w:tabs>
      </w:pPr>
      <w:rPr>
        <w:rFonts w:cs="Times New Roman" w:hint="default"/>
      </w:rPr>
    </w:lvl>
    <w:lvl w:ilvl="1">
      <w:start w:val="4"/>
      <w:numFmt w:val="decimal"/>
      <w:lvlText w:val="%1.%2"/>
      <w:lvlJc w:val="left"/>
      <w:pPr>
        <w:tabs>
          <w:tab w:val="num" w:pos="-360"/>
        </w:tabs>
        <w:ind w:left="-360" w:hanging="7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720"/>
        </w:tabs>
        <w:ind w:left="72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800"/>
        </w:tabs>
        <w:ind w:left="180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880"/>
        </w:tabs>
        <w:ind w:left="288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096A593E"/>
    <w:multiLevelType w:val="hybridMultilevel"/>
    <w:tmpl w:val="BF0CB3C6"/>
    <w:lvl w:ilvl="0" w:tplc="4A6091AE">
      <w:start w:val="1"/>
      <w:numFmt w:val="bullet"/>
      <w:pStyle w:val="Bullets"/>
      <w:lvlText w:val=""/>
      <w:lvlJc w:val="left"/>
      <w:pPr>
        <w:tabs>
          <w:tab w:val="num" w:pos="720"/>
        </w:tabs>
        <w:ind w:left="720" w:hanging="360"/>
      </w:pPr>
      <w:rPr>
        <w:rFonts w:ascii="Wingdings" w:hAnsi="Wingdings" w:hint="default"/>
        <w:color w:val="433B67"/>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7561E2"/>
    <w:multiLevelType w:val="hybridMultilevel"/>
    <w:tmpl w:val="6F6C1304"/>
    <w:lvl w:ilvl="0" w:tplc="FB1E35EA">
      <w:start w:val="1"/>
      <w:numFmt w:val="decimal"/>
      <w:pStyle w:val="Numbers"/>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934BEB"/>
    <w:multiLevelType w:val="hybridMultilevel"/>
    <w:tmpl w:val="5B124B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3013CAD"/>
    <w:multiLevelType w:val="multilevel"/>
    <w:tmpl w:val="0AB2B7C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89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9">
    <w:nsid w:val="13DE5B7B"/>
    <w:multiLevelType w:val="hybridMultilevel"/>
    <w:tmpl w:val="847AE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D5E5C"/>
    <w:multiLevelType w:val="hybridMultilevel"/>
    <w:tmpl w:val="98321C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CB7304"/>
    <w:multiLevelType w:val="hybridMultilevel"/>
    <w:tmpl w:val="BD9CA112"/>
    <w:lvl w:ilvl="0" w:tplc="8FB20A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523B1"/>
    <w:multiLevelType w:val="hybridMultilevel"/>
    <w:tmpl w:val="3BAC8910"/>
    <w:lvl w:ilvl="0" w:tplc="77800714">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0E263D"/>
    <w:multiLevelType w:val="multilevel"/>
    <w:tmpl w:val="803C23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EEE269A"/>
    <w:multiLevelType w:val="hybridMultilevel"/>
    <w:tmpl w:val="29F06894"/>
    <w:lvl w:ilvl="0" w:tplc="9EAC9F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76288"/>
    <w:multiLevelType w:val="hybridMultilevel"/>
    <w:tmpl w:val="942E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17E3F"/>
    <w:multiLevelType w:val="hybridMultilevel"/>
    <w:tmpl w:val="046A8F5E"/>
    <w:lvl w:ilvl="0" w:tplc="52329E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540FF"/>
    <w:multiLevelType w:val="hybridMultilevel"/>
    <w:tmpl w:val="63BED94E"/>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F43AD0"/>
    <w:multiLevelType w:val="hybridMultilevel"/>
    <w:tmpl w:val="7C30D9E2"/>
    <w:lvl w:ilvl="0" w:tplc="E770693E">
      <w:start w:val="1"/>
      <w:numFmt w:val="decimal"/>
      <w:lvlText w:val="(%1)"/>
      <w:lvlJc w:val="left"/>
      <w:pPr>
        <w:ind w:left="720" w:hanging="360"/>
      </w:pPr>
      <w:rPr>
        <w:rFonts w:cs="Times New Roman" w:hint="default"/>
      </w:rPr>
    </w:lvl>
    <w:lvl w:ilvl="1" w:tplc="EA5EC572" w:tentative="1">
      <w:start w:val="1"/>
      <w:numFmt w:val="lowerLetter"/>
      <w:lvlText w:val="%2."/>
      <w:lvlJc w:val="left"/>
      <w:pPr>
        <w:ind w:left="1440" w:hanging="360"/>
      </w:pPr>
      <w:rPr>
        <w:rFonts w:cs="Times New Roman"/>
      </w:rPr>
    </w:lvl>
    <w:lvl w:ilvl="2" w:tplc="47D06B1E" w:tentative="1">
      <w:start w:val="1"/>
      <w:numFmt w:val="lowerRoman"/>
      <w:lvlText w:val="%3."/>
      <w:lvlJc w:val="right"/>
      <w:pPr>
        <w:ind w:left="2160" w:hanging="180"/>
      </w:pPr>
      <w:rPr>
        <w:rFonts w:cs="Times New Roman"/>
      </w:rPr>
    </w:lvl>
    <w:lvl w:ilvl="3" w:tplc="FE7EBCAA" w:tentative="1">
      <w:start w:val="1"/>
      <w:numFmt w:val="decimal"/>
      <w:lvlText w:val="%4."/>
      <w:lvlJc w:val="left"/>
      <w:pPr>
        <w:ind w:left="2880" w:hanging="360"/>
      </w:pPr>
      <w:rPr>
        <w:rFonts w:cs="Times New Roman"/>
      </w:rPr>
    </w:lvl>
    <w:lvl w:ilvl="4" w:tplc="5706D8B6" w:tentative="1">
      <w:start w:val="1"/>
      <w:numFmt w:val="lowerLetter"/>
      <w:lvlText w:val="%5."/>
      <w:lvlJc w:val="left"/>
      <w:pPr>
        <w:ind w:left="3600" w:hanging="360"/>
      </w:pPr>
      <w:rPr>
        <w:rFonts w:cs="Times New Roman"/>
      </w:rPr>
    </w:lvl>
    <w:lvl w:ilvl="5" w:tplc="7846AA22" w:tentative="1">
      <w:start w:val="1"/>
      <w:numFmt w:val="lowerRoman"/>
      <w:lvlText w:val="%6."/>
      <w:lvlJc w:val="right"/>
      <w:pPr>
        <w:ind w:left="4320" w:hanging="180"/>
      </w:pPr>
      <w:rPr>
        <w:rFonts w:cs="Times New Roman"/>
      </w:rPr>
    </w:lvl>
    <w:lvl w:ilvl="6" w:tplc="6F48ABA8" w:tentative="1">
      <w:start w:val="1"/>
      <w:numFmt w:val="decimal"/>
      <w:lvlText w:val="%7."/>
      <w:lvlJc w:val="left"/>
      <w:pPr>
        <w:ind w:left="5040" w:hanging="360"/>
      </w:pPr>
      <w:rPr>
        <w:rFonts w:cs="Times New Roman"/>
      </w:rPr>
    </w:lvl>
    <w:lvl w:ilvl="7" w:tplc="C4BA94AE" w:tentative="1">
      <w:start w:val="1"/>
      <w:numFmt w:val="lowerLetter"/>
      <w:lvlText w:val="%8."/>
      <w:lvlJc w:val="left"/>
      <w:pPr>
        <w:ind w:left="5760" w:hanging="360"/>
      </w:pPr>
      <w:rPr>
        <w:rFonts w:cs="Times New Roman"/>
      </w:rPr>
    </w:lvl>
    <w:lvl w:ilvl="8" w:tplc="40705FE8" w:tentative="1">
      <w:start w:val="1"/>
      <w:numFmt w:val="lowerRoman"/>
      <w:lvlText w:val="%9."/>
      <w:lvlJc w:val="right"/>
      <w:pPr>
        <w:ind w:left="6480" w:hanging="180"/>
      </w:pPr>
      <w:rPr>
        <w:rFonts w:cs="Times New Roman"/>
      </w:rPr>
    </w:lvl>
  </w:abstractNum>
  <w:abstractNum w:abstractNumId="19">
    <w:nsid w:val="4F6A6821"/>
    <w:multiLevelType w:val="hybridMultilevel"/>
    <w:tmpl w:val="1834FC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036A5"/>
    <w:multiLevelType w:val="hybridMultilevel"/>
    <w:tmpl w:val="2220A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752D11"/>
    <w:multiLevelType w:val="hybridMultilevel"/>
    <w:tmpl w:val="4954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3030CA"/>
    <w:multiLevelType w:val="hybridMultilevel"/>
    <w:tmpl w:val="04FA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497E68"/>
    <w:multiLevelType w:val="multilevel"/>
    <w:tmpl w:val="BAA2770C"/>
    <w:lvl w:ilvl="0">
      <w:start w:val="1"/>
      <w:numFmt w:val="upperLetter"/>
      <w:pStyle w:val="AppendixHeading"/>
      <w:lvlText w:val="Appendix %1."/>
      <w:lvlJc w:val="left"/>
      <w:pPr>
        <w:ind w:left="4140" w:hanging="360"/>
      </w:pPr>
      <w:rPr>
        <w:rFonts w:cs="Times New Roman"/>
        <w:b w:val="0"/>
        <w:bCs w:val="0"/>
        <w:i w:val="0"/>
        <w:iCs w:val="0"/>
        <w:caps w:val="0"/>
        <w:smallCaps w:val="0"/>
        <w:strike w:val="0"/>
        <w:dstrike w:val="0"/>
        <w:vanish w:val="0"/>
        <w:color w:val="433B67"/>
        <w:spacing w:val="0"/>
        <w:kern w:val="0"/>
        <w:position w:val="0"/>
        <w:u w:val="none"/>
        <w:vertAlign w:val="baseline"/>
      </w:rPr>
    </w:lvl>
    <w:lvl w:ilvl="1">
      <w:start w:val="1"/>
      <w:numFmt w:val="decimal"/>
      <w:pStyle w:val="AppendixHeading2"/>
      <w:lvlText w:val="%1.%2."/>
      <w:lvlJc w:val="left"/>
      <w:pPr>
        <w:ind w:left="-3438" w:hanging="432"/>
      </w:pPr>
      <w:rPr>
        <w:rFonts w:ascii="Arial" w:hAnsi="Arial" w:cs="Arial" w:hint="default"/>
        <w:b/>
        <w:bCs w:val="0"/>
        <w:i w:val="0"/>
        <w:iCs w:val="0"/>
        <w:caps w:val="0"/>
        <w:smallCaps w:val="0"/>
        <w:strike w:val="0"/>
        <w:dstrike w:val="0"/>
        <w:snapToGrid w:val="0"/>
        <w:vanish w:val="0"/>
        <w:color w:val="5F497A"/>
        <w:spacing w:val="0"/>
        <w:w w:val="0"/>
        <w:kern w:val="0"/>
        <w:position w:val="0"/>
        <w:sz w:val="2"/>
        <w:szCs w:val="24"/>
        <w:u w:val="none"/>
        <w:vertAlign w:val="baseline"/>
      </w:rPr>
    </w:lvl>
    <w:lvl w:ilvl="2">
      <w:start w:val="1"/>
      <w:numFmt w:val="decimal"/>
      <w:pStyle w:val="AppendixHeading"/>
      <w:lvlText w:val="%1.%2.%3."/>
      <w:lvlJc w:val="left"/>
      <w:pPr>
        <w:ind w:left="-2826" w:hanging="504"/>
      </w:pPr>
      <w:rPr>
        <w:rFonts w:ascii="Arial" w:hAnsi="Arial" w:cs="Arial" w:hint="default"/>
        <w:b/>
        <w:bCs w:val="0"/>
        <w:i w:val="0"/>
        <w:iCs w:val="0"/>
        <w:caps w:val="0"/>
        <w:smallCaps w:val="0"/>
        <w:strike w:val="0"/>
        <w:dstrike w:val="0"/>
        <w:snapToGrid w:val="0"/>
        <w:vanish w:val="0"/>
        <w:color w:val="5F497A"/>
        <w:spacing w:val="0"/>
        <w:w w:val="0"/>
        <w:kern w:val="0"/>
        <w:position w:val="0"/>
        <w:sz w:val="2"/>
        <w:szCs w:val="24"/>
        <w:u w:val="none"/>
        <w:vertAlign w:val="baseline"/>
      </w:rPr>
    </w:lvl>
    <w:lvl w:ilvl="3">
      <w:start w:val="1"/>
      <w:numFmt w:val="decimal"/>
      <w:lvlText w:val="%1.%2.%3.%4."/>
      <w:lvlJc w:val="left"/>
      <w:pPr>
        <w:ind w:left="-2592" w:hanging="648"/>
      </w:pPr>
      <w:rPr>
        <w:rFonts w:cs="Times New Roman" w:hint="default"/>
      </w:rPr>
    </w:lvl>
    <w:lvl w:ilvl="4">
      <w:start w:val="1"/>
      <w:numFmt w:val="decimal"/>
      <w:lvlText w:val="%1.%2.%3.%4.%5."/>
      <w:lvlJc w:val="left"/>
      <w:pPr>
        <w:ind w:left="-2088" w:hanging="792"/>
      </w:pPr>
      <w:rPr>
        <w:rFonts w:cs="Times New Roman" w:hint="default"/>
      </w:rPr>
    </w:lvl>
    <w:lvl w:ilvl="5">
      <w:start w:val="1"/>
      <w:numFmt w:val="decimal"/>
      <w:lvlText w:val="%1.%2.%3.%4.%5.%6."/>
      <w:lvlJc w:val="left"/>
      <w:pPr>
        <w:ind w:left="-1584" w:hanging="936"/>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576" w:hanging="1224"/>
      </w:pPr>
      <w:rPr>
        <w:rFonts w:cs="Times New Roman" w:hint="default"/>
      </w:rPr>
    </w:lvl>
    <w:lvl w:ilvl="8">
      <w:start w:val="1"/>
      <w:numFmt w:val="decimal"/>
      <w:lvlText w:val="%1.%2.%3.%4.%5.%6.%7.%8.%9."/>
      <w:lvlJc w:val="left"/>
      <w:pPr>
        <w:ind w:hanging="1440"/>
      </w:pPr>
      <w:rPr>
        <w:rFonts w:cs="Times New Roman" w:hint="default"/>
      </w:rPr>
    </w:lvl>
  </w:abstractNum>
  <w:abstractNum w:abstractNumId="24">
    <w:nsid w:val="66104DF7"/>
    <w:multiLevelType w:val="hybridMultilevel"/>
    <w:tmpl w:val="6DAA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54E66"/>
    <w:multiLevelType w:val="hybridMultilevel"/>
    <w:tmpl w:val="1B98E460"/>
    <w:lvl w:ilvl="0" w:tplc="5C7461EC">
      <w:start w:val="1"/>
      <w:numFmt w:val="bullet"/>
      <w:pStyle w:val="BulletedList"/>
      <w:lvlText w:val=""/>
      <w:lvlJc w:val="left"/>
      <w:pPr>
        <w:tabs>
          <w:tab w:val="num" w:pos="360"/>
        </w:tabs>
        <w:ind w:left="360" w:hanging="360"/>
      </w:pPr>
      <w:rPr>
        <w:rFonts w:ascii="Symbol" w:hAnsi="Symbol" w:hint="default"/>
        <w:sz w:val="20"/>
        <w:szCs w:val="18"/>
      </w:rPr>
    </w:lvl>
    <w:lvl w:ilvl="1" w:tplc="1850FC0A">
      <w:start w:val="1"/>
      <w:numFmt w:val="decimal"/>
      <w:lvlText w:val="%2."/>
      <w:lvlJc w:val="left"/>
      <w:pPr>
        <w:tabs>
          <w:tab w:val="num" w:pos="1080"/>
        </w:tabs>
        <w:ind w:left="1080" w:hanging="360"/>
      </w:pPr>
      <w:rPr>
        <w:rFonts w:ascii="Verdana" w:hAnsi="Verdana" w:hint="default"/>
        <w:sz w:val="16"/>
        <w:szCs w:val="16"/>
      </w:rPr>
    </w:lvl>
    <w:lvl w:ilvl="2" w:tplc="CFCEC5E6">
      <w:start w:val="1"/>
      <w:numFmt w:val="bullet"/>
      <w:lvlText w:val=""/>
      <w:lvlJc w:val="left"/>
      <w:pPr>
        <w:tabs>
          <w:tab w:val="num" w:pos="1800"/>
        </w:tabs>
        <w:ind w:left="1800" w:hanging="360"/>
      </w:pPr>
      <w:rPr>
        <w:rFonts w:ascii="Wingdings" w:hAnsi="Wingdings" w:hint="default"/>
      </w:rPr>
    </w:lvl>
    <w:lvl w:ilvl="3" w:tplc="8F9235E0" w:tentative="1">
      <w:start w:val="1"/>
      <w:numFmt w:val="bullet"/>
      <w:lvlText w:val=""/>
      <w:lvlJc w:val="left"/>
      <w:pPr>
        <w:tabs>
          <w:tab w:val="num" w:pos="2520"/>
        </w:tabs>
        <w:ind w:left="2520" w:hanging="360"/>
      </w:pPr>
      <w:rPr>
        <w:rFonts w:ascii="Symbol" w:hAnsi="Symbol" w:hint="default"/>
      </w:rPr>
    </w:lvl>
    <w:lvl w:ilvl="4" w:tplc="5E6E3C5E" w:tentative="1">
      <w:start w:val="1"/>
      <w:numFmt w:val="bullet"/>
      <w:lvlText w:val="o"/>
      <w:lvlJc w:val="left"/>
      <w:pPr>
        <w:tabs>
          <w:tab w:val="num" w:pos="3240"/>
        </w:tabs>
        <w:ind w:left="3240" w:hanging="360"/>
      </w:pPr>
      <w:rPr>
        <w:rFonts w:ascii="Courier New" w:hAnsi="Courier New" w:cs="Courier New" w:hint="default"/>
      </w:rPr>
    </w:lvl>
    <w:lvl w:ilvl="5" w:tplc="31A4BC18" w:tentative="1">
      <w:start w:val="1"/>
      <w:numFmt w:val="bullet"/>
      <w:lvlText w:val=""/>
      <w:lvlJc w:val="left"/>
      <w:pPr>
        <w:tabs>
          <w:tab w:val="num" w:pos="3960"/>
        </w:tabs>
        <w:ind w:left="3960" w:hanging="360"/>
      </w:pPr>
      <w:rPr>
        <w:rFonts w:ascii="Wingdings" w:hAnsi="Wingdings" w:hint="default"/>
      </w:rPr>
    </w:lvl>
    <w:lvl w:ilvl="6" w:tplc="87180A94" w:tentative="1">
      <w:start w:val="1"/>
      <w:numFmt w:val="bullet"/>
      <w:lvlText w:val=""/>
      <w:lvlJc w:val="left"/>
      <w:pPr>
        <w:tabs>
          <w:tab w:val="num" w:pos="4680"/>
        </w:tabs>
        <w:ind w:left="4680" w:hanging="360"/>
      </w:pPr>
      <w:rPr>
        <w:rFonts w:ascii="Symbol" w:hAnsi="Symbol" w:hint="default"/>
      </w:rPr>
    </w:lvl>
    <w:lvl w:ilvl="7" w:tplc="44EA5B98" w:tentative="1">
      <w:start w:val="1"/>
      <w:numFmt w:val="bullet"/>
      <w:lvlText w:val="o"/>
      <w:lvlJc w:val="left"/>
      <w:pPr>
        <w:tabs>
          <w:tab w:val="num" w:pos="5400"/>
        </w:tabs>
        <w:ind w:left="5400" w:hanging="360"/>
      </w:pPr>
      <w:rPr>
        <w:rFonts w:ascii="Courier New" w:hAnsi="Courier New" w:cs="Courier New" w:hint="default"/>
      </w:rPr>
    </w:lvl>
    <w:lvl w:ilvl="8" w:tplc="6EE844FE" w:tentative="1">
      <w:start w:val="1"/>
      <w:numFmt w:val="bullet"/>
      <w:lvlText w:val=""/>
      <w:lvlJc w:val="left"/>
      <w:pPr>
        <w:tabs>
          <w:tab w:val="num" w:pos="6120"/>
        </w:tabs>
        <w:ind w:left="6120" w:hanging="360"/>
      </w:pPr>
      <w:rPr>
        <w:rFonts w:ascii="Wingdings" w:hAnsi="Wingdings" w:hint="default"/>
      </w:rPr>
    </w:lvl>
  </w:abstractNum>
  <w:abstractNum w:abstractNumId="26">
    <w:nsid w:val="78355E45"/>
    <w:multiLevelType w:val="hybridMultilevel"/>
    <w:tmpl w:val="9F143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5701AD"/>
    <w:multiLevelType w:val="hybridMultilevel"/>
    <w:tmpl w:val="EBF603C0"/>
    <w:lvl w:ilvl="0" w:tplc="BEB0D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5"/>
  </w:num>
  <w:num w:numId="5">
    <w:abstractNumId w:val="23"/>
  </w:num>
  <w:num w:numId="6">
    <w:abstractNumId w:val="6"/>
    <w:lvlOverride w:ilvl="0">
      <w:startOverride w:val="1"/>
    </w:lvlOverride>
  </w:num>
  <w:num w:numId="7">
    <w:abstractNumId w:val="20"/>
  </w:num>
  <w:num w:numId="8">
    <w:abstractNumId w:val="1"/>
  </w:num>
  <w:num w:numId="9">
    <w:abstractNumId w:val="18"/>
  </w:num>
  <w:num w:numId="10">
    <w:abstractNumId w:val="25"/>
  </w:num>
  <w:num w:numId="11">
    <w:abstractNumId w:val="24"/>
  </w:num>
  <w:num w:numId="12">
    <w:abstractNumId w:val="17"/>
  </w:num>
  <w:num w:numId="13">
    <w:abstractNumId w:val="21"/>
  </w:num>
  <w:num w:numId="14">
    <w:abstractNumId w:val="10"/>
  </w:num>
  <w:num w:numId="15">
    <w:abstractNumId w:val="19"/>
  </w:num>
  <w:num w:numId="16">
    <w:abstractNumId w:val="16"/>
  </w:num>
  <w:num w:numId="17">
    <w:abstractNumId w:val="3"/>
  </w:num>
  <w:num w:numId="18">
    <w:abstractNumId w:val="27"/>
  </w:num>
  <w:num w:numId="19">
    <w:abstractNumId w:val="9"/>
  </w:num>
  <w:num w:numId="20">
    <w:abstractNumId w:val="22"/>
  </w:num>
  <w:num w:numId="21">
    <w:abstractNumId w:val="8"/>
  </w:num>
  <w:num w:numId="22">
    <w:abstractNumId w:val="2"/>
  </w:num>
  <w:num w:numId="23">
    <w:abstractNumId w:val="26"/>
  </w:num>
  <w:num w:numId="24">
    <w:abstractNumId w:val="12"/>
  </w:num>
  <w:num w:numId="25">
    <w:abstractNumId w:val="7"/>
  </w:num>
  <w:num w:numId="26">
    <w:abstractNumId w:val="14"/>
  </w:num>
  <w:num w:numId="27">
    <w:abstractNumId w:val="8"/>
  </w:num>
  <w:num w:numId="28">
    <w:abstractNumId w:val="8"/>
  </w:num>
  <w:num w:numId="29">
    <w:abstractNumId w:val="8"/>
  </w:num>
  <w:num w:numId="30">
    <w:abstractNumId w:val="8"/>
  </w:num>
  <w:num w:numId="31">
    <w:abstractNumId w:val="8"/>
  </w:num>
  <w:num w:numId="32">
    <w:abstractNumId w:val="8"/>
  </w:num>
  <w:num w:numId="33">
    <w:abstractNumId w:val="13"/>
  </w:num>
  <w:num w:numId="34">
    <w:abstractNumId w:val="11"/>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5"/>
  </w:num>
  <w:num w:numId="39">
    <w:abstractNumId w:val="8"/>
    <w:lvlOverride w:ilvl="0">
      <w:startOverride w:val="7"/>
    </w:lvlOverride>
    <w:lvlOverride w:ilvl="1">
      <w:startOverride w:val="2"/>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7"/>
    </w:lvlOverride>
    <w:lvlOverride w:ilvl="1">
      <w:startOverride w:val="7"/>
    </w:lvlOverride>
  </w:num>
  <w:num w:numId="43">
    <w:abstractNumId w:val="8"/>
    <w:lvlOverride w:ilvl="0">
      <w:startOverride w:val="7"/>
    </w:lvlOverride>
    <w:lvlOverride w:ilvl="1">
      <w:startOverride w:val="9"/>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40"/>
    <w:rsid w:val="00001F45"/>
    <w:rsid w:val="00003054"/>
    <w:rsid w:val="00003F85"/>
    <w:rsid w:val="00004F8A"/>
    <w:rsid w:val="000052A1"/>
    <w:rsid w:val="000057D5"/>
    <w:rsid w:val="0000581C"/>
    <w:rsid w:val="000068E8"/>
    <w:rsid w:val="000072DB"/>
    <w:rsid w:val="00007B3A"/>
    <w:rsid w:val="0001058E"/>
    <w:rsid w:val="00010DD2"/>
    <w:rsid w:val="00010DF5"/>
    <w:rsid w:val="000117DA"/>
    <w:rsid w:val="00011B71"/>
    <w:rsid w:val="00011E44"/>
    <w:rsid w:val="00013331"/>
    <w:rsid w:val="00014A51"/>
    <w:rsid w:val="00014C1E"/>
    <w:rsid w:val="00021137"/>
    <w:rsid w:val="00021F84"/>
    <w:rsid w:val="0002239B"/>
    <w:rsid w:val="000226C1"/>
    <w:rsid w:val="000227CA"/>
    <w:rsid w:val="0002585C"/>
    <w:rsid w:val="00025E22"/>
    <w:rsid w:val="00030613"/>
    <w:rsid w:val="00030ACA"/>
    <w:rsid w:val="00030DDE"/>
    <w:rsid w:val="000311F9"/>
    <w:rsid w:val="000327F0"/>
    <w:rsid w:val="0003743F"/>
    <w:rsid w:val="00037538"/>
    <w:rsid w:val="00037E3D"/>
    <w:rsid w:val="00040B22"/>
    <w:rsid w:val="000423B2"/>
    <w:rsid w:val="00042545"/>
    <w:rsid w:val="00044FCF"/>
    <w:rsid w:val="00045490"/>
    <w:rsid w:val="00045EFE"/>
    <w:rsid w:val="00046833"/>
    <w:rsid w:val="00046A9B"/>
    <w:rsid w:val="00047421"/>
    <w:rsid w:val="00050374"/>
    <w:rsid w:val="00050AD7"/>
    <w:rsid w:val="00052850"/>
    <w:rsid w:val="00052AF3"/>
    <w:rsid w:val="0005439D"/>
    <w:rsid w:val="000549FF"/>
    <w:rsid w:val="00056CAF"/>
    <w:rsid w:val="00056F78"/>
    <w:rsid w:val="00062A4F"/>
    <w:rsid w:val="0006386E"/>
    <w:rsid w:val="0006541F"/>
    <w:rsid w:val="00066B3F"/>
    <w:rsid w:val="00066B5C"/>
    <w:rsid w:val="00073F9F"/>
    <w:rsid w:val="00074A68"/>
    <w:rsid w:val="00075332"/>
    <w:rsid w:val="00077AF7"/>
    <w:rsid w:val="0008024C"/>
    <w:rsid w:val="00080492"/>
    <w:rsid w:val="00081093"/>
    <w:rsid w:val="00081209"/>
    <w:rsid w:val="00087CC3"/>
    <w:rsid w:val="0009032E"/>
    <w:rsid w:val="00091DAE"/>
    <w:rsid w:val="0009244E"/>
    <w:rsid w:val="00093998"/>
    <w:rsid w:val="0009401A"/>
    <w:rsid w:val="0009433B"/>
    <w:rsid w:val="00094749"/>
    <w:rsid w:val="000952BB"/>
    <w:rsid w:val="00095C9F"/>
    <w:rsid w:val="00096CB6"/>
    <w:rsid w:val="000975F6"/>
    <w:rsid w:val="000A0050"/>
    <w:rsid w:val="000A389B"/>
    <w:rsid w:val="000A48C3"/>
    <w:rsid w:val="000A4B8E"/>
    <w:rsid w:val="000A56B7"/>
    <w:rsid w:val="000A5E1A"/>
    <w:rsid w:val="000A691E"/>
    <w:rsid w:val="000A704E"/>
    <w:rsid w:val="000B07BA"/>
    <w:rsid w:val="000B07F9"/>
    <w:rsid w:val="000B0979"/>
    <w:rsid w:val="000B103A"/>
    <w:rsid w:val="000B18DE"/>
    <w:rsid w:val="000B29C5"/>
    <w:rsid w:val="000B5390"/>
    <w:rsid w:val="000B581E"/>
    <w:rsid w:val="000B62BB"/>
    <w:rsid w:val="000C1BC4"/>
    <w:rsid w:val="000C22B9"/>
    <w:rsid w:val="000C2D7D"/>
    <w:rsid w:val="000C3771"/>
    <w:rsid w:val="000C3AB7"/>
    <w:rsid w:val="000C47D5"/>
    <w:rsid w:val="000C4806"/>
    <w:rsid w:val="000C4CCC"/>
    <w:rsid w:val="000C635A"/>
    <w:rsid w:val="000C65EB"/>
    <w:rsid w:val="000C6F2C"/>
    <w:rsid w:val="000C7FF9"/>
    <w:rsid w:val="000D06CB"/>
    <w:rsid w:val="000D0B63"/>
    <w:rsid w:val="000D1320"/>
    <w:rsid w:val="000D5959"/>
    <w:rsid w:val="000D6E7A"/>
    <w:rsid w:val="000E0814"/>
    <w:rsid w:val="000E0BAB"/>
    <w:rsid w:val="000E0D3D"/>
    <w:rsid w:val="000E158A"/>
    <w:rsid w:val="000E1E12"/>
    <w:rsid w:val="000E252D"/>
    <w:rsid w:val="000E2A84"/>
    <w:rsid w:val="000E5343"/>
    <w:rsid w:val="000E55EE"/>
    <w:rsid w:val="000E5A34"/>
    <w:rsid w:val="000E5D4D"/>
    <w:rsid w:val="000E65B6"/>
    <w:rsid w:val="000E665E"/>
    <w:rsid w:val="000E6977"/>
    <w:rsid w:val="000E782B"/>
    <w:rsid w:val="000F3F3B"/>
    <w:rsid w:val="000F5055"/>
    <w:rsid w:val="000F617D"/>
    <w:rsid w:val="00100D62"/>
    <w:rsid w:val="00100EA3"/>
    <w:rsid w:val="00102293"/>
    <w:rsid w:val="0010247B"/>
    <w:rsid w:val="00102C48"/>
    <w:rsid w:val="001055CE"/>
    <w:rsid w:val="0010609A"/>
    <w:rsid w:val="00106C6D"/>
    <w:rsid w:val="00110D86"/>
    <w:rsid w:val="0011105A"/>
    <w:rsid w:val="00111B1B"/>
    <w:rsid w:val="00112848"/>
    <w:rsid w:val="0011290E"/>
    <w:rsid w:val="00112E81"/>
    <w:rsid w:val="00113908"/>
    <w:rsid w:val="00113EB9"/>
    <w:rsid w:val="001148DD"/>
    <w:rsid w:val="00114A73"/>
    <w:rsid w:val="00116253"/>
    <w:rsid w:val="001176FE"/>
    <w:rsid w:val="001212D5"/>
    <w:rsid w:val="00121B4B"/>
    <w:rsid w:val="00125691"/>
    <w:rsid w:val="00125E88"/>
    <w:rsid w:val="001265F6"/>
    <w:rsid w:val="00126A78"/>
    <w:rsid w:val="00126E1B"/>
    <w:rsid w:val="00127229"/>
    <w:rsid w:val="001278ED"/>
    <w:rsid w:val="00127DC4"/>
    <w:rsid w:val="001317E6"/>
    <w:rsid w:val="00131A7F"/>
    <w:rsid w:val="00131BF6"/>
    <w:rsid w:val="00134AB3"/>
    <w:rsid w:val="00135DB3"/>
    <w:rsid w:val="00136315"/>
    <w:rsid w:val="00136E4F"/>
    <w:rsid w:val="00140561"/>
    <w:rsid w:val="0014245D"/>
    <w:rsid w:val="00144779"/>
    <w:rsid w:val="00145797"/>
    <w:rsid w:val="00146059"/>
    <w:rsid w:val="0014703D"/>
    <w:rsid w:val="001501BC"/>
    <w:rsid w:val="00151D22"/>
    <w:rsid w:val="001527F2"/>
    <w:rsid w:val="00153733"/>
    <w:rsid w:val="001537DB"/>
    <w:rsid w:val="0015465A"/>
    <w:rsid w:val="00154E69"/>
    <w:rsid w:val="00156412"/>
    <w:rsid w:val="001565EF"/>
    <w:rsid w:val="001567FC"/>
    <w:rsid w:val="001568BF"/>
    <w:rsid w:val="001640E2"/>
    <w:rsid w:val="001658D9"/>
    <w:rsid w:val="00166BDF"/>
    <w:rsid w:val="00167192"/>
    <w:rsid w:val="00170272"/>
    <w:rsid w:val="00170514"/>
    <w:rsid w:val="00172018"/>
    <w:rsid w:val="00172394"/>
    <w:rsid w:val="0017357A"/>
    <w:rsid w:val="00174B6C"/>
    <w:rsid w:val="0017568A"/>
    <w:rsid w:val="00177969"/>
    <w:rsid w:val="00180039"/>
    <w:rsid w:val="001802FD"/>
    <w:rsid w:val="00181117"/>
    <w:rsid w:val="00183028"/>
    <w:rsid w:val="00186244"/>
    <w:rsid w:val="0018668C"/>
    <w:rsid w:val="001922FD"/>
    <w:rsid w:val="00192B68"/>
    <w:rsid w:val="00194E42"/>
    <w:rsid w:val="0019597E"/>
    <w:rsid w:val="00197889"/>
    <w:rsid w:val="00197B33"/>
    <w:rsid w:val="001A03AF"/>
    <w:rsid w:val="001A0D02"/>
    <w:rsid w:val="001A1632"/>
    <w:rsid w:val="001A3BCC"/>
    <w:rsid w:val="001A4590"/>
    <w:rsid w:val="001A55C2"/>
    <w:rsid w:val="001A67C6"/>
    <w:rsid w:val="001A7E7C"/>
    <w:rsid w:val="001B0ACB"/>
    <w:rsid w:val="001B1839"/>
    <w:rsid w:val="001B2C2D"/>
    <w:rsid w:val="001B44DF"/>
    <w:rsid w:val="001C2903"/>
    <w:rsid w:val="001C2DD6"/>
    <w:rsid w:val="001C2EB3"/>
    <w:rsid w:val="001C71A5"/>
    <w:rsid w:val="001C7314"/>
    <w:rsid w:val="001C7789"/>
    <w:rsid w:val="001D079D"/>
    <w:rsid w:val="001D1189"/>
    <w:rsid w:val="001D135E"/>
    <w:rsid w:val="001D16F7"/>
    <w:rsid w:val="001D1E6B"/>
    <w:rsid w:val="001D2ECF"/>
    <w:rsid w:val="001D398B"/>
    <w:rsid w:val="001D451F"/>
    <w:rsid w:val="001D4A69"/>
    <w:rsid w:val="001D4BDA"/>
    <w:rsid w:val="001D5412"/>
    <w:rsid w:val="001D5559"/>
    <w:rsid w:val="001D6229"/>
    <w:rsid w:val="001D6B62"/>
    <w:rsid w:val="001D6CDB"/>
    <w:rsid w:val="001D7102"/>
    <w:rsid w:val="001D7446"/>
    <w:rsid w:val="001E0AFA"/>
    <w:rsid w:val="001E1E05"/>
    <w:rsid w:val="001E3ED0"/>
    <w:rsid w:val="001E7DAA"/>
    <w:rsid w:val="001F0C37"/>
    <w:rsid w:val="001F11B0"/>
    <w:rsid w:val="001F36AD"/>
    <w:rsid w:val="001F447B"/>
    <w:rsid w:val="001F4DE1"/>
    <w:rsid w:val="001F4FB3"/>
    <w:rsid w:val="001F574D"/>
    <w:rsid w:val="001F5906"/>
    <w:rsid w:val="001F68BF"/>
    <w:rsid w:val="001F797B"/>
    <w:rsid w:val="00202D0C"/>
    <w:rsid w:val="00203199"/>
    <w:rsid w:val="0020357C"/>
    <w:rsid w:val="00203F24"/>
    <w:rsid w:val="0020481F"/>
    <w:rsid w:val="00204B0C"/>
    <w:rsid w:val="00205691"/>
    <w:rsid w:val="002061E0"/>
    <w:rsid w:val="00206DCA"/>
    <w:rsid w:val="00210EE8"/>
    <w:rsid w:val="00211D9C"/>
    <w:rsid w:val="00212601"/>
    <w:rsid w:val="00212D51"/>
    <w:rsid w:val="002153F9"/>
    <w:rsid w:val="00216385"/>
    <w:rsid w:val="00220C75"/>
    <w:rsid w:val="00221278"/>
    <w:rsid w:val="00221BE7"/>
    <w:rsid w:val="002237CA"/>
    <w:rsid w:val="00226A04"/>
    <w:rsid w:val="00227A0E"/>
    <w:rsid w:val="002306AD"/>
    <w:rsid w:val="0023090A"/>
    <w:rsid w:val="00231D6F"/>
    <w:rsid w:val="002324B7"/>
    <w:rsid w:val="00232B26"/>
    <w:rsid w:val="00232C4A"/>
    <w:rsid w:val="00233115"/>
    <w:rsid w:val="00233AF4"/>
    <w:rsid w:val="00234127"/>
    <w:rsid w:val="00235892"/>
    <w:rsid w:val="002361BC"/>
    <w:rsid w:val="002362E9"/>
    <w:rsid w:val="00240A8E"/>
    <w:rsid w:val="00240D8D"/>
    <w:rsid w:val="0024147B"/>
    <w:rsid w:val="00242F4D"/>
    <w:rsid w:val="0024318F"/>
    <w:rsid w:val="00243901"/>
    <w:rsid w:val="0024432F"/>
    <w:rsid w:val="0024517C"/>
    <w:rsid w:val="002465A0"/>
    <w:rsid w:val="00246761"/>
    <w:rsid w:val="00246C60"/>
    <w:rsid w:val="00246DB7"/>
    <w:rsid w:val="00247080"/>
    <w:rsid w:val="0024735F"/>
    <w:rsid w:val="0024778D"/>
    <w:rsid w:val="00247DE4"/>
    <w:rsid w:val="002502A4"/>
    <w:rsid w:val="00250FFB"/>
    <w:rsid w:val="002516D8"/>
    <w:rsid w:val="00251998"/>
    <w:rsid w:val="00251FFD"/>
    <w:rsid w:val="00252370"/>
    <w:rsid w:val="002534BC"/>
    <w:rsid w:val="0025699E"/>
    <w:rsid w:val="002571E4"/>
    <w:rsid w:val="0026159B"/>
    <w:rsid w:val="00262447"/>
    <w:rsid w:val="00262C6A"/>
    <w:rsid w:val="00263F19"/>
    <w:rsid w:val="0026474C"/>
    <w:rsid w:val="002659DC"/>
    <w:rsid w:val="002672C4"/>
    <w:rsid w:val="00267953"/>
    <w:rsid w:val="002707CA"/>
    <w:rsid w:val="0027135C"/>
    <w:rsid w:val="00272009"/>
    <w:rsid w:val="00272770"/>
    <w:rsid w:val="00272A69"/>
    <w:rsid w:val="00272B56"/>
    <w:rsid w:val="0027426A"/>
    <w:rsid w:val="002750D6"/>
    <w:rsid w:val="002759D2"/>
    <w:rsid w:val="00275B1E"/>
    <w:rsid w:val="00275D73"/>
    <w:rsid w:val="00276C4D"/>
    <w:rsid w:val="00276D50"/>
    <w:rsid w:val="00277992"/>
    <w:rsid w:val="00280A1D"/>
    <w:rsid w:val="002812CF"/>
    <w:rsid w:val="002815BF"/>
    <w:rsid w:val="00282E7D"/>
    <w:rsid w:val="00283005"/>
    <w:rsid w:val="0028364D"/>
    <w:rsid w:val="002854CA"/>
    <w:rsid w:val="00286A9F"/>
    <w:rsid w:val="00287C67"/>
    <w:rsid w:val="00287CF2"/>
    <w:rsid w:val="00287DB8"/>
    <w:rsid w:val="00291C7C"/>
    <w:rsid w:val="00292DCC"/>
    <w:rsid w:val="00294D41"/>
    <w:rsid w:val="00294E5C"/>
    <w:rsid w:val="002957BB"/>
    <w:rsid w:val="00295819"/>
    <w:rsid w:val="002962B3"/>
    <w:rsid w:val="00297372"/>
    <w:rsid w:val="00297E03"/>
    <w:rsid w:val="002A0033"/>
    <w:rsid w:val="002A0222"/>
    <w:rsid w:val="002A1147"/>
    <w:rsid w:val="002A5891"/>
    <w:rsid w:val="002A5CD6"/>
    <w:rsid w:val="002A616C"/>
    <w:rsid w:val="002A61D0"/>
    <w:rsid w:val="002A7927"/>
    <w:rsid w:val="002A7C33"/>
    <w:rsid w:val="002B0346"/>
    <w:rsid w:val="002B13D0"/>
    <w:rsid w:val="002B1A8D"/>
    <w:rsid w:val="002B37E3"/>
    <w:rsid w:val="002B4216"/>
    <w:rsid w:val="002B449B"/>
    <w:rsid w:val="002C0855"/>
    <w:rsid w:val="002C0D7C"/>
    <w:rsid w:val="002C17DD"/>
    <w:rsid w:val="002C252C"/>
    <w:rsid w:val="002C33B4"/>
    <w:rsid w:val="002C47DD"/>
    <w:rsid w:val="002C5429"/>
    <w:rsid w:val="002C6E18"/>
    <w:rsid w:val="002C750C"/>
    <w:rsid w:val="002C79CF"/>
    <w:rsid w:val="002C7F8A"/>
    <w:rsid w:val="002D0924"/>
    <w:rsid w:val="002D2130"/>
    <w:rsid w:val="002D256B"/>
    <w:rsid w:val="002D291F"/>
    <w:rsid w:val="002D38CC"/>
    <w:rsid w:val="002D4CE9"/>
    <w:rsid w:val="002D7F64"/>
    <w:rsid w:val="002E544A"/>
    <w:rsid w:val="002E736D"/>
    <w:rsid w:val="002F05A7"/>
    <w:rsid w:val="002F19D1"/>
    <w:rsid w:val="002F257B"/>
    <w:rsid w:val="002F2CEA"/>
    <w:rsid w:val="002F4141"/>
    <w:rsid w:val="002F4968"/>
    <w:rsid w:val="002F51DA"/>
    <w:rsid w:val="002F533A"/>
    <w:rsid w:val="002F600E"/>
    <w:rsid w:val="002F6317"/>
    <w:rsid w:val="002F7F1A"/>
    <w:rsid w:val="003009BF"/>
    <w:rsid w:val="003012B0"/>
    <w:rsid w:val="00302072"/>
    <w:rsid w:val="003045BA"/>
    <w:rsid w:val="00306400"/>
    <w:rsid w:val="00307772"/>
    <w:rsid w:val="00310DF2"/>
    <w:rsid w:val="0031611E"/>
    <w:rsid w:val="00317731"/>
    <w:rsid w:val="00321066"/>
    <w:rsid w:val="00321868"/>
    <w:rsid w:val="003218F7"/>
    <w:rsid w:val="0032216C"/>
    <w:rsid w:val="00322503"/>
    <w:rsid w:val="00324486"/>
    <w:rsid w:val="00324F87"/>
    <w:rsid w:val="0033043F"/>
    <w:rsid w:val="00331BB9"/>
    <w:rsid w:val="0033225E"/>
    <w:rsid w:val="00332ECB"/>
    <w:rsid w:val="00333059"/>
    <w:rsid w:val="00333634"/>
    <w:rsid w:val="0033429B"/>
    <w:rsid w:val="00334B92"/>
    <w:rsid w:val="00334BBD"/>
    <w:rsid w:val="00334F58"/>
    <w:rsid w:val="003369D5"/>
    <w:rsid w:val="0033788E"/>
    <w:rsid w:val="00337C0A"/>
    <w:rsid w:val="003405BC"/>
    <w:rsid w:val="003419F9"/>
    <w:rsid w:val="00344D62"/>
    <w:rsid w:val="00345EDF"/>
    <w:rsid w:val="0034621F"/>
    <w:rsid w:val="00347BF3"/>
    <w:rsid w:val="00347D34"/>
    <w:rsid w:val="003510CA"/>
    <w:rsid w:val="00352000"/>
    <w:rsid w:val="0035349A"/>
    <w:rsid w:val="0035376E"/>
    <w:rsid w:val="003538F2"/>
    <w:rsid w:val="003578E7"/>
    <w:rsid w:val="00357DEC"/>
    <w:rsid w:val="00360E0E"/>
    <w:rsid w:val="0036120E"/>
    <w:rsid w:val="00361F1C"/>
    <w:rsid w:val="003624FE"/>
    <w:rsid w:val="00362ACC"/>
    <w:rsid w:val="003646A1"/>
    <w:rsid w:val="00364E23"/>
    <w:rsid w:val="003656CE"/>
    <w:rsid w:val="00366061"/>
    <w:rsid w:val="003672DF"/>
    <w:rsid w:val="00370DF4"/>
    <w:rsid w:val="00370ECC"/>
    <w:rsid w:val="0037106F"/>
    <w:rsid w:val="003710EE"/>
    <w:rsid w:val="00371970"/>
    <w:rsid w:val="0037213E"/>
    <w:rsid w:val="00372421"/>
    <w:rsid w:val="003729C2"/>
    <w:rsid w:val="003740DC"/>
    <w:rsid w:val="003744DB"/>
    <w:rsid w:val="00374ECA"/>
    <w:rsid w:val="003752DA"/>
    <w:rsid w:val="003773E4"/>
    <w:rsid w:val="003800C8"/>
    <w:rsid w:val="00380329"/>
    <w:rsid w:val="0038124C"/>
    <w:rsid w:val="00382BDA"/>
    <w:rsid w:val="00382CA9"/>
    <w:rsid w:val="00384313"/>
    <w:rsid w:val="00386A62"/>
    <w:rsid w:val="00386AF2"/>
    <w:rsid w:val="00386F6B"/>
    <w:rsid w:val="0039074A"/>
    <w:rsid w:val="00390A95"/>
    <w:rsid w:val="00391012"/>
    <w:rsid w:val="003912F0"/>
    <w:rsid w:val="00391B66"/>
    <w:rsid w:val="00391DA0"/>
    <w:rsid w:val="00392E86"/>
    <w:rsid w:val="003960D6"/>
    <w:rsid w:val="003A2CE9"/>
    <w:rsid w:val="003A446A"/>
    <w:rsid w:val="003A5FB4"/>
    <w:rsid w:val="003A6DDE"/>
    <w:rsid w:val="003A7173"/>
    <w:rsid w:val="003B0DF6"/>
    <w:rsid w:val="003B0ED6"/>
    <w:rsid w:val="003B3391"/>
    <w:rsid w:val="003B3BCE"/>
    <w:rsid w:val="003B5EED"/>
    <w:rsid w:val="003B7886"/>
    <w:rsid w:val="003B7DDA"/>
    <w:rsid w:val="003C19CF"/>
    <w:rsid w:val="003C3DC2"/>
    <w:rsid w:val="003C44A0"/>
    <w:rsid w:val="003C4AD3"/>
    <w:rsid w:val="003C4EE9"/>
    <w:rsid w:val="003C53D3"/>
    <w:rsid w:val="003C64AF"/>
    <w:rsid w:val="003C720C"/>
    <w:rsid w:val="003C75A0"/>
    <w:rsid w:val="003D2A6B"/>
    <w:rsid w:val="003D3700"/>
    <w:rsid w:val="003D5FC0"/>
    <w:rsid w:val="003D66A3"/>
    <w:rsid w:val="003E0D58"/>
    <w:rsid w:val="003E2419"/>
    <w:rsid w:val="003E48A4"/>
    <w:rsid w:val="003E59AC"/>
    <w:rsid w:val="003E5B1A"/>
    <w:rsid w:val="003E6768"/>
    <w:rsid w:val="003E69E5"/>
    <w:rsid w:val="003E70BA"/>
    <w:rsid w:val="003F0445"/>
    <w:rsid w:val="003F10A2"/>
    <w:rsid w:val="003F1E5D"/>
    <w:rsid w:val="003F2B0B"/>
    <w:rsid w:val="003F480D"/>
    <w:rsid w:val="003F4906"/>
    <w:rsid w:val="003F693C"/>
    <w:rsid w:val="00400604"/>
    <w:rsid w:val="00401922"/>
    <w:rsid w:val="00402C69"/>
    <w:rsid w:val="00402FF6"/>
    <w:rsid w:val="00404E9E"/>
    <w:rsid w:val="00405911"/>
    <w:rsid w:val="00405FA7"/>
    <w:rsid w:val="00406298"/>
    <w:rsid w:val="004071B1"/>
    <w:rsid w:val="0041059F"/>
    <w:rsid w:val="00411AAE"/>
    <w:rsid w:val="0041301E"/>
    <w:rsid w:val="00413A01"/>
    <w:rsid w:val="00413EDB"/>
    <w:rsid w:val="00415217"/>
    <w:rsid w:val="00415319"/>
    <w:rsid w:val="00416411"/>
    <w:rsid w:val="00417890"/>
    <w:rsid w:val="00421EED"/>
    <w:rsid w:val="004222DE"/>
    <w:rsid w:val="004236C6"/>
    <w:rsid w:val="00423DF5"/>
    <w:rsid w:val="0042415C"/>
    <w:rsid w:val="00426565"/>
    <w:rsid w:val="00426AC4"/>
    <w:rsid w:val="00426F8A"/>
    <w:rsid w:val="00427C65"/>
    <w:rsid w:val="00427F96"/>
    <w:rsid w:val="0043048E"/>
    <w:rsid w:val="00430D2B"/>
    <w:rsid w:val="004321F8"/>
    <w:rsid w:val="00432296"/>
    <w:rsid w:val="00432452"/>
    <w:rsid w:val="00432C68"/>
    <w:rsid w:val="004338BA"/>
    <w:rsid w:val="00433D47"/>
    <w:rsid w:val="00433FE3"/>
    <w:rsid w:val="00435223"/>
    <w:rsid w:val="004355E2"/>
    <w:rsid w:val="0043739D"/>
    <w:rsid w:val="00437D67"/>
    <w:rsid w:val="00437EF1"/>
    <w:rsid w:val="004435B4"/>
    <w:rsid w:val="0044392B"/>
    <w:rsid w:val="004463A2"/>
    <w:rsid w:val="004473E9"/>
    <w:rsid w:val="00447636"/>
    <w:rsid w:val="00450533"/>
    <w:rsid w:val="004513C8"/>
    <w:rsid w:val="004525AD"/>
    <w:rsid w:val="00454F95"/>
    <w:rsid w:val="0045632D"/>
    <w:rsid w:val="00456723"/>
    <w:rsid w:val="00457DC2"/>
    <w:rsid w:val="00460677"/>
    <w:rsid w:val="00460B86"/>
    <w:rsid w:val="00460C2A"/>
    <w:rsid w:val="004623E8"/>
    <w:rsid w:val="00462B6D"/>
    <w:rsid w:val="00462F5C"/>
    <w:rsid w:val="00463466"/>
    <w:rsid w:val="00463C7B"/>
    <w:rsid w:val="00464BCF"/>
    <w:rsid w:val="00464D2E"/>
    <w:rsid w:val="00464FAF"/>
    <w:rsid w:val="004675F7"/>
    <w:rsid w:val="004678D1"/>
    <w:rsid w:val="00470152"/>
    <w:rsid w:val="00470869"/>
    <w:rsid w:val="00471E6B"/>
    <w:rsid w:val="004725D8"/>
    <w:rsid w:val="004726D0"/>
    <w:rsid w:val="00473009"/>
    <w:rsid w:val="00476478"/>
    <w:rsid w:val="00477378"/>
    <w:rsid w:val="00481557"/>
    <w:rsid w:val="004818A8"/>
    <w:rsid w:val="00482412"/>
    <w:rsid w:val="004829BE"/>
    <w:rsid w:val="00484BC0"/>
    <w:rsid w:val="00484C01"/>
    <w:rsid w:val="004855B6"/>
    <w:rsid w:val="00486A59"/>
    <w:rsid w:val="00487EF7"/>
    <w:rsid w:val="00490A94"/>
    <w:rsid w:val="0049104D"/>
    <w:rsid w:val="00491862"/>
    <w:rsid w:val="00491BB8"/>
    <w:rsid w:val="00493445"/>
    <w:rsid w:val="00493D41"/>
    <w:rsid w:val="00494757"/>
    <w:rsid w:val="00495709"/>
    <w:rsid w:val="00495722"/>
    <w:rsid w:val="00495E5C"/>
    <w:rsid w:val="004960CC"/>
    <w:rsid w:val="00497839"/>
    <w:rsid w:val="00497BE2"/>
    <w:rsid w:val="004A0BD3"/>
    <w:rsid w:val="004A18B0"/>
    <w:rsid w:val="004A1EA7"/>
    <w:rsid w:val="004A295E"/>
    <w:rsid w:val="004A2F32"/>
    <w:rsid w:val="004A340F"/>
    <w:rsid w:val="004A3D21"/>
    <w:rsid w:val="004A4563"/>
    <w:rsid w:val="004A495A"/>
    <w:rsid w:val="004A7358"/>
    <w:rsid w:val="004A736E"/>
    <w:rsid w:val="004B0FEA"/>
    <w:rsid w:val="004B2046"/>
    <w:rsid w:val="004B223C"/>
    <w:rsid w:val="004B289E"/>
    <w:rsid w:val="004B5063"/>
    <w:rsid w:val="004B5613"/>
    <w:rsid w:val="004B6928"/>
    <w:rsid w:val="004C0257"/>
    <w:rsid w:val="004C11F1"/>
    <w:rsid w:val="004C2D71"/>
    <w:rsid w:val="004C348B"/>
    <w:rsid w:val="004C3F63"/>
    <w:rsid w:val="004C5F61"/>
    <w:rsid w:val="004D14CD"/>
    <w:rsid w:val="004D1D82"/>
    <w:rsid w:val="004D2C2D"/>
    <w:rsid w:val="004D3CD0"/>
    <w:rsid w:val="004D3EE1"/>
    <w:rsid w:val="004D6D5D"/>
    <w:rsid w:val="004D7048"/>
    <w:rsid w:val="004E1650"/>
    <w:rsid w:val="004E1C19"/>
    <w:rsid w:val="004E1CB6"/>
    <w:rsid w:val="004E3B4F"/>
    <w:rsid w:val="004E6AC1"/>
    <w:rsid w:val="004E709F"/>
    <w:rsid w:val="004F0F37"/>
    <w:rsid w:val="004F1D68"/>
    <w:rsid w:val="004F37B9"/>
    <w:rsid w:val="004F583F"/>
    <w:rsid w:val="004F6B6C"/>
    <w:rsid w:val="004F763E"/>
    <w:rsid w:val="0050034B"/>
    <w:rsid w:val="00500983"/>
    <w:rsid w:val="00500D2B"/>
    <w:rsid w:val="00502850"/>
    <w:rsid w:val="00503036"/>
    <w:rsid w:val="005030F3"/>
    <w:rsid w:val="00503CE7"/>
    <w:rsid w:val="0050696C"/>
    <w:rsid w:val="005078DB"/>
    <w:rsid w:val="00510136"/>
    <w:rsid w:val="00510157"/>
    <w:rsid w:val="00511320"/>
    <w:rsid w:val="005116DE"/>
    <w:rsid w:val="005127D6"/>
    <w:rsid w:val="0051329A"/>
    <w:rsid w:val="00515129"/>
    <w:rsid w:val="0051673D"/>
    <w:rsid w:val="00520546"/>
    <w:rsid w:val="0052138A"/>
    <w:rsid w:val="00522475"/>
    <w:rsid w:val="00522F21"/>
    <w:rsid w:val="00523E40"/>
    <w:rsid w:val="00527F2F"/>
    <w:rsid w:val="00530736"/>
    <w:rsid w:val="00530D0B"/>
    <w:rsid w:val="00530E12"/>
    <w:rsid w:val="005368CB"/>
    <w:rsid w:val="00541169"/>
    <w:rsid w:val="005418E4"/>
    <w:rsid w:val="005422C0"/>
    <w:rsid w:val="00542375"/>
    <w:rsid w:val="005441BC"/>
    <w:rsid w:val="00545A92"/>
    <w:rsid w:val="005469D3"/>
    <w:rsid w:val="00547998"/>
    <w:rsid w:val="005506E3"/>
    <w:rsid w:val="005506FF"/>
    <w:rsid w:val="00551353"/>
    <w:rsid w:val="00552CB3"/>
    <w:rsid w:val="00554DF6"/>
    <w:rsid w:val="005567FF"/>
    <w:rsid w:val="0055775B"/>
    <w:rsid w:val="00560F58"/>
    <w:rsid w:val="00561477"/>
    <w:rsid w:val="00561D0C"/>
    <w:rsid w:val="005621AA"/>
    <w:rsid w:val="0056265E"/>
    <w:rsid w:val="00562F9E"/>
    <w:rsid w:val="005668E1"/>
    <w:rsid w:val="005676BF"/>
    <w:rsid w:val="00567D39"/>
    <w:rsid w:val="00570536"/>
    <w:rsid w:val="00570A84"/>
    <w:rsid w:val="00570D03"/>
    <w:rsid w:val="00571D25"/>
    <w:rsid w:val="00572130"/>
    <w:rsid w:val="00572742"/>
    <w:rsid w:val="00573A4D"/>
    <w:rsid w:val="0057418A"/>
    <w:rsid w:val="00575003"/>
    <w:rsid w:val="005750EB"/>
    <w:rsid w:val="00575992"/>
    <w:rsid w:val="0057681B"/>
    <w:rsid w:val="00577FF4"/>
    <w:rsid w:val="00580728"/>
    <w:rsid w:val="0058231D"/>
    <w:rsid w:val="00583BCA"/>
    <w:rsid w:val="005850EC"/>
    <w:rsid w:val="00585387"/>
    <w:rsid w:val="005854B2"/>
    <w:rsid w:val="00586770"/>
    <w:rsid w:val="005871D0"/>
    <w:rsid w:val="00591E48"/>
    <w:rsid w:val="00592B88"/>
    <w:rsid w:val="00593D61"/>
    <w:rsid w:val="0059445C"/>
    <w:rsid w:val="00595EE7"/>
    <w:rsid w:val="005965CC"/>
    <w:rsid w:val="005A05AF"/>
    <w:rsid w:val="005A0FE9"/>
    <w:rsid w:val="005A17AA"/>
    <w:rsid w:val="005A2715"/>
    <w:rsid w:val="005A2873"/>
    <w:rsid w:val="005A2F8E"/>
    <w:rsid w:val="005A37AE"/>
    <w:rsid w:val="005A445B"/>
    <w:rsid w:val="005A49F3"/>
    <w:rsid w:val="005B31B2"/>
    <w:rsid w:val="005B5BD3"/>
    <w:rsid w:val="005B6F94"/>
    <w:rsid w:val="005B6FD9"/>
    <w:rsid w:val="005C03DB"/>
    <w:rsid w:val="005C04BF"/>
    <w:rsid w:val="005C2418"/>
    <w:rsid w:val="005C31B1"/>
    <w:rsid w:val="005C35EB"/>
    <w:rsid w:val="005C4C8C"/>
    <w:rsid w:val="005C50B8"/>
    <w:rsid w:val="005C630C"/>
    <w:rsid w:val="005C6E78"/>
    <w:rsid w:val="005D030B"/>
    <w:rsid w:val="005D0535"/>
    <w:rsid w:val="005D0DB0"/>
    <w:rsid w:val="005D0FBB"/>
    <w:rsid w:val="005D1166"/>
    <w:rsid w:val="005D1DC0"/>
    <w:rsid w:val="005D1EE9"/>
    <w:rsid w:val="005D209A"/>
    <w:rsid w:val="005D319B"/>
    <w:rsid w:val="005D38FA"/>
    <w:rsid w:val="005D3A2F"/>
    <w:rsid w:val="005D5D91"/>
    <w:rsid w:val="005D7374"/>
    <w:rsid w:val="005D7D2C"/>
    <w:rsid w:val="005E230D"/>
    <w:rsid w:val="005E320C"/>
    <w:rsid w:val="005E3B6F"/>
    <w:rsid w:val="005E4FBE"/>
    <w:rsid w:val="005E5B7D"/>
    <w:rsid w:val="005E5CBF"/>
    <w:rsid w:val="005E74DA"/>
    <w:rsid w:val="005E7CE7"/>
    <w:rsid w:val="005F4580"/>
    <w:rsid w:val="005F5720"/>
    <w:rsid w:val="005F6A21"/>
    <w:rsid w:val="005F7370"/>
    <w:rsid w:val="005F7427"/>
    <w:rsid w:val="005F7A8D"/>
    <w:rsid w:val="00600AC4"/>
    <w:rsid w:val="00601307"/>
    <w:rsid w:val="00601C8D"/>
    <w:rsid w:val="00601D0D"/>
    <w:rsid w:val="00602AFE"/>
    <w:rsid w:val="00602D90"/>
    <w:rsid w:val="00603093"/>
    <w:rsid w:val="00604A76"/>
    <w:rsid w:val="00605CF1"/>
    <w:rsid w:val="0060692D"/>
    <w:rsid w:val="00607007"/>
    <w:rsid w:val="00610058"/>
    <w:rsid w:val="006101A4"/>
    <w:rsid w:val="0061363E"/>
    <w:rsid w:val="0061368F"/>
    <w:rsid w:val="0061413A"/>
    <w:rsid w:val="00615539"/>
    <w:rsid w:val="0062176E"/>
    <w:rsid w:val="00622833"/>
    <w:rsid w:val="00622E30"/>
    <w:rsid w:val="00623475"/>
    <w:rsid w:val="0062422A"/>
    <w:rsid w:val="0062576E"/>
    <w:rsid w:val="006257EA"/>
    <w:rsid w:val="00626303"/>
    <w:rsid w:val="00626674"/>
    <w:rsid w:val="00630830"/>
    <w:rsid w:val="0063115F"/>
    <w:rsid w:val="006319C9"/>
    <w:rsid w:val="0063403D"/>
    <w:rsid w:val="00636A18"/>
    <w:rsid w:val="00641719"/>
    <w:rsid w:val="00641D9D"/>
    <w:rsid w:val="00642B7D"/>
    <w:rsid w:val="006438EB"/>
    <w:rsid w:val="00646308"/>
    <w:rsid w:val="006464F3"/>
    <w:rsid w:val="00646C1E"/>
    <w:rsid w:val="0064720B"/>
    <w:rsid w:val="00650CA1"/>
    <w:rsid w:val="00651193"/>
    <w:rsid w:val="00652F43"/>
    <w:rsid w:val="00653FC5"/>
    <w:rsid w:val="006542F7"/>
    <w:rsid w:val="00654774"/>
    <w:rsid w:val="00654931"/>
    <w:rsid w:val="00655713"/>
    <w:rsid w:val="00656B9A"/>
    <w:rsid w:val="006631C6"/>
    <w:rsid w:val="00663DD1"/>
    <w:rsid w:val="00666FDA"/>
    <w:rsid w:val="0066757C"/>
    <w:rsid w:val="0066786F"/>
    <w:rsid w:val="00667A29"/>
    <w:rsid w:val="00671171"/>
    <w:rsid w:val="0067200B"/>
    <w:rsid w:val="006733E8"/>
    <w:rsid w:val="00673585"/>
    <w:rsid w:val="00674B97"/>
    <w:rsid w:val="00674C32"/>
    <w:rsid w:val="006758D7"/>
    <w:rsid w:val="00675F93"/>
    <w:rsid w:val="00676275"/>
    <w:rsid w:val="00680D47"/>
    <w:rsid w:val="0068174A"/>
    <w:rsid w:val="00681D4A"/>
    <w:rsid w:val="00682D66"/>
    <w:rsid w:val="006843F7"/>
    <w:rsid w:val="0068567F"/>
    <w:rsid w:val="00687934"/>
    <w:rsid w:val="00687AAA"/>
    <w:rsid w:val="00687DC6"/>
    <w:rsid w:val="00690B15"/>
    <w:rsid w:val="00692B41"/>
    <w:rsid w:val="00693B2B"/>
    <w:rsid w:val="006951A1"/>
    <w:rsid w:val="00695EDA"/>
    <w:rsid w:val="00696843"/>
    <w:rsid w:val="00696ED3"/>
    <w:rsid w:val="00697757"/>
    <w:rsid w:val="006977E6"/>
    <w:rsid w:val="00697F1B"/>
    <w:rsid w:val="006A0B4D"/>
    <w:rsid w:val="006A103B"/>
    <w:rsid w:val="006A2167"/>
    <w:rsid w:val="006A229E"/>
    <w:rsid w:val="006A2FC6"/>
    <w:rsid w:val="006A33F3"/>
    <w:rsid w:val="006A3632"/>
    <w:rsid w:val="006A47F5"/>
    <w:rsid w:val="006A4E80"/>
    <w:rsid w:val="006A5110"/>
    <w:rsid w:val="006A5460"/>
    <w:rsid w:val="006A6013"/>
    <w:rsid w:val="006A6086"/>
    <w:rsid w:val="006A6333"/>
    <w:rsid w:val="006A6445"/>
    <w:rsid w:val="006A7F57"/>
    <w:rsid w:val="006B1CFD"/>
    <w:rsid w:val="006B28C6"/>
    <w:rsid w:val="006B2D38"/>
    <w:rsid w:val="006B383C"/>
    <w:rsid w:val="006B49FA"/>
    <w:rsid w:val="006B512D"/>
    <w:rsid w:val="006B51D2"/>
    <w:rsid w:val="006B61D7"/>
    <w:rsid w:val="006B702B"/>
    <w:rsid w:val="006B709A"/>
    <w:rsid w:val="006C2D97"/>
    <w:rsid w:val="006C33AD"/>
    <w:rsid w:val="006C40F9"/>
    <w:rsid w:val="006C4298"/>
    <w:rsid w:val="006C52BF"/>
    <w:rsid w:val="006C5FA8"/>
    <w:rsid w:val="006D1608"/>
    <w:rsid w:val="006D1AAE"/>
    <w:rsid w:val="006D20F3"/>
    <w:rsid w:val="006D410B"/>
    <w:rsid w:val="006D478F"/>
    <w:rsid w:val="006D54AA"/>
    <w:rsid w:val="006D647F"/>
    <w:rsid w:val="006D7836"/>
    <w:rsid w:val="006D7F6C"/>
    <w:rsid w:val="006E061E"/>
    <w:rsid w:val="006E1BBE"/>
    <w:rsid w:val="006E3695"/>
    <w:rsid w:val="006E4778"/>
    <w:rsid w:val="006F0B34"/>
    <w:rsid w:val="006F2A88"/>
    <w:rsid w:val="006F490A"/>
    <w:rsid w:val="006F5B58"/>
    <w:rsid w:val="006F61E8"/>
    <w:rsid w:val="006F63C7"/>
    <w:rsid w:val="006F7847"/>
    <w:rsid w:val="006F7A64"/>
    <w:rsid w:val="00700758"/>
    <w:rsid w:val="007013BD"/>
    <w:rsid w:val="007022FB"/>
    <w:rsid w:val="007038B8"/>
    <w:rsid w:val="0070465A"/>
    <w:rsid w:val="0070567B"/>
    <w:rsid w:val="00705ED8"/>
    <w:rsid w:val="00706249"/>
    <w:rsid w:val="00707149"/>
    <w:rsid w:val="0070784A"/>
    <w:rsid w:val="00707A59"/>
    <w:rsid w:val="00711930"/>
    <w:rsid w:val="0071209C"/>
    <w:rsid w:val="007123C3"/>
    <w:rsid w:val="0071241E"/>
    <w:rsid w:val="0071253C"/>
    <w:rsid w:val="007126D0"/>
    <w:rsid w:val="0071273C"/>
    <w:rsid w:val="00713A11"/>
    <w:rsid w:val="00713BA9"/>
    <w:rsid w:val="00713FDD"/>
    <w:rsid w:val="00714AFF"/>
    <w:rsid w:val="00715D60"/>
    <w:rsid w:val="0071612D"/>
    <w:rsid w:val="007173F0"/>
    <w:rsid w:val="00721051"/>
    <w:rsid w:val="00721874"/>
    <w:rsid w:val="00723295"/>
    <w:rsid w:val="00724997"/>
    <w:rsid w:val="00724ACB"/>
    <w:rsid w:val="00726005"/>
    <w:rsid w:val="007262FF"/>
    <w:rsid w:val="0072665B"/>
    <w:rsid w:val="007330DC"/>
    <w:rsid w:val="00733437"/>
    <w:rsid w:val="00733E8A"/>
    <w:rsid w:val="00734B69"/>
    <w:rsid w:val="00734DF9"/>
    <w:rsid w:val="00735B61"/>
    <w:rsid w:val="00735CDC"/>
    <w:rsid w:val="0073605C"/>
    <w:rsid w:val="00736554"/>
    <w:rsid w:val="007407C3"/>
    <w:rsid w:val="00740B43"/>
    <w:rsid w:val="007416D5"/>
    <w:rsid w:val="00742210"/>
    <w:rsid w:val="00742404"/>
    <w:rsid w:val="0074284C"/>
    <w:rsid w:val="00743631"/>
    <w:rsid w:val="00745560"/>
    <w:rsid w:val="007458DA"/>
    <w:rsid w:val="00747031"/>
    <w:rsid w:val="0075092E"/>
    <w:rsid w:val="00754137"/>
    <w:rsid w:val="007551C1"/>
    <w:rsid w:val="00756235"/>
    <w:rsid w:val="0076031E"/>
    <w:rsid w:val="00760345"/>
    <w:rsid w:val="00760F7D"/>
    <w:rsid w:val="00761FAA"/>
    <w:rsid w:val="00762330"/>
    <w:rsid w:val="00762DA7"/>
    <w:rsid w:val="00763059"/>
    <w:rsid w:val="00764185"/>
    <w:rsid w:val="0076490A"/>
    <w:rsid w:val="00765432"/>
    <w:rsid w:val="00765F61"/>
    <w:rsid w:val="0077235A"/>
    <w:rsid w:val="00772C35"/>
    <w:rsid w:val="00774274"/>
    <w:rsid w:val="007755A0"/>
    <w:rsid w:val="00776E7A"/>
    <w:rsid w:val="007804D3"/>
    <w:rsid w:val="00780A6B"/>
    <w:rsid w:val="00781210"/>
    <w:rsid w:val="00781A78"/>
    <w:rsid w:val="00782E5D"/>
    <w:rsid w:val="00783375"/>
    <w:rsid w:val="00785CBB"/>
    <w:rsid w:val="00785EA0"/>
    <w:rsid w:val="00787864"/>
    <w:rsid w:val="0079002F"/>
    <w:rsid w:val="00790D06"/>
    <w:rsid w:val="00791126"/>
    <w:rsid w:val="00791676"/>
    <w:rsid w:val="00791F50"/>
    <w:rsid w:val="00792260"/>
    <w:rsid w:val="0079235F"/>
    <w:rsid w:val="00792946"/>
    <w:rsid w:val="007933AE"/>
    <w:rsid w:val="007946A3"/>
    <w:rsid w:val="0079525F"/>
    <w:rsid w:val="007954D8"/>
    <w:rsid w:val="007A1B4F"/>
    <w:rsid w:val="007A207F"/>
    <w:rsid w:val="007A2104"/>
    <w:rsid w:val="007A210C"/>
    <w:rsid w:val="007A2DFE"/>
    <w:rsid w:val="007A309F"/>
    <w:rsid w:val="007A321E"/>
    <w:rsid w:val="007A4AB1"/>
    <w:rsid w:val="007A5907"/>
    <w:rsid w:val="007A63F7"/>
    <w:rsid w:val="007B01C3"/>
    <w:rsid w:val="007B0488"/>
    <w:rsid w:val="007B064A"/>
    <w:rsid w:val="007B133F"/>
    <w:rsid w:val="007B1CE9"/>
    <w:rsid w:val="007B1F0C"/>
    <w:rsid w:val="007B25A9"/>
    <w:rsid w:val="007B5417"/>
    <w:rsid w:val="007B5597"/>
    <w:rsid w:val="007B59F4"/>
    <w:rsid w:val="007B7AB4"/>
    <w:rsid w:val="007C2758"/>
    <w:rsid w:val="007C3C01"/>
    <w:rsid w:val="007C3CEA"/>
    <w:rsid w:val="007C603A"/>
    <w:rsid w:val="007C631D"/>
    <w:rsid w:val="007C7A6F"/>
    <w:rsid w:val="007C7BE5"/>
    <w:rsid w:val="007C7C7E"/>
    <w:rsid w:val="007D0515"/>
    <w:rsid w:val="007D2388"/>
    <w:rsid w:val="007D2550"/>
    <w:rsid w:val="007D2720"/>
    <w:rsid w:val="007D4520"/>
    <w:rsid w:val="007D551F"/>
    <w:rsid w:val="007D5914"/>
    <w:rsid w:val="007D61E4"/>
    <w:rsid w:val="007D672C"/>
    <w:rsid w:val="007D720A"/>
    <w:rsid w:val="007E3E82"/>
    <w:rsid w:val="007E4F76"/>
    <w:rsid w:val="007E5DDC"/>
    <w:rsid w:val="007F0C77"/>
    <w:rsid w:val="007F0FD3"/>
    <w:rsid w:val="007F1B92"/>
    <w:rsid w:val="007F2198"/>
    <w:rsid w:val="007F259C"/>
    <w:rsid w:val="007F26F2"/>
    <w:rsid w:val="007F2AF3"/>
    <w:rsid w:val="007F2EAB"/>
    <w:rsid w:val="007F301E"/>
    <w:rsid w:val="007F4E89"/>
    <w:rsid w:val="007F5573"/>
    <w:rsid w:val="007F5FD5"/>
    <w:rsid w:val="007F6640"/>
    <w:rsid w:val="00800D4D"/>
    <w:rsid w:val="00801ACE"/>
    <w:rsid w:val="00801B54"/>
    <w:rsid w:val="00801F4C"/>
    <w:rsid w:val="0080224B"/>
    <w:rsid w:val="00802B79"/>
    <w:rsid w:val="00802EAD"/>
    <w:rsid w:val="00802F98"/>
    <w:rsid w:val="00802FB5"/>
    <w:rsid w:val="008070B8"/>
    <w:rsid w:val="00807247"/>
    <w:rsid w:val="008078BF"/>
    <w:rsid w:val="00807E69"/>
    <w:rsid w:val="00810172"/>
    <w:rsid w:val="00810936"/>
    <w:rsid w:val="008111C8"/>
    <w:rsid w:val="0081173F"/>
    <w:rsid w:val="008118EE"/>
    <w:rsid w:val="008123C7"/>
    <w:rsid w:val="00812A1C"/>
    <w:rsid w:val="00814F18"/>
    <w:rsid w:val="0081507A"/>
    <w:rsid w:val="0081561D"/>
    <w:rsid w:val="00815BB6"/>
    <w:rsid w:val="00817A38"/>
    <w:rsid w:val="0082019D"/>
    <w:rsid w:val="00820307"/>
    <w:rsid w:val="00820409"/>
    <w:rsid w:val="00824190"/>
    <w:rsid w:val="00824614"/>
    <w:rsid w:val="008257E4"/>
    <w:rsid w:val="008279D9"/>
    <w:rsid w:val="0083071C"/>
    <w:rsid w:val="0083096B"/>
    <w:rsid w:val="00830D63"/>
    <w:rsid w:val="00831F9C"/>
    <w:rsid w:val="00832492"/>
    <w:rsid w:val="00837A2C"/>
    <w:rsid w:val="00840687"/>
    <w:rsid w:val="008441FF"/>
    <w:rsid w:val="00844571"/>
    <w:rsid w:val="00846C74"/>
    <w:rsid w:val="0084717A"/>
    <w:rsid w:val="00847475"/>
    <w:rsid w:val="00851F2D"/>
    <w:rsid w:val="00852597"/>
    <w:rsid w:val="0085290D"/>
    <w:rsid w:val="00852AD2"/>
    <w:rsid w:val="00852B12"/>
    <w:rsid w:val="00854951"/>
    <w:rsid w:val="00855025"/>
    <w:rsid w:val="00857829"/>
    <w:rsid w:val="00857BC6"/>
    <w:rsid w:val="00860465"/>
    <w:rsid w:val="00860A8B"/>
    <w:rsid w:val="008615D6"/>
    <w:rsid w:val="00861DF4"/>
    <w:rsid w:val="008626D1"/>
    <w:rsid w:val="00863BCF"/>
    <w:rsid w:val="008652DF"/>
    <w:rsid w:val="00865652"/>
    <w:rsid w:val="008667F3"/>
    <w:rsid w:val="0086689F"/>
    <w:rsid w:val="00866FF1"/>
    <w:rsid w:val="00870B54"/>
    <w:rsid w:val="00871324"/>
    <w:rsid w:val="00873F41"/>
    <w:rsid w:val="00877C0C"/>
    <w:rsid w:val="008802CC"/>
    <w:rsid w:val="00880410"/>
    <w:rsid w:val="00883E99"/>
    <w:rsid w:val="00885C1B"/>
    <w:rsid w:val="008863A0"/>
    <w:rsid w:val="008912F3"/>
    <w:rsid w:val="008926E3"/>
    <w:rsid w:val="00892833"/>
    <w:rsid w:val="00893C4A"/>
    <w:rsid w:val="00893EED"/>
    <w:rsid w:val="008948DA"/>
    <w:rsid w:val="00896646"/>
    <w:rsid w:val="008972C3"/>
    <w:rsid w:val="008974C6"/>
    <w:rsid w:val="008979CF"/>
    <w:rsid w:val="00897CDB"/>
    <w:rsid w:val="008A00A0"/>
    <w:rsid w:val="008A18B9"/>
    <w:rsid w:val="008A3D8C"/>
    <w:rsid w:val="008A4454"/>
    <w:rsid w:val="008A44B6"/>
    <w:rsid w:val="008A5025"/>
    <w:rsid w:val="008A50F9"/>
    <w:rsid w:val="008A59EA"/>
    <w:rsid w:val="008A68D2"/>
    <w:rsid w:val="008A6D82"/>
    <w:rsid w:val="008B0243"/>
    <w:rsid w:val="008B07CE"/>
    <w:rsid w:val="008B1048"/>
    <w:rsid w:val="008B1872"/>
    <w:rsid w:val="008B1A14"/>
    <w:rsid w:val="008B52E7"/>
    <w:rsid w:val="008B57DB"/>
    <w:rsid w:val="008B5D43"/>
    <w:rsid w:val="008B5FFC"/>
    <w:rsid w:val="008B6EC3"/>
    <w:rsid w:val="008B7C9D"/>
    <w:rsid w:val="008C015A"/>
    <w:rsid w:val="008C1C5D"/>
    <w:rsid w:val="008C1CB7"/>
    <w:rsid w:val="008C2300"/>
    <w:rsid w:val="008C3F0C"/>
    <w:rsid w:val="008C5C68"/>
    <w:rsid w:val="008C5DE4"/>
    <w:rsid w:val="008C6907"/>
    <w:rsid w:val="008C6DAB"/>
    <w:rsid w:val="008D26ED"/>
    <w:rsid w:val="008D3623"/>
    <w:rsid w:val="008D39FE"/>
    <w:rsid w:val="008D41B8"/>
    <w:rsid w:val="008D443B"/>
    <w:rsid w:val="008D477E"/>
    <w:rsid w:val="008D4BA5"/>
    <w:rsid w:val="008D61E5"/>
    <w:rsid w:val="008D62F0"/>
    <w:rsid w:val="008D68A1"/>
    <w:rsid w:val="008D6DD8"/>
    <w:rsid w:val="008D6FBB"/>
    <w:rsid w:val="008D6FC5"/>
    <w:rsid w:val="008D71F4"/>
    <w:rsid w:val="008D75D9"/>
    <w:rsid w:val="008E3378"/>
    <w:rsid w:val="008E4478"/>
    <w:rsid w:val="008E46BD"/>
    <w:rsid w:val="008E4E9C"/>
    <w:rsid w:val="008E586B"/>
    <w:rsid w:val="008E6C48"/>
    <w:rsid w:val="008E6DEF"/>
    <w:rsid w:val="008F1D53"/>
    <w:rsid w:val="008F1FD2"/>
    <w:rsid w:val="008F2B50"/>
    <w:rsid w:val="008F2D07"/>
    <w:rsid w:val="008F3B62"/>
    <w:rsid w:val="008F3C0A"/>
    <w:rsid w:val="008F52A6"/>
    <w:rsid w:val="008F5405"/>
    <w:rsid w:val="008F6928"/>
    <w:rsid w:val="008F7F7E"/>
    <w:rsid w:val="0090001C"/>
    <w:rsid w:val="009000D8"/>
    <w:rsid w:val="009009A0"/>
    <w:rsid w:val="00901A07"/>
    <w:rsid w:val="00902ED6"/>
    <w:rsid w:val="00902F58"/>
    <w:rsid w:val="009043B7"/>
    <w:rsid w:val="00905175"/>
    <w:rsid w:val="00910ADF"/>
    <w:rsid w:val="00910BB5"/>
    <w:rsid w:val="0091141D"/>
    <w:rsid w:val="00912295"/>
    <w:rsid w:val="009123D1"/>
    <w:rsid w:val="0091367A"/>
    <w:rsid w:val="009157AC"/>
    <w:rsid w:val="0091679A"/>
    <w:rsid w:val="00917060"/>
    <w:rsid w:val="00920C3F"/>
    <w:rsid w:val="00922C3B"/>
    <w:rsid w:val="00922DEE"/>
    <w:rsid w:val="00924ADA"/>
    <w:rsid w:val="0092514F"/>
    <w:rsid w:val="00925AC6"/>
    <w:rsid w:val="00927341"/>
    <w:rsid w:val="009306FB"/>
    <w:rsid w:val="009313AF"/>
    <w:rsid w:val="0093377D"/>
    <w:rsid w:val="0093514C"/>
    <w:rsid w:val="009373CE"/>
    <w:rsid w:val="00937EDB"/>
    <w:rsid w:val="009402EA"/>
    <w:rsid w:val="00941AC0"/>
    <w:rsid w:val="009438FC"/>
    <w:rsid w:val="00945625"/>
    <w:rsid w:val="00945A72"/>
    <w:rsid w:val="009463B2"/>
    <w:rsid w:val="009477FB"/>
    <w:rsid w:val="00947A8B"/>
    <w:rsid w:val="00947B52"/>
    <w:rsid w:val="00950893"/>
    <w:rsid w:val="009528FE"/>
    <w:rsid w:val="00952B6C"/>
    <w:rsid w:val="00954382"/>
    <w:rsid w:val="00954655"/>
    <w:rsid w:val="00954C11"/>
    <w:rsid w:val="009551BC"/>
    <w:rsid w:val="00956530"/>
    <w:rsid w:val="00956939"/>
    <w:rsid w:val="009611D0"/>
    <w:rsid w:val="00964C50"/>
    <w:rsid w:val="00967790"/>
    <w:rsid w:val="009712EE"/>
    <w:rsid w:val="0097157A"/>
    <w:rsid w:val="00971B66"/>
    <w:rsid w:val="00971EC7"/>
    <w:rsid w:val="0097316A"/>
    <w:rsid w:val="00973238"/>
    <w:rsid w:val="009733CA"/>
    <w:rsid w:val="009758D9"/>
    <w:rsid w:val="00975A14"/>
    <w:rsid w:val="00976BDD"/>
    <w:rsid w:val="00977409"/>
    <w:rsid w:val="00977FEA"/>
    <w:rsid w:val="00980E05"/>
    <w:rsid w:val="00981577"/>
    <w:rsid w:val="00982361"/>
    <w:rsid w:val="009824AD"/>
    <w:rsid w:val="00984078"/>
    <w:rsid w:val="00985DAF"/>
    <w:rsid w:val="00987244"/>
    <w:rsid w:val="00990C08"/>
    <w:rsid w:val="009916E3"/>
    <w:rsid w:val="00992B28"/>
    <w:rsid w:val="00992DC2"/>
    <w:rsid w:val="00996302"/>
    <w:rsid w:val="0099732F"/>
    <w:rsid w:val="009A16D0"/>
    <w:rsid w:val="009A1C3E"/>
    <w:rsid w:val="009A27D7"/>
    <w:rsid w:val="009A2C74"/>
    <w:rsid w:val="009A2DBE"/>
    <w:rsid w:val="009A3215"/>
    <w:rsid w:val="009A3B18"/>
    <w:rsid w:val="009A4EF5"/>
    <w:rsid w:val="009A533B"/>
    <w:rsid w:val="009A6154"/>
    <w:rsid w:val="009A6A1B"/>
    <w:rsid w:val="009A6B78"/>
    <w:rsid w:val="009A76D5"/>
    <w:rsid w:val="009B0314"/>
    <w:rsid w:val="009B0CFA"/>
    <w:rsid w:val="009B3C99"/>
    <w:rsid w:val="009B555A"/>
    <w:rsid w:val="009B7022"/>
    <w:rsid w:val="009B79E3"/>
    <w:rsid w:val="009C12FE"/>
    <w:rsid w:val="009C1473"/>
    <w:rsid w:val="009C20D4"/>
    <w:rsid w:val="009C2680"/>
    <w:rsid w:val="009C2E92"/>
    <w:rsid w:val="009C30F8"/>
    <w:rsid w:val="009C3973"/>
    <w:rsid w:val="009C49E0"/>
    <w:rsid w:val="009C4CBE"/>
    <w:rsid w:val="009C4FF7"/>
    <w:rsid w:val="009C5FBA"/>
    <w:rsid w:val="009D0F25"/>
    <w:rsid w:val="009D1377"/>
    <w:rsid w:val="009D295D"/>
    <w:rsid w:val="009D2D20"/>
    <w:rsid w:val="009D5298"/>
    <w:rsid w:val="009D5A39"/>
    <w:rsid w:val="009D7F6D"/>
    <w:rsid w:val="009E0FEA"/>
    <w:rsid w:val="009E13E5"/>
    <w:rsid w:val="009E19FF"/>
    <w:rsid w:val="009E1B42"/>
    <w:rsid w:val="009E43A3"/>
    <w:rsid w:val="009E558B"/>
    <w:rsid w:val="009F363F"/>
    <w:rsid w:val="009F5774"/>
    <w:rsid w:val="009F5A1D"/>
    <w:rsid w:val="009F5DDB"/>
    <w:rsid w:val="009F778A"/>
    <w:rsid w:val="00A0073D"/>
    <w:rsid w:val="00A0081B"/>
    <w:rsid w:val="00A0101A"/>
    <w:rsid w:val="00A036B8"/>
    <w:rsid w:val="00A039C9"/>
    <w:rsid w:val="00A0404D"/>
    <w:rsid w:val="00A0421C"/>
    <w:rsid w:val="00A05469"/>
    <w:rsid w:val="00A0660C"/>
    <w:rsid w:val="00A077ED"/>
    <w:rsid w:val="00A07CE2"/>
    <w:rsid w:val="00A10465"/>
    <w:rsid w:val="00A10685"/>
    <w:rsid w:val="00A10C2E"/>
    <w:rsid w:val="00A111F9"/>
    <w:rsid w:val="00A125C8"/>
    <w:rsid w:val="00A1339A"/>
    <w:rsid w:val="00A15809"/>
    <w:rsid w:val="00A16DA3"/>
    <w:rsid w:val="00A16FA9"/>
    <w:rsid w:val="00A17236"/>
    <w:rsid w:val="00A17382"/>
    <w:rsid w:val="00A217FA"/>
    <w:rsid w:val="00A2283F"/>
    <w:rsid w:val="00A23E14"/>
    <w:rsid w:val="00A24205"/>
    <w:rsid w:val="00A26BD2"/>
    <w:rsid w:val="00A27AF1"/>
    <w:rsid w:val="00A27D76"/>
    <w:rsid w:val="00A308EF"/>
    <w:rsid w:val="00A30975"/>
    <w:rsid w:val="00A36B1A"/>
    <w:rsid w:val="00A3798C"/>
    <w:rsid w:val="00A37FEE"/>
    <w:rsid w:val="00A40EC8"/>
    <w:rsid w:val="00A40F5E"/>
    <w:rsid w:val="00A4175E"/>
    <w:rsid w:val="00A44423"/>
    <w:rsid w:val="00A4631C"/>
    <w:rsid w:val="00A473C9"/>
    <w:rsid w:val="00A47B2C"/>
    <w:rsid w:val="00A50771"/>
    <w:rsid w:val="00A51C97"/>
    <w:rsid w:val="00A52BEB"/>
    <w:rsid w:val="00A53241"/>
    <w:rsid w:val="00A53561"/>
    <w:rsid w:val="00A53CEF"/>
    <w:rsid w:val="00A5458E"/>
    <w:rsid w:val="00A54BC0"/>
    <w:rsid w:val="00A571F8"/>
    <w:rsid w:val="00A6009A"/>
    <w:rsid w:val="00A6175F"/>
    <w:rsid w:val="00A61E31"/>
    <w:rsid w:val="00A62F85"/>
    <w:rsid w:val="00A6382A"/>
    <w:rsid w:val="00A63B0A"/>
    <w:rsid w:val="00A660CC"/>
    <w:rsid w:val="00A662EE"/>
    <w:rsid w:val="00A6650B"/>
    <w:rsid w:val="00A67B0D"/>
    <w:rsid w:val="00A7076C"/>
    <w:rsid w:val="00A730D5"/>
    <w:rsid w:val="00A80311"/>
    <w:rsid w:val="00A81AA2"/>
    <w:rsid w:val="00A82964"/>
    <w:rsid w:val="00A829EF"/>
    <w:rsid w:val="00A82DA1"/>
    <w:rsid w:val="00A8356B"/>
    <w:rsid w:val="00A86836"/>
    <w:rsid w:val="00A90A97"/>
    <w:rsid w:val="00A939A2"/>
    <w:rsid w:val="00A93F98"/>
    <w:rsid w:val="00A94621"/>
    <w:rsid w:val="00A94DCC"/>
    <w:rsid w:val="00A94E63"/>
    <w:rsid w:val="00A94FE5"/>
    <w:rsid w:val="00A9670D"/>
    <w:rsid w:val="00A97DC0"/>
    <w:rsid w:val="00AA0C25"/>
    <w:rsid w:val="00AA1149"/>
    <w:rsid w:val="00AA1D57"/>
    <w:rsid w:val="00AA32E6"/>
    <w:rsid w:val="00AA3715"/>
    <w:rsid w:val="00AA4463"/>
    <w:rsid w:val="00AA548D"/>
    <w:rsid w:val="00AA595F"/>
    <w:rsid w:val="00AB1477"/>
    <w:rsid w:val="00AB1DD2"/>
    <w:rsid w:val="00AB33EA"/>
    <w:rsid w:val="00AB40F5"/>
    <w:rsid w:val="00AB5292"/>
    <w:rsid w:val="00AB6592"/>
    <w:rsid w:val="00AB72BB"/>
    <w:rsid w:val="00AC1B81"/>
    <w:rsid w:val="00AC1D22"/>
    <w:rsid w:val="00AC27C9"/>
    <w:rsid w:val="00AC351F"/>
    <w:rsid w:val="00AC3E36"/>
    <w:rsid w:val="00AC4FFB"/>
    <w:rsid w:val="00AC58B3"/>
    <w:rsid w:val="00AC69C8"/>
    <w:rsid w:val="00AC74CA"/>
    <w:rsid w:val="00AD0E5E"/>
    <w:rsid w:val="00AD4A37"/>
    <w:rsid w:val="00AD516A"/>
    <w:rsid w:val="00AD575C"/>
    <w:rsid w:val="00AD641A"/>
    <w:rsid w:val="00AD6504"/>
    <w:rsid w:val="00AD7ACC"/>
    <w:rsid w:val="00AE222D"/>
    <w:rsid w:val="00AE236C"/>
    <w:rsid w:val="00AE2377"/>
    <w:rsid w:val="00AE278E"/>
    <w:rsid w:val="00AE3CCA"/>
    <w:rsid w:val="00AE41E2"/>
    <w:rsid w:val="00AE46AA"/>
    <w:rsid w:val="00AE48A2"/>
    <w:rsid w:val="00AE569D"/>
    <w:rsid w:val="00AE6FD6"/>
    <w:rsid w:val="00AF225F"/>
    <w:rsid w:val="00AF24E7"/>
    <w:rsid w:val="00AF3C04"/>
    <w:rsid w:val="00AF3CE7"/>
    <w:rsid w:val="00AF40B1"/>
    <w:rsid w:val="00AF484A"/>
    <w:rsid w:val="00AF5088"/>
    <w:rsid w:val="00AF53B0"/>
    <w:rsid w:val="00AF59C9"/>
    <w:rsid w:val="00AF60F8"/>
    <w:rsid w:val="00AF717B"/>
    <w:rsid w:val="00AF78E8"/>
    <w:rsid w:val="00B00312"/>
    <w:rsid w:val="00B00405"/>
    <w:rsid w:val="00B009B6"/>
    <w:rsid w:val="00B013AD"/>
    <w:rsid w:val="00B017A0"/>
    <w:rsid w:val="00B02152"/>
    <w:rsid w:val="00B02EDB"/>
    <w:rsid w:val="00B03AB1"/>
    <w:rsid w:val="00B04A65"/>
    <w:rsid w:val="00B05069"/>
    <w:rsid w:val="00B05443"/>
    <w:rsid w:val="00B062B6"/>
    <w:rsid w:val="00B07797"/>
    <w:rsid w:val="00B106EC"/>
    <w:rsid w:val="00B108FE"/>
    <w:rsid w:val="00B11D5B"/>
    <w:rsid w:val="00B12238"/>
    <w:rsid w:val="00B122E8"/>
    <w:rsid w:val="00B123F1"/>
    <w:rsid w:val="00B124B8"/>
    <w:rsid w:val="00B13241"/>
    <w:rsid w:val="00B1417C"/>
    <w:rsid w:val="00B1456D"/>
    <w:rsid w:val="00B150C9"/>
    <w:rsid w:val="00B163BD"/>
    <w:rsid w:val="00B163D2"/>
    <w:rsid w:val="00B171FD"/>
    <w:rsid w:val="00B17BC4"/>
    <w:rsid w:val="00B20A9E"/>
    <w:rsid w:val="00B23DB5"/>
    <w:rsid w:val="00B2448F"/>
    <w:rsid w:val="00B2669C"/>
    <w:rsid w:val="00B303F3"/>
    <w:rsid w:val="00B3182B"/>
    <w:rsid w:val="00B32A53"/>
    <w:rsid w:val="00B341C0"/>
    <w:rsid w:val="00B3553F"/>
    <w:rsid w:val="00B37736"/>
    <w:rsid w:val="00B40AEC"/>
    <w:rsid w:val="00B41284"/>
    <w:rsid w:val="00B41803"/>
    <w:rsid w:val="00B41973"/>
    <w:rsid w:val="00B419E9"/>
    <w:rsid w:val="00B41F39"/>
    <w:rsid w:val="00B4408C"/>
    <w:rsid w:val="00B44EC0"/>
    <w:rsid w:val="00B5019E"/>
    <w:rsid w:val="00B515F2"/>
    <w:rsid w:val="00B51882"/>
    <w:rsid w:val="00B5222D"/>
    <w:rsid w:val="00B52CE7"/>
    <w:rsid w:val="00B53B2D"/>
    <w:rsid w:val="00B53EAE"/>
    <w:rsid w:val="00B541BE"/>
    <w:rsid w:val="00B54D2D"/>
    <w:rsid w:val="00B554EB"/>
    <w:rsid w:val="00B56A7D"/>
    <w:rsid w:val="00B57208"/>
    <w:rsid w:val="00B57550"/>
    <w:rsid w:val="00B604C1"/>
    <w:rsid w:val="00B61073"/>
    <w:rsid w:val="00B61273"/>
    <w:rsid w:val="00B612C6"/>
    <w:rsid w:val="00B61E03"/>
    <w:rsid w:val="00B63804"/>
    <w:rsid w:val="00B63E0D"/>
    <w:rsid w:val="00B64BC8"/>
    <w:rsid w:val="00B64C47"/>
    <w:rsid w:val="00B65680"/>
    <w:rsid w:val="00B728FF"/>
    <w:rsid w:val="00B73C4A"/>
    <w:rsid w:val="00B74215"/>
    <w:rsid w:val="00B74F43"/>
    <w:rsid w:val="00B75235"/>
    <w:rsid w:val="00B76CB8"/>
    <w:rsid w:val="00B77755"/>
    <w:rsid w:val="00B77D7B"/>
    <w:rsid w:val="00B80905"/>
    <w:rsid w:val="00B80EA1"/>
    <w:rsid w:val="00B81AB4"/>
    <w:rsid w:val="00B81DF0"/>
    <w:rsid w:val="00B8290A"/>
    <w:rsid w:val="00B83772"/>
    <w:rsid w:val="00B83CCD"/>
    <w:rsid w:val="00B84525"/>
    <w:rsid w:val="00B84C76"/>
    <w:rsid w:val="00B84E2B"/>
    <w:rsid w:val="00B86328"/>
    <w:rsid w:val="00B90139"/>
    <w:rsid w:val="00B91FC8"/>
    <w:rsid w:val="00B92B74"/>
    <w:rsid w:val="00B92C29"/>
    <w:rsid w:val="00B93787"/>
    <w:rsid w:val="00B93CF8"/>
    <w:rsid w:val="00B94294"/>
    <w:rsid w:val="00B96285"/>
    <w:rsid w:val="00B97030"/>
    <w:rsid w:val="00B9788F"/>
    <w:rsid w:val="00B97E89"/>
    <w:rsid w:val="00BA18B8"/>
    <w:rsid w:val="00BA3018"/>
    <w:rsid w:val="00BA3ADB"/>
    <w:rsid w:val="00BA3EFF"/>
    <w:rsid w:val="00BA4945"/>
    <w:rsid w:val="00BA5DD3"/>
    <w:rsid w:val="00BA6577"/>
    <w:rsid w:val="00BA6A9E"/>
    <w:rsid w:val="00BA758D"/>
    <w:rsid w:val="00BA7D9F"/>
    <w:rsid w:val="00BB0906"/>
    <w:rsid w:val="00BB0C75"/>
    <w:rsid w:val="00BB0FF0"/>
    <w:rsid w:val="00BB1567"/>
    <w:rsid w:val="00BB2945"/>
    <w:rsid w:val="00BB2A2F"/>
    <w:rsid w:val="00BB3B6E"/>
    <w:rsid w:val="00BB3D32"/>
    <w:rsid w:val="00BB44DB"/>
    <w:rsid w:val="00BB48A4"/>
    <w:rsid w:val="00BB5186"/>
    <w:rsid w:val="00BB5F6F"/>
    <w:rsid w:val="00BB67CB"/>
    <w:rsid w:val="00BC015F"/>
    <w:rsid w:val="00BC048E"/>
    <w:rsid w:val="00BC16CF"/>
    <w:rsid w:val="00BC2627"/>
    <w:rsid w:val="00BC2815"/>
    <w:rsid w:val="00BC380F"/>
    <w:rsid w:val="00BC5597"/>
    <w:rsid w:val="00BC5A2B"/>
    <w:rsid w:val="00BC6D29"/>
    <w:rsid w:val="00BC7FEB"/>
    <w:rsid w:val="00BD1A1E"/>
    <w:rsid w:val="00BD1B02"/>
    <w:rsid w:val="00BD3A0E"/>
    <w:rsid w:val="00BD4109"/>
    <w:rsid w:val="00BD5735"/>
    <w:rsid w:val="00BD5A1D"/>
    <w:rsid w:val="00BD6519"/>
    <w:rsid w:val="00BD6CC1"/>
    <w:rsid w:val="00BD6D97"/>
    <w:rsid w:val="00BE100B"/>
    <w:rsid w:val="00BE1D20"/>
    <w:rsid w:val="00BE2F46"/>
    <w:rsid w:val="00BE4683"/>
    <w:rsid w:val="00BE4F91"/>
    <w:rsid w:val="00BE5EE5"/>
    <w:rsid w:val="00BE7DE6"/>
    <w:rsid w:val="00BF1281"/>
    <w:rsid w:val="00BF2EAA"/>
    <w:rsid w:val="00BF409B"/>
    <w:rsid w:val="00BF4245"/>
    <w:rsid w:val="00BF587B"/>
    <w:rsid w:val="00BF5E7E"/>
    <w:rsid w:val="00C00205"/>
    <w:rsid w:val="00C01250"/>
    <w:rsid w:val="00C01DC9"/>
    <w:rsid w:val="00C0376A"/>
    <w:rsid w:val="00C03978"/>
    <w:rsid w:val="00C05227"/>
    <w:rsid w:val="00C06739"/>
    <w:rsid w:val="00C07630"/>
    <w:rsid w:val="00C10341"/>
    <w:rsid w:val="00C10DD6"/>
    <w:rsid w:val="00C114FB"/>
    <w:rsid w:val="00C11E5A"/>
    <w:rsid w:val="00C12A85"/>
    <w:rsid w:val="00C13C0C"/>
    <w:rsid w:val="00C13FD7"/>
    <w:rsid w:val="00C1405C"/>
    <w:rsid w:val="00C14953"/>
    <w:rsid w:val="00C15F28"/>
    <w:rsid w:val="00C164DB"/>
    <w:rsid w:val="00C1652F"/>
    <w:rsid w:val="00C1668C"/>
    <w:rsid w:val="00C176F0"/>
    <w:rsid w:val="00C17BDA"/>
    <w:rsid w:val="00C17EB5"/>
    <w:rsid w:val="00C21587"/>
    <w:rsid w:val="00C21646"/>
    <w:rsid w:val="00C22EA3"/>
    <w:rsid w:val="00C23137"/>
    <w:rsid w:val="00C24480"/>
    <w:rsid w:val="00C24D2F"/>
    <w:rsid w:val="00C24FAB"/>
    <w:rsid w:val="00C25FCA"/>
    <w:rsid w:val="00C273C3"/>
    <w:rsid w:val="00C27862"/>
    <w:rsid w:val="00C30D99"/>
    <w:rsid w:val="00C31CCD"/>
    <w:rsid w:val="00C32485"/>
    <w:rsid w:val="00C34A96"/>
    <w:rsid w:val="00C34CA4"/>
    <w:rsid w:val="00C3765A"/>
    <w:rsid w:val="00C37D9E"/>
    <w:rsid w:val="00C37EE6"/>
    <w:rsid w:val="00C40423"/>
    <w:rsid w:val="00C408CB"/>
    <w:rsid w:val="00C42C01"/>
    <w:rsid w:val="00C4576A"/>
    <w:rsid w:val="00C457E6"/>
    <w:rsid w:val="00C45E3C"/>
    <w:rsid w:val="00C45F64"/>
    <w:rsid w:val="00C46C5B"/>
    <w:rsid w:val="00C5124F"/>
    <w:rsid w:val="00C5328A"/>
    <w:rsid w:val="00C55117"/>
    <w:rsid w:val="00C555F2"/>
    <w:rsid w:val="00C55ABD"/>
    <w:rsid w:val="00C55B9B"/>
    <w:rsid w:val="00C55ED5"/>
    <w:rsid w:val="00C56CDE"/>
    <w:rsid w:val="00C6108B"/>
    <w:rsid w:val="00C61A1C"/>
    <w:rsid w:val="00C62A8A"/>
    <w:rsid w:val="00C62B00"/>
    <w:rsid w:val="00C63243"/>
    <w:rsid w:val="00C633B2"/>
    <w:rsid w:val="00C63A13"/>
    <w:rsid w:val="00C6447B"/>
    <w:rsid w:val="00C66165"/>
    <w:rsid w:val="00C67C16"/>
    <w:rsid w:val="00C7121D"/>
    <w:rsid w:val="00C7155E"/>
    <w:rsid w:val="00C71F69"/>
    <w:rsid w:val="00C73CF4"/>
    <w:rsid w:val="00C743C2"/>
    <w:rsid w:val="00C764D8"/>
    <w:rsid w:val="00C80B40"/>
    <w:rsid w:val="00C83376"/>
    <w:rsid w:val="00C834AD"/>
    <w:rsid w:val="00C83523"/>
    <w:rsid w:val="00C8473A"/>
    <w:rsid w:val="00C850CB"/>
    <w:rsid w:val="00C85F29"/>
    <w:rsid w:val="00C86D6B"/>
    <w:rsid w:val="00C9068C"/>
    <w:rsid w:val="00C91874"/>
    <w:rsid w:val="00C91F33"/>
    <w:rsid w:val="00C94687"/>
    <w:rsid w:val="00C94902"/>
    <w:rsid w:val="00C94EDD"/>
    <w:rsid w:val="00C96918"/>
    <w:rsid w:val="00C96D45"/>
    <w:rsid w:val="00C96DF8"/>
    <w:rsid w:val="00CA0366"/>
    <w:rsid w:val="00CA0741"/>
    <w:rsid w:val="00CA1461"/>
    <w:rsid w:val="00CA4440"/>
    <w:rsid w:val="00CA4922"/>
    <w:rsid w:val="00CA5D61"/>
    <w:rsid w:val="00CA621F"/>
    <w:rsid w:val="00CA73A9"/>
    <w:rsid w:val="00CB14AE"/>
    <w:rsid w:val="00CB14DE"/>
    <w:rsid w:val="00CB1CA3"/>
    <w:rsid w:val="00CB24B7"/>
    <w:rsid w:val="00CB4D92"/>
    <w:rsid w:val="00CB6FAC"/>
    <w:rsid w:val="00CC091E"/>
    <w:rsid w:val="00CC17B9"/>
    <w:rsid w:val="00CC18DD"/>
    <w:rsid w:val="00CC1C74"/>
    <w:rsid w:val="00CC1CF9"/>
    <w:rsid w:val="00CC4B43"/>
    <w:rsid w:val="00CC4BDD"/>
    <w:rsid w:val="00CC59CF"/>
    <w:rsid w:val="00CC5DFD"/>
    <w:rsid w:val="00CC734D"/>
    <w:rsid w:val="00CD0840"/>
    <w:rsid w:val="00CD1255"/>
    <w:rsid w:val="00CD1989"/>
    <w:rsid w:val="00CD215A"/>
    <w:rsid w:val="00CD46D2"/>
    <w:rsid w:val="00CD47FA"/>
    <w:rsid w:val="00CD5B1A"/>
    <w:rsid w:val="00CD6424"/>
    <w:rsid w:val="00CD6DFB"/>
    <w:rsid w:val="00CE0596"/>
    <w:rsid w:val="00CE307A"/>
    <w:rsid w:val="00CE3E51"/>
    <w:rsid w:val="00CE468A"/>
    <w:rsid w:val="00CE4BF4"/>
    <w:rsid w:val="00CE6112"/>
    <w:rsid w:val="00CE7BDD"/>
    <w:rsid w:val="00CF0742"/>
    <w:rsid w:val="00CF0D86"/>
    <w:rsid w:val="00CF2286"/>
    <w:rsid w:val="00CF3FE4"/>
    <w:rsid w:val="00CF4FEA"/>
    <w:rsid w:val="00CF51C8"/>
    <w:rsid w:val="00D02AB5"/>
    <w:rsid w:val="00D042DF"/>
    <w:rsid w:val="00D04958"/>
    <w:rsid w:val="00D05D25"/>
    <w:rsid w:val="00D060AD"/>
    <w:rsid w:val="00D06756"/>
    <w:rsid w:val="00D10D4D"/>
    <w:rsid w:val="00D12C67"/>
    <w:rsid w:val="00D1357B"/>
    <w:rsid w:val="00D14A70"/>
    <w:rsid w:val="00D174B4"/>
    <w:rsid w:val="00D17B1D"/>
    <w:rsid w:val="00D20B70"/>
    <w:rsid w:val="00D216BB"/>
    <w:rsid w:val="00D22208"/>
    <w:rsid w:val="00D226C9"/>
    <w:rsid w:val="00D22BF0"/>
    <w:rsid w:val="00D22F5F"/>
    <w:rsid w:val="00D23221"/>
    <w:rsid w:val="00D23FCC"/>
    <w:rsid w:val="00D24FAD"/>
    <w:rsid w:val="00D2719D"/>
    <w:rsid w:val="00D30139"/>
    <w:rsid w:val="00D30EDA"/>
    <w:rsid w:val="00D31149"/>
    <w:rsid w:val="00D315D3"/>
    <w:rsid w:val="00D31701"/>
    <w:rsid w:val="00D31BBC"/>
    <w:rsid w:val="00D33B4E"/>
    <w:rsid w:val="00D374FC"/>
    <w:rsid w:val="00D400BA"/>
    <w:rsid w:val="00D430A5"/>
    <w:rsid w:val="00D4537D"/>
    <w:rsid w:val="00D45CC9"/>
    <w:rsid w:val="00D47E11"/>
    <w:rsid w:val="00D504AF"/>
    <w:rsid w:val="00D5052E"/>
    <w:rsid w:val="00D50C73"/>
    <w:rsid w:val="00D5111D"/>
    <w:rsid w:val="00D518E1"/>
    <w:rsid w:val="00D53465"/>
    <w:rsid w:val="00D53609"/>
    <w:rsid w:val="00D53F64"/>
    <w:rsid w:val="00D54E20"/>
    <w:rsid w:val="00D55F46"/>
    <w:rsid w:val="00D56373"/>
    <w:rsid w:val="00D56489"/>
    <w:rsid w:val="00D60CBD"/>
    <w:rsid w:val="00D61E8A"/>
    <w:rsid w:val="00D64414"/>
    <w:rsid w:val="00D6522F"/>
    <w:rsid w:val="00D65B8C"/>
    <w:rsid w:val="00D664B0"/>
    <w:rsid w:val="00D664EB"/>
    <w:rsid w:val="00D6772C"/>
    <w:rsid w:val="00D717C5"/>
    <w:rsid w:val="00D72C82"/>
    <w:rsid w:val="00D733A1"/>
    <w:rsid w:val="00D7500D"/>
    <w:rsid w:val="00D7529B"/>
    <w:rsid w:val="00D75924"/>
    <w:rsid w:val="00D77A21"/>
    <w:rsid w:val="00D8247E"/>
    <w:rsid w:val="00D83AF3"/>
    <w:rsid w:val="00D84BC5"/>
    <w:rsid w:val="00D8639E"/>
    <w:rsid w:val="00D86A63"/>
    <w:rsid w:val="00D90026"/>
    <w:rsid w:val="00D9051D"/>
    <w:rsid w:val="00D91589"/>
    <w:rsid w:val="00D91C03"/>
    <w:rsid w:val="00D91F03"/>
    <w:rsid w:val="00D921F0"/>
    <w:rsid w:val="00D934D8"/>
    <w:rsid w:val="00D9385F"/>
    <w:rsid w:val="00D9456B"/>
    <w:rsid w:val="00DA15F1"/>
    <w:rsid w:val="00DA3D4A"/>
    <w:rsid w:val="00DB0172"/>
    <w:rsid w:val="00DB0B54"/>
    <w:rsid w:val="00DB162E"/>
    <w:rsid w:val="00DB1641"/>
    <w:rsid w:val="00DB2029"/>
    <w:rsid w:val="00DB22CF"/>
    <w:rsid w:val="00DB26EC"/>
    <w:rsid w:val="00DB32CC"/>
    <w:rsid w:val="00DB367E"/>
    <w:rsid w:val="00DB36ED"/>
    <w:rsid w:val="00DB3A8E"/>
    <w:rsid w:val="00DB4B96"/>
    <w:rsid w:val="00DB5847"/>
    <w:rsid w:val="00DB5DA3"/>
    <w:rsid w:val="00DB72AA"/>
    <w:rsid w:val="00DB7D38"/>
    <w:rsid w:val="00DC1BBF"/>
    <w:rsid w:val="00DC22EF"/>
    <w:rsid w:val="00DC24A2"/>
    <w:rsid w:val="00DC2BC2"/>
    <w:rsid w:val="00DC4224"/>
    <w:rsid w:val="00DC4255"/>
    <w:rsid w:val="00DC4446"/>
    <w:rsid w:val="00DC6013"/>
    <w:rsid w:val="00DC7E0F"/>
    <w:rsid w:val="00DD2342"/>
    <w:rsid w:val="00DD2C68"/>
    <w:rsid w:val="00DD4A30"/>
    <w:rsid w:val="00DD60F2"/>
    <w:rsid w:val="00DD6CB6"/>
    <w:rsid w:val="00DD7457"/>
    <w:rsid w:val="00DD7A07"/>
    <w:rsid w:val="00DD7A8F"/>
    <w:rsid w:val="00DD7AB5"/>
    <w:rsid w:val="00DE123F"/>
    <w:rsid w:val="00DE2208"/>
    <w:rsid w:val="00DE236D"/>
    <w:rsid w:val="00DE4859"/>
    <w:rsid w:val="00DE4A06"/>
    <w:rsid w:val="00DE73BA"/>
    <w:rsid w:val="00DF2580"/>
    <w:rsid w:val="00DF39A7"/>
    <w:rsid w:val="00DF4163"/>
    <w:rsid w:val="00DF445F"/>
    <w:rsid w:val="00DF4737"/>
    <w:rsid w:val="00DF48B1"/>
    <w:rsid w:val="00DF4906"/>
    <w:rsid w:val="00DF5BEC"/>
    <w:rsid w:val="00E006A4"/>
    <w:rsid w:val="00E0507D"/>
    <w:rsid w:val="00E055BA"/>
    <w:rsid w:val="00E057AE"/>
    <w:rsid w:val="00E06208"/>
    <w:rsid w:val="00E06D97"/>
    <w:rsid w:val="00E06DED"/>
    <w:rsid w:val="00E071C8"/>
    <w:rsid w:val="00E1017E"/>
    <w:rsid w:val="00E109A4"/>
    <w:rsid w:val="00E10B5A"/>
    <w:rsid w:val="00E129FD"/>
    <w:rsid w:val="00E13FA6"/>
    <w:rsid w:val="00E1490F"/>
    <w:rsid w:val="00E14D37"/>
    <w:rsid w:val="00E14FF6"/>
    <w:rsid w:val="00E150AA"/>
    <w:rsid w:val="00E15111"/>
    <w:rsid w:val="00E15B2A"/>
    <w:rsid w:val="00E1600F"/>
    <w:rsid w:val="00E16B1D"/>
    <w:rsid w:val="00E16BFD"/>
    <w:rsid w:val="00E17F72"/>
    <w:rsid w:val="00E20A87"/>
    <w:rsid w:val="00E2112D"/>
    <w:rsid w:val="00E22020"/>
    <w:rsid w:val="00E22EBB"/>
    <w:rsid w:val="00E22F65"/>
    <w:rsid w:val="00E23E1D"/>
    <w:rsid w:val="00E23FDA"/>
    <w:rsid w:val="00E24986"/>
    <w:rsid w:val="00E251AB"/>
    <w:rsid w:val="00E264A7"/>
    <w:rsid w:val="00E305C7"/>
    <w:rsid w:val="00E308CB"/>
    <w:rsid w:val="00E3258C"/>
    <w:rsid w:val="00E325CE"/>
    <w:rsid w:val="00E360F1"/>
    <w:rsid w:val="00E364E4"/>
    <w:rsid w:val="00E36BD1"/>
    <w:rsid w:val="00E4056B"/>
    <w:rsid w:val="00E4295F"/>
    <w:rsid w:val="00E42CF4"/>
    <w:rsid w:val="00E42E78"/>
    <w:rsid w:val="00E4362A"/>
    <w:rsid w:val="00E46271"/>
    <w:rsid w:val="00E46994"/>
    <w:rsid w:val="00E50F1A"/>
    <w:rsid w:val="00E513D8"/>
    <w:rsid w:val="00E52EEA"/>
    <w:rsid w:val="00E53948"/>
    <w:rsid w:val="00E54CC1"/>
    <w:rsid w:val="00E57A7E"/>
    <w:rsid w:val="00E60377"/>
    <w:rsid w:val="00E609AA"/>
    <w:rsid w:val="00E60AD5"/>
    <w:rsid w:val="00E6129E"/>
    <w:rsid w:val="00E613E5"/>
    <w:rsid w:val="00E618A4"/>
    <w:rsid w:val="00E62648"/>
    <w:rsid w:val="00E629DA"/>
    <w:rsid w:val="00E62D71"/>
    <w:rsid w:val="00E6481C"/>
    <w:rsid w:val="00E648B8"/>
    <w:rsid w:val="00E6650A"/>
    <w:rsid w:val="00E672B3"/>
    <w:rsid w:val="00E6780B"/>
    <w:rsid w:val="00E7018C"/>
    <w:rsid w:val="00E7039A"/>
    <w:rsid w:val="00E707CC"/>
    <w:rsid w:val="00E71785"/>
    <w:rsid w:val="00E73699"/>
    <w:rsid w:val="00E736BB"/>
    <w:rsid w:val="00E7379F"/>
    <w:rsid w:val="00E73862"/>
    <w:rsid w:val="00E743E9"/>
    <w:rsid w:val="00E74F6C"/>
    <w:rsid w:val="00E755C9"/>
    <w:rsid w:val="00E763C3"/>
    <w:rsid w:val="00E77F82"/>
    <w:rsid w:val="00E814CB"/>
    <w:rsid w:val="00E821DC"/>
    <w:rsid w:val="00E83CBC"/>
    <w:rsid w:val="00E84662"/>
    <w:rsid w:val="00E84BEE"/>
    <w:rsid w:val="00E855CE"/>
    <w:rsid w:val="00E858E0"/>
    <w:rsid w:val="00E91BD6"/>
    <w:rsid w:val="00E93E1A"/>
    <w:rsid w:val="00E962FC"/>
    <w:rsid w:val="00E96C05"/>
    <w:rsid w:val="00E96D67"/>
    <w:rsid w:val="00E979CB"/>
    <w:rsid w:val="00EA04FF"/>
    <w:rsid w:val="00EA0644"/>
    <w:rsid w:val="00EA13EA"/>
    <w:rsid w:val="00EA17E5"/>
    <w:rsid w:val="00EA29F1"/>
    <w:rsid w:val="00EA2B07"/>
    <w:rsid w:val="00EA2E76"/>
    <w:rsid w:val="00EA3A2E"/>
    <w:rsid w:val="00EA49A1"/>
    <w:rsid w:val="00EA5069"/>
    <w:rsid w:val="00EA559C"/>
    <w:rsid w:val="00EA606B"/>
    <w:rsid w:val="00EA6613"/>
    <w:rsid w:val="00EA68C5"/>
    <w:rsid w:val="00EA7079"/>
    <w:rsid w:val="00EB0D96"/>
    <w:rsid w:val="00EB29E2"/>
    <w:rsid w:val="00EB3727"/>
    <w:rsid w:val="00EB389F"/>
    <w:rsid w:val="00EB39A0"/>
    <w:rsid w:val="00EB3E36"/>
    <w:rsid w:val="00EB4CA2"/>
    <w:rsid w:val="00EB4FA2"/>
    <w:rsid w:val="00EC1719"/>
    <w:rsid w:val="00EC1906"/>
    <w:rsid w:val="00EC2BA1"/>
    <w:rsid w:val="00EC3DEF"/>
    <w:rsid w:val="00EC3ED1"/>
    <w:rsid w:val="00ED0D48"/>
    <w:rsid w:val="00ED1C9D"/>
    <w:rsid w:val="00ED2D68"/>
    <w:rsid w:val="00ED2F6A"/>
    <w:rsid w:val="00ED3505"/>
    <w:rsid w:val="00ED5356"/>
    <w:rsid w:val="00ED573F"/>
    <w:rsid w:val="00ED58E2"/>
    <w:rsid w:val="00ED5D5F"/>
    <w:rsid w:val="00ED5E7B"/>
    <w:rsid w:val="00ED6D21"/>
    <w:rsid w:val="00ED7741"/>
    <w:rsid w:val="00EE0CD6"/>
    <w:rsid w:val="00EE0F72"/>
    <w:rsid w:val="00EE1F7E"/>
    <w:rsid w:val="00EE2F32"/>
    <w:rsid w:val="00EE3CB7"/>
    <w:rsid w:val="00EE3D0B"/>
    <w:rsid w:val="00EE56C9"/>
    <w:rsid w:val="00EE66A9"/>
    <w:rsid w:val="00EE73C3"/>
    <w:rsid w:val="00EE7B25"/>
    <w:rsid w:val="00EF0F06"/>
    <w:rsid w:val="00EF1BEA"/>
    <w:rsid w:val="00EF2D13"/>
    <w:rsid w:val="00EF2FD2"/>
    <w:rsid w:val="00EF3407"/>
    <w:rsid w:val="00EF3423"/>
    <w:rsid w:val="00EF3CD7"/>
    <w:rsid w:val="00EF51A7"/>
    <w:rsid w:val="00EF59C7"/>
    <w:rsid w:val="00EF682A"/>
    <w:rsid w:val="00EF6C6D"/>
    <w:rsid w:val="00EF73EB"/>
    <w:rsid w:val="00F01053"/>
    <w:rsid w:val="00F02203"/>
    <w:rsid w:val="00F024AD"/>
    <w:rsid w:val="00F048B8"/>
    <w:rsid w:val="00F04E93"/>
    <w:rsid w:val="00F06453"/>
    <w:rsid w:val="00F07797"/>
    <w:rsid w:val="00F100EE"/>
    <w:rsid w:val="00F11FE2"/>
    <w:rsid w:val="00F1201D"/>
    <w:rsid w:val="00F149C4"/>
    <w:rsid w:val="00F151BB"/>
    <w:rsid w:val="00F15440"/>
    <w:rsid w:val="00F15656"/>
    <w:rsid w:val="00F15D68"/>
    <w:rsid w:val="00F15E81"/>
    <w:rsid w:val="00F1623A"/>
    <w:rsid w:val="00F166B1"/>
    <w:rsid w:val="00F17397"/>
    <w:rsid w:val="00F210E1"/>
    <w:rsid w:val="00F212DE"/>
    <w:rsid w:val="00F23D48"/>
    <w:rsid w:val="00F25288"/>
    <w:rsid w:val="00F328CE"/>
    <w:rsid w:val="00F329B2"/>
    <w:rsid w:val="00F343C0"/>
    <w:rsid w:val="00F345DA"/>
    <w:rsid w:val="00F34DBD"/>
    <w:rsid w:val="00F36802"/>
    <w:rsid w:val="00F37A61"/>
    <w:rsid w:val="00F40F8A"/>
    <w:rsid w:val="00F412A9"/>
    <w:rsid w:val="00F4453F"/>
    <w:rsid w:val="00F45B31"/>
    <w:rsid w:val="00F45B53"/>
    <w:rsid w:val="00F503C9"/>
    <w:rsid w:val="00F51C81"/>
    <w:rsid w:val="00F60405"/>
    <w:rsid w:val="00F60DD3"/>
    <w:rsid w:val="00F61774"/>
    <w:rsid w:val="00F62507"/>
    <w:rsid w:val="00F6265C"/>
    <w:rsid w:val="00F627D2"/>
    <w:rsid w:val="00F63C62"/>
    <w:rsid w:val="00F66259"/>
    <w:rsid w:val="00F664F1"/>
    <w:rsid w:val="00F66A17"/>
    <w:rsid w:val="00F67D4D"/>
    <w:rsid w:val="00F67F80"/>
    <w:rsid w:val="00F70909"/>
    <w:rsid w:val="00F70D28"/>
    <w:rsid w:val="00F72ED9"/>
    <w:rsid w:val="00F73222"/>
    <w:rsid w:val="00F73F97"/>
    <w:rsid w:val="00F7486A"/>
    <w:rsid w:val="00F760A3"/>
    <w:rsid w:val="00F82A94"/>
    <w:rsid w:val="00F82FC9"/>
    <w:rsid w:val="00F8397C"/>
    <w:rsid w:val="00F8588F"/>
    <w:rsid w:val="00F878A3"/>
    <w:rsid w:val="00F91225"/>
    <w:rsid w:val="00F93518"/>
    <w:rsid w:val="00F93896"/>
    <w:rsid w:val="00F93AF3"/>
    <w:rsid w:val="00F93EB0"/>
    <w:rsid w:val="00F94690"/>
    <w:rsid w:val="00F94C7D"/>
    <w:rsid w:val="00F95861"/>
    <w:rsid w:val="00F964A6"/>
    <w:rsid w:val="00F9777C"/>
    <w:rsid w:val="00FA33C0"/>
    <w:rsid w:val="00FA3540"/>
    <w:rsid w:val="00FA3627"/>
    <w:rsid w:val="00FA4CE8"/>
    <w:rsid w:val="00FA5A10"/>
    <w:rsid w:val="00FA6446"/>
    <w:rsid w:val="00FA73B9"/>
    <w:rsid w:val="00FA752A"/>
    <w:rsid w:val="00FB0844"/>
    <w:rsid w:val="00FB318A"/>
    <w:rsid w:val="00FB44A7"/>
    <w:rsid w:val="00FB4DF0"/>
    <w:rsid w:val="00FB5AEC"/>
    <w:rsid w:val="00FB7AE8"/>
    <w:rsid w:val="00FC0F37"/>
    <w:rsid w:val="00FC2746"/>
    <w:rsid w:val="00FC2DEA"/>
    <w:rsid w:val="00FC3B8C"/>
    <w:rsid w:val="00FC461A"/>
    <w:rsid w:val="00FC5923"/>
    <w:rsid w:val="00FC5EF1"/>
    <w:rsid w:val="00FD0423"/>
    <w:rsid w:val="00FD0449"/>
    <w:rsid w:val="00FD1F15"/>
    <w:rsid w:val="00FD3335"/>
    <w:rsid w:val="00FD4611"/>
    <w:rsid w:val="00FD4E30"/>
    <w:rsid w:val="00FD6FAD"/>
    <w:rsid w:val="00FD7336"/>
    <w:rsid w:val="00FE06A1"/>
    <w:rsid w:val="00FE1258"/>
    <w:rsid w:val="00FE12FF"/>
    <w:rsid w:val="00FE136D"/>
    <w:rsid w:val="00FE2C0E"/>
    <w:rsid w:val="00FE33AF"/>
    <w:rsid w:val="00FE33DF"/>
    <w:rsid w:val="00FE606C"/>
    <w:rsid w:val="00FE60D8"/>
    <w:rsid w:val="00FF0E46"/>
    <w:rsid w:val="00FF0FBB"/>
    <w:rsid w:val="00FF10ED"/>
    <w:rsid w:val="00FF37A4"/>
    <w:rsid w:val="00FF3D02"/>
    <w:rsid w:val="00FF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locked="1" w:qFormat="1"/>
    <w:lsdException w:name="footnote reference" w:uiPriority="99"/>
    <w:lsdException w:name="Title" w:locked="1" w:qFormat="1"/>
    <w:lsdException w:name="Subtitle" w:locked="1" w:qFormat="1"/>
    <w:lsdException w:name="Hyperlink" w:locked="1"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34BC"/>
    <w:rPr>
      <w:sz w:val="24"/>
      <w:szCs w:val="24"/>
    </w:rPr>
  </w:style>
  <w:style w:type="paragraph" w:styleId="Heading1">
    <w:name w:val="heading 1"/>
    <w:aliases w:val="Chap Num,Chapter Level"/>
    <w:basedOn w:val="Normal"/>
    <w:next w:val="Normal"/>
    <w:link w:val="Heading1Char"/>
    <w:qFormat/>
    <w:rsid w:val="00602D90"/>
    <w:pPr>
      <w:keepNext/>
      <w:numPr>
        <w:numId w:val="2"/>
      </w:numPr>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
    <w:qFormat/>
    <w:rsid w:val="00602D90"/>
    <w:pPr>
      <w:keepNext/>
      <w:numPr>
        <w:ilvl w:val="1"/>
        <w:numId w:val="2"/>
      </w:numPr>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602D90"/>
    <w:pPr>
      <w:keepNext/>
      <w:numPr>
        <w:ilvl w:val="2"/>
        <w:numId w:val="2"/>
      </w:numPr>
      <w:spacing w:before="240" w:after="60"/>
      <w:ind w:left="720"/>
      <w:outlineLvl w:val="2"/>
    </w:pPr>
    <w:rPr>
      <w:rFonts w:ascii="Arial" w:hAnsi="Arial" w:cs="Arial"/>
      <w:b/>
      <w:bCs/>
      <w:szCs w:val="26"/>
    </w:rPr>
  </w:style>
  <w:style w:type="paragraph" w:styleId="Heading4">
    <w:name w:val="heading 4"/>
    <w:basedOn w:val="Normal"/>
    <w:next w:val="Normal"/>
    <w:link w:val="Heading4Char"/>
    <w:qFormat/>
    <w:rsid w:val="00656B9A"/>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656B9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656B9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656B9A"/>
    <w:pPr>
      <w:numPr>
        <w:ilvl w:val="6"/>
        <w:numId w:val="2"/>
      </w:numPr>
      <w:spacing w:before="240" w:after="60"/>
      <w:outlineLvl w:val="6"/>
    </w:pPr>
    <w:rPr>
      <w:rFonts w:ascii="Calibri" w:hAnsi="Calibri"/>
    </w:rPr>
  </w:style>
  <w:style w:type="paragraph" w:styleId="Heading8">
    <w:name w:val="heading 8"/>
    <w:basedOn w:val="Normal"/>
    <w:next w:val="Normal"/>
    <w:link w:val="Heading8Char"/>
    <w:uiPriority w:val="9"/>
    <w:qFormat/>
    <w:rsid w:val="00656B9A"/>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9"/>
    <w:qFormat/>
    <w:rsid w:val="00656B9A"/>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02D90"/>
    <w:rPr>
      <w:rFonts w:ascii="Arial" w:hAnsi="Arial" w:cs="Arial"/>
      <w:b/>
      <w:bCs/>
      <w:i/>
      <w:iCs/>
      <w:sz w:val="24"/>
      <w:szCs w:val="28"/>
    </w:rPr>
  </w:style>
  <w:style w:type="character" w:customStyle="1" w:styleId="Heading3Char">
    <w:name w:val="Heading 3 Char"/>
    <w:basedOn w:val="DefaultParagraphFont"/>
    <w:link w:val="Heading3"/>
    <w:uiPriority w:val="9"/>
    <w:locked/>
    <w:rsid w:val="00602D90"/>
    <w:rPr>
      <w:rFonts w:ascii="Arial" w:hAnsi="Arial" w:cs="Arial"/>
      <w:b/>
      <w:bCs/>
      <w:sz w:val="24"/>
      <w:szCs w:val="26"/>
    </w:rPr>
  </w:style>
  <w:style w:type="character" w:customStyle="1" w:styleId="Heading4Char">
    <w:name w:val="Heading 4 Char"/>
    <w:basedOn w:val="DefaultParagraphFont"/>
    <w:link w:val="Heading4"/>
    <w:locked/>
    <w:rsid w:val="00656B9A"/>
    <w:rPr>
      <w:rFonts w:ascii="Calibri" w:hAnsi="Calibri"/>
      <w:b/>
      <w:bCs/>
      <w:sz w:val="28"/>
      <w:szCs w:val="28"/>
    </w:rPr>
  </w:style>
  <w:style w:type="character" w:customStyle="1" w:styleId="Heading5Char">
    <w:name w:val="Heading 5 Char"/>
    <w:basedOn w:val="DefaultParagraphFont"/>
    <w:link w:val="Heading5"/>
    <w:locked/>
    <w:rsid w:val="00656B9A"/>
    <w:rPr>
      <w:rFonts w:ascii="Calibri" w:hAnsi="Calibri"/>
      <w:b/>
      <w:bCs/>
      <w:i/>
      <w:iCs/>
      <w:sz w:val="26"/>
      <w:szCs w:val="26"/>
    </w:rPr>
  </w:style>
  <w:style w:type="character" w:customStyle="1" w:styleId="Heading6Char">
    <w:name w:val="Heading 6 Char"/>
    <w:basedOn w:val="DefaultParagraphFont"/>
    <w:link w:val="Heading6"/>
    <w:locked/>
    <w:rsid w:val="00656B9A"/>
    <w:rPr>
      <w:rFonts w:ascii="Calibri" w:hAnsi="Calibri"/>
      <w:b/>
      <w:bCs/>
      <w:sz w:val="22"/>
      <w:szCs w:val="22"/>
    </w:rPr>
  </w:style>
  <w:style w:type="character" w:customStyle="1" w:styleId="Heading7Char">
    <w:name w:val="Heading 7 Char"/>
    <w:basedOn w:val="DefaultParagraphFont"/>
    <w:link w:val="Heading7"/>
    <w:locked/>
    <w:rsid w:val="00656B9A"/>
    <w:rPr>
      <w:rFonts w:ascii="Calibri" w:hAnsi="Calibri"/>
      <w:sz w:val="24"/>
      <w:szCs w:val="24"/>
    </w:rPr>
  </w:style>
  <w:style w:type="character" w:customStyle="1" w:styleId="Heading8Char">
    <w:name w:val="Heading 8 Char"/>
    <w:basedOn w:val="DefaultParagraphFont"/>
    <w:link w:val="Heading8"/>
    <w:locked/>
    <w:rsid w:val="00656B9A"/>
    <w:rPr>
      <w:rFonts w:ascii="Calibri" w:hAnsi="Calibri"/>
      <w:i/>
      <w:iCs/>
      <w:sz w:val="24"/>
      <w:szCs w:val="24"/>
    </w:rPr>
  </w:style>
  <w:style w:type="character" w:customStyle="1" w:styleId="Heading9Char">
    <w:name w:val="Heading 9 Char"/>
    <w:basedOn w:val="DefaultParagraphFont"/>
    <w:link w:val="Heading9"/>
    <w:locked/>
    <w:rsid w:val="00656B9A"/>
    <w:rPr>
      <w:rFonts w:ascii="Cambria" w:hAnsi="Cambria"/>
      <w:sz w:val="22"/>
      <w:szCs w:val="22"/>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
    <w:basedOn w:val="Normal"/>
    <w:link w:val="FootnoteTextChar"/>
    <w:uiPriority w:val="99"/>
    <w:rsid w:val="00602D90"/>
    <w:rPr>
      <w:sz w:val="20"/>
      <w:szCs w:val="20"/>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
    <w:basedOn w:val="DefaultParagraphFont"/>
    <w:link w:val="FootnoteText"/>
    <w:uiPriority w:val="99"/>
    <w:locked/>
    <w:rsid w:val="00013331"/>
    <w:rPr>
      <w:rFonts w:cs="Times New Roman"/>
      <w:lang w:val="en-US" w:eastAsia="en-US" w:bidi="ar-SA"/>
    </w:rPr>
  </w:style>
  <w:style w:type="character" w:styleId="FootnoteReference">
    <w:name w:val="footnote reference"/>
    <w:aliases w:val="o"/>
    <w:basedOn w:val="DefaultParagraphFont"/>
    <w:uiPriority w:val="99"/>
    <w:rsid w:val="00602D90"/>
    <w:rPr>
      <w:rFonts w:cs="Times New Roman"/>
      <w:vertAlign w:val="superscript"/>
    </w:rPr>
  </w:style>
  <w:style w:type="paragraph" w:customStyle="1" w:styleId="TableCaption">
    <w:name w:val="Table Caption"/>
    <w:basedOn w:val="Caption"/>
    <w:link w:val="TableCaptionChar"/>
    <w:qFormat/>
    <w:rsid w:val="00602D90"/>
    <w:pPr>
      <w:keepNext/>
      <w:spacing w:after="120"/>
      <w:jc w:val="center"/>
    </w:pPr>
    <w:rPr>
      <w:sz w:val="24"/>
    </w:rPr>
  </w:style>
  <w:style w:type="paragraph" w:styleId="Caption">
    <w:name w:val="caption"/>
    <w:basedOn w:val="Normal"/>
    <w:next w:val="Normal"/>
    <w:qFormat/>
    <w:rsid w:val="00602D90"/>
    <w:rPr>
      <w:b/>
      <w:bCs/>
      <w:sz w:val="20"/>
      <w:szCs w:val="20"/>
    </w:rPr>
  </w:style>
  <w:style w:type="character" w:customStyle="1" w:styleId="TableCaptionChar">
    <w:name w:val="Table Caption Char"/>
    <w:basedOn w:val="DefaultParagraphFont"/>
    <w:link w:val="TableCaption"/>
    <w:locked/>
    <w:rsid w:val="00602D90"/>
    <w:rPr>
      <w:rFonts w:cs="Times New Roman"/>
      <w:b/>
      <w:bCs/>
      <w:sz w:val="24"/>
      <w:lang w:val="en-US" w:eastAsia="en-US" w:bidi="ar-SA"/>
    </w:rPr>
  </w:style>
  <w:style w:type="paragraph" w:customStyle="1" w:styleId="StyleCaptionCentered">
    <w:name w:val="Style Caption + Centered"/>
    <w:basedOn w:val="Caption"/>
    <w:link w:val="StyleCaptionCenteredChar"/>
    <w:rsid w:val="00602D90"/>
    <w:pPr>
      <w:keepNext/>
      <w:spacing w:after="120"/>
      <w:jc w:val="center"/>
    </w:pPr>
    <w:rPr>
      <w:sz w:val="24"/>
    </w:rPr>
  </w:style>
  <w:style w:type="character" w:customStyle="1" w:styleId="StyleCaptionCenteredChar">
    <w:name w:val="Style Caption + Centered Char"/>
    <w:basedOn w:val="DefaultParagraphFont"/>
    <w:link w:val="StyleCaptionCentered"/>
    <w:locked/>
    <w:rsid w:val="00602D90"/>
    <w:rPr>
      <w:rFonts w:cs="Times New Roman"/>
      <w:b/>
      <w:bCs/>
      <w:sz w:val="24"/>
      <w:lang w:val="en-US" w:eastAsia="en-US" w:bidi="ar-SA"/>
    </w:rPr>
  </w:style>
  <w:style w:type="paragraph" w:styleId="Footer">
    <w:name w:val="footer"/>
    <w:basedOn w:val="Normal"/>
    <w:link w:val="FooterChar"/>
    <w:uiPriority w:val="99"/>
    <w:rsid w:val="004C3F63"/>
    <w:pPr>
      <w:tabs>
        <w:tab w:val="center" w:pos="4320"/>
        <w:tab w:val="right" w:pos="8640"/>
      </w:tabs>
    </w:pPr>
  </w:style>
  <w:style w:type="character" w:customStyle="1" w:styleId="FooterChar">
    <w:name w:val="Footer Char"/>
    <w:basedOn w:val="DefaultParagraphFont"/>
    <w:link w:val="Footer"/>
    <w:uiPriority w:val="99"/>
    <w:locked/>
    <w:rsid w:val="00E618A4"/>
    <w:rPr>
      <w:rFonts w:cs="Times New Roman"/>
      <w:sz w:val="24"/>
      <w:szCs w:val="24"/>
    </w:rPr>
  </w:style>
  <w:style w:type="character" w:styleId="PageNumber">
    <w:name w:val="page number"/>
    <w:basedOn w:val="DefaultParagraphFont"/>
    <w:rsid w:val="004C3F63"/>
    <w:rPr>
      <w:rFonts w:cs="Times New Roman"/>
    </w:rPr>
  </w:style>
  <w:style w:type="paragraph" w:customStyle="1" w:styleId="FigureCaption">
    <w:name w:val="Figure Caption"/>
    <w:basedOn w:val="TableCaption"/>
    <w:link w:val="FigureCaptionChar"/>
    <w:qFormat/>
    <w:rsid w:val="00470869"/>
    <w:pPr>
      <w:keepNext w:val="0"/>
      <w:spacing w:after="240"/>
    </w:pPr>
  </w:style>
  <w:style w:type="character" w:customStyle="1" w:styleId="FigureCaptionChar">
    <w:name w:val="Figure Caption Char"/>
    <w:basedOn w:val="TableCaptionChar"/>
    <w:link w:val="FigureCaption"/>
    <w:locked/>
    <w:rsid w:val="00470869"/>
    <w:rPr>
      <w:rFonts w:cs="Times New Roman"/>
      <w:b/>
      <w:bCs/>
      <w:sz w:val="24"/>
      <w:lang w:val="en-US" w:eastAsia="en-US" w:bidi="ar-SA"/>
    </w:rPr>
  </w:style>
  <w:style w:type="table" w:styleId="TableGrid">
    <w:name w:val="Table Grid"/>
    <w:basedOn w:val="TableNormal"/>
    <w:rsid w:val="0047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173F0"/>
    <w:pPr>
      <w:numPr>
        <w:numId w:val="1"/>
      </w:numPr>
      <w:spacing w:after="240"/>
    </w:pPr>
    <w:rPr>
      <w:rFonts w:ascii="Arial" w:hAnsi="Arial"/>
      <w:sz w:val="22"/>
      <w:szCs w:val="22"/>
    </w:rPr>
  </w:style>
  <w:style w:type="character" w:customStyle="1" w:styleId="CharChar">
    <w:name w:val="Char Char"/>
    <w:basedOn w:val="DefaultParagraphFont"/>
    <w:semiHidden/>
    <w:rsid w:val="00B80905"/>
    <w:rPr>
      <w:rFonts w:cs="Times New Roman"/>
      <w:sz w:val="20"/>
      <w:szCs w:val="20"/>
    </w:rPr>
  </w:style>
  <w:style w:type="character" w:styleId="Hyperlink">
    <w:name w:val="Hyperlink"/>
    <w:basedOn w:val="DefaultParagraphFont"/>
    <w:uiPriority w:val="99"/>
    <w:rsid w:val="00B80905"/>
    <w:rPr>
      <w:rFonts w:cs="Times New Roman"/>
      <w:color w:val="0000FF"/>
      <w:u w:val="single"/>
    </w:rPr>
  </w:style>
  <w:style w:type="paragraph" w:styleId="BodyTextIndent2">
    <w:name w:val="Body Text Indent 2"/>
    <w:basedOn w:val="Normal"/>
    <w:rsid w:val="00E15111"/>
    <w:pPr>
      <w:spacing w:after="120" w:line="480" w:lineRule="auto"/>
      <w:ind w:firstLine="720"/>
    </w:pPr>
  </w:style>
  <w:style w:type="paragraph" w:styleId="BalloonText">
    <w:name w:val="Balloon Text"/>
    <w:basedOn w:val="Normal"/>
    <w:link w:val="BalloonTextChar"/>
    <w:rsid w:val="003624FE"/>
    <w:rPr>
      <w:rFonts w:ascii="Tahoma" w:hAnsi="Tahoma" w:cs="Tahoma"/>
      <w:sz w:val="16"/>
      <w:szCs w:val="16"/>
    </w:rPr>
  </w:style>
  <w:style w:type="character" w:customStyle="1" w:styleId="BalloonTextChar">
    <w:name w:val="Balloon Text Char"/>
    <w:basedOn w:val="DefaultParagraphFont"/>
    <w:link w:val="BalloonText"/>
    <w:locked/>
    <w:rsid w:val="003624FE"/>
    <w:rPr>
      <w:rFonts w:ascii="Tahoma" w:hAnsi="Tahoma" w:cs="Tahoma"/>
      <w:sz w:val="16"/>
      <w:szCs w:val="16"/>
    </w:rPr>
  </w:style>
  <w:style w:type="character" w:styleId="CommentReference">
    <w:name w:val="annotation reference"/>
    <w:basedOn w:val="DefaultParagraphFont"/>
    <w:rsid w:val="0071241E"/>
    <w:rPr>
      <w:rFonts w:cs="Times New Roman"/>
      <w:sz w:val="16"/>
      <w:szCs w:val="16"/>
    </w:rPr>
  </w:style>
  <w:style w:type="paragraph" w:styleId="CommentText">
    <w:name w:val="annotation text"/>
    <w:basedOn w:val="Normal"/>
    <w:link w:val="CommentTextChar1"/>
    <w:rsid w:val="0071241E"/>
    <w:rPr>
      <w:sz w:val="20"/>
      <w:szCs w:val="20"/>
    </w:rPr>
  </w:style>
  <w:style w:type="character" w:customStyle="1" w:styleId="CommentTextChar1">
    <w:name w:val="Comment Text Char1"/>
    <w:basedOn w:val="DefaultParagraphFont"/>
    <w:link w:val="CommentText"/>
    <w:locked/>
    <w:rsid w:val="0071241E"/>
    <w:rPr>
      <w:rFonts w:cs="Times New Roman"/>
    </w:rPr>
  </w:style>
  <w:style w:type="paragraph" w:styleId="CommentSubject">
    <w:name w:val="annotation subject"/>
    <w:basedOn w:val="CommentText"/>
    <w:next w:val="CommentText"/>
    <w:link w:val="CommentSubjectChar"/>
    <w:rsid w:val="0071241E"/>
    <w:rPr>
      <w:b/>
      <w:bCs/>
    </w:rPr>
  </w:style>
  <w:style w:type="character" w:customStyle="1" w:styleId="CommentSubjectChar">
    <w:name w:val="Comment Subject Char"/>
    <w:basedOn w:val="CommentTextChar1"/>
    <w:link w:val="CommentSubject"/>
    <w:locked/>
    <w:rsid w:val="0071241E"/>
    <w:rPr>
      <w:rFonts w:cs="Times New Roman"/>
      <w:b/>
      <w:bCs/>
    </w:rPr>
  </w:style>
  <w:style w:type="paragraph" w:styleId="TOC1">
    <w:name w:val="toc 1"/>
    <w:basedOn w:val="Normal"/>
    <w:next w:val="Normal"/>
    <w:autoRedefine/>
    <w:uiPriority w:val="39"/>
    <w:rsid w:val="0071209C"/>
  </w:style>
  <w:style w:type="paragraph" w:styleId="TOC2">
    <w:name w:val="toc 2"/>
    <w:basedOn w:val="Normal"/>
    <w:next w:val="Normal"/>
    <w:autoRedefine/>
    <w:uiPriority w:val="39"/>
    <w:rsid w:val="0071209C"/>
    <w:pPr>
      <w:ind w:left="240"/>
    </w:pPr>
  </w:style>
  <w:style w:type="paragraph" w:styleId="TOC3">
    <w:name w:val="toc 3"/>
    <w:basedOn w:val="Normal"/>
    <w:next w:val="Normal"/>
    <w:autoRedefine/>
    <w:uiPriority w:val="39"/>
    <w:rsid w:val="0071209C"/>
    <w:pPr>
      <w:ind w:left="480"/>
    </w:pPr>
  </w:style>
  <w:style w:type="paragraph" w:styleId="TOCHeading">
    <w:name w:val="TOC Heading"/>
    <w:basedOn w:val="Heading1"/>
    <w:next w:val="Normal"/>
    <w:uiPriority w:val="39"/>
    <w:qFormat/>
    <w:rsid w:val="00C4576A"/>
    <w:pPr>
      <w:keepLines/>
      <w:numPr>
        <w:numId w:val="0"/>
      </w:numPr>
      <w:spacing w:before="480" w:after="0" w:line="276" w:lineRule="auto"/>
      <w:outlineLvl w:val="9"/>
    </w:pPr>
    <w:rPr>
      <w:rFonts w:ascii="Cambria" w:hAnsi="Cambria" w:cs="Times New Roman"/>
      <w:color w:val="365F91"/>
      <w:kern w:val="0"/>
      <w:sz w:val="28"/>
      <w:szCs w:val="28"/>
    </w:rPr>
  </w:style>
  <w:style w:type="paragraph" w:styleId="Header">
    <w:name w:val="header"/>
    <w:basedOn w:val="Normal"/>
    <w:link w:val="HeaderChar"/>
    <w:rsid w:val="00C4576A"/>
    <w:pPr>
      <w:tabs>
        <w:tab w:val="center" w:pos="4680"/>
        <w:tab w:val="right" w:pos="9360"/>
      </w:tabs>
    </w:pPr>
  </w:style>
  <w:style w:type="character" w:customStyle="1" w:styleId="HeaderChar">
    <w:name w:val="Header Char"/>
    <w:basedOn w:val="DefaultParagraphFont"/>
    <w:link w:val="Header"/>
    <w:locked/>
    <w:rsid w:val="00C4576A"/>
    <w:rPr>
      <w:rFonts w:cs="Times New Roman"/>
      <w:sz w:val="24"/>
      <w:szCs w:val="24"/>
    </w:rPr>
  </w:style>
  <w:style w:type="paragraph" w:styleId="BodyTextIndent">
    <w:name w:val="Body Text Indent"/>
    <w:basedOn w:val="Normal"/>
    <w:link w:val="BodyTextIndentChar"/>
    <w:rsid w:val="002153F9"/>
    <w:pPr>
      <w:spacing w:after="120"/>
      <w:ind w:left="360"/>
    </w:pPr>
  </w:style>
  <w:style w:type="character" w:customStyle="1" w:styleId="BodyTextIndentChar">
    <w:name w:val="Body Text Indent Char"/>
    <w:basedOn w:val="DefaultParagraphFont"/>
    <w:link w:val="BodyTextIndent"/>
    <w:locked/>
    <w:rsid w:val="002153F9"/>
    <w:rPr>
      <w:rFonts w:cs="Times New Roman"/>
      <w:sz w:val="24"/>
      <w:szCs w:val="24"/>
    </w:rPr>
  </w:style>
  <w:style w:type="paragraph" w:styleId="ListNumber3">
    <w:name w:val="List Number 3"/>
    <w:basedOn w:val="Normal"/>
    <w:rsid w:val="002153F9"/>
    <w:pPr>
      <w:numPr>
        <w:numId w:val="3"/>
      </w:numPr>
      <w:spacing w:before="60" w:after="120"/>
    </w:pPr>
    <w:rPr>
      <w:szCs w:val="20"/>
    </w:rPr>
  </w:style>
  <w:style w:type="paragraph" w:customStyle="1" w:styleId="BodyParagraph">
    <w:name w:val="Body Paragraph"/>
    <w:link w:val="BodyParagraphChar"/>
    <w:qFormat/>
    <w:rsid w:val="00D02AB5"/>
    <w:pPr>
      <w:spacing w:after="240" w:line="312" w:lineRule="auto"/>
    </w:pPr>
    <w:rPr>
      <w:rFonts w:ascii="Arial" w:hAnsi="Arial"/>
      <w:szCs w:val="22"/>
    </w:rPr>
  </w:style>
  <w:style w:type="character" w:customStyle="1" w:styleId="BodyParagraphChar">
    <w:name w:val="Body Paragraph Char"/>
    <w:basedOn w:val="DefaultParagraphFont"/>
    <w:link w:val="BodyParagraph"/>
    <w:locked/>
    <w:rsid w:val="000E2A84"/>
    <w:rPr>
      <w:rFonts w:ascii="Arial" w:hAnsi="Arial" w:cs="Times New Roman"/>
      <w:sz w:val="22"/>
      <w:szCs w:val="22"/>
      <w:lang w:val="en-US" w:eastAsia="en-US" w:bidi="ar-SA"/>
    </w:rPr>
  </w:style>
  <w:style w:type="paragraph" w:customStyle="1" w:styleId="BodyBeforeBullet">
    <w:name w:val="Body Before Bullet"/>
    <w:basedOn w:val="BodyParagraph"/>
    <w:next w:val="Bullets"/>
    <w:qFormat/>
    <w:rsid w:val="00D02AB5"/>
    <w:pPr>
      <w:keepNext/>
      <w:spacing w:after="120"/>
    </w:pPr>
  </w:style>
  <w:style w:type="paragraph" w:customStyle="1" w:styleId="Bullets">
    <w:name w:val="Bullets"/>
    <w:basedOn w:val="Normal"/>
    <w:qFormat/>
    <w:rsid w:val="00D02AB5"/>
    <w:pPr>
      <w:numPr>
        <w:numId w:val="4"/>
      </w:numPr>
      <w:spacing w:after="120"/>
    </w:pPr>
    <w:rPr>
      <w:rFonts w:ascii="Arial" w:hAnsi="Arial" w:cs="Arial"/>
      <w:sz w:val="20"/>
      <w:szCs w:val="21"/>
    </w:rPr>
  </w:style>
  <w:style w:type="paragraph" w:customStyle="1" w:styleId="BulletLast">
    <w:name w:val="Bullet Last"/>
    <w:basedOn w:val="Bullets"/>
    <w:next w:val="BodyParagraph"/>
    <w:qFormat/>
    <w:rsid w:val="00D02AB5"/>
    <w:pPr>
      <w:spacing w:after="360"/>
    </w:pPr>
  </w:style>
  <w:style w:type="paragraph" w:customStyle="1" w:styleId="TableFigureCaption">
    <w:name w:val="Table Figure Caption"/>
    <w:basedOn w:val="Normal"/>
    <w:next w:val="BodyParaAfterTableFigure"/>
    <w:qFormat/>
    <w:rsid w:val="00D02AB5"/>
    <w:pPr>
      <w:keepNext/>
      <w:spacing w:after="120"/>
      <w:jc w:val="center"/>
    </w:pPr>
    <w:rPr>
      <w:rFonts w:ascii="Arial" w:hAnsi="Arial"/>
      <w:b/>
      <w:sz w:val="22"/>
      <w:szCs w:val="22"/>
    </w:rPr>
  </w:style>
  <w:style w:type="paragraph" w:customStyle="1" w:styleId="BodyParaAfterTableFigure">
    <w:name w:val="Body Para After Table Figure"/>
    <w:basedOn w:val="BodyParagraph"/>
    <w:next w:val="BodyParagraph"/>
    <w:link w:val="BodyParaAfterTableFigureChar"/>
    <w:qFormat/>
    <w:rsid w:val="00D02AB5"/>
    <w:pPr>
      <w:spacing w:before="360"/>
    </w:pPr>
  </w:style>
  <w:style w:type="character" w:customStyle="1" w:styleId="BodyParaAfterTableFigureChar">
    <w:name w:val="Body Para After Table Figure Char"/>
    <w:basedOn w:val="BodyParagraphChar"/>
    <w:link w:val="BodyParaAfterTableFigure"/>
    <w:uiPriority w:val="99"/>
    <w:locked/>
    <w:rsid w:val="00B84C76"/>
    <w:rPr>
      <w:rFonts w:ascii="Arial" w:hAnsi="Arial" w:cs="Times New Roman"/>
      <w:sz w:val="22"/>
      <w:szCs w:val="22"/>
      <w:lang w:val="en-US" w:eastAsia="en-US" w:bidi="ar-SA"/>
    </w:rPr>
  </w:style>
  <w:style w:type="paragraph" w:customStyle="1" w:styleId="TableHeader">
    <w:name w:val="Table Header"/>
    <w:qFormat/>
    <w:rsid w:val="00D02AB5"/>
    <w:pPr>
      <w:spacing w:before="100" w:after="100"/>
      <w:jc w:val="center"/>
    </w:pPr>
    <w:rPr>
      <w:rFonts w:ascii="Arial" w:hAnsi="Arial"/>
      <w:b/>
      <w:color w:val="FFFFFF"/>
      <w:szCs w:val="22"/>
    </w:rPr>
  </w:style>
  <w:style w:type="paragraph" w:customStyle="1" w:styleId="TableText">
    <w:name w:val="Table Text"/>
    <w:qFormat/>
    <w:rsid w:val="00D02AB5"/>
    <w:pPr>
      <w:spacing w:before="60" w:after="60"/>
    </w:pPr>
    <w:rPr>
      <w:rFonts w:ascii="Arial" w:hAnsi="Arial"/>
      <w:sz w:val="18"/>
      <w:szCs w:val="22"/>
    </w:rPr>
  </w:style>
  <w:style w:type="character" w:customStyle="1" w:styleId="CommentTextChar">
    <w:name w:val="Comment Text Char"/>
    <w:basedOn w:val="DefaultParagraphFont"/>
    <w:locked/>
    <w:rsid w:val="00464D2E"/>
    <w:rPr>
      <w:rFonts w:cs="Times New Roman"/>
      <w:sz w:val="20"/>
      <w:szCs w:val="20"/>
    </w:rPr>
  </w:style>
  <w:style w:type="paragraph" w:styleId="DocumentMap">
    <w:name w:val="Document Map"/>
    <w:basedOn w:val="Normal"/>
    <w:semiHidden/>
    <w:rsid w:val="00AE2377"/>
    <w:pPr>
      <w:shd w:val="clear" w:color="auto" w:fill="000080"/>
    </w:pPr>
    <w:rPr>
      <w:rFonts w:ascii="Tahoma" w:hAnsi="Tahoma" w:cs="Tahoma"/>
      <w:sz w:val="20"/>
      <w:szCs w:val="20"/>
    </w:rPr>
  </w:style>
  <w:style w:type="paragraph" w:customStyle="1" w:styleId="Footnote">
    <w:name w:val="Footnote"/>
    <w:basedOn w:val="FootnoteText"/>
    <w:qFormat/>
    <w:rsid w:val="00DB0172"/>
    <w:pPr>
      <w:spacing w:after="120"/>
    </w:pPr>
    <w:rPr>
      <w:rFonts w:ascii="Franklin Gothic Book" w:hAnsi="Franklin Gothic Book"/>
      <w:sz w:val="18"/>
    </w:rPr>
  </w:style>
  <w:style w:type="character" w:styleId="Strong">
    <w:name w:val="Strong"/>
    <w:basedOn w:val="DefaultParagraphFont"/>
    <w:qFormat/>
    <w:rsid w:val="00371970"/>
    <w:rPr>
      <w:rFonts w:cs="Times New Roman"/>
      <w:b/>
      <w:bCs/>
    </w:rPr>
  </w:style>
  <w:style w:type="paragraph" w:customStyle="1" w:styleId="AppendixHeading">
    <w:name w:val="Appendix Heading"/>
    <w:basedOn w:val="Heading1"/>
    <w:next w:val="BodyParagraph"/>
    <w:qFormat/>
    <w:rsid w:val="000E2A84"/>
    <w:pPr>
      <w:numPr>
        <w:numId w:val="5"/>
      </w:numPr>
      <w:spacing w:before="0" w:after="120"/>
    </w:pPr>
    <w:rPr>
      <w:rFonts w:ascii="TitilliumText22L Xb" w:hAnsi="TitilliumText22L Xb" w:cs="Times New Roman"/>
      <w:bCs w:val="0"/>
      <w:color w:val="433B67"/>
      <w:kern w:val="0"/>
      <w:sz w:val="28"/>
      <w:szCs w:val="28"/>
    </w:rPr>
  </w:style>
  <w:style w:type="paragraph" w:customStyle="1" w:styleId="AppendixHeading2">
    <w:name w:val="Appendix Heading 2"/>
    <w:basedOn w:val="Normal"/>
    <w:next w:val="BodyParagraph"/>
    <w:qFormat/>
    <w:rsid w:val="000E2A84"/>
    <w:pPr>
      <w:numPr>
        <w:ilvl w:val="1"/>
        <w:numId w:val="5"/>
      </w:numPr>
      <w:spacing w:after="60"/>
      <w:ind w:left="720" w:hanging="720"/>
    </w:pPr>
    <w:rPr>
      <w:rFonts w:ascii="Arial Bold" w:hAnsi="Arial Bold"/>
      <w:b/>
      <w:color w:val="5F497A"/>
      <w:sz w:val="26"/>
      <w:szCs w:val="22"/>
    </w:rPr>
  </w:style>
  <w:style w:type="paragraph" w:customStyle="1" w:styleId="AppendixHeading3">
    <w:name w:val="Appendix Heading 3"/>
    <w:basedOn w:val="Normal"/>
    <w:next w:val="BodyParagraph"/>
    <w:qFormat/>
    <w:rsid w:val="000E2A84"/>
    <w:pPr>
      <w:spacing w:after="60"/>
      <w:ind w:left="1260" w:hanging="900"/>
    </w:pPr>
    <w:rPr>
      <w:rFonts w:ascii="Arial Bold" w:hAnsi="Arial Bold"/>
      <w:b/>
      <w:color w:val="5F497A"/>
      <w:szCs w:val="22"/>
    </w:rPr>
  </w:style>
  <w:style w:type="paragraph" w:styleId="ListParagraph">
    <w:name w:val="List Paragraph"/>
    <w:basedOn w:val="Normal"/>
    <w:qFormat/>
    <w:rsid w:val="00C17BDA"/>
    <w:pPr>
      <w:ind w:left="720"/>
      <w:contextualSpacing/>
    </w:pPr>
  </w:style>
  <w:style w:type="paragraph" w:customStyle="1" w:styleId="Numbers">
    <w:name w:val="Numbers"/>
    <w:rsid w:val="00372421"/>
    <w:pPr>
      <w:numPr>
        <w:numId w:val="6"/>
      </w:numPr>
      <w:spacing w:after="120"/>
    </w:pPr>
    <w:rPr>
      <w:rFonts w:ascii="Arial" w:hAnsi="Arial"/>
      <w:szCs w:val="28"/>
    </w:rPr>
  </w:style>
  <w:style w:type="character" w:customStyle="1" w:styleId="CharChar4">
    <w:name w:val="Char Char4"/>
    <w:locked/>
    <w:rsid w:val="008E586B"/>
    <w:rPr>
      <w:lang w:val="en-US" w:eastAsia="en-US" w:bidi="ar-SA"/>
    </w:rPr>
  </w:style>
  <w:style w:type="paragraph" w:customStyle="1" w:styleId="LetterSalutation">
    <w:name w:val="Letter Salutation"/>
    <w:next w:val="BodyParagraph"/>
    <w:qFormat/>
    <w:rsid w:val="002C17DD"/>
    <w:pPr>
      <w:spacing w:before="400" w:after="200"/>
    </w:pPr>
    <w:rPr>
      <w:rFonts w:ascii="Arial" w:hAnsi="Arial"/>
      <w:sz w:val="22"/>
      <w:szCs w:val="22"/>
    </w:rPr>
  </w:style>
  <w:style w:type="paragraph" w:styleId="BodyText">
    <w:name w:val="Body Text"/>
    <w:basedOn w:val="Normal"/>
    <w:link w:val="BodyTextChar"/>
    <w:rsid w:val="009123D1"/>
    <w:pPr>
      <w:spacing w:after="120"/>
    </w:pPr>
  </w:style>
  <w:style w:type="character" w:customStyle="1" w:styleId="BodyTextChar">
    <w:name w:val="Body Text Char"/>
    <w:basedOn w:val="DefaultParagraphFont"/>
    <w:link w:val="BodyText"/>
    <w:rsid w:val="009123D1"/>
    <w:rPr>
      <w:sz w:val="24"/>
      <w:szCs w:val="24"/>
    </w:rPr>
  </w:style>
  <w:style w:type="paragraph" w:customStyle="1" w:styleId="BulletedList">
    <w:name w:val="Bulleted List"/>
    <w:basedOn w:val="Normal"/>
    <w:qFormat/>
    <w:rsid w:val="009123D1"/>
    <w:pPr>
      <w:numPr>
        <w:numId w:val="10"/>
      </w:numPr>
      <w:spacing w:after="120" w:line="240" w:lineRule="atLeast"/>
      <w:contextualSpacing/>
    </w:pPr>
    <w:rPr>
      <w:rFonts w:ascii="Tahoma" w:hAnsi="Tahoma" w:cs="Tahoma"/>
      <w:spacing w:val="4"/>
      <w:sz w:val="20"/>
      <w:szCs w:val="18"/>
    </w:rPr>
  </w:style>
  <w:style w:type="character" w:styleId="Emphasis">
    <w:name w:val="Emphasis"/>
    <w:basedOn w:val="DefaultParagraphFont"/>
    <w:qFormat/>
    <w:locked/>
    <w:rsid w:val="00EA17E5"/>
    <w:rPr>
      <w:i/>
      <w:iCs/>
    </w:rPr>
  </w:style>
  <w:style w:type="character" w:customStyle="1" w:styleId="Heading1Char">
    <w:name w:val="Heading 1 Char"/>
    <w:aliases w:val="Chap Num Char,Chapter Level Char"/>
    <w:basedOn w:val="DefaultParagraphFont"/>
    <w:link w:val="Heading1"/>
    <w:rsid w:val="0027135C"/>
    <w:rPr>
      <w:rFonts w:ascii="Arial" w:hAnsi="Arial" w:cs="Arial"/>
      <w:b/>
      <w:bCs/>
      <w:kern w:val="32"/>
      <w:sz w:val="24"/>
      <w:szCs w:val="32"/>
    </w:rPr>
  </w:style>
  <w:style w:type="paragraph" w:customStyle="1" w:styleId="NumbersLast">
    <w:name w:val="Numbers Last"/>
    <w:basedOn w:val="Numbers"/>
    <w:next w:val="BodyParagraph"/>
    <w:rsid w:val="00AE569D"/>
    <w:pPr>
      <w:numPr>
        <w:numId w:val="17"/>
      </w:numPr>
      <w:spacing w:after="360"/>
    </w:pPr>
  </w:style>
  <w:style w:type="table" w:customStyle="1" w:styleId="NEXANTNEWTABLESTYLE">
    <w:name w:val="NEXANT NEW TABLE STYLE"/>
    <w:basedOn w:val="TableNormal"/>
    <w:uiPriority w:val="99"/>
    <w:rsid w:val="00883E99"/>
    <w:pPr>
      <w:tabs>
        <w:tab w:val="center" w:pos="720"/>
      </w:tabs>
    </w:pPr>
    <w:rPr>
      <w:rFonts w:ascii="Tms Rmn" w:hAnsi="Tms Rmn"/>
    </w:rPr>
    <w:tblPr>
      <w:tblBorders>
        <w:top w:val="single" w:sz="4" w:space="0" w:color="1F497D" w:themeColor="text2"/>
        <w:bottom w:val="single" w:sz="4" w:space="0" w:color="1F497D" w:themeColor="text2"/>
        <w:insideH w:val="single" w:sz="4" w:space="0" w:color="1F497D" w:themeColor="text2"/>
        <w:insideV w:val="dotted" w:sz="4" w:space="0" w:color="1F497D" w:themeColor="text2"/>
      </w:tblBorders>
    </w:tblPr>
    <w:tblStylePr w:type="firstRow">
      <w:pPr>
        <w:jc w:val="center"/>
      </w:pPr>
      <w:rPr>
        <w:rFonts w:ascii="Calibri" w:hAnsi="Calibri"/>
        <w:b/>
        <w:color w:val="FFFFFF" w:themeColor="background1"/>
      </w:rPr>
      <w:tblPr/>
      <w:tcPr>
        <w:tcBorders>
          <w:top w:val="nil"/>
          <w:left w:val="nil"/>
          <w:bottom w:val="nil"/>
          <w:right w:val="nil"/>
          <w:insideH w:val="nil"/>
          <w:insideV w:val="nil"/>
          <w:tl2br w:val="nil"/>
          <w:tr2bl w:val="nil"/>
        </w:tcBorders>
        <w:shd w:val="clear" w:color="auto" w:fill="1F497D" w:themeFill="text2"/>
      </w:tcPr>
    </w:tblStylePr>
  </w:style>
  <w:style w:type="paragraph" w:styleId="TOC4">
    <w:name w:val="toc 4"/>
    <w:basedOn w:val="Normal"/>
    <w:next w:val="Normal"/>
    <w:autoRedefine/>
    <w:uiPriority w:val="39"/>
    <w:unhideWhenUsed/>
    <w:rsid w:val="008E3378"/>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3378"/>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3378"/>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337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337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3378"/>
    <w:pPr>
      <w:spacing w:after="100" w:line="276" w:lineRule="auto"/>
      <w:ind w:left="1760"/>
    </w:pPr>
    <w:rPr>
      <w:rFonts w:asciiTheme="minorHAnsi" w:eastAsiaTheme="minorEastAsia" w:hAnsiTheme="minorHAnsi" w:cstheme="minorBidi"/>
      <w:sz w:val="22"/>
      <w:szCs w:val="22"/>
    </w:rPr>
  </w:style>
  <w:style w:type="character" w:customStyle="1" w:styleId="HalflineChar">
    <w:name w:val="Halfline Char"/>
    <w:basedOn w:val="DefaultParagraphFont"/>
    <w:link w:val="Halfline"/>
    <w:locked/>
    <w:rsid w:val="00B03AB1"/>
    <w:rPr>
      <w:sz w:val="24"/>
      <w:szCs w:val="24"/>
    </w:rPr>
  </w:style>
  <w:style w:type="paragraph" w:customStyle="1" w:styleId="Halfline">
    <w:name w:val="Halfline"/>
    <w:basedOn w:val="Normal"/>
    <w:next w:val="Normal"/>
    <w:link w:val="HalflineChar"/>
    <w:qFormat/>
    <w:rsid w:val="00B03AB1"/>
    <w:pPr>
      <w:spacing w:after="130" w:line="130" w:lineRule="exact"/>
    </w:pPr>
  </w:style>
  <w:style w:type="character" w:customStyle="1" w:styleId="tablefootnoteChar">
    <w:name w:val="table footnote Char"/>
    <w:basedOn w:val="DefaultParagraphFont"/>
    <w:link w:val="tablefootnote"/>
    <w:locked/>
    <w:rsid w:val="004F1D68"/>
  </w:style>
  <w:style w:type="paragraph" w:customStyle="1" w:styleId="tablefootnote">
    <w:name w:val="table footnote"/>
    <w:basedOn w:val="Normal"/>
    <w:link w:val="tablefootnoteChar"/>
    <w:rsid w:val="004F1D68"/>
    <w:pPr>
      <w:keepNext/>
      <w:keepLines/>
      <w:tabs>
        <w:tab w:val="left" w:pos="274"/>
      </w:tabs>
      <w:spacing w:before="60"/>
      <w:ind w:left="274" w:hanging="274"/>
      <w:jc w:val="both"/>
    </w:pPr>
    <w:rPr>
      <w:sz w:val="20"/>
      <w:szCs w:val="20"/>
    </w:rPr>
  </w:style>
  <w:style w:type="table" w:customStyle="1" w:styleId="ItronBasic">
    <w:name w:val="ItronBasic"/>
    <w:basedOn w:val="TableNormal"/>
    <w:uiPriority w:val="99"/>
    <w:qFormat/>
    <w:rsid w:val="004F1D68"/>
    <w:rPr>
      <w:rFonts w:ascii="Tms Rmn" w:hAnsi="Tms Rmn"/>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locked="1" w:qFormat="1"/>
    <w:lsdException w:name="footnote reference" w:uiPriority="99"/>
    <w:lsdException w:name="Title" w:locked="1" w:qFormat="1"/>
    <w:lsdException w:name="Subtitle" w:locked="1" w:qFormat="1"/>
    <w:lsdException w:name="Hyperlink" w:locked="1"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34BC"/>
    <w:rPr>
      <w:sz w:val="24"/>
      <w:szCs w:val="24"/>
    </w:rPr>
  </w:style>
  <w:style w:type="paragraph" w:styleId="Heading1">
    <w:name w:val="heading 1"/>
    <w:aliases w:val="Chap Num,Chapter Level"/>
    <w:basedOn w:val="Normal"/>
    <w:next w:val="Normal"/>
    <w:link w:val="Heading1Char"/>
    <w:qFormat/>
    <w:rsid w:val="00602D90"/>
    <w:pPr>
      <w:keepNext/>
      <w:numPr>
        <w:numId w:val="2"/>
      </w:numPr>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
    <w:qFormat/>
    <w:rsid w:val="00602D90"/>
    <w:pPr>
      <w:keepNext/>
      <w:numPr>
        <w:ilvl w:val="1"/>
        <w:numId w:val="2"/>
      </w:numPr>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602D90"/>
    <w:pPr>
      <w:keepNext/>
      <w:numPr>
        <w:ilvl w:val="2"/>
        <w:numId w:val="2"/>
      </w:numPr>
      <w:spacing w:before="240" w:after="60"/>
      <w:ind w:left="720"/>
      <w:outlineLvl w:val="2"/>
    </w:pPr>
    <w:rPr>
      <w:rFonts w:ascii="Arial" w:hAnsi="Arial" w:cs="Arial"/>
      <w:b/>
      <w:bCs/>
      <w:szCs w:val="26"/>
    </w:rPr>
  </w:style>
  <w:style w:type="paragraph" w:styleId="Heading4">
    <w:name w:val="heading 4"/>
    <w:basedOn w:val="Normal"/>
    <w:next w:val="Normal"/>
    <w:link w:val="Heading4Char"/>
    <w:qFormat/>
    <w:rsid w:val="00656B9A"/>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656B9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656B9A"/>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656B9A"/>
    <w:pPr>
      <w:numPr>
        <w:ilvl w:val="6"/>
        <w:numId w:val="2"/>
      </w:numPr>
      <w:spacing w:before="240" w:after="60"/>
      <w:outlineLvl w:val="6"/>
    </w:pPr>
    <w:rPr>
      <w:rFonts w:ascii="Calibri" w:hAnsi="Calibri"/>
    </w:rPr>
  </w:style>
  <w:style w:type="paragraph" w:styleId="Heading8">
    <w:name w:val="heading 8"/>
    <w:basedOn w:val="Normal"/>
    <w:next w:val="Normal"/>
    <w:link w:val="Heading8Char"/>
    <w:uiPriority w:val="9"/>
    <w:qFormat/>
    <w:rsid w:val="00656B9A"/>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9"/>
    <w:qFormat/>
    <w:rsid w:val="00656B9A"/>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02D90"/>
    <w:rPr>
      <w:rFonts w:ascii="Arial" w:hAnsi="Arial" w:cs="Arial"/>
      <w:b/>
      <w:bCs/>
      <w:i/>
      <w:iCs/>
      <w:sz w:val="24"/>
      <w:szCs w:val="28"/>
    </w:rPr>
  </w:style>
  <w:style w:type="character" w:customStyle="1" w:styleId="Heading3Char">
    <w:name w:val="Heading 3 Char"/>
    <w:basedOn w:val="DefaultParagraphFont"/>
    <w:link w:val="Heading3"/>
    <w:uiPriority w:val="9"/>
    <w:locked/>
    <w:rsid w:val="00602D90"/>
    <w:rPr>
      <w:rFonts w:ascii="Arial" w:hAnsi="Arial" w:cs="Arial"/>
      <w:b/>
      <w:bCs/>
      <w:sz w:val="24"/>
      <w:szCs w:val="26"/>
    </w:rPr>
  </w:style>
  <w:style w:type="character" w:customStyle="1" w:styleId="Heading4Char">
    <w:name w:val="Heading 4 Char"/>
    <w:basedOn w:val="DefaultParagraphFont"/>
    <w:link w:val="Heading4"/>
    <w:locked/>
    <w:rsid w:val="00656B9A"/>
    <w:rPr>
      <w:rFonts w:ascii="Calibri" w:hAnsi="Calibri"/>
      <w:b/>
      <w:bCs/>
      <w:sz w:val="28"/>
      <w:szCs w:val="28"/>
    </w:rPr>
  </w:style>
  <w:style w:type="character" w:customStyle="1" w:styleId="Heading5Char">
    <w:name w:val="Heading 5 Char"/>
    <w:basedOn w:val="DefaultParagraphFont"/>
    <w:link w:val="Heading5"/>
    <w:locked/>
    <w:rsid w:val="00656B9A"/>
    <w:rPr>
      <w:rFonts w:ascii="Calibri" w:hAnsi="Calibri"/>
      <w:b/>
      <w:bCs/>
      <w:i/>
      <w:iCs/>
      <w:sz w:val="26"/>
      <w:szCs w:val="26"/>
    </w:rPr>
  </w:style>
  <w:style w:type="character" w:customStyle="1" w:styleId="Heading6Char">
    <w:name w:val="Heading 6 Char"/>
    <w:basedOn w:val="DefaultParagraphFont"/>
    <w:link w:val="Heading6"/>
    <w:locked/>
    <w:rsid w:val="00656B9A"/>
    <w:rPr>
      <w:rFonts w:ascii="Calibri" w:hAnsi="Calibri"/>
      <w:b/>
      <w:bCs/>
      <w:sz w:val="22"/>
      <w:szCs w:val="22"/>
    </w:rPr>
  </w:style>
  <w:style w:type="character" w:customStyle="1" w:styleId="Heading7Char">
    <w:name w:val="Heading 7 Char"/>
    <w:basedOn w:val="DefaultParagraphFont"/>
    <w:link w:val="Heading7"/>
    <w:locked/>
    <w:rsid w:val="00656B9A"/>
    <w:rPr>
      <w:rFonts w:ascii="Calibri" w:hAnsi="Calibri"/>
      <w:sz w:val="24"/>
      <w:szCs w:val="24"/>
    </w:rPr>
  </w:style>
  <w:style w:type="character" w:customStyle="1" w:styleId="Heading8Char">
    <w:name w:val="Heading 8 Char"/>
    <w:basedOn w:val="DefaultParagraphFont"/>
    <w:link w:val="Heading8"/>
    <w:locked/>
    <w:rsid w:val="00656B9A"/>
    <w:rPr>
      <w:rFonts w:ascii="Calibri" w:hAnsi="Calibri"/>
      <w:i/>
      <w:iCs/>
      <w:sz w:val="24"/>
      <w:szCs w:val="24"/>
    </w:rPr>
  </w:style>
  <w:style w:type="character" w:customStyle="1" w:styleId="Heading9Char">
    <w:name w:val="Heading 9 Char"/>
    <w:basedOn w:val="DefaultParagraphFont"/>
    <w:link w:val="Heading9"/>
    <w:locked/>
    <w:rsid w:val="00656B9A"/>
    <w:rPr>
      <w:rFonts w:ascii="Cambria" w:hAnsi="Cambria"/>
      <w:sz w:val="22"/>
      <w:szCs w:val="22"/>
    </w:rPr>
  </w:style>
  <w:style w:type="paragraph" w:styleId="FootnoteText">
    <w:name w:val="footnote text"/>
    <w:aliases w:val="Footnote Text1 Char,Footnote Text Char Ch,Footnote Text Char1,Footnote Text Char Char,Footnote Text Char1 Char,Footnote Text Char Char Char,Footnote Text Char1 Char Char Char,Footnote Text Char Char1 Char Char Char,TBG Style"/>
    <w:basedOn w:val="Normal"/>
    <w:link w:val="FootnoteTextChar"/>
    <w:uiPriority w:val="99"/>
    <w:rsid w:val="00602D90"/>
    <w:rPr>
      <w:sz w:val="20"/>
      <w:szCs w:val="20"/>
    </w:rPr>
  </w:style>
  <w:style w:type="character" w:customStyle="1" w:styleId="FootnoteTextChar">
    <w:name w:val="Footnote Text Char"/>
    <w:aliases w:val="Footnote Text1 Char Char,Footnote Text Char Ch Char,Footnote Text Char1 Char1,Footnote Text Char Char Char1,Footnote Text Char1 Char Char,Footnote Text Char Char Char Char,Footnote Text Char1 Char Char Char Char,TBG Style Char"/>
    <w:basedOn w:val="DefaultParagraphFont"/>
    <w:link w:val="FootnoteText"/>
    <w:uiPriority w:val="99"/>
    <w:locked/>
    <w:rsid w:val="00013331"/>
    <w:rPr>
      <w:rFonts w:cs="Times New Roman"/>
      <w:lang w:val="en-US" w:eastAsia="en-US" w:bidi="ar-SA"/>
    </w:rPr>
  </w:style>
  <w:style w:type="character" w:styleId="FootnoteReference">
    <w:name w:val="footnote reference"/>
    <w:aliases w:val="o"/>
    <w:basedOn w:val="DefaultParagraphFont"/>
    <w:uiPriority w:val="99"/>
    <w:rsid w:val="00602D90"/>
    <w:rPr>
      <w:rFonts w:cs="Times New Roman"/>
      <w:vertAlign w:val="superscript"/>
    </w:rPr>
  </w:style>
  <w:style w:type="paragraph" w:customStyle="1" w:styleId="TableCaption">
    <w:name w:val="Table Caption"/>
    <w:basedOn w:val="Caption"/>
    <w:link w:val="TableCaptionChar"/>
    <w:qFormat/>
    <w:rsid w:val="00602D90"/>
    <w:pPr>
      <w:keepNext/>
      <w:spacing w:after="120"/>
      <w:jc w:val="center"/>
    </w:pPr>
    <w:rPr>
      <w:sz w:val="24"/>
    </w:rPr>
  </w:style>
  <w:style w:type="paragraph" w:styleId="Caption">
    <w:name w:val="caption"/>
    <w:basedOn w:val="Normal"/>
    <w:next w:val="Normal"/>
    <w:qFormat/>
    <w:rsid w:val="00602D90"/>
    <w:rPr>
      <w:b/>
      <w:bCs/>
      <w:sz w:val="20"/>
      <w:szCs w:val="20"/>
    </w:rPr>
  </w:style>
  <w:style w:type="character" w:customStyle="1" w:styleId="TableCaptionChar">
    <w:name w:val="Table Caption Char"/>
    <w:basedOn w:val="DefaultParagraphFont"/>
    <w:link w:val="TableCaption"/>
    <w:locked/>
    <w:rsid w:val="00602D90"/>
    <w:rPr>
      <w:rFonts w:cs="Times New Roman"/>
      <w:b/>
      <w:bCs/>
      <w:sz w:val="24"/>
      <w:lang w:val="en-US" w:eastAsia="en-US" w:bidi="ar-SA"/>
    </w:rPr>
  </w:style>
  <w:style w:type="paragraph" w:customStyle="1" w:styleId="StyleCaptionCentered">
    <w:name w:val="Style Caption + Centered"/>
    <w:basedOn w:val="Caption"/>
    <w:link w:val="StyleCaptionCenteredChar"/>
    <w:rsid w:val="00602D90"/>
    <w:pPr>
      <w:keepNext/>
      <w:spacing w:after="120"/>
      <w:jc w:val="center"/>
    </w:pPr>
    <w:rPr>
      <w:sz w:val="24"/>
    </w:rPr>
  </w:style>
  <w:style w:type="character" w:customStyle="1" w:styleId="StyleCaptionCenteredChar">
    <w:name w:val="Style Caption + Centered Char"/>
    <w:basedOn w:val="DefaultParagraphFont"/>
    <w:link w:val="StyleCaptionCentered"/>
    <w:locked/>
    <w:rsid w:val="00602D90"/>
    <w:rPr>
      <w:rFonts w:cs="Times New Roman"/>
      <w:b/>
      <w:bCs/>
      <w:sz w:val="24"/>
      <w:lang w:val="en-US" w:eastAsia="en-US" w:bidi="ar-SA"/>
    </w:rPr>
  </w:style>
  <w:style w:type="paragraph" w:styleId="Footer">
    <w:name w:val="footer"/>
    <w:basedOn w:val="Normal"/>
    <w:link w:val="FooterChar"/>
    <w:uiPriority w:val="99"/>
    <w:rsid w:val="004C3F63"/>
    <w:pPr>
      <w:tabs>
        <w:tab w:val="center" w:pos="4320"/>
        <w:tab w:val="right" w:pos="8640"/>
      </w:tabs>
    </w:pPr>
  </w:style>
  <w:style w:type="character" w:customStyle="1" w:styleId="FooterChar">
    <w:name w:val="Footer Char"/>
    <w:basedOn w:val="DefaultParagraphFont"/>
    <w:link w:val="Footer"/>
    <w:uiPriority w:val="99"/>
    <w:locked/>
    <w:rsid w:val="00E618A4"/>
    <w:rPr>
      <w:rFonts w:cs="Times New Roman"/>
      <w:sz w:val="24"/>
      <w:szCs w:val="24"/>
    </w:rPr>
  </w:style>
  <w:style w:type="character" w:styleId="PageNumber">
    <w:name w:val="page number"/>
    <w:basedOn w:val="DefaultParagraphFont"/>
    <w:rsid w:val="004C3F63"/>
    <w:rPr>
      <w:rFonts w:cs="Times New Roman"/>
    </w:rPr>
  </w:style>
  <w:style w:type="paragraph" w:customStyle="1" w:styleId="FigureCaption">
    <w:name w:val="Figure Caption"/>
    <w:basedOn w:val="TableCaption"/>
    <w:link w:val="FigureCaptionChar"/>
    <w:qFormat/>
    <w:rsid w:val="00470869"/>
    <w:pPr>
      <w:keepNext w:val="0"/>
      <w:spacing w:after="240"/>
    </w:pPr>
  </w:style>
  <w:style w:type="character" w:customStyle="1" w:styleId="FigureCaptionChar">
    <w:name w:val="Figure Caption Char"/>
    <w:basedOn w:val="TableCaptionChar"/>
    <w:link w:val="FigureCaption"/>
    <w:locked/>
    <w:rsid w:val="00470869"/>
    <w:rPr>
      <w:rFonts w:cs="Times New Roman"/>
      <w:b/>
      <w:bCs/>
      <w:sz w:val="24"/>
      <w:lang w:val="en-US" w:eastAsia="en-US" w:bidi="ar-SA"/>
    </w:rPr>
  </w:style>
  <w:style w:type="table" w:styleId="TableGrid">
    <w:name w:val="Table Grid"/>
    <w:basedOn w:val="TableNormal"/>
    <w:rsid w:val="0047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173F0"/>
    <w:pPr>
      <w:numPr>
        <w:numId w:val="1"/>
      </w:numPr>
      <w:spacing w:after="240"/>
    </w:pPr>
    <w:rPr>
      <w:rFonts w:ascii="Arial" w:hAnsi="Arial"/>
      <w:sz w:val="22"/>
      <w:szCs w:val="22"/>
    </w:rPr>
  </w:style>
  <w:style w:type="character" w:customStyle="1" w:styleId="CharChar">
    <w:name w:val="Char Char"/>
    <w:basedOn w:val="DefaultParagraphFont"/>
    <w:semiHidden/>
    <w:rsid w:val="00B80905"/>
    <w:rPr>
      <w:rFonts w:cs="Times New Roman"/>
      <w:sz w:val="20"/>
      <w:szCs w:val="20"/>
    </w:rPr>
  </w:style>
  <w:style w:type="character" w:styleId="Hyperlink">
    <w:name w:val="Hyperlink"/>
    <w:basedOn w:val="DefaultParagraphFont"/>
    <w:uiPriority w:val="99"/>
    <w:rsid w:val="00B80905"/>
    <w:rPr>
      <w:rFonts w:cs="Times New Roman"/>
      <w:color w:val="0000FF"/>
      <w:u w:val="single"/>
    </w:rPr>
  </w:style>
  <w:style w:type="paragraph" w:styleId="BodyTextIndent2">
    <w:name w:val="Body Text Indent 2"/>
    <w:basedOn w:val="Normal"/>
    <w:rsid w:val="00E15111"/>
    <w:pPr>
      <w:spacing w:after="120" w:line="480" w:lineRule="auto"/>
      <w:ind w:firstLine="720"/>
    </w:pPr>
  </w:style>
  <w:style w:type="paragraph" w:styleId="BalloonText">
    <w:name w:val="Balloon Text"/>
    <w:basedOn w:val="Normal"/>
    <w:link w:val="BalloonTextChar"/>
    <w:rsid w:val="003624FE"/>
    <w:rPr>
      <w:rFonts w:ascii="Tahoma" w:hAnsi="Tahoma" w:cs="Tahoma"/>
      <w:sz w:val="16"/>
      <w:szCs w:val="16"/>
    </w:rPr>
  </w:style>
  <w:style w:type="character" w:customStyle="1" w:styleId="BalloonTextChar">
    <w:name w:val="Balloon Text Char"/>
    <w:basedOn w:val="DefaultParagraphFont"/>
    <w:link w:val="BalloonText"/>
    <w:locked/>
    <w:rsid w:val="003624FE"/>
    <w:rPr>
      <w:rFonts w:ascii="Tahoma" w:hAnsi="Tahoma" w:cs="Tahoma"/>
      <w:sz w:val="16"/>
      <w:szCs w:val="16"/>
    </w:rPr>
  </w:style>
  <w:style w:type="character" w:styleId="CommentReference">
    <w:name w:val="annotation reference"/>
    <w:basedOn w:val="DefaultParagraphFont"/>
    <w:rsid w:val="0071241E"/>
    <w:rPr>
      <w:rFonts w:cs="Times New Roman"/>
      <w:sz w:val="16"/>
      <w:szCs w:val="16"/>
    </w:rPr>
  </w:style>
  <w:style w:type="paragraph" w:styleId="CommentText">
    <w:name w:val="annotation text"/>
    <w:basedOn w:val="Normal"/>
    <w:link w:val="CommentTextChar1"/>
    <w:rsid w:val="0071241E"/>
    <w:rPr>
      <w:sz w:val="20"/>
      <w:szCs w:val="20"/>
    </w:rPr>
  </w:style>
  <w:style w:type="character" w:customStyle="1" w:styleId="CommentTextChar1">
    <w:name w:val="Comment Text Char1"/>
    <w:basedOn w:val="DefaultParagraphFont"/>
    <w:link w:val="CommentText"/>
    <w:locked/>
    <w:rsid w:val="0071241E"/>
    <w:rPr>
      <w:rFonts w:cs="Times New Roman"/>
    </w:rPr>
  </w:style>
  <w:style w:type="paragraph" w:styleId="CommentSubject">
    <w:name w:val="annotation subject"/>
    <w:basedOn w:val="CommentText"/>
    <w:next w:val="CommentText"/>
    <w:link w:val="CommentSubjectChar"/>
    <w:rsid w:val="0071241E"/>
    <w:rPr>
      <w:b/>
      <w:bCs/>
    </w:rPr>
  </w:style>
  <w:style w:type="character" w:customStyle="1" w:styleId="CommentSubjectChar">
    <w:name w:val="Comment Subject Char"/>
    <w:basedOn w:val="CommentTextChar1"/>
    <w:link w:val="CommentSubject"/>
    <w:locked/>
    <w:rsid w:val="0071241E"/>
    <w:rPr>
      <w:rFonts w:cs="Times New Roman"/>
      <w:b/>
      <w:bCs/>
    </w:rPr>
  </w:style>
  <w:style w:type="paragraph" w:styleId="TOC1">
    <w:name w:val="toc 1"/>
    <w:basedOn w:val="Normal"/>
    <w:next w:val="Normal"/>
    <w:autoRedefine/>
    <w:uiPriority w:val="39"/>
    <w:rsid w:val="0071209C"/>
  </w:style>
  <w:style w:type="paragraph" w:styleId="TOC2">
    <w:name w:val="toc 2"/>
    <w:basedOn w:val="Normal"/>
    <w:next w:val="Normal"/>
    <w:autoRedefine/>
    <w:uiPriority w:val="39"/>
    <w:rsid w:val="0071209C"/>
    <w:pPr>
      <w:ind w:left="240"/>
    </w:pPr>
  </w:style>
  <w:style w:type="paragraph" w:styleId="TOC3">
    <w:name w:val="toc 3"/>
    <w:basedOn w:val="Normal"/>
    <w:next w:val="Normal"/>
    <w:autoRedefine/>
    <w:uiPriority w:val="39"/>
    <w:rsid w:val="0071209C"/>
    <w:pPr>
      <w:ind w:left="480"/>
    </w:pPr>
  </w:style>
  <w:style w:type="paragraph" w:styleId="TOCHeading">
    <w:name w:val="TOC Heading"/>
    <w:basedOn w:val="Heading1"/>
    <w:next w:val="Normal"/>
    <w:uiPriority w:val="39"/>
    <w:qFormat/>
    <w:rsid w:val="00C4576A"/>
    <w:pPr>
      <w:keepLines/>
      <w:numPr>
        <w:numId w:val="0"/>
      </w:numPr>
      <w:spacing w:before="480" w:after="0" w:line="276" w:lineRule="auto"/>
      <w:outlineLvl w:val="9"/>
    </w:pPr>
    <w:rPr>
      <w:rFonts w:ascii="Cambria" w:hAnsi="Cambria" w:cs="Times New Roman"/>
      <w:color w:val="365F91"/>
      <w:kern w:val="0"/>
      <w:sz w:val="28"/>
      <w:szCs w:val="28"/>
    </w:rPr>
  </w:style>
  <w:style w:type="paragraph" w:styleId="Header">
    <w:name w:val="header"/>
    <w:basedOn w:val="Normal"/>
    <w:link w:val="HeaderChar"/>
    <w:rsid w:val="00C4576A"/>
    <w:pPr>
      <w:tabs>
        <w:tab w:val="center" w:pos="4680"/>
        <w:tab w:val="right" w:pos="9360"/>
      </w:tabs>
    </w:pPr>
  </w:style>
  <w:style w:type="character" w:customStyle="1" w:styleId="HeaderChar">
    <w:name w:val="Header Char"/>
    <w:basedOn w:val="DefaultParagraphFont"/>
    <w:link w:val="Header"/>
    <w:locked/>
    <w:rsid w:val="00C4576A"/>
    <w:rPr>
      <w:rFonts w:cs="Times New Roman"/>
      <w:sz w:val="24"/>
      <w:szCs w:val="24"/>
    </w:rPr>
  </w:style>
  <w:style w:type="paragraph" w:styleId="BodyTextIndent">
    <w:name w:val="Body Text Indent"/>
    <w:basedOn w:val="Normal"/>
    <w:link w:val="BodyTextIndentChar"/>
    <w:rsid w:val="002153F9"/>
    <w:pPr>
      <w:spacing w:after="120"/>
      <w:ind w:left="360"/>
    </w:pPr>
  </w:style>
  <w:style w:type="character" w:customStyle="1" w:styleId="BodyTextIndentChar">
    <w:name w:val="Body Text Indent Char"/>
    <w:basedOn w:val="DefaultParagraphFont"/>
    <w:link w:val="BodyTextIndent"/>
    <w:locked/>
    <w:rsid w:val="002153F9"/>
    <w:rPr>
      <w:rFonts w:cs="Times New Roman"/>
      <w:sz w:val="24"/>
      <w:szCs w:val="24"/>
    </w:rPr>
  </w:style>
  <w:style w:type="paragraph" w:styleId="ListNumber3">
    <w:name w:val="List Number 3"/>
    <w:basedOn w:val="Normal"/>
    <w:rsid w:val="002153F9"/>
    <w:pPr>
      <w:numPr>
        <w:numId w:val="3"/>
      </w:numPr>
      <w:spacing w:before="60" w:after="120"/>
    </w:pPr>
    <w:rPr>
      <w:szCs w:val="20"/>
    </w:rPr>
  </w:style>
  <w:style w:type="paragraph" w:customStyle="1" w:styleId="BodyParagraph">
    <w:name w:val="Body Paragraph"/>
    <w:link w:val="BodyParagraphChar"/>
    <w:qFormat/>
    <w:rsid w:val="00D02AB5"/>
    <w:pPr>
      <w:spacing w:after="240" w:line="312" w:lineRule="auto"/>
    </w:pPr>
    <w:rPr>
      <w:rFonts w:ascii="Arial" w:hAnsi="Arial"/>
      <w:szCs w:val="22"/>
    </w:rPr>
  </w:style>
  <w:style w:type="character" w:customStyle="1" w:styleId="BodyParagraphChar">
    <w:name w:val="Body Paragraph Char"/>
    <w:basedOn w:val="DefaultParagraphFont"/>
    <w:link w:val="BodyParagraph"/>
    <w:locked/>
    <w:rsid w:val="000E2A84"/>
    <w:rPr>
      <w:rFonts w:ascii="Arial" w:hAnsi="Arial" w:cs="Times New Roman"/>
      <w:sz w:val="22"/>
      <w:szCs w:val="22"/>
      <w:lang w:val="en-US" w:eastAsia="en-US" w:bidi="ar-SA"/>
    </w:rPr>
  </w:style>
  <w:style w:type="paragraph" w:customStyle="1" w:styleId="BodyBeforeBullet">
    <w:name w:val="Body Before Bullet"/>
    <w:basedOn w:val="BodyParagraph"/>
    <w:next w:val="Bullets"/>
    <w:qFormat/>
    <w:rsid w:val="00D02AB5"/>
    <w:pPr>
      <w:keepNext/>
      <w:spacing w:after="120"/>
    </w:pPr>
  </w:style>
  <w:style w:type="paragraph" w:customStyle="1" w:styleId="Bullets">
    <w:name w:val="Bullets"/>
    <w:basedOn w:val="Normal"/>
    <w:qFormat/>
    <w:rsid w:val="00D02AB5"/>
    <w:pPr>
      <w:numPr>
        <w:numId w:val="4"/>
      </w:numPr>
      <w:spacing w:after="120"/>
    </w:pPr>
    <w:rPr>
      <w:rFonts w:ascii="Arial" w:hAnsi="Arial" w:cs="Arial"/>
      <w:sz w:val="20"/>
      <w:szCs w:val="21"/>
    </w:rPr>
  </w:style>
  <w:style w:type="paragraph" w:customStyle="1" w:styleId="BulletLast">
    <w:name w:val="Bullet Last"/>
    <w:basedOn w:val="Bullets"/>
    <w:next w:val="BodyParagraph"/>
    <w:qFormat/>
    <w:rsid w:val="00D02AB5"/>
    <w:pPr>
      <w:spacing w:after="360"/>
    </w:pPr>
  </w:style>
  <w:style w:type="paragraph" w:customStyle="1" w:styleId="TableFigureCaption">
    <w:name w:val="Table Figure Caption"/>
    <w:basedOn w:val="Normal"/>
    <w:next w:val="BodyParaAfterTableFigure"/>
    <w:qFormat/>
    <w:rsid w:val="00D02AB5"/>
    <w:pPr>
      <w:keepNext/>
      <w:spacing w:after="120"/>
      <w:jc w:val="center"/>
    </w:pPr>
    <w:rPr>
      <w:rFonts w:ascii="Arial" w:hAnsi="Arial"/>
      <w:b/>
      <w:sz w:val="22"/>
      <w:szCs w:val="22"/>
    </w:rPr>
  </w:style>
  <w:style w:type="paragraph" w:customStyle="1" w:styleId="BodyParaAfterTableFigure">
    <w:name w:val="Body Para After Table Figure"/>
    <w:basedOn w:val="BodyParagraph"/>
    <w:next w:val="BodyParagraph"/>
    <w:link w:val="BodyParaAfterTableFigureChar"/>
    <w:qFormat/>
    <w:rsid w:val="00D02AB5"/>
    <w:pPr>
      <w:spacing w:before="360"/>
    </w:pPr>
  </w:style>
  <w:style w:type="character" w:customStyle="1" w:styleId="BodyParaAfterTableFigureChar">
    <w:name w:val="Body Para After Table Figure Char"/>
    <w:basedOn w:val="BodyParagraphChar"/>
    <w:link w:val="BodyParaAfterTableFigure"/>
    <w:uiPriority w:val="99"/>
    <w:locked/>
    <w:rsid w:val="00B84C76"/>
    <w:rPr>
      <w:rFonts w:ascii="Arial" w:hAnsi="Arial" w:cs="Times New Roman"/>
      <w:sz w:val="22"/>
      <w:szCs w:val="22"/>
      <w:lang w:val="en-US" w:eastAsia="en-US" w:bidi="ar-SA"/>
    </w:rPr>
  </w:style>
  <w:style w:type="paragraph" w:customStyle="1" w:styleId="TableHeader">
    <w:name w:val="Table Header"/>
    <w:qFormat/>
    <w:rsid w:val="00D02AB5"/>
    <w:pPr>
      <w:spacing w:before="100" w:after="100"/>
      <w:jc w:val="center"/>
    </w:pPr>
    <w:rPr>
      <w:rFonts w:ascii="Arial" w:hAnsi="Arial"/>
      <w:b/>
      <w:color w:val="FFFFFF"/>
      <w:szCs w:val="22"/>
    </w:rPr>
  </w:style>
  <w:style w:type="paragraph" w:customStyle="1" w:styleId="TableText">
    <w:name w:val="Table Text"/>
    <w:qFormat/>
    <w:rsid w:val="00D02AB5"/>
    <w:pPr>
      <w:spacing w:before="60" w:after="60"/>
    </w:pPr>
    <w:rPr>
      <w:rFonts w:ascii="Arial" w:hAnsi="Arial"/>
      <w:sz w:val="18"/>
      <w:szCs w:val="22"/>
    </w:rPr>
  </w:style>
  <w:style w:type="character" w:customStyle="1" w:styleId="CommentTextChar">
    <w:name w:val="Comment Text Char"/>
    <w:basedOn w:val="DefaultParagraphFont"/>
    <w:locked/>
    <w:rsid w:val="00464D2E"/>
    <w:rPr>
      <w:rFonts w:cs="Times New Roman"/>
      <w:sz w:val="20"/>
      <w:szCs w:val="20"/>
    </w:rPr>
  </w:style>
  <w:style w:type="paragraph" w:styleId="DocumentMap">
    <w:name w:val="Document Map"/>
    <w:basedOn w:val="Normal"/>
    <w:semiHidden/>
    <w:rsid w:val="00AE2377"/>
    <w:pPr>
      <w:shd w:val="clear" w:color="auto" w:fill="000080"/>
    </w:pPr>
    <w:rPr>
      <w:rFonts w:ascii="Tahoma" w:hAnsi="Tahoma" w:cs="Tahoma"/>
      <w:sz w:val="20"/>
      <w:szCs w:val="20"/>
    </w:rPr>
  </w:style>
  <w:style w:type="paragraph" w:customStyle="1" w:styleId="Footnote">
    <w:name w:val="Footnote"/>
    <w:basedOn w:val="FootnoteText"/>
    <w:qFormat/>
    <w:rsid w:val="00DB0172"/>
    <w:pPr>
      <w:spacing w:after="120"/>
    </w:pPr>
    <w:rPr>
      <w:rFonts w:ascii="Franklin Gothic Book" w:hAnsi="Franklin Gothic Book"/>
      <w:sz w:val="18"/>
    </w:rPr>
  </w:style>
  <w:style w:type="character" w:styleId="Strong">
    <w:name w:val="Strong"/>
    <w:basedOn w:val="DefaultParagraphFont"/>
    <w:qFormat/>
    <w:rsid w:val="00371970"/>
    <w:rPr>
      <w:rFonts w:cs="Times New Roman"/>
      <w:b/>
      <w:bCs/>
    </w:rPr>
  </w:style>
  <w:style w:type="paragraph" w:customStyle="1" w:styleId="AppendixHeading">
    <w:name w:val="Appendix Heading"/>
    <w:basedOn w:val="Heading1"/>
    <w:next w:val="BodyParagraph"/>
    <w:qFormat/>
    <w:rsid w:val="000E2A84"/>
    <w:pPr>
      <w:numPr>
        <w:numId w:val="5"/>
      </w:numPr>
      <w:spacing w:before="0" w:after="120"/>
    </w:pPr>
    <w:rPr>
      <w:rFonts w:ascii="TitilliumText22L Xb" w:hAnsi="TitilliumText22L Xb" w:cs="Times New Roman"/>
      <w:bCs w:val="0"/>
      <w:color w:val="433B67"/>
      <w:kern w:val="0"/>
      <w:sz w:val="28"/>
      <w:szCs w:val="28"/>
    </w:rPr>
  </w:style>
  <w:style w:type="paragraph" w:customStyle="1" w:styleId="AppendixHeading2">
    <w:name w:val="Appendix Heading 2"/>
    <w:basedOn w:val="Normal"/>
    <w:next w:val="BodyParagraph"/>
    <w:qFormat/>
    <w:rsid w:val="000E2A84"/>
    <w:pPr>
      <w:numPr>
        <w:ilvl w:val="1"/>
        <w:numId w:val="5"/>
      </w:numPr>
      <w:spacing w:after="60"/>
      <w:ind w:left="720" w:hanging="720"/>
    </w:pPr>
    <w:rPr>
      <w:rFonts w:ascii="Arial Bold" w:hAnsi="Arial Bold"/>
      <w:b/>
      <w:color w:val="5F497A"/>
      <w:sz w:val="26"/>
      <w:szCs w:val="22"/>
    </w:rPr>
  </w:style>
  <w:style w:type="paragraph" w:customStyle="1" w:styleId="AppendixHeading3">
    <w:name w:val="Appendix Heading 3"/>
    <w:basedOn w:val="Normal"/>
    <w:next w:val="BodyParagraph"/>
    <w:qFormat/>
    <w:rsid w:val="000E2A84"/>
    <w:pPr>
      <w:spacing w:after="60"/>
      <w:ind w:left="1260" w:hanging="900"/>
    </w:pPr>
    <w:rPr>
      <w:rFonts w:ascii="Arial Bold" w:hAnsi="Arial Bold"/>
      <w:b/>
      <w:color w:val="5F497A"/>
      <w:szCs w:val="22"/>
    </w:rPr>
  </w:style>
  <w:style w:type="paragraph" w:styleId="ListParagraph">
    <w:name w:val="List Paragraph"/>
    <w:basedOn w:val="Normal"/>
    <w:qFormat/>
    <w:rsid w:val="00C17BDA"/>
    <w:pPr>
      <w:ind w:left="720"/>
      <w:contextualSpacing/>
    </w:pPr>
  </w:style>
  <w:style w:type="paragraph" w:customStyle="1" w:styleId="Numbers">
    <w:name w:val="Numbers"/>
    <w:rsid w:val="00372421"/>
    <w:pPr>
      <w:numPr>
        <w:numId w:val="6"/>
      </w:numPr>
      <w:spacing w:after="120"/>
    </w:pPr>
    <w:rPr>
      <w:rFonts w:ascii="Arial" w:hAnsi="Arial"/>
      <w:szCs w:val="28"/>
    </w:rPr>
  </w:style>
  <w:style w:type="character" w:customStyle="1" w:styleId="CharChar4">
    <w:name w:val="Char Char4"/>
    <w:locked/>
    <w:rsid w:val="008E586B"/>
    <w:rPr>
      <w:lang w:val="en-US" w:eastAsia="en-US" w:bidi="ar-SA"/>
    </w:rPr>
  </w:style>
  <w:style w:type="paragraph" w:customStyle="1" w:styleId="LetterSalutation">
    <w:name w:val="Letter Salutation"/>
    <w:next w:val="BodyParagraph"/>
    <w:qFormat/>
    <w:rsid w:val="002C17DD"/>
    <w:pPr>
      <w:spacing w:before="400" w:after="200"/>
    </w:pPr>
    <w:rPr>
      <w:rFonts w:ascii="Arial" w:hAnsi="Arial"/>
      <w:sz w:val="22"/>
      <w:szCs w:val="22"/>
    </w:rPr>
  </w:style>
  <w:style w:type="paragraph" w:styleId="BodyText">
    <w:name w:val="Body Text"/>
    <w:basedOn w:val="Normal"/>
    <w:link w:val="BodyTextChar"/>
    <w:rsid w:val="009123D1"/>
    <w:pPr>
      <w:spacing w:after="120"/>
    </w:pPr>
  </w:style>
  <w:style w:type="character" w:customStyle="1" w:styleId="BodyTextChar">
    <w:name w:val="Body Text Char"/>
    <w:basedOn w:val="DefaultParagraphFont"/>
    <w:link w:val="BodyText"/>
    <w:rsid w:val="009123D1"/>
    <w:rPr>
      <w:sz w:val="24"/>
      <w:szCs w:val="24"/>
    </w:rPr>
  </w:style>
  <w:style w:type="paragraph" w:customStyle="1" w:styleId="BulletedList">
    <w:name w:val="Bulleted List"/>
    <w:basedOn w:val="Normal"/>
    <w:qFormat/>
    <w:rsid w:val="009123D1"/>
    <w:pPr>
      <w:numPr>
        <w:numId w:val="10"/>
      </w:numPr>
      <w:spacing w:after="120" w:line="240" w:lineRule="atLeast"/>
      <w:contextualSpacing/>
    </w:pPr>
    <w:rPr>
      <w:rFonts w:ascii="Tahoma" w:hAnsi="Tahoma" w:cs="Tahoma"/>
      <w:spacing w:val="4"/>
      <w:sz w:val="20"/>
      <w:szCs w:val="18"/>
    </w:rPr>
  </w:style>
  <w:style w:type="character" w:styleId="Emphasis">
    <w:name w:val="Emphasis"/>
    <w:basedOn w:val="DefaultParagraphFont"/>
    <w:qFormat/>
    <w:locked/>
    <w:rsid w:val="00EA17E5"/>
    <w:rPr>
      <w:i/>
      <w:iCs/>
    </w:rPr>
  </w:style>
  <w:style w:type="character" w:customStyle="1" w:styleId="Heading1Char">
    <w:name w:val="Heading 1 Char"/>
    <w:aliases w:val="Chap Num Char,Chapter Level Char"/>
    <w:basedOn w:val="DefaultParagraphFont"/>
    <w:link w:val="Heading1"/>
    <w:rsid w:val="0027135C"/>
    <w:rPr>
      <w:rFonts w:ascii="Arial" w:hAnsi="Arial" w:cs="Arial"/>
      <w:b/>
      <w:bCs/>
      <w:kern w:val="32"/>
      <w:sz w:val="24"/>
      <w:szCs w:val="32"/>
    </w:rPr>
  </w:style>
  <w:style w:type="paragraph" w:customStyle="1" w:styleId="NumbersLast">
    <w:name w:val="Numbers Last"/>
    <w:basedOn w:val="Numbers"/>
    <w:next w:val="BodyParagraph"/>
    <w:rsid w:val="00AE569D"/>
    <w:pPr>
      <w:numPr>
        <w:numId w:val="17"/>
      </w:numPr>
      <w:spacing w:after="360"/>
    </w:pPr>
  </w:style>
  <w:style w:type="table" w:customStyle="1" w:styleId="NEXANTNEWTABLESTYLE">
    <w:name w:val="NEXANT NEW TABLE STYLE"/>
    <w:basedOn w:val="TableNormal"/>
    <w:uiPriority w:val="99"/>
    <w:rsid w:val="00883E99"/>
    <w:pPr>
      <w:tabs>
        <w:tab w:val="center" w:pos="720"/>
      </w:tabs>
    </w:pPr>
    <w:rPr>
      <w:rFonts w:ascii="Tms Rmn" w:hAnsi="Tms Rmn"/>
    </w:rPr>
    <w:tblPr>
      <w:tblBorders>
        <w:top w:val="single" w:sz="4" w:space="0" w:color="1F497D" w:themeColor="text2"/>
        <w:bottom w:val="single" w:sz="4" w:space="0" w:color="1F497D" w:themeColor="text2"/>
        <w:insideH w:val="single" w:sz="4" w:space="0" w:color="1F497D" w:themeColor="text2"/>
        <w:insideV w:val="dotted" w:sz="4" w:space="0" w:color="1F497D" w:themeColor="text2"/>
      </w:tblBorders>
    </w:tblPr>
    <w:tblStylePr w:type="firstRow">
      <w:pPr>
        <w:jc w:val="center"/>
      </w:pPr>
      <w:rPr>
        <w:rFonts w:ascii="Calibri" w:hAnsi="Calibri"/>
        <w:b/>
        <w:color w:val="FFFFFF" w:themeColor="background1"/>
      </w:rPr>
      <w:tblPr/>
      <w:tcPr>
        <w:tcBorders>
          <w:top w:val="nil"/>
          <w:left w:val="nil"/>
          <w:bottom w:val="nil"/>
          <w:right w:val="nil"/>
          <w:insideH w:val="nil"/>
          <w:insideV w:val="nil"/>
          <w:tl2br w:val="nil"/>
          <w:tr2bl w:val="nil"/>
        </w:tcBorders>
        <w:shd w:val="clear" w:color="auto" w:fill="1F497D" w:themeFill="text2"/>
      </w:tcPr>
    </w:tblStylePr>
  </w:style>
  <w:style w:type="paragraph" w:styleId="TOC4">
    <w:name w:val="toc 4"/>
    <w:basedOn w:val="Normal"/>
    <w:next w:val="Normal"/>
    <w:autoRedefine/>
    <w:uiPriority w:val="39"/>
    <w:unhideWhenUsed/>
    <w:rsid w:val="008E3378"/>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E3378"/>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E3378"/>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E3378"/>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E3378"/>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E3378"/>
    <w:pPr>
      <w:spacing w:after="100" w:line="276" w:lineRule="auto"/>
      <w:ind w:left="1760"/>
    </w:pPr>
    <w:rPr>
      <w:rFonts w:asciiTheme="minorHAnsi" w:eastAsiaTheme="minorEastAsia" w:hAnsiTheme="minorHAnsi" w:cstheme="minorBidi"/>
      <w:sz w:val="22"/>
      <w:szCs w:val="22"/>
    </w:rPr>
  </w:style>
  <w:style w:type="character" w:customStyle="1" w:styleId="HalflineChar">
    <w:name w:val="Halfline Char"/>
    <w:basedOn w:val="DefaultParagraphFont"/>
    <w:link w:val="Halfline"/>
    <w:locked/>
    <w:rsid w:val="00B03AB1"/>
    <w:rPr>
      <w:sz w:val="24"/>
      <w:szCs w:val="24"/>
    </w:rPr>
  </w:style>
  <w:style w:type="paragraph" w:customStyle="1" w:styleId="Halfline">
    <w:name w:val="Halfline"/>
    <w:basedOn w:val="Normal"/>
    <w:next w:val="Normal"/>
    <w:link w:val="HalflineChar"/>
    <w:qFormat/>
    <w:rsid w:val="00B03AB1"/>
    <w:pPr>
      <w:spacing w:after="130" w:line="130" w:lineRule="exact"/>
    </w:pPr>
  </w:style>
  <w:style w:type="character" w:customStyle="1" w:styleId="tablefootnoteChar">
    <w:name w:val="table footnote Char"/>
    <w:basedOn w:val="DefaultParagraphFont"/>
    <w:link w:val="tablefootnote"/>
    <w:locked/>
    <w:rsid w:val="004F1D68"/>
  </w:style>
  <w:style w:type="paragraph" w:customStyle="1" w:styleId="tablefootnote">
    <w:name w:val="table footnote"/>
    <w:basedOn w:val="Normal"/>
    <w:link w:val="tablefootnoteChar"/>
    <w:rsid w:val="004F1D68"/>
    <w:pPr>
      <w:keepNext/>
      <w:keepLines/>
      <w:tabs>
        <w:tab w:val="left" w:pos="274"/>
      </w:tabs>
      <w:spacing w:before="60"/>
      <w:ind w:left="274" w:hanging="274"/>
      <w:jc w:val="both"/>
    </w:pPr>
    <w:rPr>
      <w:sz w:val="20"/>
      <w:szCs w:val="20"/>
    </w:rPr>
  </w:style>
  <w:style w:type="table" w:customStyle="1" w:styleId="ItronBasic">
    <w:name w:val="ItronBasic"/>
    <w:basedOn w:val="TableNormal"/>
    <w:uiPriority w:val="99"/>
    <w:qFormat/>
    <w:rsid w:val="004F1D68"/>
    <w:rPr>
      <w:rFonts w:ascii="Tms Rmn" w:hAnsi="Tms Rmn"/>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8871707">
      <w:bodyDiv w:val="1"/>
      <w:marLeft w:val="0"/>
      <w:marRight w:val="0"/>
      <w:marTop w:val="0"/>
      <w:marBottom w:val="0"/>
      <w:divBdr>
        <w:top w:val="none" w:sz="0" w:space="0" w:color="auto"/>
        <w:left w:val="none" w:sz="0" w:space="0" w:color="auto"/>
        <w:bottom w:val="none" w:sz="0" w:space="0" w:color="auto"/>
        <w:right w:val="none" w:sz="0" w:space="0" w:color="auto"/>
      </w:divBdr>
    </w:div>
    <w:div w:id="36858220">
      <w:bodyDiv w:val="1"/>
      <w:marLeft w:val="0"/>
      <w:marRight w:val="0"/>
      <w:marTop w:val="0"/>
      <w:marBottom w:val="0"/>
      <w:divBdr>
        <w:top w:val="none" w:sz="0" w:space="0" w:color="auto"/>
        <w:left w:val="none" w:sz="0" w:space="0" w:color="auto"/>
        <w:bottom w:val="none" w:sz="0" w:space="0" w:color="auto"/>
        <w:right w:val="none" w:sz="0" w:space="0" w:color="auto"/>
      </w:divBdr>
    </w:div>
    <w:div w:id="141241884">
      <w:bodyDiv w:val="1"/>
      <w:marLeft w:val="0"/>
      <w:marRight w:val="0"/>
      <w:marTop w:val="0"/>
      <w:marBottom w:val="0"/>
      <w:divBdr>
        <w:top w:val="none" w:sz="0" w:space="0" w:color="auto"/>
        <w:left w:val="none" w:sz="0" w:space="0" w:color="auto"/>
        <w:bottom w:val="none" w:sz="0" w:space="0" w:color="auto"/>
        <w:right w:val="none" w:sz="0" w:space="0" w:color="auto"/>
      </w:divBdr>
    </w:div>
    <w:div w:id="161818816">
      <w:bodyDiv w:val="1"/>
      <w:marLeft w:val="0"/>
      <w:marRight w:val="0"/>
      <w:marTop w:val="0"/>
      <w:marBottom w:val="0"/>
      <w:divBdr>
        <w:top w:val="none" w:sz="0" w:space="0" w:color="auto"/>
        <w:left w:val="none" w:sz="0" w:space="0" w:color="auto"/>
        <w:bottom w:val="none" w:sz="0" w:space="0" w:color="auto"/>
        <w:right w:val="none" w:sz="0" w:space="0" w:color="auto"/>
      </w:divBdr>
    </w:div>
    <w:div w:id="230628586">
      <w:bodyDiv w:val="1"/>
      <w:marLeft w:val="0"/>
      <w:marRight w:val="0"/>
      <w:marTop w:val="0"/>
      <w:marBottom w:val="0"/>
      <w:divBdr>
        <w:top w:val="none" w:sz="0" w:space="0" w:color="auto"/>
        <w:left w:val="none" w:sz="0" w:space="0" w:color="auto"/>
        <w:bottom w:val="none" w:sz="0" w:space="0" w:color="auto"/>
        <w:right w:val="none" w:sz="0" w:space="0" w:color="auto"/>
      </w:divBdr>
    </w:div>
    <w:div w:id="242491681">
      <w:bodyDiv w:val="1"/>
      <w:marLeft w:val="0"/>
      <w:marRight w:val="0"/>
      <w:marTop w:val="0"/>
      <w:marBottom w:val="0"/>
      <w:divBdr>
        <w:top w:val="none" w:sz="0" w:space="0" w:color="auto"/>
        <w:left w:val="none" w:sz="0" w:space="0" w:color="auto"/>
        <w:bottom w:val="none" w:sz="0" w:space="0" w:color="auto"/>
        <w:right w:val="none" w:sz="0" w:space="0" w:color="auto"/>
      </w:divBdr>
    </w:div>
    <w:div w:id="246381154">
      <w:bodyDiv w:val="1"/>
      <w:marLeft w:val="0"/>
      <w:marRight w:val="0"/>
      <w:marTop w:val="0"/>
      <w:marBottom w:val="0"/>
      <w:divBdr>
        <w:top w:val="none" w:sz="0" w:space="0" w:color="auto"/>
        <w:left w:val="none" w:sz="0" w:space="0" w:color="auto"/>
        <w:bottom w:val="none" w:sz="0" w:space="0" w:color="auto"/>
        <w:right w:val="none" w:sz="0" w:space="0" w:color="auto"/>
      </w:divBdr>
    </w:div>
    <w:div w:id="260452505">
      <w:bodyDiv w:val="1"/>
      <w:marLeft w:val="0"/>
      <w:marRight w:val="0"/>
      <w:marTop w:val="0"/>
      <w:marBottom w:val="0"/>
      <w:divBdr>
        <w:top w:val="none" w:sz="0" w:space="0" w:color="auto"/>
        <w:left w:val="none" w:sz="0" w:space="0" w:color="auto"/>
        <w:bottom w:val="none" w:sz="0" w:space="0" w:color="auto"/>
        <w:right w:val="none" w:sz="0" w:space="0" w:color="auto"/>
      </w:divBdr>
    </w:div>
    <w:div w:id="287054389">
      <w:bodyDiv w:val="1"/>
      <w:marLeft w:val="0"/>
      <w:marRight w:val="0"/>
      <w:marTop w:val="0"/>
      <w:marBottom w:val="0"/>
      <w:divBdr>
        <w:top w:val="none" w:sz="0" w:space="0" w:color="auto"/>
        <w:left w:val="none" w:sz="0" w:space="0" w:color="auto"/>
        <w:bottom w:val="none" w:sz="0" w:space="0" w:color="auto"/>
        <w:right w:val="none" w:sz="0" w:space="0" w:color="auto"/>
      </w:divBdr>
    </w:div>
    <w:div w:id="307129865">
      <w:bodyDiv w:val="1"/>
      <w:marLeft w:val="0"/>
      <w:marRight w:val="0"/>
      <w:marTop w:val="0"/>
      <w:marBottom w:val="0"/>
      <w:divBdr>
        <w:top w:val="none" w:sz="0" w:space="0" w:color="auto"/>
        <w:left w:val="none" w:sz="0" w:space="0" w:color="auto"/>
        <w:bottom w:val="none" w:sz="0" w:space="0" w:color="auto"/>
        <w:right w:val="none" w:sz="0" w:space="0" w:color="auto"/>
      </w:divBdr>
    </w:div>
    <w:div w:id="363214812">
      <w:bodyDiv w:val="1"/>
      <w:marLeft w:val="0"/>
      <w:marRight w:val="0"/>
      <w:marTop w:val="0"/>
      <w:marBottom w:val="0"/>
      <w:divBdr>
        <w:top w:val="none" w:sz="0" w:space="0" w:color="auto"/>
        <w:left w:val="none" w:sz="0" w:space="0" w:color="auto"/>
        <w:bottom w:val="none" w:sz="0" w:space="0" w:color="auto"/>
        <w:right w:val="none" w:sz="0" w:space="0" w:color="auto"/>
      </w:divBdr>
    </w:div>
    <w:div w:id="462893499">
      <w:bodyDiv w:val="1"/>
      <w:marLeft w:val="0"/>
      <w:marRight w:val="0"/>
      <w:marTop w:val="0"/>
      <w:marBottom w:val="0"/>
      <w:divBdr>
        <w:top w:val="none" w:sz="0" w:space="0" w:color="auto"/>
        <w:left w:val="none" w:sz="0" w:space="0" w:color="auto"/>
        <w:bottom w:val="none" w:sz="0" w:space="0" w:color="auto"/>
        <w:right w:val="none" w:sz="0" w:space="0" w:color="auto"/>
      </w:divBdr>
    </w:div>
    <w:div w:id="552430828">
      <w:bodyDiv w:val="1"/>
      <w:marLeft w:val="0"/>
      <w:marRight w:val="0"/>
      <w:marTop w:val="0"/>
      <w:marBottom w:val="0"/>
      <w:divBdr>
        <w:top w:val="none" w:sz="0" w:space="0" w:color="auto"/>
        <w:left w:val="none" w:sz="0" w:space="0" w:color="auto"/>
        <w:bottom w:val="none" w:sz="0" w:space="0" w:color="auto"/>
        <w:right w:val="none" w:sz="0" w:space="0" w:color="auto"/>
      </w:divBdr>
    </w:div>
    <w:div w:id="557403810">
      <w:bodyDiv w:val="1"/>
      <w:marLeft w:val="0"/>
      <w:marRight w:val="0"/>
      <w:marTop w:val="0"/>
      <w:marBottom w:val="0"/>
      <w:divBdr>
        <w:top w:val="none" w:sz="0" w:space="0" w:color="auto"/>
        <w:left w:val="none" w:sz="0" w:space="0" w:color="auto"/>
        <w:bottom w:val="none" w:sz="0" w:space="0" w:color="auto"/>
        <w:right w:val="none" w:sz="0" w:space="0" w:color="auto"/>
      </w:divBdr>
    </w:div>
    <w:div w:id="597715199">
      <w:bodyDiv w:val="1"/>
      <w:marLeft w:val="0"/>
      <w:marRight w:val="0"/>
      <w:marTop w:val="0"/>
      <w:marBottom w:val="0"/>
      <w:divBdr>
        <w:top w:val="none" w:sz="0" w:space="0" w:color="auto"/>
        <w:left w:val="none" w:sz="0" w:space="0" w:color="auto"/>
        <w:bottom w:val="none" w:sz="0" w:space="0" w:color="auto"/>
        <w:right w:val="none" w:sz="0" w:space="0" w:color="auto"/>
      </w:divBdr>
    </w:div>
    <w:div w:id="616453604">
      <w:bodyDiv w:val="1"/>
      <w:marLeft w:val="0"/>
      <w:marRight w:val="0"/>
      <w:marTop w:val="0"/>
      <w:marBottom w:val="0"/>
      <w:divBdr>
        <w:top w:val="none" w:sz="0" w:space="0" w:color="auto"/>
        <w:left w:val="none" w:sz="0" w:space="0" w:color="auto"/>
        <w:bottom w:val="none" w:sz="0" w:space="0" w:color="auto"/>
        <w:right w:val="none" w:sz="0" w:space="0" w:color="auto"/>
      </w:divBdr>
    </w:div>
    <w:div w:id="755519710">
      <w:bodyDiv w:val="1"/>
      <w:marLeft w:val="0"/>
      <w:marRight w:val="0"/>
      <w:marTop w:val="0"/>
      <w:marBottom w:val="0"/>
      <w:divBdr>
        <w:top w:val="none" w:sz="0" w:space="0" w:color="auto"/>
        <w:left w:val="none" w:sz="0" w:space="0" w:color="auto"/>
        <w:bottom w:val="none" w:sz="0" w:space="0" w:color="auto"/>
        <w:right w:val="none" w:sz="0" w:space="0" w:color="auto"/>
      </w:divBdr>
    </w:div>
    <w:div w:id="793600605">
      <w:bodyDiv w:val="1"/>
      <w:marLeft w:val="0"/>
      <w:marRight w:val="0"/>
      <w:marTop w:val="0"/>
      <w:marBottom w:val="0"/>
      <w:divBdr>
        <w:top w:val="none" w:sz="0" w:space="0" w:color="auto"/>
        <w:left w:val="none" w:sz="0" w:space="0" w:color="auto"/>
        <w:bottom w:val="none" w:sz="0" w:space="0" w:color="auto"/>
        <w:right w:val="none" w:sz="0" w:space="0" w:color="auto"/>
      </w:divBdr>
    </w:div>
    <w:div w:id="812479409">
      <w:bodyDiv w:val="1"/>
      <w:marLeft w:val="0"/>
      <w:marRight w:val="0"/>
      <w:marTop w:val="0"/>
      <w:marBottom w:val="0"/>
      <w:divBdr>
        <w:top w:val="none" w:sz="0" w:space="0" w:color="auto"/>
        <w:left w:val="none" w:sz="0" w:space="0" w:color="auto"/>
        <w:bottom w:val="none" w:sz="0" w:space="0" w:color="auto"/>
        <w:right w:val="none" w:sz="0" w:space="0" w:color="auto"/>
      </w:divBdr>
    </w:div>
    <w:div w:id="864176338">
      <w:bodyDiv w:val="1"/>
      <w:marLeft w:val="0"/>
      <w:marRight w:val="0"/>
      <w:marTop w:val="0"/>
      <w:marBottom w:val="0"/>
      <w:divBdr>
        <w:top w:val="none" w:sz="0" w:space="0" w:color="auto"/>
        <w:left w:val="none" w:sz="0" w:space="0" w:color="auto"/>
        <w:bottom w:val="none" w:sz="0" w:space="0" w:color="auto"/>
        <w:right w:val="none" w:sz="0" w:space="0" w:color="auto"/>
      </w:divBdr>
    </w:div>
    <w:div w:id="1118529482">
      <w:bodyDiv w:val="1"/>
      <w:marLeft w:val="0"/>
      <w:marRight w:val="0"/>
      <w:marTop w:val="0"/>
      <w:marBottom w:val="0"/>
      <w:divBdr>
        <w:top w:val="none" w:sz="0" w:space="0" w:color="auto"/>
        <w:left w:val="none" w:sz="0" w:space="0" w:color="auto"/>
        <w:bottom w:val="none" w:sz="0" w:space="0" w:color="auto"/>
        <w:right w:val="none" w:sz="0" w:space="0" w:color="auto"/>
      </w:divBdr>
    </w:div>
    <w:div w:id="1123690539">
      <w:bodyDiv w:val="1"/>
      <w:marLeft w:val="0"/>
      <w:marRight w:val="0"/>
      <w:marTop w:val="0"/>
      <w:marBottom w:val="0"/>
      <w:divBdr>
        <w:top w:val="none" w:sz="0" w:space="0" w:color="auto"/>
        <w:left w:val="none" w:sz="0" w:space="0" w:color="auto"/>
        <w:bottom w:val="none" w:sz="0" w:space="0" w:color="auto"/>
        <w:right w:val="none" w:sz="0" w:space="0" w:color="auto"/>
      </w:divBdr>
    </w:div>
    <w:div w:id="1197229336">
      <w:bodyDiv w:val="1"/>
      <w:marLeft w:val="0"/>
      <w:marRight w:val="0"/>
      <w:marTop w:val="0"/>
      <w:marBottom w:val="0"/>
      <w:divBdr>
        <w:top w:val="none" w:sz="0" w:space="0" w:color="auto"/>
        <w:left w:val="none" w:sz="0" w:space="0" w:color="auto"/>
        <w:bottom w:val="none" w:sz="0" w:space="0" w:color="auto"/>
        <w:right w:val="none" w:sz="0" w:space="0" w:color="auto"/>
      </w:divBdr>
    </w:div>
    <w:div w:id="1286503039">
      <w:bodyDiv w:val="1"/>
      <w:marLeft w:val="0"/>
      <w:marRight w:val="0"/>
      <w:marTop w:val="0"/>
      <w:marBottom w:val="0"/>
      <w:divBdr>
        <w:top w:val="none" w:sz="0" w:space="0" w:color="auto"/>
        <w:left w:val="none" w:sz="0" w:space="0" w:color="auto"/>
        <w:bottom w:val="none" w:sz="0" w:space="0" w:color="auto"/>
        <w:right w:val="none" w:sz="0" w:space="0" w:color="auto"/>
      </w:divBdr>
    </w:div>
    <w:div w:id="1339381862">
      <w:bodyDiv w:val="1"/>
      <w:marLeft w:val="0"/>
      <w:marRight w:val="0"/>
      <w:marTop w:val="0"/>
      <w:marBottom w:val="0"/>
      <w:divBdr>
        <w:top w:val="none" w:sz="0" w:space="0" w:color="auto"/>
        <w:left w:val="none" w:sz="0" w:space="0" w:color="auto"/>
        <w:bottom w:val="none" w:sz="0" w:space="0" w:color="auto"/>
        <w:right w:val="none" w:sz="0" w:space="0" w:color="auto"/>
      </w:divBdr>
    </w:div>
    <w:div w:id="1389573064">
      <w:bodyDiv w:val="1"/>
      <w:marLeft w:val="0"/>
      <w:marRight w:val="0"/>
      <w:marTop w:val="0"/>
      <w:marBottom w:val="0"/>
      <w:divBdr>
        <w:top w:val="none" w:sz="0" w:space="0" w:color="auto"/>
        <w:left w:val="none" w:sz="0" w:space="0" w:color="auto"/>
        <w:bottom w:val="none" w:sz="0" w:space="0" w:color="auto"/>
        <w:right w:val="none" w:sz="0" w:space="0" w:color="auto"/>
      </w:divBdr>
    </w:div>
    <w:div w:id="1393310522">
      <w:bodyDiv w:val="1"/>
      <w:marLeft w:val="0"/>
      <w:marRight w:val="0"/>
      <w:marTop w:val="0"/>
      <w:marBottom w:val="0"/>
      <w:divBdr>
        <w:top w:val="none" w:sz="0" w:space="0" w:color="auto"/>
        <w:left w:val="none" w:sz="0" w:space="0" w:color="auto"/>
        <w:bottom w:val="none" w:sz="0" w:space="0" w:color="auto"/>
        <w:right w:val="none" w:sz="0" w:space="0" w:color="auto"/>
      </w:divBdr>
    </w:div>
    <w:div w:id="1447239488">
      <w:bodyDiv w:val="1"/>
      <w:marLeft w:val="0"/>
      <w:marRight w:val="0"/>
      <w:marTop w:val="0"/>
      <w:marBottom w:val="0"/>
      <w:divBdr>
        <w:top w:val="none" w:sz="0" w:space="0" w:color="auto"/>
        <w:left w:val="none" w:sz="0" w:space="0" w:color="auto"/>
        <w:bottom w:val="none" w:sz="0" w:space="0" w:color="auto"/>
        <w:right w:val="none" w:sz="0" w:space="0" w:color="auto"/>
      </w:divBdr>
    </w:div>
    <w:div w:id="1464619428">
      <w:bodyDiv w:val="1"/>
      <w:marLeft w:val="0"/>
      <w:marRight w:val="0"/>
      <w:marTop w:val="0"/>
      <w:marBottom w:val="0"/>
      <w:divBdr>
        <w:top w:val="none" w:sz="0" w:space="0" w:color="auto"/>
        <w:left w:val="none" w:sz="0" w:space="0" w:color="auto"/>
        <w:bottom w:val="none" w:sz="0" w:space="0" w:color="auto"/>
        <w:right w:val="none" w:sz="0" w:space="0" w:color="auto"/>
      </w:divBdr>
    </w:div>
    <w:div w:id="1491947248">
      <w:bodyDiv w:val="1"/>
      <w:marLeft w:val="0"/>
      <w:marRight w:val="0"/>
      <w:marTop w:val="0"/>
      <w:marBottom w:val="0"/>
      <w:divBdr>
        <w:top w:val="none" w:sz="0" w:space="0" w:color="auto"/>
        <w:left w:val="none" w:sz="0" w:space="0" w:color="auto"/>
        <w:bottom w:val="none" w:sz="0" w:space="0" w:color="auto"/>
        <w:right w:val="none" w:sz="0" w:space="0" w:color="auto"/>
      </w:divBdr>
    </w:div>
    <w:div w:id="1508209627">
      <w:bodyDiv w:val="1"/>
      <w:marLeft w:val="0"/>
      <w:marRight w:val="0"/>
      <w:marTop w:val="0"/>
      <w:marBottom w:val="0"/>
      <w:divBdr>
        <w:top w:val="none" w:sz="0" w:space="0" w:color="auto"/>
        <w:left w:val="none" w:sz="0" w:space="0" w:color="auto"/>
        <w:bottom w:val="none" w:sz="0" w:space="0" w:color="auto"/>
        <w:right w:val="none" w:sz="0" w:space="0" w:color="auto"/>
      </w:divBdr>
    </w:div>
    <w:div w:id="1691755574">
      <w:bodyDiv w:val="1"/>
      <w:marLeft w:val="0"/>
      <w:marRight w:val="0"/>
      <w:marTop w:val="0"/>
      <w:marBottom w:val="0"/>
      <w:divBdr>
        <w:top w:val="none" w:sz="0" w:space="0" w:color="auto"/>
        <w:left w:val="none" w:sz="0" w:space="0" w:color="auto"/>
        <w:bottom w:val="none" w:sz="0" w:space="0" w:color="auto"/>
        <w:right w:val="none" w:sz="0" w:space="0" w:color="auto"/>
      </w:divBdr>
    </w:div>
    <w:div w:id="1738891675">
      <w:bodyDiv w:val="1"/>
      <w:marLeft w:val="0"/>
      <w:marRight w:val="0"/>
      <w:marTop w:val="0"/>
      <w:marBottom w:val="0"/>
      <w:divBdr>
        <w:top w:val="none" w:sz="0" w:space="0" w:color="auto"/>
        <w:left w:val="none" w:sz="0" w:space="0" w:color="auto"/>
        <w:bottom w:val="none" w:sz="0" w:space="0" w:color="auto"/>
        <w:right w:val="none" w:sz="0" w:space="0" w:color="auto"/>
      </w:divBdr>
    </w:div>
    <w:div w:id="1812597205">
      <w:bodyDiv w:val="1"/>
      <w:marLeft w:val="0"/>
      <w:marRight w:val="0"/>
      <w:marTop w:val="0"/>
      <w:marBottom w:val="0"/>
      <w:divBdr>
        <w:top w:val="none" w:sz="0" w:space="0" w:color="auto"/>
        <w:left w:val="none" w:sz="0" w:space="0" w:color="auto"/>
        <w:bottom w:val="none" w:sz="0" w:space="0" w:color="auto"/>
        <w:right w:val="none" w:sz="0" w:space="0" w:color="auto"/>
      </w:divBdr>
    </w:div>
    <w:div w:id="1827747218">
      <w:bodyDiv w:val="1"/>
      <w:marLeft w:val="0"/>
      <w:marRight w:val="0"/>
      <w:marTop w:val="0"/>
      <w:marBottom w:val="0"/>
      <w:divBdr>
        <w:top w:val="none" w:sz="0" w:space="0" w:color="auto"/>
        <w:left w:val="none" w:sz="0" w:space="0" w:color="auto"/>
        <w:bottom w:val="none" w:sz="0" w:space="0" w:color="auto"/>
        <w:right w:val="none" w:sz="0" w:space="0" w:color="auto"/>
      </w:divBdr>
    </w:div>
    <w:div w:id="1848709245">
      <w:bodyDiv w:val="1"/>
      <w:marLeft w:val="0"/>
      <w:marRight w:val="0"/>
      <w:marTop w:val="0"/>
      <w:marBottom w:val="0"/>
      <w:divBdr>
        <w:top w:val="none" w:sz="0" w:space="0" w:color="auto"/>
        <w:left w:val="none" w:sz="0" w:space="0" w:color="auto"/>
        <w:bottom w:val="none" w:sz="0" w:space="0" w:color="auto"/>
        <w:right w:val="none" w:sz="0" w:space="0" w:color="auto"/>
      </w:divBdr>
    </w:div>
    <w:div w:id="1867206379">
      <w:bodyDiv w:val="1"/>
      <w:marLeft w:val="0"/>
      <w:marRight w:val="0"/>
      <w:marTop w:val="0"/>
      <w:marBottom w:val="0"/>
      <w:divBdr>
        <w:top w:val="none" w:sz="0" w:space="0" w:color="auto"/>
        <w:left w:val="none" w:sz="0" w:space="0" w:color="auto"/>
        <w:bottom w:val="none" w:sz="0" w:space="0" w:color="auto"/>
        <w:right w:val="none" w:sz="0" w:space="0" w:color="auto"/>
      </w:divBdr>
    </w:div>
    <w:div w:id="1936982418">
      <w:bodyDiv w:val="1"/>
      <w:marLeft w:val="0"/>
      <w:marRight w:val="0"/>
      <w:marTop w:val="0"/>
      <w:marBottom w:val="0"/>
      <w:divBdr>
        <w:top w:val="none" w:sz="0" w:space="0" w:color="auto"/>
        <w:left w:val="none" w:sz="0" w:space="0" w:color="auto"/>
        <w:bottom w:val="none" w:sz="0" w:space="0" w:color="auto"/>
        <w:right w:val="none" w:sz="0" w:space="0" w:color="auto"/>
      </w:divBdr>
    </w:div>
    <w:div w:id="1976830662">
      <w:bodyDiv w:val="1"/>
      <w:marLeft w:val="0"/>
      <w:marRight w:val="0"/>
      <w:marTop w:val="0"/>
      <w:marBottom w:val="0"/>
      <w:divBdr>
        <w:top w:val="none" w:sz="0" w:space="0" w:color="auto"/>
        <w:left w:val="none" w:sz="0" w:space="0" w:color="auto"/>
        <w:bottom w:val="none" w:sz="0" w:space="0" w:color="auto"/>
        <w:right w:val="none" w:sz="0" w:space="0" w:color="auto"/>
      </w:divBdr>
    </w:div>
    <w:div w:id="1994216629">
      <w:bodyDiv w:val="1"/>
      <w:marLeft w:val="0"/>
      <w:marRight w:val="0"/>
      <w:marTop w:val="0"/>
      <w:marBottom w:val="0"/>
      <w:divBdr>
        <w:top w:val="none" w:sz="0" w:space="0" w:color="auto"/>
        <w:left w:val="none" w:sz="0" w:space="0" w:color="auto"/>
        <w:bottom w:val="none" w:sz="0" w:space="0" w:color="auto"/>
        <w:right w:val="none" w:sz="0" w:space="0" w:color="auto"/>
      </w:divBdr>
    </w:div>
    <w:div w:id="2015381173">
      <w:bodyDiv w:val="1"/>
      <w:marLeft w:val="0"/>
      <w:marRight w:val="0"/>
      <w:marTop w:val="0"/>
      <w:marBottom w:val="0"/>
      <w:divBdr>
        <w:top w:val="none" w:sz="0" w:space="0" w:color="auto"/>
        <w:left w:val="none" w:sz="0" w:space="0" w:color="auto"/>
        <w:bottom w:val="none" w:sz="0" w:space="0" w:color="auto"/>
        <w:right w:val="none" w:sz="0" w:space="0" w:color="auto"/>
      </w:divBdr>
    </w:div>
    <w:div w:id="2024897238">
      <w:bodyDiv w:val="1"/>
      <w:marLeft w:val="0"/>
      <w:marRight w:val="0"/>
      <w:marTop w:val="0"/>
      <w:marBottom w:val="0"/>
      <w:divBdr>
        <w:top w:val="none" w:sz="0" w:space="0" w:color="auto"/>
        <w:left w:val="none" w:sz="0" w:space="0" w:color="auto"/>
        <w:bottom w:val="none" w:sz="0" w:space="0" w:color="auto"/>
        <w:right w:val="none" w:sz="0" w:space="0" w:color="auto"/>
      </w:divBdr>
    </w:div>
    <w:div w:id="2025593064">
      <w:bodyDiv w:val="1"/>
      <w:marLeft w:val="0"/>
      <w:marRight w:val="0"/>
      <w:marTop w:val="0"/>
      <w:marBottom w:val="0"/>
      <w:divBdr>
        <w:top w:val="none" w:sz="0" w:space="0" w:color="auto"/>
        <w:left w:val="none" w:sz="0" w:space="0" w:color="auto"/>
        <w:bottom w:val="none" w:sz="0" w:space="0" w:color="auto"/>
        <w:right w:val="none" w:sz="0" w:space="0" w:color="auto"/>
      </w:divBdr>
    </w:div>
    <w:div w:id="2042052969">
      <w:bodyDiv w:val="1"/>
      <w:marLeft w:val="0"/>
      <w:marRight w:val="0"/>
      <w:marTop w:val="0"/>
      <w:marBottom w:val="0"/>
      <w:divBdr>
        <w:top w:val="none" w:sz="0" w:space="0" w:color="auto"/>
        <w:left w:val="none" w:sz="0" w:space="0" w:color="auto"/>
        <w:bottom w:val="none" w:sz="0" w:space="0" w:color="auto"/>
        <w:right w:val="none" w:sz="0" w:space="0" w:color="auto"/>
      </w:divBdr>
    </w:div>
    <w:div w:id="2059623394">
      <w:bodyDiv w:val="1"/>
      <w:marLeft w:val="0"/>
      <w:marRight w:val="0"/>
      <w:marTop w:val="0"/>
      <w:marBottom w:val="0"/>
      <w:divBdr>
        <w:top w:val="none" w:sz="0" w:space="0" w:color="auto"/>
        <w:left w:val="none" w:sz="0" w:space="0" w:color="auto"/>
        <w:bottom w:val="none" w:sz="0" w:space="0" w:color="auto"/>
        <w:right w:val="none" w:sz="0" w:space="0" w:color="auto"/>
      </w:divBdr>
    </w:div>
    <w:div w:id="21030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oleObject" Target="embeddings/oleObject5.bin"/><Relationship Id="rId33" Type="http://schemas.openxmlformats.org/officeDocument/2006/relationships/image" Target="media/image20.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w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9.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oleObject" Target="embeddings/oleObject4.bin"/><Relationship Id="rId28" Type="http://schemas.openxmlformats.org/officeDocument/2006/relationships/image" Target="media/image15.png"/><Relationship Id="rId36"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oleObject" Target="embeddings/oleObject2.bin"/><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wmf"/></Relationships>
</file>

<file path=word/_rels/footnotes.xml.rels><?xml version="1.0" encoding="UTF-8" standalone="yes"?>
<Relationships xmlns="http://schemas.openxmlformats.org/package/2006/relationships"><Relationship Id="rId1" Type="http://schemas.openxmlformats.org/officeDocument/2006/relationships/hyperlink" Target="https://www.smartgrid.gov/sites/default/files/MASTER_SMUD%20CBS%20Interim%20Evaluation_Final_SUBMITTED%20TO%20TAG%2020131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D12BA-C153-412B-9C09-AF689F94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114</Pages>
  <Words>33001</Words>
  <Characters>188112</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SDG&amp;E 2009 Load Impact Executive Summary</vt:lpstr>
    </vt:vector>
  </TitlesOfParts>
  <Company>Sempra Energy Utilities</Company>
  <LinksUpToDate>false</LinksUpToDate>
  <CharactersWithSpaces>220672</CharactersWithSpaces>
  <SharedDoc>false</SharedDoc>
  <HLinks>
    <vt:vector size="282" baseType="variant">
      <vt:variant>
        <vt:i4>1769533</vt:i4>
      </vt:variant>
      <vt:variant>
        <vt:i4>278</vt:i4>
      </vt:variant>
      <vt:variant>
        <vt:i4>0</vt:i4>
      </vt:variant>
      <vt:variant>
        <vt:i4>5</vt:i4>
      </vt:variant>
      <vt:variant>
        <vt:lpwstr/>
      </vt:variant>
      <vt:variant>
        <vt:lpwstr>_Toc351990604</vt:lpwstr>
      </vt:variant>
      <vt:variant>
        <vt:i4>1769533</vt:i4>
      </vt:variant>
      <vt:variant>
        <vt:i4>272</vt:i4>
      </vt:variant>
      <vt:variant>
        <vt:i4>0</vt:i4>
      </vt:variant>
      <vt:variant>
        <vt:i4>5</vt:i4>
      </vt:variant>
      <vt:variant>
        <vt:lpwstr/>
      </vt:variant>
      <vt:variant>
        <vt:lpwstr>_Toc351990603</vt:lpwstr>
      </vt:variant>
      <vt:variant>
        <vt:i4>1769533</vt:i4>
      </vt:variant>
      <vt:variant>
        <vt:i4>266</vt:i4>
      </vt:variant>
      <vt:variant>
        <vt:i4>0</vt:i4>
      </vt:variant>
      <vt:variant>
        <vt:i4>5</vt:i4>
      </vt:variant>
      <vt:variant>
        <vt:lpwstr/>
      </vt:variant>
      <vt:variant>
        <vt:lpwstr>_Toc351990602</vt:lpwstr>
      </vt:variant>
      <vt:variant>
        <vt:i4>1769533</vt:i4>
      </vt:variant>
      <vt:variant>
        <vt:i4>260</vt:i4>
      </vt:variant>
      <vt:variant>
        <vt:i4>0</vt:i4>
      </vt:variant>
      <vt:variant>
        <vt:i4>5</vt:i4>
      </vt:variant>
      <vt:variant>
        <vt:lpwstr/>
      </vt:variant>
      <vt:variant>
        <vt:lpwstr>_Toc351990601</vt:lpwstr>
      </vt:variant>
      <vt:variant>
        <vt:i4>1769533</vt:i4>
      </vt:variant>
      <vt:variant>
        <vt:i4>254</vt:i4>
      </vt:variant>
      <vt:variant>
        <vt:i4>0</vt:i4>
      </vt:variant>
      <vt:variant>
        <vt:i4>5</vt:i4>
      </vt:variant>
      <vt:variant>
        <vt:lpwstr/>
      </vt:variant>
      <vt:variant>
        <vt:lpwstr>_Toc351990600</vt:lpwstr>
      </vt:variant>
      <vt:variant>
        <vt:i4>1179710</vt:i4>
      </vt:variant>
      <vt:variant>
        <vt:i4>248</vt:i4>
      </vt:variant>
      <vt:variant>
        <vt:i4>0</vt:i4>
      </vt:variant>
      <vt:variant>
        <vt:i4>5</vt:i4>
      </vt:variant>
      <vt:variant>
        <vt:lpwstr/>
      </vt:variant>
      <vt:variant>
        <vt:lpwstr>_Toc351990599</vt:lpwstr>
      </vt:variant>
      <vt:variant>
        <vt:i4>1179710</vt:i4>
      </vt:variant>
      <vt:variant>
        <vt:i4>242</vt:i4>
      </vt:variant>
      <vt:variant>
        <vt:i4>0</vt:i4>
      </vt:variant>
      <vt:variant>
        <vt:i4>5</vt:i4>
      </vt:variant>
      <vt:variant>
        <vt:lpwstr/>
      </vt:variant>
      <vt:variant>
        <vt:lpwstr>_Toc351990598</vt:lpwstr>
      </vt:variant>
      <vt:variant>
        <vt:i4>1179710</vt:i4>
      </vt:variant>
      <vt:variant>
        <vt:i4>236</vt:i4>
      </vt:variant>
      <vt:variant>
        <vt:i4>0</vt:i4>
      </vt:variant>
      <vt:variant>
        <vt:i4>5</vt:i4>
      </vt:variant>
      <vt:variant>
        <vt:lpwstr/>
      </vt:variant>
      <vt:variant>
        <vt:lpwstr>_Toc351990597</vt:lpwstr>
      </vt:variant>
      <vt:variant>
        <vt:i4>1179710</vt:i4>
      </vt:variant>
      <vt:variant>
        <vt:i4>230</vt:i4>
      </vt:variant>
      <vt:variant>
        <vt:i4>0</vt:i4>
      </vt:variant>
      <vt:variant>
        <vt:i4>5</vt:i4>
      </vt:variant>
      <vt:variant>
        <vt:lpwstr/>
      </vt:variant>
      <vt:variant>
        <vt:lpwstr>_Toc351990596</vt:lpwstr>
      </vt:variant>
      <vt:variant>
        <vt:i4>1179710</vt:i4>
      </vt:variant>
      <vt:variant>
        <vt:i4>224</vt:i4>
      </vt:variant>
      <vt:variant>
        <vt:i4>0</vt:i4>
      </vt:variant>
      <vt:variant>
        <vt:i4>5</vt:i4>
      </vt:variant>
      <vt:variant>
        <vt:lpwstr/>
      </vt:variant>
      <vt:variant>
        <vt:lpwstr>_Toc351990595</vt:lpwstr>
      </vt:variant>
      <vt:variant>
        <vt:i4>1179710</vt:i4>
      </vt:variant>
      <vt:variant>
        <vt:i4>218</vt:i4>
      </vt:variant>
      <vt:variant>
        <vt:i4>0</vt:i4>
      </vt:variant>
      <vt:variant>
        <vt:i4>5</vt:i4>
      </vt:variant>
      <vt:variant>
        <vt:lpwstr/>
      </vt:variant>
      <vt:variant>
        <vt:lpwstr>_Toc351990594</vt:lpwstr>
      </vt:variant>
      <vt:variant>
        <vt:i4>1179710</vt:i4>
      </vt:variant>
      <vt:variant>
        <vt:i4>212</vt:i4>
      </vt:variant>
      <vt:variant>
        <vt:i4>0</vt:i4>
      </vt:variant>
      <vt:variant>
        <vt:i4>5</vt:i4>
      </vt:variant>
      <vt:variant>
        <vt:lpwstr/>
      </vt:variant>
      <vt:variant>
        <vt:lpwstr>_Toc351990593</vt:lpwstr>
      </vt:variant>
      <vt:variant>
        <vt:i4>1179710</vt:i4>
      </vt:variant>
      <vt:variant>
        <vt:i4>206</vt:i4>
      </vt:variant>
      <vt:variant>
        <vt:i4>0</vt:i4>
      </vt:variant>
      <vt:variant>
        <vt:i4>5</vt:i4>
      </vt:variant>
      <vt:variant>
        <vt:lpwstr/>
      </vt:variant>
      <vt:variant>
        <vt:lpwstr>_Toc351990592</vt:lpwstr>
      </vt:variant>
      <vt:variant>
        <vt:i4>1179710</vt:i4>
      </vt:variant>
      <vt:variant>
        <vt:i4>200</vt:i4>
      </vt:variant>
      <vt:variant>
        <vt:i4>0</vt:i4>
      </vt:variant>
      <vt:variant>
        <vt:i4>5</vt:i4>
      </vt:variant>
      <vt:variant>
        <vt:lpwstr/>
      </vt:variant>
      <vt:variant>
        <vt:lpwstr>_Toc351990591</vt:lpwstr>
      </vt:variant>
      <vt:variant>
        <vt:i4>1179710</vt:i4>
      </vt:variant>
      <vt:variant>
        <vt:i4>194</vt:i4>
      </vt:variant>
      <vt:variant>
        <vt:i4>0</vt:i4>
      </vt:variant>
      <vt:variant>
        <vt:i4>5</vt:i4>
      </vt:variant>
      <vt:variant>
        <vt:lpwstr/>
      </vt:variant>
      <vt:variant>
        <vt:lpwstr>_Toc351990590</vt:lpwstr>
      </vt:variant>
      <vt:variant>
        <vt:i4>1245246</vt:i4>
      </vt:variant>
      <vt:variant>
        <vt:i4>188</vt:i4>
      </vt:variant>
      <vt:variant>
        <vt:i4>0</vt:i4>
      </vt:variant>
      <vt:variant>
        <vt:i4>5</vt:i4>
      </vt:variant>
      <vt:variant>
        <vt:lpwstr/>
      </vt:variant>
      <vt:variant>
        <vt:lpwstr>_Toc351990589</vt:lpwstr>
      </vt:variant>
      <vt:variant>
        <vt:i4>1245246</vt:i4>
      </vt:variant>
      <vt:variant>
        <vt:i4>182</vt:i4>
      </vt:variant>
      <vt:variant>
        <vt:i4>0</vt:i4>
      </vt:variant>
      <vt:variant>
        <vt:i4>5</vt:i4>
      </vt:variant>
      <vt:variant>
        <vt:lpwstr/>
      </vt:variant>
      <vt:variant>
        <vt:lpwstr>_Toc351990588</vt:lpwstr>
      </vt:variant>
      <vt:variant>
        <vt:i4>1245246</vt:i4>
      </vt:variant>
      <vt:variant>
        <vt:i4>176</vt:i4>
      </vt:variant>
      <vt:variant>
        <vt:i4>0</vt:i4>
      </vt:variant>
      <vt:variant>
        <vt:i4>5</vt:i4>
      </vt:variant>
      <vt:variant>
        <vt:lpwstr/>
      </vt:variant>
      <vt:variant>
        <vt:lpwstr>_Toc351990587</vt:lpwstr>
      </vt:variant>
      <vt:variant>
        <vt:i4>1245246</vt:i4>
      </vt:variant>
      <vt:variant>
        <vt:i4>170</vt:i4>
      </vt:variant>
      <vt:variant>
        <vt:i4>0</vt:i4>
      </vt:variant>
      <vt:variant>
        <vt:i4>5</vt:i4>
      </vt:variant>
      <vt:variant>
        <vt:lpwstr/>
      </vt:variant>
      <vt:variant>
        <vt:lpwstr>_Toc351990586</vt:lpwstr>
      </vt:variant>
      <vt:variant>
        <vt:i4>1245246</vt:i4>
      </vt:variant>
      <vt:variant>
        <vt:i4>164</vt:i4>
      </vt:variant>
      <vt:variant>
        <vt:i4>0</vt:i4>
      </vt:variant>
      <vt:variant>
        <vt:i4>5</vt:i4>
      </vt:variant>
      <vt:variant>
        <vt:lpwstr/>
      </vt:variant>
      <vt:variant>
        <vt:lpwstr>_Toc351990585</vt:lpwstr>
      </vt:variant>
      <vt:variant>
        <vt:i4>1245246</vt:i4>
      </vt:variant>
      <vt:variant>
        <vt:i4>158</vt:i4>
      </vt:variant>
      <vt:variant>
        <vt:i4>0</vt:i4>
      </vt:variant>
      <vt:variant>
        <vt:i4>5</vt:i4>
      </vt:variant>
      <vt:variant>
        <vt:lpwstr/>
      </vt:variant>
      <vt:variant>
        <vt:lpwstr>_Toc351990584</vt:lpwstr>
      </vt:variant>
      <vt:variant>
        <vt:i4>1245246</vt:i4>
      </vt:variant>
      <vt:variant>
        <vt:i4>152</vt:i4>
      </vt:variant>
      <vt:variant>
        <vt:i4>0</vt:i4>
      </vt:variant>
      <vt:variant>
        <vt:i4>5</vt:i4>
      </vt:variant>
      <vt:variant>
        <vt:lpwstr/>
      </vt:variant>
      <vt:variant>
        <vt:lpwstr>_Toc351990583</vt:lpwstr>
      </vt:variant>
      <vt:variant>
        <vt:i4>1245246</vt:i4>
      </vt:variant>
      <vt:variant>
        <vt:i4>146</vt:i4>
      </vt:variant>
      <vt:variant>
        <vt:i4>0</vt:i4>
      </vt:variant>
      <vt:variant>
        <vt:i4>5</vt:i4>
      </vt:variant>
      <vt:variant>
        <vt:lpwstr/>
      </vt:variant>
      <vt:variant>
        <vt:lpwstr>_Toc351990582</vt:lpwstr>
      </vt:variant>
      <vt:variant>
        <vt:i4>1245246</vt:i4>
      </vt:variant>
      <vt:variant>
        <vt:i4>140</vt:i4>
      </vt:variant>
      <vt:variant>
        <vt:i4>0</vt:i4>
      </vt:variant>
      <vt:variant>
        <vt:i4>5</vt:i4>
      </vt:variant>
      <vt:variant>
        <vt:lpwstr/>
      </vt:variant>
      <vt:variant>
        <vt:lpwstr>_Toc351990581</vt:lpwstr>
      </vt:variant>
      <vt:variant>
        <vt:i4>1245246</vt:i4>
      </vt:variant>
      <vt:variant>
        <vt:i4>134</vt:i4>
      </vt:variant>
      <vt:variant>
        <vt:i4>0</vt:i4>
      </vt:variant>
      <vt:variant>
        <vt:i4>5</vt:i4>
      </vt:variant>
      <vt:variant>
        <vt:lpwstr/>
      </vt:variant>
      <vt:variant>
        <vt:lpwstr>_Toc351990580</vt:lpwstr>
      </vt:variant>
      <vt:variant>
        <vt:i4>1835070</vt:i4>
      </vt:variant>
      <vt:variant>
        <vt:i4>128</vt:i4>
      </vt:variant>
      <vt:variant>
        <vt:i4>0</vt:i4>
      </vt:variant>
      <vt:variant>
        <vt:i4>5</vt:i4>
      </vt:variant>
      <vt:variant>
        <vt:lpwstr/>
      </vt:variant>
      <vt:variant>
        <vt:lpwstr>_Toc351990579</vt:lpwstr>
      </vt:variant>
      <vt:variant>
        <vt:i4>1835070</vt:i4>
      </vt:variant>
      <vt:variant>
        <vt:i4>122</vt:i4>
      </vt:variant>
      <vt:variant>
        <vt:i4>0</vt:i4>
      </vt:variant>
      <vt:variant>
        <vt:i4>5</vt:i4>
      </vt:variant>
      <vt:variant>
        <vt:lpwstr/>
      </vt:variant>
      <vt:variant>
        <vt:lpwstr>_Toc351990578</vt:lpwstr>
      </vt:variant>
      <vt:variant>
        <vt:i4>1835070</vt:i4>
      </vt:variant>
      <vt:variant>
        <vt:i4>116</vt:i4>
      </vt:variant>
      <vt:variant>
        <vt:i4>0</vt:i4>
      </vt:variant>
      <vt:variant>
        <vt:i4>5</vt:i4>
      </vt:variant>
      <vt:variant>
        <vt:lpwstr/>
      </vt:variant>
      <vt:variant>
        <vt:lpwstr>_Toc351990577</vt:lpwstr>
      </vt:variant>
      <vt:variant>
        <vt:i4>1835070</vt:i4>
      </vt:variant>
      <vt:variant>
        <vt:i4>110</vt:i4>
      </vt:variant>
      <vt:variant>
        <vt:i4>0</vt:i4>
      </vt:variant>
      <vt:variant>
        <vt:i4>5</vt:i4>
      </vt:variant>
      <vt:variant>
        <vt:lpwstr/>
      </vt:variant>
      <vt:variant>
        <vt:lpwstr>_Toc351990576</vt:lpwstr>
      </vt:variant>
      <vt:variant>
        <vt:i4>1835070</vt:i4>
      </vt:variant>
      <vt:variant>
        <vt:i4>104</vt:i4>
      </vt:variant>
      <vt:variant>
        <vt:i4>0</vt:i4>
      </vt:variant>
      <vt:variant>
        <vt:i4>5</vt:i4>
      </vt:variant>
      <vt:variant>
        <vt:lpwstr/>
      </vt:variant>
      <vt:variant>
        <vt:lpwstr>_Toc351990575</vt:lpwstr>
      </vt:variant>
      <vt:variant>
        <vt:i4>1835070</vt:i4>
      </vt:variant>
      <vt:variant>
        <vt:i4>98</vt:i4>
      </vt:variant>
      <vt:variant>
        <vt:i4>0</vt:i4>
      </vt:variant>
      <vt:variant>
        <vt:i4>5</vt:i4>
      </vt:variant>
      <vt:variant>
        <vt:lpwstr/>
      </vt:variant>
      <vt:variant>
        <vt:lpwstr>_Toc351990574</vt:lpwstr>
      </vt:variant>
      <vt:variant>
        <vt:i4>1835070</vt:i4>
      </vt:variant>
      <vt:variant>
        <vt:i4>92</vt:i4>
      </vt:variant>
      <vt:variant>
        <vt:i4>0</vt:i4>
      </vt:variant>
      <vt:variant>
        <vt:i4>5</vt:i4>
      </vt:variant>
      <vt:variant>
        <vt:lpwstr/>
      </vt:variant>
      <vt:variant>
        <vt:lpwstr>_Toc351990573</vt:lpwstr>
      </vt:variant>
      <vt:variant>
        <vt:i4>1835070</vt:i4>
      </vt:variant>
      <vt:variant>
        <vt:i4>86</vt:i4>
      </vt:variant>
      <vt:variant>
        <vt:i4>0</vt:i4>
      </vt:variant>
      <vt:variant>
        <vt:i4>5</vt:i4>
      </vt:variant>
      <vt:variant>
        <vt:lpwstr/>
      </vt:variant>
      <vt:variant>
        <vt:lpwstr>_Toc351990572</vt:lpwstr>
      </vt:variant>
      <vt:variant>
        <vt:i4>1835070</vt:i4>
      </vt:variant>
      <vt:variant>
        <vt:i4>80</vt:i4>
      </vt:variant>
      <vt:variant>
        <vt:i4>0</vt:i4>
      </vt:variant>
      <vt:variant>
        <vt:i4>5</vt:i4>
      </vt:variant>
      <vt:variant>
        <vt:lpwstr/>
      </vt:variant>
      <vt:variant>
        <vt:lpwstr>_Toc351990571</vt:lpwstr>
      </vt:variant>
      <vt:variant>
        <vt:i4>1835070</vt:i4>
      </vt:variant>
      <vt:variant>
        <vt:i4>74</vt:i4>
      </vt:variant>
      <vt:variant>
        <vt:i4>0</vt:i4>
      </vt:variant>
      <vt:variant>
        <vt:i4>5</vt:i4>
      </vt:variant>
      <vt:variant>
        <vt:lpwstr/>
      </vt:variant>
      <vt:variant>
        <vt:lpwstr>_Toc351990570</vt:lpwstr>
      </vt:variant>
      <vt:variant>
        <vt:i4>1900606</vt:i4>
      </vt:variant>
      <vt:variant>
        <vt:i4>68</vt:i4>
      </vt:variant>
      <vt:variant>
        <vt:i4>0</vt:i4>
      </vt:variant>
      <vt:variant>
        <vt:i4>5</vt:i4>
      </vt:variant>
      <vt:variant>
        <vt:lpwstr/>
      </vt:variant>
      <vt:variant>
        <vt:lpwstr>_Toc351990569</vt:lpwstr>
      </vt:variant>
      <vt:variant>
        <vt:i4>1900606</vt:i4>
      </vt:variant>
      <vt:variant>
        <vt:i4>62</vt:i4>
      </vt:variant>
      <vt:variant>
        <vt:i4>0</vt:i4>
      </vt:variant>
      <vt:variant>
        <vt:i4>5</vt:i4>
      </vt:variant>
      <vt:variant>
        <vt:lpwstr/>
      </vt:variant>
      <vt:variant>
        <vt:lpwstr>_Toc351990568</vt:lpwstr>
      </vt:variant>
      <vt:variant>
        <vt:i4>1900606</vt:i4>
      </vt:variant>
      <vt:variant>
        <vt:i4>56</vt:i4>
      </vt:variant>
      <vt:variant>
        <vt:i4>0</vt:i4>
      </vt:variant>
      <vt:variant>
        <vt:i4>5</vt:i4>
      </vt:variant>
      <vt:variant>
        <vt:lpwstr/>
      </vt:variant>
      <vt:variant>
        <vt:lpwstr>_Toc351990567</vt:lpwstr>
      </vt:variant>
      <vt:variant>
        <vt:i4>1900606</vt:i4>
      </vt:variant>
      <vt:variant>
        <vt:i4>50</vt:i4>
      </vt:variant>
      <vt:variant>
        <vt:i4>0</vt:i4>
      </vt:variant>
      <vt:variant>
        <vt:i4>5</vt:i4>
      </vt:variant>
      <vt:variant>
        <vt:lpwstr/>
      </vt:variant>
      <vt:variant>
        <vt:lpwstr>_Toc351990566</vt:lpwstr>
      </vt:variant>
      <vt:variant>
        <vt:i4>1900606</vt:i4>
      </vt:variant>
      <vt:variant>
        <vt:i4>44</vt:i4>
      </vt:variant>
      <vt:variant>
        <vt:i4>0</vt:i4>
      </vt:variant>
      <vt:variant>
        <vt:i4>5</vt:i4>
      </vt:variant>
      <vt:variant>
        <vt:lpwstr/>
      </vt:variant>
      <vt:variant>
        <vt:lpwstr>_Toc351990565</vt:lpwstr>
      </vt:variant>
      <vt:variant>
        <vt:i4>1900606</vt:i4>
      </vt:variant>
      <vt:variant>
        <vt:i4>38</vt:i4>
      </vt:variant>
      <vt:variant>
        <vt:i4>0</vt:i4>
      </vt:variant>
      <vt:variant>
        <vt:i4>5</vt:i4>
      </vt:variant>
      <vt:variant>
        <vt:lpwstr/>
      </vt:variant>
      <vt:variant>
        <vt:lpwstr>_Toc351990564</vt:lpwstr>
      </vt:variant>
      <vt:variant>
        <vt:i4>1900606</vt:i4>
      </vt:variant>
      <vt:variant>
        <vt:i4>32</vt:i4>
      </vt:variant>
      <vt:variant>
        <vt:i4>0</vt:i4>
      </vt:variant>
      <vt:variant>
        <vt:i4>5</vt:i4>
      </vt:variant>
      <vt:variant>
        <vt:lpwstr/>
      </vt:variant>
      <vt:variant>
        <vt:lpwstr>_Toc351990563</vt:lpwstr>
      </vt:variant>
      <vt:variant>
        <vt:i4>1900606</vt:i4>
      </vt:variant>
      <vt:variant>
        <vt:i4>26</vt:i4>
      </vt:variant>
      <vt:variant>
        <vt:i4>0</vt:i4>
      </vt:variant>
      <vt:variant>
        <vt:i4>5</vt:i4>
      </vt:variant>
      <vt:variant>
        <vt:lpwstr/>
      </vt:variant>
      <vt:variant>
        <vt:lpwstr>_Toc351990562</vt:lpwstr>
      </vt:variant>
      <vt:variant>
        <vt:i4>1900606</vt:i4>
      </vt:variant>
      <vt:variant>
        <vt:i4>20</vt:i4>
      </vt:variant>
      <vt:variant>
        <vt:i4>0</vt:i4>
      </vt:variant>
      <vt:variant>
        <vt:i4>5</vt:i4>
      </vt:variant>
      <vt:variant>
        <vt:lpwstr/>
      </vt:variant>
      <vt:variant>
        <vt:lpwstr>_Toc351990561</vt:lpwstr>
      </vt:variant>
      <vt:variant>
        <vt:i4>1900606</vt:i4>
      </vt:variant>
      <vt:variant>
        <vt:i4>14</vt:i4>
      </vt:variant>
      <vt:variant>
        <vt:i4>0</vt:i4>
      </vt:variant>
      <vt:variant>
        <vt:i4>5</vt:i4>
      </vt:variant>
      <vt:variant>
        <vt:lpwstr/>
      </vt:variant>
      <vt:variant>
        <vt:lpwstr>_Toc351990560</vt:lpwstr>
      </vt:variant>
      <vt:variant>
        <vt:i4>1966142</vt:i4>
      </vt:variant>
      <vt:variant>
        <vt:i4>8</vt:i4>
      </vt:variant>
      <vt:variant>
        <vt:i4>0</vt:i4>
      </vt:variant>
      <vt:variant>
        <vt:i4>5</vt:i4>
      </vt:variant>
      <vt:variant>
        <vt:lpwstr/>
      </vt:variant>
      <vt:variant>
        <vt:lpwstr>_Toc351990559</vt:lpwstr>
      </vt:variant>
      <vt:variant>
        <vt:i4>1966142</vt:i4>
      </vt:variant>
      <vt:variant>
        <vt:i4>2</vt:i4>
      </vt:variant>
      <vt:variant>
        <vt:i4>0</vt:i4>
      </vt:variant>
      <vt:variant>
        <vt:i4>5</vt:i4>
      </vt:variant>
      <vt:variant>
        <vt:lpwstr/>
      </vt:variant>
      <vt:variant>
        <vt:lpwstr>_Toc351990558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SDG&amp;E 2009 Load Impact Executive Summary</dc:title>
  <dc:creator>Kathryn Smith</dc:creator>
  <cp:lastModifiedBy>Garcia-Rodriguez, Lizzette</cp:lastModifiedBy>
  <cp:revision>6</cp:revision>
  <cp:lastPrinted>2015-03-24T15:52:00Z</cp:lastPrinted>
  <dcterms:created xsi:type="dcterms:W3CDTF">2015-04-02T20:00:00Z</dcterms:created>
  <dcterms:modified xsi:type="dcterms:W3CDTF">2015-04-02T21:38:00Z</dcterms:modified>
</cp:coreProperties>
</file>