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theme/themeOverride13.xml" ContentType="application/vnd.openxmlformats-officedocument.themeOverride+xml"/>
  <Override PartName="/word/footer9.xml" ContentType="application/vnd.openxmlformats-officedocument.wordprocessingml.footer+xml"/>
  <Override PartName="/word/theme/themeOverride1.xml" ContentType="application/vnd.openxmlformats-officedocument.themeOverride+xml"/>
  <Override PartName="/word/theme/themeOverride11.xml" ContentType="application/vnd.openxmlformats-officedocument.themeOverride+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charts/chart9.xml" ContentType="application/vnd.openxmlformats-officedocument.drawingml.chart+xml"/>
  <Override PartName="/word/charts/chart19.xml" ContentType="application/vnd.openxmlformats-officedocument.drawingml.chart+xml"/>
  <Override PartName="/word/header8.xml" ContentType="application/vnd.openxmlformats-officedocument.wordprocessingml.head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charts/chart7.xml" ContentType="application/vnd.openxmlformats-officedocument.drawingml.chart+xml"/>
  <Override PartName="/word/charts/chart17.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theme/themeOverride17.xml" ContentType="application/vnd.openxmlformats-officedocument.themeOverride+xml"/>
  <Override PartName="/word/charts/chart21.xml" ContentType="application/vnd.openxmlformats-officedocument.drawingml.chart+xml"/>
  <Override PartName="/word/theme/themeOverride18.xml" ContentType="application/vnd.openxmlformats-officedocument.themeOverride+xml"/>
  <Override PartName="/docProps/core.xml" ContentType="application/vnd.openxmlformats-package.core-properties+xml"/>
  <Override PartName="/word/theme/themeOverride4.xml" ContentType="application/vnd.openxmlformats-officedocument.themeOverride+xml"/>
  <Override PartName="/word/theme/themeOverride16.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theme/themeOverride12.xml" ContentType="application/vnd.openxmlformats-officedocument.themeOverride+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charts/chart8.xml" ContentType="application/vnd.openxmlformats-officedocument.drawingml.chart+xml"/>
  <Override PartName="/word/theme/themeOverride10.xml" ContentType="application/vnd.openxmlformats-officedocument.themeOverride+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18.xml" ContentType="application/vnd.openxmlformats-officedocument.drawingml.chart+xml"/>
  <Override PartName="/word/header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25" w:rsidRDefault="00C04725" w:rsidP="00837C9C">
      <w:pPr>
        <w:jc w:val="center"/>
      </w:pPr>
    </w:p>
    <w:p w:rsidR="00C04725" w:rsidRDefault="00C04725" w:rsidP="00837C9C">
      <w:pPr>
        <w:jc w:val="center"/>
      </w:pPr>
    </w:p>
    <w:p w:rsidR="00C04725" w:rsidRDefault="00C04725" w:rsidP="00837C9C">
      <w:pPr>
        <w:jc w:val="center"/>
      </w:pPr>
    </w:p>
    <w:p w:rsidR="00C04725" w:rsidRDefault="00C04725" w:rsidP="00837C9C">
      <w:pPr>
        <w:jc w:val="center"/>
      </w:pPr>
    </w:p>
    <w:p w:rsidR="00C04725" w:rsidRDefault="00C04725" w:rsidP="00837C9C">
      <w:pPr>
        <w:jc w:val="center"/>
      </w:pPr>
    </w:p>
    <w:p w:rsidR="00C04725" w:rsidRDefault="00C04725" w:rsidP="00837C9C">
      <w:pPr>
        <w:jc w:val="center"/>
      </w:pPr>
    </w:p>
    <w:p w:rsidR="003C2E02" w:rsidRDefault="003C2E02" w:rsidP="00837C9C">
      <w:pPr>
        <w:jc w:val="center"/>
      </w:pPr>
    </w:p>
    <w:p w:rsidR="003C2E02" w:rsidRDefault="003C2E02" w:rsidP="00837C9C">
      <w:pPr>
        <w:jc w:val="center"/>
      </w:pPr>
    </w:p>
    <w:p w:rsidR="003C2E02" w:rsidRDefault="003C2E02" w:rsidP="00837C9C">
      <w:pPr>
        <w:jc w:val="center"/>
      </w:pPr>
    </w:p>
    <w:p w:rsidR="003C2E02" w:rsidRDefault="00837C9C" w:rsidP="00837C9C">
      <w:pPr>
        <w:jc w:val="center"/>
      </w:pPr>
      <w:r w:rsidRPr="00837C9C">
        <w:rPr>
          <w:noProof/>
        </w:rPr>
        <w:drawing>
          <wp:inline distT="0" distB="0" distL="0" distR="0">
            <wp:extent cx="5819775" cy="828675"/>
            <wp:effectExtent l="19050" t="0" r="9525" b="0"/>
            <wp:docPr id="4" name="Picture 1" descr="cid:image003.jpg@01CD6992.FFC69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CD6992.FFC69B00"/>
                    <pic:cNvPicPr>
                      <a:picLocks noChangeAspect="1" noChangeArrowheads="1"/>
                    </pic:cNvPicPr>
                  </pic:nvPicPr>
                  <pic:blipFill>
                    <a:blip r:embed="rId8" cstate="print"/>
                    <a:stretch>
                      <a:fillRect/>
                    </a:stretch>
                  </pic:blipFill>
                  <pic:spPr bwMode="auto">
                    <a:xfrm>
                      <a:off x="0" y="0"/>
                      <a:ext cx="5819775" cy="828675"/>
                    </a:xfrm>
                    <a:prstGeom prst="rect">
                      <a:avLst/>
                    </a:prstGeom>
                    <a:noFill/>
                    <a:ln w="9525">
                      <a:noFill/>
                      <a:miter lim="800000"/>
                      <a:headEnd/>
                      <a:tailEnd/>
                    </a:ln>
                  </pic:spPr>
                </pic:pic>
              </a:graphicData>
            </a:graphic>
          </wp:inline>
        </w:drawing>
      </w:r>
    </w:p>
    <w:tbl>
      <w:tblPr>
        <w:tblStyle w:val="TableGrid"/>
        <w:tblW w:w="9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tblPr>
      <w:tblGrid>
        <w:gridCol w:w="4158"/>
        <w:gridCol w:w="5040"/>
        <w:gridCol w:w="18"/>
      </w:tblGrid>
      <w:tr w:rsidR="00837C9C" w:rsidRPr="00D032EF" w:rsidTr="00837C9C">
        <w:trPr>
          <w:trHeight w:val="1365"/>
          <w:jc w:val="center"/>
        </w:trPr>
        <w:tc>
          <w:tcPr>
            <w:tcW w:w="9216" w:type="dxa"/>
            <w:gridSpan w:val="3"/>
            <w:tcBorders>
              <w:top w:val="single" w:sz="12" w:space="0" w:color="003E74" w:themeColor="text2"/>
              <w:bottom w:val="single" w:sz="6" w:space="0" w:color="4C789D" w:themeColor="accent1"/>
            </w:tcBorders>
          </w:tcPr>
          <w:p w:rsidR="00837C9C" w:rsidRDefault="00431047" w:rsidP="00A95830">
            <w:pPr>
              <w:pStyle w:val="ReportTitle"/>
              <w:rPr>
                <w:spacing w:val="4"/>
                <w:sz w:val="32"/>
              </w:rPr>
            </w:pPr>
            <w:r>
              <w:rPr>
                <w:spacing w:val="4"/>
                <w:sz w:val="32"/>
              </w:rPr>
              <w:t xml:space="preserve">2012 </w:t>
            </w:r>
            <w:r w:rsidR="00A75E97">
              <w:rPr>
                <w:spacing w:val="4"/>
                <w:sz w:val="32"/>
              </w:rPr>
              <w:t xml:space="preserve">Evaluation of </w:t>
            </w:r>
            <w:r w:rsidR="00A95830">
              <w:rPr>
                <w:spacing w:val="4"/>
                <w:sz w:val="32"/>
              </w:rPr>
              <w:t>PG&amp;E’s Small Commercial Peak Time Rebate</w:t>
            </w:r>
            <w:r w:rsidR="00A75E97">
              <w:rPr>
                <w:spacing w:val="4"/>
                <w:sz w:val="32"/>
              </w:rPr>
              <w:t xml:space="preserve"> Program</w:t>
            </w:r>
          </w:p>
          <w:p w:rsidR="0017612C" w:rsidRPr="00783B99" w:rsidRDefault="0017612C" w:rsidP="00A95830">
            <w:pPr>
              <w:pStyle w:val="ReportTitle"/>
              <w:rPr>
                <w:spacing w:val="4"/>
                <w:sz w:val="32"/>
              </w:rPr>
            </w:pPr>
            <w:r>
              <w:rPr>
                <w:spacing w:val="4"/>
                <w:sz w:val="32"/>
              </w:rPr>
              <w:t>Draft Report</w:t>
            </w:r>
          </w:p>
        </w:tc>
      </w:tr>
      <w:tr w:rsidR="003C2E02" w:rsidRPr="00B500AE" w:rsidTr="00E35BE7">
        <w:trPr>
          <w:jc w:val="center"/>
        </w:trPr>
        <w:tc>
          <w:tcPr>
            <w:tcW w:w="4158" w:type="dxa"/>
            <w:tcBorders>
              <w:top w:val="single" w:sz="6" w:space="0" w:color="4C789D" w:themeColor="accent1"/>
            </w:tcBorders>
            <w:vAlign w:val="center"/>
          </w:tcPr>
          <w:p w:rsidR="003C2E02" w:rsidRPr="00B500AE" w:rsidRDefault="003C2E02" w:rsidP="00B500AE">
            <w:pPr>
              <w:pStyle w:val="ReportData"/>
            </w:pPr>
          </w:p>
        </w:tc>
        <w:tc>
          <w:tcPr>
            <w:tcW w:w="5058" w:type="dxa"/>
            <w:gridSpan w:val="2"/>
            <w:tcBorders>
              <w:top w:val="single" w:sz="6" w:space="0" w:color="4C789D" w:themeColor="accent1"/>
            </w:tcBorders>
            <w:vAlign w:val="center"/>
          </w:tcPr>
          <w:p w:rsidR="003C2E02" w:rsidRPr="00B500AE" w:rsidRDefault="003C2E02" w:rsidP="00B500AE">
            <w:pPr>
              <w:pStyle w:val="ReportData"/>
            </w:pPr>
          </w:p>
        </w:tc>
      </w:tr>
      <w:tr w:rsidR="00837C9C" w:rsidRPr="00D032EF" w:rsidTr="00E35BE7">
        <w:trPr>
          <w:gridAfter w:val="1"/>
          <w:wAfter w:w="18" w:type="dxa"/>
          <w:trHeight w:val="793"/>
          <w:jc w:val="center"/>
        </w:trPr>
        <w:tc>
          <w:tcPr>
            <w:tcW w:w="4158" w:type="dxa"/>
            <w:vMerge w:val="restart"/>
          </w:tcPr>
          <w:p w:rsidR="00837C9C" w:rsidRPr="006B72CD" w:rsidRDefault="00837C9C" w:rsidP="00D97C75">
            <w:pPr>
              <w:pStyle w:val="ReportData"/>
            </w:pPr>
            <w:r w:rsidRPr="006B72CD">
              <w:t>EnerNOC Utility Solutions Consulting</w:t>
            </w:r>
          </w:p>
          <w:p w:rsidR="00837C9C" w:rsidRPr="006B72CD" w:rsidRDefault="00837C9C" w:rsidP="00D97C75">
            <w:pPr>
              <w:pStyle w:val="ReportData"/>
            </w:pPr>
            <w:r w:rsidRPr="006B72CD">
              <w:t xml:space="preserve">500 </w:t>
            </w:r>
            <w:proofErr w:type="spellStart"/>
            <w:r w:rsidRPr="006B72CD">
              <w:t>Ygnacio</w:t>
            </w:r>
            <w:proofErr w:type="spellEnd"/>
            <w:r w:rsidRPr="006B72CD">
              <w:t xml:space="preserve"> Valley Road</w:t>
            </w:r>
          </w:p>
          <w:p w:rsidR="00837C9C" w:rsidRPr="006B72CD" w:rsidRDefault="00837C9C" w:rsidP="00D97C75">
            <w:pPr>
              <w:pStyle w:val="ReportData"/>
            </w:pPr>
            <w:r w:rsidRPr="006B72CD">
              <w:t>Suite 450</w:t>
            </w:r>
          </w:p>
          <w:p w:rsidR="00837C9C" w:rsidRPr="006B72CD" w:rsidRDefault="00837C9C" w:rsidP="00D97C75">
            <w:pPr>
              <w:pStyle w:val="ReportData"/>
            </w:pPr>
            <w:r w:rsidRPr="006B72CD">
              <w:t>Walnut Creek, CA 94596</w:t>
            </w:r>
          </w:p>
          <w:p w:rsidR="00837C9C" w:rsidRPr="006B72CD" w:rsidRDefault="00837C9C" w:rsidP="00D97C75">
            <w:pPr>
              <w:pStyle w:val="ReportData"/>
            </w:pPr>
            <w:r w:rsidRPr="006B72CD">
              <w:t>925.482.2000</w:t>
            </w:r>
          </w:p>
          <w:p w:rsidR="00837C9C" w:rsidRPr="006B72CD" w:rsidRDefault="00397D35" w:rsidP="00C06829">
            <w:pPr>
              <w:pStyle w:val="ReportData"/>
              <w:rPr>
                <w:rFonts w:cs="Arial"/>
              </w:rPr>
            </w:pPr>
            <w:hyperlink r:id="rId9" w:history="1">
              <w:r w:rsidR="006348AC" w:rsidRPr="00E46355">
                <w:rPr>
                  <w:rStyle w:val="Hyperlink"/>
                </w:rPr>
                <w:t>www.enernoc.com</w:t>
              </w:r>
            </w:hyperlink>
          </w:p>
        </w:tc>
        <w:tc>
          <w:tcPr>
            <w:tcW w:w="5040" w:type="dxa"/>
          </w:tcPr>
          <w:p w:rsidR="00837C9C" w:rsidRPr="00B500AE" w:rsidRDefault="00837C9C" w:rsidP="00D97C75">
            <w:pPr>
              <w:pStyle w:val="ReportData"/>
              <w:rPr>
                <w:i/>
              </w:rPr>
            </w:pPr>
            <w:r w:rsidRPr="00B500AE">
              <w:rPr>
                <w:i/>
              </w:rPr>
              <w:t>Prepared for:</w:t>
            </w:r>
          </w:p>
          <w:p w:rsidR="00837C9C" w:rsidRPr="00D032EF" w:rsidRDefault="00A95830" w:rsidP="00B500AE">
            <w:pPr>
              <w:pStyle w:val="ReportData"/>
              <w:spacing w:after="120"/>
              <w:rPr>
                <w:rFonts w:cs="Arial"/>
              </w:rPr>
            </w:pPr>
            <w:r>
              <w:t>San Diego Gas and Electric</w:t>
            </w:r>
          </w:p>
        </w:tc>
      </w:tr>
      <w:tr w:rsidR="00E35BE7" w:rsidRPr="00D032EF" w:rsidTr="00E35BE7">
        <w:trPr>
          <w:gridAfter w:val="1"/>
          <w:wAfter w:w="18" w:type="dxa"/>
          <w:trHeight w:val="720"/>
          <w:jc w:val="center"/>
        </w:trPr>
        <w:tc>
          <w:tcPr>
            <w:tcW w:w="4158" w:type="dxa"/>
            <w:vMerge/>
            <w:tcBorders>
              <w:bottom w:val="single" w:sz="12" w:space="0" w:color="003E74" w:themeColor="text2"/>
            </w:tcBorders>
          </w:tcPr>
          <w:p w:rsidR="00E35BE7" w:rsidRPr="006B72CD" w:rsidRDefault="00E35BE7" w:rsidP="00D97C75">
            <w:pPr>
              <w:pStyle w:val="ReportData"/>
            </w:pPr>
          </w:p>
        </w:tc>
        <w:tc>
          <w:tcPr>
            <w:tcW w:w="5040" w:type="dxa"/>
            <w:tcBorders>
              <w:bottom w:val="single" w:sz="12" w:space="0" w:color="003E74" w:themeColor="text2"/>
            </w:tcBorders>
          </w:tcPr>
          <w:p w:rsidR="00E35BE7" w:rsidRPr="00B500AE" w:rsidRDefault="00E35BE7" w:rsidP="00837C9C">
            <w:pPr>
              <w:pStyle w:val="ReportData"/>
              <w:rPr>
                <w:i/>
              </w:rPr>
            </w:pPr>
            <w:r w:rsidRPr="00B500AE">
              <w:rPr>
                <w:i/>
              </w:rPr>
              <w:t>Presented on:</w:t>
            </w:r>
          </w:p>
          <w:p w:rsidR="00E35BE7" w:rsidRPr="00D032EF" w:rsidRDefault="00A95830" w:rsidP="00837C9C">
            <w:pPr>
              <w:pStyle w:val="ReportData"/>
              <w:rPr>
                <w:i/>
              </w:rPr>
            </w:pPr>
            <w:r w:rsidRPr="0017612C">
              <w:t xml:space="preserve">March </w:t>
            </w:r>
            <w:r w:rsidR="0017612C" w:rsidRPr="0017612C">
              <w:t>12, 2013</w:t>
            </w:r>
          </w:p>
        </w:tc>
      </w:tr>
    </w:tbl>
    <w:p w:rsidR="003C2E02" w:rsidRDefault="003C2E02" w:rsidP="00837C9C"/>
    <w:p w:rsidR="003C2E02" w:rsidRDefault="003C2E02" w:rsidP="003C2E02">
      <w:pPr>
        <w:rPr>
          <w:spacing w:val="4"/>
          <w:szCs w:val="18"/>
        </w:rPr>
      </w:pPr>
    </w:p>
    <w:p w:rsidR="00067F6E" w:rsidRDefault="00067F6E" w:rsidP="003C2E02">
      <w:pPr>
        <w:pStyle w:val="BodyText"/>
        <w:spacing w:before="2040"/>
        <w:ind w:left="-540" w:firstLine="1980"/>
        <w:rPr>
          <w:rFonts w:ascii="Verdana" w:hAnsi="Verdana"/>
          <w:b/>
        </w:rPr>
        <w:sectPr w:rsidR="00067F6E" w:rsidSect="008904A7">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152" w:right="1440" w:bottom="1152" w:left="1440" w:header="720" w:footer="720" w:gutter="0"/>
          <w:pgNumType w:fmt="lowerRoman"/>
          <w:cols w:space="720"/>
          <w:titlePg/>
          <w:docGrid w:linePitch="231"/>
        </w:sectPr>
      </w:pPr>
    </w:p>
    <w:p w:rsidR="00084E5A" w:rsidRDefault="00084E5A" w:rsidP="005D54E3">
      <w:pPr>
        <w:pStyle w:val="BodyText"/>
        <w:spacing w:before="1920"/>
      </w:pPr>
    </w:p>
    <w:p w:rsidR="00084E5A" w:rsidRDefault="00084E5A" w:rsidP="005D54E3">
      <w:pPr>
        <w:pStyle w:val="BodyText"/>
        <w:spacing w:before="1920"/>
      </w:pPr>
    </w:p>
    <w:p w:rsidR="00084E5A" w:rsidRDefault="00084E5A" w:rsidP="005D54E3">
      <w:pPr>
        <w:pStyle w:val="BodyText"/>
        <w:spacing w:before="1920"/>
      </w:pPr>
    </w:p>
    <w:p w:rsidR="00084E5A" w:rsidRDefault="00084E5A" w:rsidP="005D54E3">
      <w:pPr>
        <w:pStyle w:val="BodyText"/>
        <w:spacing w:before="1920"/>
      </w:pPr>
    </w:p>
    <w:p w:rsidR="005D54E3" w:rsidRDefault="005D54E3" w:rsidP="005D54E3">
      <w:pPr>
        <w:pStyle w:val="BodyText"/>
      </w:pPr>
    </w:p>
    <w:p w:rsidR="005D54E3" w:rsidRDefault="005D54E3" w:rsidP="005D54E3">
      <w:pPr>
        <w:pStyle w:val="BodyText"/>
      </w:pPr>
    </w:p>
    <w:p w:rsidR="005D54E3" w:rsidRDefault="005D54E3" w:rsidP="005D54E3">
      <w:pPr>
        <w:pStyle w:val="BodyText"/>
      </w:pPr>
    </w:p>
    <w:p w:rsidR="005D54E3" w:rsidRDefault="005D54E3" w:rsidP="005D54E3">
      <w:pPr>
        <w:pStyle w:val="BodyText"/>
      </w:pPr>
    </w:p>
    <w:p w:rsidR="005D54E3" w:rsidRDefault="005D54E3" w:rsidP="005D54E3">
      <w:pPr>
        <w:pStyle w:val="BodyText"/>
      </w:pPr>
    </w:p>
    <w:p w:rsidR="00265004" w:rsidRPr="005D54E3" w:rsidRDefault="00C61D7A" w:rsidP="005D54E3">
      <w:pPr>
        <w:pStyle w:val="BodyText"/>
      </w:pPr>
      <w:r w:rsidRPr="005D54E3">
        <w:t>This report was prepared by</w:t>
      </w:r>
    </w:p>
    <w:p w:rsidR="005D54E3" w:rsidRDefault="003C2E02" w:rsidP="005D54E3">
      <w:pPr>
        <w:pStyle w:val="BodyText"/>
      </w:pPr>
      <w:r w:rsidRPr="006B72CD">
        <w:t>EnerNOC Utility Solutions</w:t>
      </w:r>
      <w:r w:rsidR="006B72CD" w:rsidRPr="006B72CD">
        <w:t xml:space="preserve"> Consulting</w:t>
      </w:r>
      <w:r w:rsidR="00D97C75" w:rsidRPr="006B72CD">
        <w:br/>
      </w:r>
      <w:r w:rsidR="00E25B79" w:rsidRPr="006B72CD">
        <w:t xml:space="preserve">500 </w:t>
      </w:r>
      <w:proofErr w:type="spellStart"/>
      <w:r w:rsidR="00E25B79" w:rsidRPr="006B72CD">
        <w:t>Ygnacio</w:t>
      </w:r>
      <w:proofErr w:type="spellEnd"/>
      <w:r w:rsidR="00E25B79" w:rsidRPr="006B72CD">
        <w:t xml:space="preserve"> Valley</w:t>
      </w:r>
      <w:r w:rsidR="00C61D7A" w:rsidRPr="006B72CD">
        <w:t xml:space="preserve"> Blvd., Suite </w:t>
      </w:r>
      <w:r w:rsidR="00E25B79" w:rsidRPr="006B72CD">
        <w:t>450</w:t>
      </w:r>
      <w:r w:rsidR="00C61D7A" w:rsidRPr="006B72CD">
        <w:br/>
      </w:r>
      <w:r w:rsidR="00E25B79" w:rsidRPr="006B72CD">
        <w:t>Walnut Creek</w:t>
      </w:r>
      <w:r w:rsidR="006B72CD" w:rsidRPr="006B72CD">
        <w:t xml:space="preserve">, CA </w:t>
      </w:r>
      <w:r w:rsidR="00C61D7A" w:rsidRPr="006B72CD">
        <w:t>945</w:t>
      </w:r>
      <w:r w:rsidR="00E25B79" w:rsidRPr="006B72CD">
        <w:t>96</w:t>
      </w:r>
    </w:p>
    <w:p w:rsidR="00084E5A" w:rsidRPr="00A75E97" w:rsidRDefault="00D065AB" w:rsidP="00D065AB">
      <w:pPr>
        <w:pStyle w:val="BodyText"/>
        <w:tabs>
          <w:tab w:val="left" w:pos="1620"/>
        </w:tabs>
        <w:spacing w:after="0"/>
      </w:pPr>
      <w:r w:rsidRPr="00A75E97">
        <w:t>Project Director:</w:t>
      </w:r>
      <w:r w:rsidRPr="00A75E97">
        <w:tab/>
      </w:r>
      <w:r w:rsidR="00A75E97" w:rsidRPr="00A75E97">
        <w:t>C. Williamson</w:t>
      </w:r>
      <w:r w:rsidRPr="00A75E97">
        <w:br/>
        <w:t>Project Manager:</w:t>
      </w:r>
      <w:r w:rsidRPr="00A75E97">
        <w:tab/>
      </w:r>
      <w:r w:rsidR="00A75E97" w:rsidRPr="00A75E97">
        <w:t>K. Marrin</w:t>
      </w:r>
    </w:p>
    <w:p w:rsidR="00D97C75" w:rsidRDefault="00D97C75" w:rsidP="00D97C75">
      <w:pPr>
        <w:pStyle w:val="BodyText"/>
        <w:spacing w:after="0"/>
        <w:rPr>
          <w:highlight w:val="green"/>
        </w:rPr>
        <w:sectPr w:rsidR="00D97C75" w:rsidSect="008904A7">
          <w:footerReference w:type="first" r:id="rId16"/>
          <w:type w:val="oddPage"/>
          <w:pgSz w:w="12240" w:h="15840" w:code="1"/>
          <w:pgMar w:top="1152" w:right="1440" w:bottom="1152" w:left="1800" w:header="720" w:footer="720" w:gutter="0"/>
          <w:pgNumType w:fmt="lowerRoman"/>
          <w:cols w:space="720"/>
          <w:titlePg/>
          <w:docGrid w:linePitch="231"/>
        </w:sectPr>
      </w:pPr>
    </w:p>
    <w:tbl>
      <w:tblPr>
        <w:tblW w:w="5000" w:type="pct"/>
        <w:tblCellMar>
          <w:left w:w="58" w:type="dxa"/>
          <w:right w:w="29" w:type="dxa"/>
        </w:tblCellMar>
        <w:tblLook w:val="0000"/>
      </w:tblPr>
      <w:tblGrid>
        <w:gridCol w:w="1297"/>
        <w:gridCol w:w="7790"/>
      </w:tblGrid>
      <w:tr w:rsidR="00FF4187" w:rsidRPr="00500201" w:rsidTr="00067F6E">
        <w:trPr>
          <w:cantSplit/>
          <w:trHeight w:hRule="exact" w:val="288"/>
        </w:trPr>
        <w:tc>
          <w:tcPr>
            <w:tcW w:w="1297" w:type="dxa"/>
            <w:shd w:val="clear" w:color="auto" w:fill="auto"/>
            <w:vAlign w:val="center"/>
          </w:tcPr>
          <w:p w:rsidR="00FF4187" w:rsidRPr="00500201" w:rsidRDefault="00FF4187" w:rsidP="007A277C">
            <w:pPr>
              <w:pStyle w:val="Chapter"/>
              <w:framePr w:hSpace="0" w:wrap="auto" w:vAnchor="margin" w:hAnchor="text" w:yAlign="inline"/>
            </w:pPr>
          </w:p>
        </w:tc>
        <w:tc>
          <w:tcPr>
            <w:tcW w:w="7790" w:type="dxa"/>
            <w:shd w:val="clear" w:color="auto" w:fill="auto"/>
            <w:vAlign w:val="center"/>
          </w:tcPr>
          <w:p w:rsidR="00FF4187" w:rsidRPr="00132BB4" w:rsidRDefault="00FF4187" w:rsidP="00274498">
            <w:pPr>
              <w:pStyle w:val="Chapter"/>
              <w:framePr w:wrap="around"/>
            </w:pPr>
          </w:p>
        </w:tc>
      </w:tr>
    </w:tbl>
    <w:p w:rsidR="0017612C" w:rsidRDefault="00FF4187" w:rsidP="0017612C">
      <w:pPr>
        <w:pStyle w:val="ESTitle"/>
      </w:pPr>
      <w:bookmarkStart w:id="0" w:name="_Toc351363721"/>
      <w:r>
        <w:t>Executive Summary</w:t>
      </w:r>
      <w:bookmarkEnd w:id="0"/>
    </w:p>
    <w:p w:rsidR="00433C28" w:rsidRDefault="00433C28" w:rsidP="00433C28">
      <w:pPr>
        <w:pStyle w:val="Heading2"/>
      </w:pPr>
      <w:bookmarkStart w:id="1" w:name="_Toc351363722"/>
      <w:r>
        <w:t>Introduction</w:t>
      </w:r>
      <w:bookmarkEnd w:id="1"/>
    </w:p>
    <w:p w:rsidR="0017612C" w:rsidRPr="000D2337" w:rsidRDefault="0017612C" w:rsidP="0017612C">
      <w:pPr>
        <w:pStyle w:val="BodyText"/>
      </w:pPr>
      <w:r>
        <w:t xml:space="preserve">SDG&amp;E’s Peak Time Rebate (PTR) program, also known as Reduce Your Use, is a default program for all residential and small commercial customers in SDG&amp;E’s territory. </w:t>
      </w:r>
      <w:r w:rsidRPr="000D2337">
        <w:t xml:space="preserve">The </w:t>
      </w:r>
      <w:r>
        <w:t xml:space="preserve">PTR program </w:t>
      </w:r>
      <w:r w:rsidRPr="000D2337">
        <w:t>provi</w:t>
      </w:r>
      <w:r>
        <w:t>des small commercial</w:t>
      </w:r>
      <w:r w:rsidRPr="000D2337">
        <w:t xml:space="preserve"> customers</w:t>
      </w:r>
      <w:r w:rsidR="0006416A">
        <w:t xml:space="preserve"> with</w:t>
      </w:r>
      <w:r w:rsidRPr="000D2337">
        <w:t xml:space="preserve"> the opportunity to earn a bill credit for lo</w:t>
      </w:r>
      <w:r>
        <w:t xml:space="preserve">wering their consumption during </w:t>
      </w:r>
      <w:r w:rsidR="0006416A">
        <w:t xml:space="preserve">PTR </w:t>
      </w:r>
      <w:r>
        <w:t xml:space="preserve">events. For those that receive notification, the program </w:t>
      </w:r>
      <w:r w:rsidR="0006416A">
        <w:t xml:space="preserve">also </w:t>
      </w:r>
      <w:r w:rsidRPr="000D2337">
        <w:t>p</w:t>
      </w:r>
      <w:r>
        <w:t xml:space="preserve">rovides customers with day-ahead notification of an event. </w:t>
      </w:r>
    </w:p>
    <w:p w:rsidR="0017612C" w:rsidRDefault="0017612C" w:rsidP="0017612C">
      <w:pPr>
        <w:pStyle w:val="BodyText"/>
      </w:pPr>
      <w:r>
        <w:t>The PTR rate is a two-level incentive</w:t>
      </w:r>
      <w:r w:rsidRPr="000D2337">
        <w:t xml:space="preserve"> program, providing a basic incentive level ($0.75/kWh) to customers that reduce energy use through manual means and a</w:t>
      </w:r>
      <w:r>
        <w:t>n additional</w:t>
      </w:r>
      <w:r w:rsidRPr="000D2337">
        <w:t xml:space="preserve"> incentive ($1.25/kWh) to customers that reduce energy use through automated enabling technologies.  </w:t>
      </w:r>
      <w:r>
        <w:t xml:space="preserve">In 2012 the only customers who were eligible for the enabling technology credit were those enrolled in the Summer Saver program. The incentive is paid to customers through a bill credit that is calculated based on each customer’s </w:t>
      </w:r>
      <w:r w:rsidRPr="000D2337">
        <w:t>event day reduction in electric usage below their established customer-specific reference level (</w:t>
      </w:r>
      <w:smartTag w:uri="urn:schemas-microsoft-com:office:smarttags" w:element="stockticker">
        <w:r w:rsidRPr="000D2337">
          <w:t>CRL</w:t>
        </w:r>
      </w:smartTag>
      <w:r w:rsidRPr="000D2337">
        <w:t>).</w:t>
      </w:r>
      <w:r w:rsidRPr="004531A9">
        <w:t xml:space="preserve"> </w:t>
      </w:r>
      <w:r>
        <w:t xml:space="preserve">  </w:t>
      </w:r>
    </w:p>
    <w:p w:rsidR="0017612C" w:rsidRDefault="0017612C" w:rsidP="0017612C">
      <w:pPr>
        <w:pStyle w:val="BodyText"/>
      </w:pPr>
      <w:r>
        <w:t>Throughout the evaluation we separate the small comm</w:t>
      </w:r>
      <w:r w:rsidR="00401110">
        <w:t>ercial participants into three</w:t>
      </w:r>
      <w:r>
        <w:t xml:space="preserve"> subgroups defined below:</w:t>
      </w:r>
    </w:p>
    <w:p w:rsidR="0017612C" w:rsidRDefault="0017612C" w:rsidP="0017612C">
      <w:pPr>
        <w:pStyle w:val="BodyText"/>
        <w:numPr>
          <w:ilvl w:val="0"/>
          <w:numId w:val="26"/>
        </w:numPr>
      </w:pPr>
      <w:r>
        <w:t xml:space="preserve">Non-Notified Customers – these customers did not receive any official notification of PTR event days from SDG&amp;E. It is possible however, that these customers may have heard about PTR events from other indirect sources, such as news, word of mouth, or the internet. </w:t>
      </w:r>
    </w:p>
    <w:p w:rsidR="0017612C" w:rsidRDefault="0017612C" w:rsidP="0017612C">
      <w:pPr>
        <w:pStyle w:val="BodyText"/>
        <w:numPr>
          <w:ilvl w:val="0"/>
          <w:numId w:val="26"/>
        </w:numPr>
      </w:pPr>
      <w:r>
        <w:t>My Account Customers – My Account is SDG&amp;E’s web interface which allows customers to pay and manage bills online. These customers receive a default notification email through My Account.</w:t>
      </w:r>
    </w:p>
    <w:p w:rsidR="0017612C" w:rsidRDefault="0017612C" w:rsidP="0017612C">
      <w:pPr>
        <w:pStyle w:val="BodyText"/>
        <w:numPr>
          <w:ilvl w:val="0"/>
          <w:numId w:val="26"/>
        </w:numPr>
      </w:pPr>
      <w:r>
        <w:t>Opt-in Alert Customers – these customers requested to be notified of PTR eve</w:t>
      </w:r>
      <w:r w:rsidR="00B71905">
        <w:t>nts through email, or text.</w:t>
      </w:r>
    </w:p>
    <w:p w:rsidR="0017612C" w:rsidRDefault="0017612C" w:rsidP="0017612C">
      <w:pPr>
        <w:pStyle w:val="BodyText"/>
      </w:pPr>
      <w:r>
        <w:t xml:space="preserve">There are also two groups of customers that were specifically excluded from this evaluation; 284 net metering customers, and 4,005 Summer Saver participants that will be evaluated separately in the Summer Saver evaluation. Table E-1 shows the number of customers and the average on-peak usage of the customers in each of the three groups after excluding the Summer Saver and net metering customers. The large majority of customers, 67%, did not receive any notification of PTR events. Nearly a third, about 32%, of the customers received an automated notification of PTR events via email through My Account. </w:t>
      </w:r>
      <w:r w:rsidR="0006416A">
        <w:t>Only 341 participants signed up for email or text notification of events.</w:t>
      </w:r>
    </w:p>
    <w:p w:rsidR="0017612C" w:rsidRDefault="0017612C" w:rsidP="0017612C">
      <w:pPr>
        <w:pStyle w:val="TableCaption"/>
        <w:ind w:left="0" w:firstLine="0"/>
      </w:pPr>
      <w:bookmarkStart w:id="2" w:name="_Toc351364107"/>
      <w:r w:rsidRPr="005F25AF">
        <w:t xml:space="preserve">Table </w:t>
      </w:r>
      <w:r w:rsidR="00397D35" w:rsidRPr="005F25AF">
        <w:fldChar w:fldCharType="begin"/>
      </w:r>
      <w:r w:rsidRPr="005F25AF">
        <w:instrText xml:space="preserve"> STYLEREF  "Heading 1,Chap Num"  \* MERGEFORMAT </w:instrText>
      </w:r>
      <w:r w:rsidR="00397D35" w:rsidRPr="005F25AF">
        <w:fldChar w:fldCharType="end"/>
      </w:r>
      <w:r>
        <w:t>E</w:t>
      </w:r>
      <w:r w:rsidRPr="005F25AF">
        <w:t>-</w:t>
      </w:r>
      <w:fldSimple w:instr=" SEQ Table\s 1 \* MERGEFORMAT ">
        <w:r>
          <w:rPr>
            <w:noProof/>
          </w:rPr>
          <w:t>1</w:t>
        </w:r>
      </w:fldSimple>
      <w:r w:rsidRPr="005F25AF">
        <w:tab/>
      </w:r>
      <w:r>
        <w:t>Customer Characteristics by Group</w:t>
      </w:r>
      <w:bookmarkEnd w:id="2"/>
    </w:p>
    <w:tbl>
      <w:tblPr>
        <w:tblW w:w="5000" w:type="pct"/>
        <w:tblLook w:val="04A0"/>
      </w:tblPr>
      <w:tblGrid>
        <w:gridCol w:w="3169"/>
        <w:gridCol w:w="3149"/>
        <w:gridCol w:w="2898"/>
      </w:tblGrid>
      <w:tr w:rsidR="0017612C" w:rsidRPr="00A856DD" w:rsidTr="0017612C">
        <w:trPr>
          <w:trHeight w:val="300"/>
        </w:trPr>
        <w:tc>
          <w:tcPr>
            <w:tcW w:w="1719" w:type="pct"/>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17612C" w:rsidRPr="00A856DD" w:rsidRDefault="0017612C" w:rsidP="0017612C">
            <w:pPr>
              <w:jc w:val="center"/>
              <w:rPr>
                <w:rFonts w:ascii="Calibri" w:hAnsi="Calibri"/>
                <w:b/>
                <w:bCs/>
                <w:color w:val="FFFFFF"/>
                <w:szCs w:val="20"/>
              </w:rPr>
            </w:pPr>
            <w:r w:rsidRPr="00A856DD">
              <w:rPr>
                <w:rFonts w:ascii="Calibri" w:hAnsi="Calibri"/>
                <w:b/>
                <w:bCs/>
                <w:color w:val="FFFFFF"/>
                <w:szCs w:val="20"/>
              </w:rPr>
              <w:t>Customer Type</w:t>
            </w:r>
          </w:p>
        </w:tc>
        <w:tc>
          <w:tcPr>
            <w:tcW w:w="1708" w:type="pct"/>
            <w:tcBorders>
              <w:top w:val="single" w:sz="4" w:space="0" w:color="auto"/>
              <w:left w:val="nil"/>
              <w:bottom w:val="single" w:sz="4" w:space="0" w:color="auto"/>
              <w:right w:val="single" w:sz="4" w:space="0" w:color="auto"/>
            </w:tcBorders>
            <w:shd w:val="clear" w:color="000000" w:fill="1F497D"/>
            <w:noWrap/>
            <w:vAlign w:val="center"/>
            <w:hideMark/>
          </w:tcPr>
          <w:p w:rsidR="0017612C" w:rsidRPr="00A856DD" w:rsidRDefault="0017612C" w:rsidP="0017612C">
            <w:pPr>
              <w:jc w:val="center"/>
              <w:rPr>
                <w:rFonts w:ascii="Calibri" w:hAnsi="Calibri"/>
                <w:b/>
                <w:bCs/>
                <w:color w:val="FFFFFF"/>
                <w:szCs w:val="20"/>
              </w:rPr>
            </w:pPr>
            <w:r w:rsidRPr="00A856DD">
              <w:rPr>
                <w:rFonts w:ascii="Calibri" w:hAnsi="Calibri"/>
                <w:b/>
                <w:bCs/>
                <w:color w:val="FFFFFF"/>
                <w:szCs w:val="20"/>
              </w:rPr>
              <w:t>Number of Customers</w:t>
            </w:r>
          </w:p>
        </w:tc>
        <w:tc>
          <w:tcPr>
            <w:tcW w:w="1572" w:type="pct"/>
            <w:tcBorders>
              <w:top w:val="single" w:sz="4" w:space="0" w:color="auto"/>
              <w:left w:val="nil"/>
              <w:bottom w:val="single" w:sz="4" w:space="0" w:color="auto"/>
              <w:right w:val="single" w:sz="4" w:space="0" w:color="auto"/>
            </w:tcBorders>
            <w:shd w:val="clear" w:color="000000" w:fill="1F497D"/>
            <w:noWrap/>
            <w:vAlign w:val="center"/>
            <w:hideMark/>
          </w:tcPr>
          <w:p w:rsidR="0017612C" w:rsidRPr="00A856DD" w:rsidRDefault="0017612C" w:rsidP="0017612C">
            <w:pPr>
              <w:jc w:val="center"/>
              <w:rPr>
                <w:rFonts w:ascii="Calibri" w:hAnsi="Calibri"/>
                <w:b/>
                <w:bCs/>
                <w:color w:val="FFFFFF"/>
                <w:szCs w:val="20"/>
              </w:rPr>
            </w:pPr>
            <w:r w:rsidRPr="00A856DD">
              <w:rPr>
                <w:rFonts w:ascii="Calibri" w:hAnsi="Calibri"/>
                <w:b/>
                <w:bCs/>
                <w:color w:val="FFFFFF"/>
                <w:szCs w:val="20"/>
              </w:rPr>
              <w:t>Average on-peak kW</w:t>
            </w:r>
          </w:p>
        </w:tc>
      </w:tr>
      <w:tr w:rsidR="0017612C" w:rsidRPr="00A856DD" w:rsidTr="0017612C">
        <w:trPr>
          <w:trHeight w:val="300"/>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17612C" w:rsidRPr="00A856DD" w:rsidRDefault="0017612C" w:rsidP="0017612C">
            <w:pPr>
              <w:jc w:val="center"/>
              <w:rPr>
                <w:rFonts w:ascii="Calibri" w:hAnsi="Calibri"/>
                <w:color w:val="000000"/>
                <w:szCs w:val="20"/>
              </w:rPr>
            </w:pPr>
            <w:r w:rsidRPr="00A856DD">
              <w:rPr>
                <w:rFonts w:ascii="Calibri" w:hAnsi="Calibri"/>
                <w:color w:val="000000"/>
                <w:szCs w:val="20"/>
              </w:rPr>
              <w:t>No Notification</w:t>
            </w:r>
          </w:p>
        </w:tc>
        <w:tc>
          <w:tcPr>
            <w:tcW w:w="1708" w:type="pct"/>
            <w:tcBorders>
              <w:top w:val="nil"/>
              <w:left w:val="nil"/>
              <w:bottom w:val="single" w:sz="4" w:space="0" w:color="auto"/>
              <w:right w:val="single" w:sz="4" w:space="0" w:color="auto"/>
            </w:tcBorders>
            <w:shd w:val="clear" w:color="auto" w:fill="auto"/>
            <w:noWrap/>
            <w:vAlign w:val="center"/>
            <w:hideMark/>
          </w:tcPr>
          <w:p w:rsidR="0017612C" w:rsidRPr="00A856DD" w:rsidRDefault="0017612C" w:rsidP="0017612C">
            <w:pPr>
              <w:jc w:val="center"/>
              <w:rPr>
                <w:rFonts w:ascii="Calibri" w:hAnsi="Calibri"/>
                <w:color w:val="000000"/>
                <w:szCs w:val="20"/>
              </w:rPr>
            </w:pPr>
            <w:r w:rsidRPr="00A856DD">
              <w:rPr>
                <w:rFonts w:ascii="Calibri" w:hAnsi="Calibri"/>
                <w:color w:val="000000"/>
                <w:szCs w:val="20"/>
              </w:rPr>
              <w:t>72,452</w:t>
            </w:r>
          </w:p>
        </w:tc>
        <w:tc>
          <w:tcPr>
            <w:tcW w:w="1572" w:type="pct"/>
            <w:tcBorders>
              <w:top w:val="nil"/>
              <w:left w:val="nil"/>
              <w:bottom w:val="single" w:sz="4" w:space="0" w:color="auto"/>
              <w:right w:val="single" w:sz="4" w:space="0" w:color="auto"/>
            </w:tcBorders>
            <w:shd w:val="clear" w:color="auto" w:fill="auto"/>
            <w:noWrap/>
            <w:vAlign w:val="center"/>
            <w:hideMark/>
          </w:tcPr>
          <w:p w:rsidR="0017612C" w:rsidRPr="00A856DD" w:rsidRDefault="0017612C" w:rsidP="0017612C">
            <w:pPr>
              <w:jc w:val="center"/>
              <w:rPr>
                <w:rFonts w:ascii="Calibri" w:hAnsi="Calibri"/>
                <w:color w:val="000000"/>
                <w:szCs w:val="20"/>
              </w:rPr>
            </w:pPr>
            <w:r w:rsidRPr="00A856DD">
              <w:rPr>
                <w:rFonts w:ascii="Calibri" w:hAnsi="Calibri"/>
                <w:color w:val="000000"/>
                <w:szCs w:val="20"/>
              </w:rPr>
              <w:t>3.94</w:t>
            </w:r>
          </w:p>
        </w:tc>
      </w:tr>
      <w:tr w:rsidR="0017612C" w:rsidRPr="00A856DD" w:rsidTr="0017612C">
        <w:trPr>
          <w:trHeight w:val="300"/>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17612C" w:rsidRPr="00A856DD" w:rsidRDefault="0017612C" w:rsidP="0017612C">
            <w:pPr>
              <w:jc w:val="center"/>
              <w:rPr>
                <w:rFonts w:ascii="Calibri" w:hAnsi="Calibri"/>
                <w:color w:val="000000"/>
                <w:szCs w:val="20"/>
              </w:rPr>
            </w:pPr>
            <w:r w:rsidRPr="00A856DD">
              <w:rPr>
                <w:rFonts w:ascii="Calibri" w:hAnsi="Calibri"/>
                <w:color w:val="000000"/>
                <w:szCs w:val="20"/>
              </w:rPr>
              <w:t>My Account</w:t>
            </w:r>
          </w:p>
        </w:tc>
        <w:tc>
          <w:tcPr>
            <w:tcW w:w="1708" w:type="pct"/>
            <w:tcBorders>
              <w:top w:val="nil"/>
              <w:left w:val="nil"/>
              <w:bottom w:val="single" w:sz="4" w:space="0" w:color="auto"/>
              <w:right w:val="single" w:sz="4" w:space="0" w:color="auto"/>
            </w:tcBorders>
            <w:shd w:val="clear" w:color="auto" w:fill="auto"/>
            <w:noWrap/>
            <w:vAlign w:val="center"/>
            <w:hideMark/>
          </w:tcPr>
          <w:p w:rsidR="0017612C" w:rsidRPr="00A856DD" w:rsidRDefault="0017612C" w:rsidP="0017612C">
            <w:pPr>
              <w:jc w:val="center"/>
              <w:rPr>
                <w:rFonts w:ascii="Calibri" w:hAnsi="Calibri"/>
                <w:color w:val="000000"/>
                <w:szCs w:val="20"/>
              </w:rPr>
            </w:pPr>
            <w:r w:rsidRPr="00A856DD">
              <w:rPr>
                <w:rFonts w:ascii="Calibri" w:hAnsi="Calibri"/>
                <w:color w:val="000000"/>
                <w:szCs w:val="20"/>
              </w:rPr>
              <w:t>35,125</w:t>
            </w:r>
          </w:p>
        </w:tc>
        <w:tc>
          <w:tcPr>
            <w:tcW w:w="1572" w:type="pct"/>
            <w:tcBorders>
              <w:top w:val="nil"/>
              <w:left w:val="nil"/>
              <w:bottom w:val="single" w:sz="4" w:space="0" w:color="auto"/>
              <w:right w:val="single" w:sz="4" w:space="0" w:color="auto"/>
            </w:tcBorders>
            <w:shd w:val="clear" w:color="auto" w:fill="auto"/>
            <w:noWrap/>
            <w:vAlign w:val="center"/>
            <w:hideMark/>
          </w:tcPr>
          <w:p w:rsidR="0017612C" w:rsidRPr="00A856DD" w:rsidRDefault="0017612C" w:rsidP="0017612C">
            <w:pPr>
              <w:jc w:val="center"/>
              <w:rPr>
                <w:rFonts w:ascii="Calibri" w:hAnsi="Calibri"/>
                <w:color w:val="000000"/>
                <w:szCs w:val="20"/>
              </w:rPr>
            </w:pPr>
            <w:r w:rsidRPr="00A856DD">
              <w:rPr>
                <w:rFonts w:ascii="Calibri" w:hAnsi="Calibri"/>
                <w:color w:val="000000"/>
                <w:szCs w:val="20"/>
              </w:rPr>
              <w:t>4.82</w:t>
            </w:r>
          </w:p>
        </w:tc>
      </w:tr>
      <w:tr w:rsidR="0017612C" w:rsidRPr="00A856DD" w:rsidTr="0017612C">
        <w:trPr>
          <w:trHeight w:val="300"/>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17612C" w:rsidRPr="00A856DD" w:rsidRDefault="0017612C" w:rsidP="0017612C">
            <w:pPr>
              <w:jc w:val="center"/>
              <w:rPr>
                <w:rFonts w:ascii="Calibri" w:hAnsi="Calibri"/>
                <w:color w:val="000000"/>
                <w:szCs w:val="20"/>
              </w:rPr>
            </w:pPr>
            <w:r w:rsidRPr="00A856DD">
              <w:rPr>
                <w:rFonts w:ascii="Calibri" w:hAnsi="Calibri"/>
                <w:color w:val="000000"/>
                <w:szCs w:val="20"/>
              </w:rPr>
              <w:t>Opt-in Alerts</w:t>
            </w:r>
          </w:p>
        </w:tc>
        <w:tc>
          <w:tcPr>
            <w:tcW w:w="1708" w:type="pct"/>
            <w:tcBorders>
              <w:top w:val="nil"/>
              <w:left w:val="nil"/>
              <w:bottom w:val="single" w:sz="4" w:space="0" w:color="auto"/>
              <w:right w:val="single" w:sz="4" w:space="0" w:color="auto"/>
            </w:tcBorders>
            <w:shd w:val="clear" w:color="auto" w:fill="auto"/>
            <w:noWrap/>
            <w:vAlign w:val="center"/>
            <w:hideMark/>
          </w:tcPr>
          <w:p w:rsidR="0017612C" w:rsidRPr="00A856DD" w:rsidRDefault="0017612C" w:rsidP="0017612C">
            <w:pPr>
              <w:jc w:val="center"/>
              <w:rPr>
                <w:rFonts w:ascii="Calibri" w:hAnsi="Calibri"/>
                <w:color w:val="000000"/>
                <w:szCs w:val="20"/>
              </w:rPr>
            </w:pPr>
            <w:r w:rsidRPr="00A856DD">
              <w:rPr>
                <w:rFonts w:ascii="Calibri" w:hAnsi="Calibri"/>
                <w:color w:val="000000"/>
                <w:szCs w:val="20"/>
              </w:rPr>
              <w:t>341</w:t>
            </w:r>
          </w:p>
        </w:tc>
        <w:tc>
          <w:tcPr>
            <w:tcW w:w="1572" w:type="pct"/>
            <w:tcBorders>
              <w:top w:val="nil"/>
              <w:left w:val="nil"/>
              <w:bottom w:val="single" w:sz="4" w:space="0" w:color="auto"/>
              <w:right w:val="single" w:sz="4" w:space="0" w:color="auto"/>
            </w:tcBorders>
            <w:shd w:val="clear" w:color="auto" w:fill="auto"/>
            <w:noWrap/>
            <w:vAlign w:val="center"/>
            <w:hideMark/>
          </w:tcPr>
          <w:p w:rsidR="0017612C" w:rsidRPr="00A856DD" w:rsidRDefault="0017612C" w:rsidP="0017612C">
            <w:pPr>
              <w:jc w:val="center"/>
              <w:rPr>
                <w:rFonts w:ascii="Calibri" w:hAnsi="Calibri"/>
                <w:color w:val="000000"/>
                <w:szCs w:val="20"/>
              </w:rPr>
            </w:pPr>
            <w:r w:rsidRPr="00A856DD">
              <w:rPr>
                <w:rFonts w:ascii="Calibri" w:hAnsi="Calibri"/>
                <w:color w:val="000000"/>
                <w:szCs w:val="20"/>
              </w:rPr>
              <w:t>3.56</w:t>
            </w:r>
          </w:p>
        </w:tc>
      </w:tr>
      <w:tr w:rsidR="0017612C" w:rsidRPr="00A856DD" w:rsidTr="0017612C">
        <w:trPr>
          <w:trHeight w:val="300"/>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17612C" w:rsidRPr="00A856DD" w:rsidRDefault="0017612C" w:rsidP="0017612C">
            <w:pPr>
              <w:jc w:val="center"/>
              <w:rPr>
                <w:rFonts w:ascii="Calibri" w:hAnsi="Calibri"/>
                <w:color w:val="000000"/>
                <w:szCs w:val="20"/>
              </w:rPr>
            </w:pPr>
            <w:r w:rsidRPr="00A856DD">
              <w:rPr>
                <w:rFonts w:ascii="Calibri" w:hAnsi="Calibri"/>
                <w:color w:val="000000"/>
                <w:szCs w:val="20"/>
              </w:rPr>
              <w:t>All Small Commercial</w:t>
            </w:r>
          </w:p>
        </w:tc>
        <w:tc>
          <w:tcPr>
            <w:tcW w:w="1708" w:type="pct"/>
            <w:tcBorders>
              <w:top w:val="nil"/>
              <w:left w:val="nil"/>
              <w:bottom w:val="single" w:sz="4" w:space="0" w:color="auto"/>
              <w:right w:val="single" w:sz="4" w:space="0" w:color="auto"/>
            </w:tcBorders>
            <w:shd w:val="clear" w:color="auto" w:fill="auto"/>
            <w:noWrap/>
            <w:vAlign w:val="center"/>
            <w:hideMark/>
          </w:tcPr>
          <w:p w:rsidR="0017612C" w:rsidRPr="00A856DD" w:rsidRDefault="0017612C" w:rsidP="0017612C">
            <w:pPr>
              <w:jc w:val="center"/>
              <w:rPr>
                <w:rFonts w:ascii="Calibri" w:hAnsi="Calibri"/>
                <w:color w:val="000000"/>
                <w:szCs w:val="20"/>
              </w:rPr>
            </w:pPr>
            <w:r w:rsidRPr="00A856DD">
              <w:rPr>
                <w:rFonts w:ascii="Calibri" w:hAnsi="Calibri"/>
                <w:color w:val="000000"/>
                <w:szCs w:val="20"/>
              </w:rPr>
              <w:t>107,918</w:t>
            </w:r>
          </w:p>
        </w:tc>
        <w:tc>
          <w:tcPr>
            <w:tcW w:w="1572" w:type="pct"/>
            <w:tcBorders>
              <w:top w:val="nil"/>
              <w:left w:val="nil"/>
              <w:bottom w:val="single" w:sz="4" w:space="0" w:color="auto"/>
              <w:right w:val="single" w:sz="4" w:space="0" w:color="auto"/>
            </w:tcBorders>
            <w:shd w:val="clear" w:color="auto" w:fill="auto"/>
            <w:noWrap/>
            <w:vAlign w:val="center"/>
            <w:hideMark/>
          </w:tcPr>
          <w:p w:rsidR="0017612C" w:rsidRPr="00A856DD" w:rsidRDefault="0017612C" w:rsidP="0017612C">
            <w:pPr>
              <w:jc w:val="center"/>
              <w:rPr>
                <w:rFonts w:ascii="Calibri" w:hAnsi="Calibri"/>
                <w:color w:val="000000"/>
                <w:szCs w:val="20"/>
              </w:rPr>
            </w:pPr>
            <w:r w:rsidRPr="00A856DD">
              <w:rPr>
                <w:rFonts w:ascii="Calibri" w:hAnsi="Calibri"/>
                <w:color w:val="000000"/>
                <w:szCs w:val="20"/>
              </w:rPr>
              <w:t>4.02</w:t>
            </w:r>
          </w:p>
        </w:tc>
      </w:tr>
    </w:tbl>
    <w:p w:rsidR="00401110" w:rsidRDefault="00401110" w:rsidP="0017612C">
      <w:pPr>
        <w:pStyle w:val="CommentText"/>
      </w:pPr>
    </w:p>
    <w:p w:rsidR="0017612C" w:rsidRDefault="0017612C" w:rsidP="0017612C">
      <w:pPr>
        <w:pStyle w:val="CommentText"/>
      </w:pPr>
      <w:r>
        <w:t xml:space="preserve">During the summer of 2012 SDG&amp;E called seven PTR events, two of the events were called on Saturdays. Each of the events had several comparable non-event days throughout the summer </w:t>
      </w:r>
      <w:r>
        <w:lastRenderedPageBreak/>
        <w:t xml:space="preserve">except one, Saturday September 15, 2012. The September 15 event was extremely hot compared to other events and compared to other days during the summer. One day, Friday September 14, was similar in temperature; however the difference between weekday and weekend load shapes for commercial customers makes this a less than ideal day for comparison to the Saturday event.  </w:t>
      </w:r>
      <w:r w:rsidR="00397D35">
        <w:fldChar w:fldCharType="begin"/>
      </w:r>
      <w:r>
        <w:instrText xml:space="preserve"> REF _Ref350173515 \h </w:instrText>
      </w:r>
      <w:r w:rsidR="00397D35">
        <w:fldChar w:fldCharType="separate"/>
      </w:r>
      <w:r w:rsidRPr="005F25AF">
        <w:t xml:space="preserve">Table </w:t>
      </w:r>
      <w:r>
        <w:rPr>
          <w:noProof/>
        </w:rPr>
        <w:t>E</w:t>
      </w:r>
      <w:r w:rsidRPr="005F25AF">
        <w:t>-</w:t>
      </w:r>
      <w:r>
        <w:rPr>
          <w:noProof/>
        </w:rPr>
        <w:t>2</w:t>
      </w:r>
      <w:r w:rsidR="00397D35">
        <w:fldChar w:fldCharType="end"/>
      </w:r>
      <w:r>
        <w:t xml:space="preserve"> shows the average on-peak temperatures for the Inland and Coastal regions on each event day, averaged across event days, and for the entire summer.  </w:t>
      </w:r>
    </w:p>
    <w:p w:rsidR="0017612C" w:rsidRDefault="0017612C" w:rsidP="0017612C">
      <w:pPr>
        <w:pStyle w:val="TableCaption"/>
        <w:ind w:left="0" w:firstLine="0"/>
      </w:pPr>
      <w:bookmarkStart w:id="3" w:name="_Toc351364108"/>
      <w:r w:rsidRPr="005F25AF">
        <w:t xml:space="preserve">Table </w:t>
      </w:r>
      <w:r w:rsidR="00397D35" w:rsidRPr="005F25AF">
        <w:fldChar w:fldCharType="begin"/>
      </w:r>
      <w:r w:rsidRPr="005F25AF">
        <w:instrText xml:space="preserve"> STYLEREF  "Heading 1,Chap Num"  \* MERGEFORMAT </w:instrText>
      </w:r>
      <w:r w:rsidR="00397D35" w:rsidRPr="005F25AF">
        <w:fldChar w:fldCharType="end"/>
      </w:r>
      <w:r>
        <w:t>E</w:t>
      </w:r>
      <w:r w:rsidRPr="005F25AF">
        <w:t>-</w:t>
      </w:r>
      <w:fldSimple w:instr=" SEQ Table\s 1 \* MERGEFORMAT ">
        <w:r>
          <w:rPr>
            <w:noProof/>
          </w:rPr>
          <w:t>2</w:t>
        </w:r>
      </w:fldSimple>
      <w:r w:rsidRPr="005F25AF">
        <w:tab/>
      </w:r>
      <w:r>
        <w:t>Average and Maximum Temperature Summary</w:t>
      </w:r>
      <w:bookmarkEnd w:id="3"/>
    </w:p>
    <w:tbl>
      <w:tblPr>
        <w:tblW w:w="5000" w:type="pct"/>
        <w:tblLook w:val="04A0"/>
      </w:tblPr>
      <w:tblGrid>
        <w:gridCol w:w="3347"/>
        <w:gridCol w:w="2881"/>
        <w:gridCol w:w="2988"/>
      </w:tblGrid>
      <w:tr w:rsidR="0017612C" w:rsidRPr="0010609A" w:rsidTr="0017612C">
        <w:trPr>
          <w:trHeight w:val="300"/>
        </w:trPr>
        <w:tc>
          <w:tcPr>
            <w:tcW w:w="1816" w:type="pct"/>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17612C" w:rsidRPr="0010609A" w:rsidRDefault="0017612C" w:rsidP="0017612C">
            <w:pPr>
              <w:jc w:val="center"/>
              <w:rPr>
                <w:rFonts w:ascii="Calibri" w:hAnsi="Calibri"/>
                <w:b/>
                <w:bCs/>
                <w:color w:val="FFFFFF"/>
                <w:szCs w:val="20"/>
              </w:rPr>
            </w:pPr>
            <w:r w:rsidRPr="0010609A">
              <w:rPr>
                <w:rFonts w:ascii="Calibri" w:hAnsi="Calibri"/>
                <w:b/>
                <w:bCs/>
                <w:color w:val="FFFFFF"/>
                <w:szCs w:val="20"/>
              </w:rPr>
              <w:t>Day Type</w:t>
            </w:r>
          </w:p>
        </w:tc>
        <w:tc>
          <w:tcPr>
            <w:tcW w:w="1563" w:type="pct"/>
            <w:tcBorders>
              <w:top w:val="single" w:sz="4" w:space="0" w:color="auto"/>
              <w:left w:val="nil"/>
              <w:bottom w:val="single" w:sz="4" w:space="0" w:color="auto"/>
              <w:right w:val="single" w:sz="4" w:space="0" w:color="auto"/>
            </w:tcBorders>
            <w:shd w:val="clear" w:color="000000" w:fill="1F497D"/>
            <w:noWrap/>
            <w:vAlign w:val="center"/>
            <w:hideMark/>
          </w:tcPr>
          <w:p w:rsidR="0017612C" w:rsidRPr="0010609A" w:rsidRDefault="0017612C" w:rsidP="0017612C">
            <w:pPr>
              <w:jc w:val="center"/>
              <w:rPr>
                <w:rFonts w:ascii="Calibri" w:hAnsi="Calibri"/>
                <w:b/>
                <w:bCs/>
                <w:color w:val="FFFFFF"/>
                <w:szCs w:val="20"/>
              </w:rPr>
            </w:pPr>
            <w:r w:rsidRPr="0010609A">
              <w:rPr>
                <w:rFonts w:ascii="Calibri" w:hAnsi="Calibri"/>
                <w:b/>
                <w:bCs/>
                <w:color w:val="FFFFFF"/>
                <w:szCs w:val="20"/>
              </w:rPr>
              <w:t>Inland</w:t>
            </w:r>
            <w:r>
              <w:rPr>
                <w:rFonts w:ascii="Calibri" w:hAnsi="Calibri"/>
                <w:b/>
                <w:bCs/>
                <w:color w:val="FFFFFF"/>
                <w:szCs w:val="20"/>
              </w:rPr>
              <w:t xml:space="preserve"> </w:t>
            </w:r>
          </w:p>
        </w:tc>
        <w:tc>
          <w:tcPr>
            <w:tcW w:w="1621" w:type="pct"/>
            <w:tcBorders>
              <w:top w:val="single" w:sz="4" w:space="0" w:color="auto"/>
              <w:left w:val="nil"/>
              <w:bottom w:val="single" w:sz="4" w:space="0" w:color="auto"/>
              <w:right w:val="single" w:sz="4" w:space="0" w:color="auto"/>
            </w:tcBorders>
            <w:shd w:val="clear" w:color="000000" w:fill="1F497D"/>
            <w:noWrap/>
            <w:vAlign w:val="center"/>
            <w:hideMark/>
          </w:tcPr>
          <w:p w:rsidR="0017612C" w:rsidRPr="0010609A" w:rsidRDefault="0017612C" w:rsidP="0017612C">
            <w:pPr>
              <w:jc w:val="center"/>
              <w:rPr>
                <w:rFonts w:ascii="Calibri" w:hAnsi="Calibri"/>
                <w:b/>
                <w:bCs/>
                <w:color w:val="FFFFFF"/>
                <w:szCs w:val="20"/>
              </w:rPr>
            </w:pPr>
            <w:r w:rsidRPr="0010609A">
              <w:rPr>
                <w:rFonts w:ascii="Calibri" w:hAnsi="Calibri"/>
                <w:b/>
                <w:bCs/>
                <w:color w:val="FFFFFF"/>
                <w:szCs w:val="20"/>
              </w:rPr>
              <w:t>Coastal</w:t>
            </w:r>
          </w:p>
        </w:tc>
      </w:tr>
      <w:tr w:rsidR="0017612C" w:rsidRPr="0010609A" w:rsidTr="0017612C">
        <w:trPr>
          <w:trHeight w:val="300"/>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20-Jul-12</w:t>
            </w:r>
          </w:p>
        </w:tc>
        <w:tc>
          <w:tcPr>
            <w:tcW w:w="1563" w:type="pct"/>
            <w:tcBorders>
              <w:top w:val="nil"/>
              <w:left w:val="nil"/>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83.4</w:t>
            </w:r>
          </w:p>
        </w:tc>
        <w:tc>
          <w:tcPr>
            <w:tcW w:w="1621" w:type="pct"/>
            <w:tcBorders>
              <w:top w:val="nil"/>
              <w:left w:val="nil"/>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78.2</w:t>
            </w:r>
          </w:p>
        </w:tc>
      </w:tr>
      <w:tr w:rsidR="0017612C" w:rsidRPr="0010609A" w:rsidTr="0017612C">
        <w:trPr>
          <w:trHeight w:val="300"/>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9-Aug-12</w:t>
            </w:r>
          </w:p>
        </w:tc>
        <w:tc>
          <w:tcPr>
            <w:tcW w:w="1563" w:type="pct"/>
            <w:tcBorders>
              <w:top w:val="nil"/>
              <w:left w:val="nil"/>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86.1</w:t>
            </w:r>
          </w:p>
        </w:tc>
        <w:tc>
          <w:tcPr>
            <w:tcW w:w="1621" w:type="pct"/>
            <w:tcBorders>
              <w:top w:val="nil"/>
              <w:left w:val="nil"/>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79.5</w:t>
            </w:r>
          </w:p>
        </w:tc>
      </w:tr>
      <w:tr w:rsidR="0017612C" w:rsidRPr="0010609A" w:rsidTr="0017612C">
        <w:trPr>
          <w:trHeight w:val="300"/>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10-Aug-12</w:t>
            </w:r>
          </w:p>
        </w:tc>
        <w:tc>
          <w:tcPr>
            <w:tcW w:w="1563" w:type="pct"/>
            <w:tcBorders>
              <w:top w:val="nil"/>
              <w:left w:val="nil"/>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86.9</w:t>
            </w:r>
          </w:p>
        </w:tc>
        <w:tc>
          <w:tcPr>
            <w:tcW w:w="1621" w:type="pct"/>
            <w:tcBorders>
              <w:top w:val="nil"/>
              <w:left w:val="nil"/>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80.9</w:t>
            </w:r>
          </w:p>
        </w:tc>
      </w:tr>
      <w:tr w:rsidR="0017612C" w:rsidRPr="0010609A" w:rsidTr="0017612C">
        <w:trPr>
          <w:trHeight w:val="300"/>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14-Aug-12</w:t>
            </w:r>
          </w:p>
        </w:tc>
        <w:tc>
          <w:tcPr>
            <w:tcW w:w="1563" w:type="pct"/>
            <w:tcBorders>
              <w:top w:val="nil"/>
              <w:left w:val="nil"/>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87.1</w:t>
            </w:r>
          </w:p>
        </w:tc>
        <w:tc>
          <w:tcPr>
            <w:tcW w:w="1621" w:type="pct"/>
            <w:tcBorders>
              <w:top w:val="nil"/>
              <w:left w:val="nil"/>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80.3</w:t>
            </w:r>
          </w:p>
        </w:tc>
      </w:tr>
      <w:tr w:rsidR="0017612C" w:rsidRPr="0010609A" w:rsidTr="0017612C">
        <w:trPr>
          <w:trHeight w:val="300"/>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21-Aug-12</w:t>
            </w:r>
          </w:p>
        </w:tc>
        <w:tc>
          <w:tcPr>
            <w:tcW w:w="1563" w:type="pct"/>
            <w:tcBorders>
              <w:top w:val="nil"/>
              <w:left w:val="nil"/>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80.3</w:t>
            </w:r>
          </w:p>
        </w:tc>
        <w:tc>
          <w:tcPr>
            <w:tcW w:w="1621" w:type="pct"/>
            <w:tcBorders>
              <w:top w:val="nil"/>
              <w:left w:val="nil"/>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76.1</w:t>
            </w:r>
          </w:p>
        </w:tc>
      </w:tr>
      <w:tr w:rsidR="0017612C" w:rsidRPr="0010609A" w:rsidTr="0017612C">
        <w:trPr>
          <w:trHeight w:val="300"/>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15-Sep-12</w:t>
            </w:r>
          </w:p>
        </w:tc>
        <w:tc>
          <w:tcPr>
            <w:tcW w:w="1563" w:type="pct"/>
            <w:tcBorders>
              <w:top w:val="nil"/>
              <w:left w:val="nil"/>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97.0</w:t>
            </w:r>
          </w:p>
        </w:tc>
        <w:tc>
          <w:tcPr>
            <w:tcW w:w="1621" w:type="pct"/>
            <w:tcBorders>
              <w:top w:val="nil"/>
              <w:left w:val="nil"/>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96.1</w:t>
            </w:r>
          </w:p>
        </w:tc>
      </w:tr>
      <w:tr w:rsidR="0017612C" w:rsidRPr="0010609A" w:rsidTr="0017612C">
        <w:trPr>
          <w:trHeight w:val="300"/>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Average PTR Day</w:t>
            </w:r>
          </w:p>
        </w:tc>
        <w:tc>
          <w:tcPr>
            <w:tcW w:w="1563" w:type="pct"/>
            <w:tcBorders>
              <w:top w:val="nil"/>
              <w:left w:val="nil"/>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86.8</w:t>
            </w:r>
          </w:p>
        </w:tc>
        <w:tc>
          <w:tcPr>
            <w:tcW w:w="1621" w:type="pct"/>
            <w:tcBorders>
              <w:top w:val="nil"/>
              <w:left w:val="nil"/>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81.8</w:t>
            </w:r>
          </w:p>
        </w:tc>
      </w:tr>
      <w:tr w:rsidR="0017612C" w:rsidRPr="0010609A" w:rsidTr="0017612C">
        <w:trPr>
          <w:trHeight w:val="300"/>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Average All Summer</w:t>
            </w:r>
          </w:p>
        </w:tc>
        <w:tc>
          <w:tcPr>
            <w:tcW w:w="1563" w:type="pct"/>
            <w:tcBorders>
              <w:top w:val="nil"/>
              <w:left w:val="nil"/>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79.9</w:t>
            </w:r>
          </w:p>
        </w:tc>
        <w:tc>
          <w:tcPr>
            <w:tcW w:w="1621" w:type="pct"/>
            <w:tcBorders>
              <w:top w:val="nil"/>
              <w:left w:val="nil"/>
              <w:bottom w:val="single" w:sz="4" w:space="0" w:color="auto"/>
              <w:right w:val="single" w:sz="4" w:space="0" w:color="auto"/>
            </w:tcBorders>
            <w:shd w:val="clear" w:color="auto" w:fill="auto"/>
            <w:noWrap/>
            <w:vAlign w:val="center"/>
            <w:hideMark/>
          </w:tcPr>
          <w:p w:rsidR="0017612C" w:rsidRPr="0010609A" w:rsidRDefault="0017612C" w:rsidP="0017612C">
            <w:pPr>
              <w:jc w:val="center"/>
              <w:rPr>
                <w:rFonts w:ascii="Calibri" w:hAnsi="Calibri"/>
                <w:color w:val="000000"/>
                <w:szCs w:val="20"/>
              </w:rPr>
            </w:pPr>
            <w:r w:rsidRPr="0010609A">
              <w:rPr>
                <w:rFonts w:ascii="Calibri" w:hAnsi="Calibri"/>
                <w:color w:val="000000"/>
                <w:szCs w:val="20"/>
              </w:rPr>
              <w:t>75.5</w:t>
            </w:r>
          </w:p>
        </w:tc>
      </w:tr>
    </w:tbl>
    <w:p w:rsidR="0017612C" w:rsidRDefault="0017612C" w:rsidP="0017612C">
      <w:pPr>
        <w:pStyle w:val="BodyText"/>
      </w:pPr>
    </w:p>
    <w:p w:rsidR="00A95830" w:rsidRDefault="00401110" w:rsidP="0017612C">
      <w:pPr>
        <w:pStyle w:val="Heading2"/>
      </w:pPr>
      <w:bookmarkStart w:id="4" w:name="_Toc351363723"/>
      <w:r>
        <w:t xml:space="preserve">Sample Design and </w:t>
      </w:r>
      <w:r w:rsidR="00433C28">
        <w:t>Methodology</w:t>
      </w:r>
      <w:bookmarkEnd w:id="4"/>
    </w:p>
    <w:p w:rsidR="00401110" w:rsidRDefault="00401110" w:rsidP="00401110">
      <w:pPr>
        <w:pStyle w:val="BodyText"/>
      </w:pPr>
      <w:r>
        <w:t>Because there are 107,918 small commercial PTR participants being considered in this evaluation and performing analysis on a population of that size is prohibitive, we used a large sample of participants for the analysis. SDG&amp;E created a new Dynamic Load Profiling (DLP) sample for the small commercial class in summer of 2011. The sample consists of approximately 8,500 customers and was designed using typical stratified random sampling techniques to represent the small commercial population. We modified the DLP sample slightly in order to use it for this evaluation. First, all customers who requested notification of PTR events and were not already in the DLP sample were added to the analysis sample for evaluation as a census or certainty stratum for the Opt-in Alert customers. Second, we adjusted the sample weights to reflect the mix and usage of customers being evaluated as participants in the small commercial PTR program in 2012. In order to make these adjustments we post-stratified the sample by reassigning both sample and population customers to the appropriate stratum based on their 2012 summer average daily usage and climate zone.</w:t>
      </w:r>
    </w:p>
    <w:p w:rsidR="00401110" w:rsidRDefault="00401110" w:rsidP="00401110">
      <w:pPr>
        <w:pStyle w:val="BodyText"/>
      </w:pPr>
      <w:r>
        <w:t xml:space="preserve">Because of the very small expected savings and the lack of a formal control group, isolating and estimating </w:t>
      </w:r>
      <w:r w:rsidRPr="00C069BF">
        <w:rPr>
          <w:i/>
        </w:rPr>
        <w:t>ex-post</w:t>
      </w:r>
      <w:r>
        <w:t xml:space="preserve"> impacts for the small commercial PTR program was difficult, and in most cases our estimates were insignificant and assumed to be zero. However, during this evaluation we used several different methods to attempt to isolate impacts in specific subgroups and to confirm and validate the statistically insignificant results. </w:t>
      </w:r>
    </w:p>
    <w:p w:rsidR="00A95830" w:rsidRPr="00A95830" w:rsidRDefault="00401110" w:rsidP="00A95830">
      <w:pPr>
        <w:pStyle w:val="BodyText"/>
      </w:pPr>
      <w:r>
        <w:t xml:space="preserve">A fixed-effects regression based approach was initially used to estimate the hourly impacts for each of the three subgroups on each event day, however nearly all of those estimates were insignificant. In addition, it </w:t>
      </w:r>
      <w:r w:rsidR="00A5129D">
        <w:t>may be that the</w:t>
      </w:r>
      <w:r>
        <w:t xml:space="preserve"> few significant estimates we were able to obtain, were merely are result of random variation, rather than a result of actions b</w:t>
      </w:r>
      <w:r w:rsidR="00A5129D">
        <w:t xml:space="preserve">eing taken by customers, a </w:t>
      </w:r>
      <w:r>
        <w:t>common phenomenon when making may estimates. Therefore, we also included both a load shape analysis, which is similar to a baseline analysis, and a matched control group analysis for the Opt-in Alert customers. We included the matched control group analys</w:t>
      </w:r>
      <w:r w:rsidR="0006416A">
        <w:t>is for the Opt-in customers</w:t>
      </w:r>
      <w:r>
        <w:t xml:space="preserve"> because both the regression results and the load shape analysis indicated that those customers might be taking some actions. </w:t>
      </w:r>
    </w:p>
    <w:p w:rsidR="00401110" w:rsidRDefault="00401110" w:rsidP="00433C28">
      <w:pPr>
        <w:pStyle w:val="Heading2"/>
      </w:pPr>
    </w:p>
    <w:p w:rsidR="00433C28" w:rsidRDefault="00EE6061" w:rsidP="00433C28">
      <w:pPr>
        <w:pStyle w:val="Heading2"/>
      </w:pPr>
      <w:bookmarkStart w:id="5" w:name="_Toc351363724"/>
      <w:r>
        <w:t xml:space="preserve">Program </w:t>
      </w:r>
      <w:r w:rsidR="00433C28">
        <w:t>Impacts</w:t>
      </w:r>
      <w:bookmarkEnd w:id="5"/>
      <w:r w:rsidR="00433C28">
        <w:t xml:space="preserve"> </w:t>
      </w:r>
    </w:p>
    <w:p w:rsidR="00A95830" w:rsidRDefault="00CC6FBE" w:rsidP="00A95830">
      <w:pPr>
        <w:pStyle w:val="BodyText"/>
      </w:pPr>
      <w:r>
        <w:t>After completing three separate analyses of ex-post impacts for the small commercial PTR program, the evaluation resulted in an of</w:t>
      </w:r>
      <w:r w:rsidR="0006416A">
        <w:t>ficial estimate of zero impact on an average PTR event day for all three groups</w:t>
      </w:r>
      <w:r>
        <w:t>. Within the Opt-in Alerts subgroup both the regression analysis and matched control group analysis suggested to presence of sm</w:t>
      </w:r>
      <w:r w:rsidR="0006416A">
        <w:t>all impacts, however the impact across days</w:t>
      </w:r>
      <w:r>
        <w:t xml:space="preserve"> could not be estimated due to a lack of statistical significance.</w:t>
      </w:r>
      <w:r w:rsidR="0006416A">
        <w:t xml:space="preserve"> On individual event days within the Opt-in Alerts group, there are three very small but statistically significant impacts; these impacts are at most 50 kW for the entire group, or about 0.14 kW per customer.</w:t>
      </w:r>
      <w:r>
        <w:t xml:space="preserve"> Table E-3 shows the impact estimates based on the hourly regression models for each program subgroup, on each event day. The zeros with asterisks in the Opt-in Alert group represent positive impact estimates that were not significant at the 90% level.</w:t>
      </w:r>
    </w:p>
    <w:p w:rsidR="00CC6FBE" w:rsidRDefault="00CC6FBE" w:rsidP="00CC6FBE">
      <w:pPr>
        <w:pStyle w:val="TableCaption"/>
        <w:ind w:left="0" w:firstLine="0"/>
      </w:pPr>
      <w:bookmarkStart w:id="6" w:name="_Toc351364109"/>
      <w:r w:rsidRPr="005F25AF">
        <w:t xml:space="preserve">Table </w:t>
      </w:r>
      <w:r w:rsidR="00397D35" w:rsidRPr="005F25AF">
        <w:fldChar w:fldCharType="begin"/>
      </w:r>
      <w:r w:rsidRPr="005F25AF">
        <w:instrText xml:space="preserve"> STYLEREF  "Heading 1,Chap Num"  \* MERGEFORMAT </w:instrText>
      </w:r>
      <w:r w:rsidR="00397D35" w:rsidRPr="005F25AF">
        <w:fldChar w:fldCharType="end"/>
      </w:r>
      <w:r>
        <w:t>E</w:t>
      </w:r>
      <w:r w:rsidRPr="005F25AF">
        <w:t>-</w:t>
      </w:r>
      <w:fldSimple w:instr=" SEQ Table\s 1 \* MERGEFORMAT ">
        <w:r>
          <w:rPr>
            <w:noProof/>
          </w:rPr>
          <w:t>2</w:t>
        </w:r>
      </w:fldSimple>
      <w:r w:rsidRPr="005F25AF">
        <w:tab/>
      </w:r>
      <w:r>
        <w:t>Average and Maximum Temperature Summary</w:t>
      </w:r>
      <w:bookmarkEnd w:id="6"/>
    </w:p>
    <w:tbl>
      <w:tblPr>
        <w:tblW w:w="5000" w:type="pct"/>
        <w:tblLook w:val="04A0"/>
      </w:tblPr>
      <w:tblGrid>
        <w:gridCol w:w="2529"/>
        <w:gridCol w:w="2177"/>
        <w:gridCol w:w="2256"/>
        <w:gridCol w:w="2254"/>
      </w:tblGrid>
      <w:tr w:rsidR="00CC6FBE" w:rsidRPr="0010609A" w:rsidTr="00CC6FBE">
        <w:trPr>
          <w:trHeight w:val="300"/>
        </w:trPr>
        <w:tc>
          <w:tcPr>
            <w:tcW w:w="1372" w:type="pct"/>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CC6FBE" w:rsidRPr="0010609A" w:rsidRDefault="00CC6FBE" w:rsidP="00CC6FBE">
            <w:pPr>
              <w:jc w:val="center"/>
              <w:rPr>
                <w:rFonts w:ascii="Calibri" w:hAnsi="Calibri"/>
                <w:b/>
                <w:bCs/>
                <w:color w:val="FFFFFF"/>
                <w:szCs w:val="20"/>
              </w:rPr>
            </w:pPr>
            <w:r>
              <w:rPr>
                <w:rFonts w:ascii="Calibri" w:hAnsi="Calibri"/>
                <w:b/>
                <w:bCs/>
                <w:color w:val="FFFFFF"/>
                <w:szCs w:val="20"/>
              </w:rPr>
              <w:t>Event Day</w:t>
            </w:r>
          </w:p>
        </w:tc>
        <w:tc>
          <w:tcPr>
            <w:tcW w:w="1181" w:type="pct"/>
            <w:tcBorders>
              <w:top w:val="single" w:sz="4" w:space="0" w:color="auto"/>
              <w:left w:val="nil"/>
              <w:bottom w:val="single" w:sz="4" w:space="0" w:color="auto"/>
              <w:right w:val="single" w:sz="4" w:space="0" w:color="auto"/>
            </w:tcBorders>
            <w:shd w:val="clear" w:color="000000" w:fill="1F497D"/>
            <w:noWrap/>
            <w:vAlign w:val="center"/>
            <w:hideMark/>
          </w:tcPr>
          <w:p w:rsidR="00CC6FBE" w:rsidRDefault="00CC6FBE" w:rsidP="00CC6FBE">
            <w:pPr>
              <w:jc w:val="center"/>
              <w:rPr>
                <w:rFonts w:ascii="Calibri" w:hAnsi="Calibri"/>
                <w:b/>
                <w:bCs/>
                <w:color w:val="FFFFFF"/>
                <w:szCs w:val="20"/>
              </w:rPr>
            </w:pPr>
            <w:r>
              <w:rPr>
                <w:rFonts w:ascii="Calibri" w:hAnsi="Calibri"/>
                <w:b/>
                <w:bCs/>
                <w:color w:val="FFFFFF"/>
                <w:szCs w:val="20"/>
              </w:rPr>
              <w:t>Average Impact (MW)</w:t>
            </w:r>
          </w:p>
          <w:p w:rsidR="00CC6FBE" w:rsidRPr="0010609A" w:rsidRDefault="00CC6FBE" w:rsidP="00CC6FBE">
            <w:pPr>
              <w:jc w:val="center"/>
              <w:rPr>
                <w:rFonts w:ascii="Calibri" w:hAnsi="Calibri"/>
                <w:b/>
                <w:bCs/>
                <w:color w:val="FFFFFF"/>
                <w:szCs w:val="20"/>
              </w:rPr>
            </w:pPr>
            <w:r>
              <w:rPr>
                <w:rFonts w:ascii="Calibri" w:hAnsi="Calibri"/>
                <w:b/>
                <w:bCs/>
                <w:color w:val="FFFFFF"/>
                <w:szCs w:val="20"/>
              </w:rPr>
              <w:t>Non-Notified</w:t>
            </w:r>
          </w:p>
        </w:tc>
        <w:tc>
          <w:tcPr>
            <w:tcW w:w="1224" w:type="pct"/>
            <w:tcBorders>
              <w:top w:val="single" w:sz="4" w:space="0" w:color="auto"/>
              <w:left w:val="nil"/>
              <w:bottom w:val="single" w:sz="4" w:space="0" w:color="auto"/>
              <w:right w:val="single" w:sz="4" w:space="0" w:color="auto"/>
            </w:tcBorders>
            <w:shd w:val="clear" w:color="000000" w:fill="1F497D"/>
            <w:noWrap/>
            <w:vAlign w:val="center"/>
            <w:hideMark/>
          </w:tcPr>
          <w:p w:rsidR="00CC6FBE" w:rsidRDefault="00CC6FBE" w:rsidP="00CC6FBE">
            <w:pPr>
              <w:jc w:val="center"/>
              <w:rPr>
                <w:rFonts w:ascii="Calibri" w:hAnsi="Calibri"/>
                <w:b/>
                <w:bCs/>
                <w:color w:val="FFFFFF"/>
                <w:szCs w:val="20"/>
              </w:rPr>
            </w:pPr>
            <w:r>
              <w:rPr>
                <w:rFonts w:ascii="Calibri" w:hAnsi="Calibri"/>
                <w:b/>
                <w:bCs/>
                <w:color w:val="FFFFFF"/>
                <w:szCs w:val="20"/>
              </w:rPr>
              <w:t>Average Impact (MW)</w:t>
            </w:r>
          </w:p>
          <w:p w:rsidR="00CC6FBE" w:rsidRPr="0010609A" w:rsidRDefault="00CC6FBE" w:rsidP="00CC6FBE">
            <w:pPr>
              <w:jc w:val="center"/>
              <w:rPr>
                <w:rFonts w:ascii="Calibri" w:hAnsi="Calibri"/>
                <w:b/>
                <w:bCs/>
                <w:color w:val="FFFFFF"/>
                <w:szCs w:val="20"/>
              </w:rPr>
            </w:pPr>
            <w:r>
              <w:rPr>
                <w:rFonts w:ascii="Calibri" w:hAnsi="Calibri"/>
                <w:b/>
                <w:bCs/>
                <w:color w:val="FFFFFF"/>
                <w:szCs w:val="20"/>
              </w:rPr>
              <w:t>My Account</w:t>
            </w:r>
          </w:p>
        </w:tc>
        <w:tc>
          <w:tcPr>
            <w:tcW w:w="1224" w:type="pct"/>
            <w:tcBorders>
              <w:top w:val="single" w:sz="4" w:space="0" w:color="auto"/>
              <w:left w:val="nil"/>
              <w:bottom w:val="single" w:sz="4" w:space="0" w:color="auto"/>
              <w:right w:val="single" w:sz="4" w:space="0" w:color="auto"/>
            </w:tcBorders>
            <w:shd w:val="clear" w:color="000000" w:fill="1F497D"/>
            <w:vAlign w:val="center"/>
          </w:tcPr>
          <w:p w:rsidR="00CC6FBE" w:rsidRDefault="00CC6FBE" w:rsidP="00CC6FBE">
            <w:pPr>
              <w:jc w:val="center"/>
              <w:rPr>
                <w:rFonts w:ascii="Calibri" w:hAnsi="Calibri"/>
                <w:b/>
                <w:bCs/>
                <w:color w:val="FFFFFF"/>
                <w:szCs w:val="20"/>
              </w:rPr>
            </w:pPr>
            <w:r>
              <w:rPr>
                <w:rFonts w:ascii="Calibri" w:hAnsi="Calibri"/>
                <w:b/>
                <w:bCs/>
                <w:color w:val="FFFFFF"/>
                <w:szCs w:val="20"/>
              </w:rPr>
              <w:t>Average Impact (MW)</w:t>
            </w:r>
          </w:p>
          <w:p w:rsidR="00CC6FBE" w:rsidRPr="0010609A" w:rsidRDefault="00CC6FBE" w:rsidP="00CC6FBE">
            <w:pPr>
              <w:jc w:val="center"/>
              <w:rPr>
                <w:rFonts w:ascii="Calibri" w:hAnsi="Calibri"/>
                <w:b/>
                <w:bCs/>
                <w:color w:val="FFFFFF"/>
                <w:szCs w:val="20"/>
              </w:rPr>
            </w:pPr>
            <w:r>
              <w:rPr>
                <w:rFonts w:ascii="Calibri" w:hAnsi="Calibri"/>
                <w:b/>
                <w:bCs/>
                <w:color w:val="FFFFFF"/>
                <w:szCs w:val="20"/>
              </w:rPr>
              <w:t>Opt-In Alerts</w:t>
            </w:r>
          </w:p>
        </w:tc>
      </w:tr>
      <w:tr w:rsidR="00CC6FBE" w:rsidRPr="0010609A" w:rsidTr="00CC6FBE">
        <w:trPr>
          <w:trHeight w:val="300"/>
        </w:trPr>
        <w:tc>
          <w:tcPr>
            <w:tcW w:w="1372" w:type="pct"/>
            <w:tcBorders>
              <w:top w:val="nil"/>
              <w:left w:val="single" w:sz="4" w:space="0" w:color="auto"/>
              <w:bottom w:val="single" w:sz="4" w:space="0" w:color="auto"/>
              <w:right w:val="single" w:sz="4" w:space="0" w:color="auto"/>
            </w:tcBorders>
            <w:shd w:val="clear" w:color="auto" w:fill="auto"/>
            <w:noWrap/>
            <w:vAlign w:val="center"/>
            <w:hideMark/>
          </w:tcPr>
          <w:p w:rsidR="00CC6FBE" w:rsidRPr="0010609A" w:rsidRDefault="00CC6FBE" w:rsidP="00CC6FBE">
            <w:pPr>
              <w:jc w:val="center"/>
              <w:rPr>
                <w:rFonts w:ascii="Calibri" w:hAnsi="Calibri"/>
                <w:color w:val="000000"/>
                <w:szCs w:val="20"/>
              </w:rPr>
            </w:pPr>
            <w:r w:rsidRPr="0010609A">
              <w:rPr>
                <w:rFonts w:ascii="Calibri" w:hAnsi="Calibri"/>
                <w:color w:val="000000"/>
                <w:szCs w:val="20"/>
              </w:rPr>
              <w:t>20-Jul-12</w:t>
            </w:r>
          </w:p>
        </w:tc>
        <w:tc>
          <w:tcPr>
            <w:tcW w:w="1181" w:type="pct"/>
            <w:tcBorders>
              <w:top w:val="nil"/>
              <w:left w:val="nil"/>
              <w:bottom w:val="single" w:sz="4" w:space="0" w:color="auto"/>
              <w:right w:val="single" w:sz="4" w:space="0" w:color="auto"/>
            </w:tcBorders>
            <w:shd w:val="clear" w:color="auto" w:fill="auto"/>
            <w:noWrap/>
            <w:vAlign w:val="center"/>
            <w:hideMark/>
          </w:tcPr>
          <w:p w:rsidR="00CC6FBE" w:rsidRPr="0010609A" w:rsidRDefault="00CC6FBE" w:rsidP="00CC6FBE">
            <w:pPr>
              <w:jc w:val="center"/>
              <w:rPr>
                <w:rFonts w:ascii="Calibri" w:hAnsi="Calibri"/>
                <w:color w:val="000000"/>
                <w:szCs w:val="20"/>
              </w:rPr>
            </w:pPr>
            <w:r>
              <w:rPr>
                <w:rFonts w:ascii="Calibri" w:hAnsi="Calibri"/>
                <w:color w:val="000000"/>
                <w:szCs w:val="20"/>
              </w:rPr>
              <w:t>0</w:t>
            </w:r>
          </w:p>
        </w:tc>
        <w:tc>
          <w:tcPr>
            <w:tcW w:w="1224" w:type="pct"/>
            <w:tcBorders>
              <w:top w:val="nil"/>
              <w:left w:val="nil"/>
              <w:bottom w:val="single" w:sz="4" w:space="0" w:color="auto"/>
              <w:right w:val="single" w:sz="4" w:space="0" w:color="auto"/>
            </w:tcBorders>
            <w:shd w:val="clear" w:color="auto" w:fill="auto"/>
            <w:noWrap/>
            <w:vAlign w:val="center"/>
            <w:hideMark/>
          </w:tcPr>
          <w:p w:rsidR="00CC6FBE" w:rsidRPr="0010609A" w:rsidRDefault="00CC6FBE" w:rsidP="00CC6FBE">
            <w:pPr>
              <w:jc w:val="center"/>
              <w:rPr>
                <w:rFonts w:ascii="Calibri" w:hAnsi="Calibri"/>
                <w:color w:val="000000"/>
                <w:szCs w:val="20"/>
              </w:rPr>
            </w:pPr>
            <w:r>
              <w:rPr>
                <w:rFonts w:ascii="Calibri" w:hAnsi="Calibri"/>
                <w:color w:val="000000"/>
                <w:szCs w:val="20"/>
              </w:rPr>
              <w:t>0</w:t>
            </w:r>
          </w:p>
        </w:tc>
        <w:tc>
          <w:tcPr>
            <w:tcW w:w="1224" w:type="pct"/>
            <w:tcBorders>
              <w:top w:val="nil"/>
              <w:left w:val="nil"/>
              <w:bottom w:val="single" w:sz="4" w:space="0" w:color="auto"/>
              <w:right w:val="single" w:sz="4" w:space="0" w:color="auto"/>
            </w:tcBorders>
            <w:vAlign w:val="center"/>
          </w:tcPr>
          <w:p w:rsidR="00CC6FBE" w:rsidRPr="0010609A" w:rsidRDefault="00CC6FBE" w:rsidP="00CC6FBE">
            <w:pPr>
              <w:jc w:val="center"/>
              <w:rPr>
                <w:rFonts w:ascii="Calibri" w:hAnsi="Calibri"/>
                <w:color w:val="000000"/>
                <w:szCs w:val="20"/>
              </w:rPr>
            </w:pPr>
            <w:r>
              <w:rPr>
                <w:rFonts w:ascii="Calibri" w:hAnsi="Calibri"/>
                <w:color w:val="000000"/>
                <w:szCs w:val="20"/>
              </w:rPr>
              <w:t>0*</w:t>
            </w:r>
          </w:p>
        </w:tc>
      </w:tr>
      <w:tr w:rsidR="00CC6FBE" w:rsidRPr="0010609A" w:rsidTr="00CC6FBE">
        <w:trPr>
          <w:trHeight w:val="300"/>
        </w:trPr>
        <w:tc>
          <w:tcPr>
            <w:tcW w:w="1372" w:type="pct"/>
            <w:tcBorders>
              <w:top w:val="nil"/>
              <w:left w:val="single" w:sz="4" w:space="0" w:color="auto"/>
              <w:bottom w:val="single" w:sz="4" w:space="0" w:color="auto"/>
              <w:right w:val="single" w:sz="4" w:space="0" w:color="auto"/>
            </w:tcBorders>
            <w:shd w:val="clear" w:color="auto" w:fill="auto"/>
            <w:noWrap/>
            <w:vAlign w:val="center"/>
            <w:hideMark/>
          </w:tcPr>
          <w:p w:rsidR="00CC6FBE" w:rsidRPr="0010609A" w:rsidRDefault="00CC6FBE" w:rsidP="00CC6FBE">
            <w:pPr>
              <w:jc w:val="center"/>
              <w:rPr>
                <w:rFonts w:ascii="Calibri" w:hAnsi="Calibri"/>
                <w:color w:val="000000"/>
                <w:szCs w:val="20"/>
              </w:rPr>
            </w:pPr>
            <w:r w:rsidRPr="0010609A">
              <w:rPr>
                <w:rFonts w:ascii="Calibri" w:hAnsi="Calibri"/>
                <w:color w:val="000000"/>
                <w:szCs w:val="20"/>
              </w:rPr>
              <w:t>9-Aug-12</w:t>
            </w:r>
          </w:p>
        </w:tc>
        <w:tc>
          <w:tcPr>
            <w:tcW w:w="1181" w:type="pct"/>
            <w:tcBorders>
              <w:top w:val="nil"/>
              <w:left w:val="nil"/>
              <w:bottom w:val="single" w:sz="4" w:space="0" w:color="auto"/>
              <w:right w:val="single" w:sz="4" w:space="0" w:color="auto"/>
            </w:tcBorders>
            <w:shd w:val="clear" w:color="auto" w:fill="auto"/>
            <w:noWrap/>
            <w:vAlign w:val="center"/>
            <w:hideMark/>
          </w:tcPr>
          <w:p w:rsidR="00CC6FBE" w:rsidRPr="0010609A" w:rsidRDefault="00CC6FBE" w:rsidP="00CC6FBE">
            <w:pPr>
              <w:jc w:val="center"/>
              <w:rPr>
                <w:rFonts w:ascii="Calibri" w:hAnsi="Calibri"/>
                <w:color w:val="000000"/>
                <w:szCs w:val="20"/>
              </w:rPr>
            </w:pPr>
            <w:r>
              <w:rPr>
                <w:rFonts w:ascii="Calibri" w:hAnsi="Calibri"/>
                <w:color w:val="000000"/>
                <w:szCs w:val="20"/>
              </w:rPr>
              <w:t>0</w:t>
            </w:r>
          </w:p>
        </w:tc>
        <w:tc>
          <w:tcPr>
            <w:tcW w:w="1224" w:type="pct"/>
            <w:tcBorders>
              <w:top w:val="nil"/>
              <w:left w:val="nil"/>
              <w:bottom w:val="single" w:sz="4" w:space="0" w:color="auto"/>
              <w:right w:val="single" w:sz="4" w:space="0" w:color="auto"/>
            </w:tcBorders>
            <w:shd w:val="clear" w:color="auto" w:fill="auto"/>
            <w:noWrap/>
            <w:vAlign w:val="center"/>
            <w:hideMark/>
          </w:tcPr>
          <w:p w:rsidR="00CC6FBE" w:rsidRPr="0010609A" w:rsidRDefault="00CC6FBE" w:rsidP="00CC6FBE">
            <w:pPr>
              <w:jc w:val="center"/>
              <w:rPr>
                <w:rFonts w:ascii="Calibri" w:hAnsi="Calibri"/>
                <w:color w:val="000000"/>
                <w:szCs w:val="20"/>
              </w:rPr>
            </w:pPr>
            <w:r>
              <w:rPr>
                <w:rFonts w:ascii="Calibri" w:hAnsi="Calibri"/>
                <w:color w:val="000000"/>
                <w:szCs w:val="20"/>
              </w:rPr>
              <w:t>0</w:t>
            </w:r>
          </w:p>
        </w:tc>
        <w:tc>
          <w:tcPr>
            <w:tcW w:w="1224" w:type="pct"/>
            <w:tcBorders>
              <w:top w:val="nil"/>
              <w:left w:val="nil"/>
              <w:bottom w:val="single" w:sz="4" w:space="0" w:color="auto"/>
              <w:right w:val="single" w:sz="4" w:space="0" w:color="auto"/>
            </w:tcBorders>
            <w:vAlign w:val="center"/>
          </w:tcPr>
          <w:p w:rsidR="00CC6FBE" w:rsidRPr="0010609A" w:rsidRDefault="00CC6FBE" w:rsidP="00CC6FBE">
            <w:pPr>
              <w:jc w:val="center"/>
              <w:rPr>
                <w:rFonts w:ascii="Calibri" w:hAnsi="Calibri"/>
                <w:color w:val="000000"/>
                <w:szCs w:val="20"/>
              </w:rPr>
            </w:pPr>
            <w:r>
              <w:rPr>
                <w:rFonts w:ascii="Calibri" w:hAnsi="Calibri"/>
                <w:color w:val="000000"/>
                <w:szCs w:val="20"/>
              </w:rPr>
              <w:t>0.04</w:t>
            </w:r>
          </w:p>
        </w:tc>
      </w:tr>
      <w:tr w:rsidR="00CC6FBE" w:rsidRPr="0010609A" w:rsidTr="00CC6FBE">
        <w:trPr>
          <w:trHeight w:val="300"/>
        </w:trPr>
        <w:tc>
          <w:tcPr>
            <w:tcW w:w="1372" w:type="pct"/>
            <w:tcBorders>
              <w:top w:val="nil"/>
              <w:left w:val="single" w:sz="4" w:space="0" w:color="auto"/>
              <w:bottom w:val="single" w:sz="4" w:space="0" w:color="auto"/>
              <w:right w:val="single" w:sz="4" w:space="0" w:color="auto"/>
            </w:tcBorders>
            <w:shd w:val="clear" w:color="auto" w:fill="auto"/>
            <w:noWrap/>
            <w:vAlign w:val="center"/>
            <w:hideMark/>
          </w:tcPr>
          <w:p w:rsidR="00CC6FBE" w:rsidRPr="0010609A" w:rsidRDefault="00CC6FBE" w:rsidP="00CC6FBE">
            <w:pPr>
              <w:jc w:val="center"/>
              <w:rPr>
                <w:rFonts w:ascii="Calibri" w:hAnsi="Calibri"/>
                <w:color w:val="000000"/>
                <w:szCs w:val="20"/>
              </w:rPr>
            </w:pPr>
            <w:r w:rsidRPr="0010609A">
              <w:rPr>
                <w:rFonts w:ascii="Calibri" w:hAnsi="Calibri"/>
                <w:color w:val="000000"/>
                <w:szCs w:val="20"/>
              </w:rPr>
              <w:t>10-Aug-12</w:t>
            </w:r>
          </w:p>
        </w:tc>
        <w:tc>
          <w:tcPr>
            <w:tcW w:w="1181" w:type="pct"/>
            <w:tcBorders>
              <w:top w:val="nil"/>
              <w:left w:val="nil"/>
              <w:bottom w:val="single" w:sz="4" w:space="0" w:color="auto"/>
              <w:right w:val="single" w:sz="4" w:space="0" w:color="auto"/>
            </w:tcBorders>
            <w:shd w:val="clear" w:color="auto" w:fill="auto"/>
            <w:noWrap/>
            <w:vAlign w:val="center"/>
            <w:hideMark/>
          </w:tcPr>
          <w:p w:rsidR="00CC6FBE" w:rsidRPr="0010609A" w:rsidRDefault="00CC6FBE" w:rsidP="00CC6FBE">
            <w:pPr>
              <w:jc w:val="center"/>
              <w:rPr>
                <w:rFonts w:ascii="Calibri" w:hAnsi="Calibri"/>
                <w:color w:val="000000"/>
                <w:szCs w:val="20"/>
              </w:rPr>
            </w:pPr>
            <w:r>
              <w:rPr>
                <w:rFonts w:ascii="Calibri" w:hAnsi="Calibri"/>
                <w:color w:val="000000"/>
                <w:szCs w:val="20"/>
              </w:rPr>
              <w:t>0</w:t>
            </w:r>
          </w:p>
        </w:tc>
        <w:tc>
          <w:tcPr>
            <w:tcW w:w="1224" w:type="pct"/>
            <w:tcBorders>
              <w:top w:val="nil"/>
              <w:left w:val="nil"/>
              <w:bottom w:val="single" w:sz="4" w:space="0" w:color="auto"/>
              <w:right w:val="single" w:sz="4" w:space="0" w:color="auto"/>
            </w:tcBorders>
            <w:shd w:val="clear" w:color="auto" w:fill="auto"/>
            <w:noWrap/>
            <w:vAlign w:val="center"/>
            <w:hideMark/>
          </w:tcPr>
          <w:p w:rsidR="00CC6FBE" w:rsidRPr="0010609A" w:rsidRDefault="00CC6FBE" w:rsidP="00CC6FBE">
            <w:pPr>
              <w:jc w:val="center"/>
              <w:rPr>
                <w:rFonts w:ascii="Calibri" w:hAnsi="Calibri"/>
                <w:color w:val="000000"/>
                <w:szCs w:val="20"/>
              </w:rPr>
            </w:pPr>
            <w:r>
              <w:rPr>
                <w:rFonts w:ascii="Calibri" w:hAnsi="Calibri"/>
                <w:color w:val="000000"/>
                <w:szCs w:val="20"/>
              </w:rPr>
              <w:t>0</w:t>
            </w:r>
          </w:p>
        </w:tc>
        <w:tc>
          <w:tcPr>
            <w:tcW w:w="1224" w:type="pct"/>
            <w:tcBorders>
              <w:top w:val="nil"/>
              <w:left w:val="nil"/>
              <w:bottom w:val="single" w:sz="4" w:space="0" w:color="auto"/>
              <w:right w:val="single" w:sz="4" w:space="0" w:color="auto"/>
            </w:tcBorders>
            <w:vAlign w:val="center"/>
          </w:tcPr>
          <w:p w:rsidR="00CC6FBE" w:rsidRPr="0010609A" w:rsidRDefault="00CC6FBE" w:rsidP="00CC6FBE">
            <w:pPr>
              <w:jc w:val="center"/>
              <w:rPr>
                <w:rFonts w:ascii="Calibri" w:hAnsi="Calibri"/>
                <w:color w:val="000000"/>
                <w:szCs w:val="20"/>
              </w:rPr>
            </w:pPr>
            <w:r>
              <w:rPr>
                <w:rFonts w:ascii="Calibri" w:hAnsi="Calibri"/>
                <w:color w:val="000000"/>
                <w:szCs w:val="20"/>
              </w:rPr>
              <w:t>0.05</w:t>
            </w:r>
          </w:p>
        </w:tc>
      </w:tr>
      <w:tr w:rsidR="00CC6FBE" w:rsidRPr="0010609A" w:rsidTr="00CC6FBE">
        <w:trPr>
          <w:trHeight w:val="300"/>
        </w:trPr>
        <w:tc>
          <w:tcPr>
            <w:tcW w:w="1372" w:type="pct"/>
            <w:tcBorders>
              <w:top w:val="nil"/>
              <w:left w:val="single" w:sz="4" w:space="0" w:color="auto"/>
              <w:bottom w:val="single" w:sz="4" w:space="0" w:color="auto"/>
              <w:right w:val="single" w:sz="4" w:space="0" w:color="auto"/>
            </w:tcBorders>
            <w:shd w:val="clear" w:color="auto" w:fill="auto"/>
            <w:noWrap/>
            <w:vAlign w:val="center"/>
            <w:hideMark/>
          </w:tcPr>
          <w:p w:rsidR="00CC6FBE" w:rsidRPr="0010609A" w:rsidRDefault="00CC6FBE" w:rsidP="00CC6FBE">
            <w:pPr>
              <w:jc w:val="center"/>
              <w:rPr>
                <w:rFonts w:ascii="Calibri" w:hAnsi="Calibri"/>
                <w:color w:val="000000"/>
                <w:szCs w:val="20"/>
              </w:rPr>
            </w:pPr>
            <w:r w:rsidRPr="0010609A">
              <w:rPr>
                <w:rFonts w:ascii="Calibri" w:hAnsi="Calibri"/>
                <w:color w:val="000000"/>
                <w:szCs w:val="20"/>
              </w:rPr>
              <w:t>14-Aug-12</w:t>
            </w:r>
          </w:p>
        </w:tc>
        <w:tc>
          <w:tcPr>
            <w:tcW w:w="1181" w:type="pct"/>
            <w:tcBorders>
              <w:top w:val="nil"/>
              <w:left w:val="nil"/>
              <w:bottom w:val="single" w:sz="4" w:space="0" w:color="auto"/>
              <w:right w:val="single" w:sz="4" w:space="0" w:color="auto"/>
            </w:tcBorders>
            <w:shd w:val="clear" w:color="auto" w:fill="auto"/>
            <w:noWrap/>
            <w:vAlign w:val="center"/>
            <w:hideMark/>
          </w:tcPr>
          <w:p w:rsidR="00CC6FBE" w:rsidRPr="0010609A" w:rsidRDefault="00CC6FBE" w:rsidP="00CC6FBE">
            <w:pPr>
              <w:jc w:val="center"/>
              <w:rPr>
                <w:rFonts w:ascii="Calibri" w:hAnsi="Calibri"/>
                <w:color w:val="000000"/>
                <w:szCs w:val="20"/>
              </w:rPr>
            </w:pPr>
            <w:r>
              <w:rPr>
                <w:rFonts w:ascii="Calibri" w:hAnsi="Calibri"/>
                <w:color w:val="000000"/>
                <w:szCs w:val="20"/>
              </w:rPr>
              <w:t>0</w:t>
            </w:r>
          </w:p>
        </w:tc>
        <w:tc>
          <w:tcPr>
            <w:tcW w:w="1224" w:type="pct"/>
            <w:tcBorders>
              <w:top w:val="nil"/>
              <w:left w:val="nil"/>
              <w:bottom w:val="single" w:sz="4" w:space="0" w:color="auto"/>
              <w:right w:val="single" w:sz="4" w:space="0" w:color="auto"/>
            </w:tcBorders>
            <w:shd w:val="clear" w:color="auto" w:fill="auto"/>
            <w:noWrap/>
            <w:vAlign w:val="center"/>
            <w:hideMark/>
          </w:tcPr>
          <w:p w:rsidR="00CC6FBE" w:rsidRPr="0010609A" w:rsidRDefault="00CC6FBE" w:rsidP="00CC6FBE">
            <w:pPr>
              <w:jc w:val="center"/>
              <w:rPr>
                <w:rFonts w:ascii="Calibri" w:hAnsi="Calibri"/>
                <w:color w:val="000000"/>
                <w:szCs w:val="20"/>
              </w:rPr>
            </w:pPr>
            <w:r>
              <w:rPr>
                <w:rFonts w:ascii="Calibri" w:hAnsi="Calibri"/>
                <w:color w:val="000000"/>
                <w:szCs w:val="20"/>
              </w:rPr>
              <w:t>0</w:t>
            </w:r>
          </w:p>
        </w:tc>
        <w:tc>
          <w:tcPr>
            <w:tcW w:w="1224" w:type="pct"/>
            <w:tcBorders>
              <w:top w:val="nil"/>
              <w:left w:val="nil"/>
              <w:bottom w:val="single" w:sz="4" w:space="0" w:color="auto"/>
              <w:right w:val="single" w:sz="4" w:space="0" w:color="auto"/>
            </w:tcBorders>
            <w:vAlign w:val="center"/>
          </w:tcPr>
          <w:p w:rsidR="00CC6FBE" w:rsidRPr="0010609A" w:rsidRDefault="00CC6FBE" w:rsidP="00CC6FBE">
            <w:pPr>
              <w:jc w:val="center"/>
              <w:rPr>
                <w:rFonts w:ascii="Calibri" w:hAnsi="Calibri"/>
                <w:color w:val="000000"/>
                <w:szCs w:val="20"/>
              </w:rPr>
            </w:pPr>
            <w:r>
              <w:rPr>
                <w:rFonts w:ascii="Calibri" w:hAnsi="Calibri"/>
                <w:color w:val="000000"/>
                <w:szCs w:val="20"/>
              </w:rPr>
              <w:t>0</w:t>
            </w:r>
          </w:p>
        </w:tc>
      </w:tr>
      <w:tr w:rsidR="00CC6FBE" w:rsidRPr="0010609A" w:rsidTr="00CC6FBE">
        <w:trPr>
          <w:trHeight w:val="300"/>
        </w:trPr>
        <w:tc>
          <w:tcPr>
            <w:tcW w:w="1372" w:type="pct"/>
            <w:tcBorders>
              <w:top w:val="nil"/>
              <w:left w:val="single" w:sz="4" w:space="0" w:color="auto"/>
              <w:bottom w:val="single" w:sz="4" w:space="0" w:color="auto"/>
              <w:right w:val="single" w:sz="4" w:space="0" w:color="auto"/>
            </w:tcBorders>
            <w:shd w:val="clear" w:color="auto" w:fill="auto"/>
            <w:noWrap/>
            <w:vAlign w:val="center"/>
            <w:hideMark/>
          </w:tcPr>
          <w:p w:rsidR="00CC6FBE" w:rsidRPr="0010609A" w:rsidRDefault="00CC6FBE" w:rsidP="00CC6FBE">
            <w:pPr>
              <w:jc w:val="center"/>
              <w:rPr>
                <w:rFonts w:ascii="Calibri" w:hAnsi="Calibri"/>
                <w:color w:val="000000"/>
                <w:szCs w:val="20"/>
              </w:rPr>
            </w:pPr>
            <w:r w:rsidRPr="0010609A">
              <w:rPr>
                <w:rFonts w:ascii="Calibri" w:hAnsi="Calibri"/>
                <w:color w:val="000000"/>
                <w:szCs w:val="20"/>
              </w:rPr>
              <w:t>21-Aug-12</w:t>
            </w:r>
          </w:p>
        </w:tc>
        <w:tc>
          <w:tcPr>
            <w:tcW w:w="1181" w:type="pct"/>
            <w:tcBorders>
              <w:top w:val="nil"/>
              <w:left w:val="nil"/>
              <w:bottom w:val="single" w:sz="4" w:space="0" w:color="auto"/>
              <w:right w:val="single" w:sz="4" w:space="0" w:color="auto"/>
            </w:tcBorders>
            <w:shd w:val="clear" w:color="auto" w:fill="auto"/>
            <w:noWrap/>
            <w:vAlign w:val="center"/>
            <w:hideMark/>
          </w:tcPr>
          <w:p w:rsidR="00CC6FBE" w:rsidRPr="0010609A" w:rsidRDefault="00CC6FBE" w:rsidP="00CC6FBE">
            <w:pPr>
              <w:jc w:val="center"/>
              <w:rPr>
                <w:rFonts w:ascii="Calibri" w:hAnsi="Calibri"/>
                <w:color w:val="000000"/>
                <w:szCs w:val="20"/>
              </w:rPr>
            </w:pPr>
            <w:r>
              <w:rPr>
                <w:rFonts w:ascii="Calibri" w:hAnsi="Calibri"/>
                <w:color w:val="000000"/>
                <w:szCs w:val="20"/>
              </w:rPr>
              <w:t>0</w:t>
            </w:r>
          </w:p>
        </w:tc>
        <w:tc>
          <w:tcPr>
            <w:tcW w:w="1224" w:type="pct"/>
            <w:tcBorders>
              <w:top w:val="nil"/>
              <w:left w:val="nil"/>
              <w:bottom w:val="single" w:sz="4" w:space="0" w:color="auto"/>
              <w:right w:val="single" w:sz="4" w:space="0" w:color="auto"/>
            </w:tcBorders>
            <w:shd w:val="clear" w:color="auto" w:fill="auto"/>
            <w:noWrap/>
            <w:vAlign w:val="center"/>
            <w:hideMark/>
          </w:tcPr>
          <w:p w:rsidR="00CC6FBE" w:rsidRPr="0010609A" w:rsidRDefault="00CC6FBE" w:rsidP="00CC6FBE">
            <w:pPr>
              <w:jc w:val="center"/>
              <w:rPr>
                <w:rFonts w:ascii="Calibri" w:hAnsi="Calibri"/>
                <w:color w:val="000000"/>
                <w:szCs w:val="20"/>
              </w:rPr>
            </w:pPr>
            <w:r>
              <w:rPr>
                <w:rFonts w:ascii="Calibri" w:hAnsi="Calibri"/>
                <w:color w:val="000000"/>
                <w:szCs w:val="20"/>
              </w:rPr>
              <w:t>0</w:t>
            </w:r>
          </w:p>
        </w:tc>
        <w:tc>
          <w:tcPr>
            <w:tcW w:w="1224" w:type="pct"/>
            <w:tcBorders>
              <w:top w:val="nil"/>
              <w:left w:val="nil"/>
              <w:bottom w:val="single" w:sz="4" w:space="0" w:color="auto"/>
              <w:right w:val="single" w:sz="4" w:space="0" w:color="auto"/>
            </w:tcBorders>
            <w:vAlign w:val="center"/>
          </w:tcPr>
          <w:p w:rsidR="00CC6FBE" w:rsidRPr="0010609A" w:rsidRDefault="00CC6FBE" w:rsidP="00CC6FBE">
            <w:pPr>
              <w:jc w:val="center"/>
              <w:rPr>
                <w:rFonts w:ascii="Calibri" w:hAnsi="Calibri"/>
                <w:color w:val="000000"/>
                <w:szCs w:val="20"/>
              </w:rPr>
            </w:pPr>
            <w:r>
              <w:rPr>
                <w:rFonts w:ascii="Calibri" w:hAnsi="Calibri"/>
                <w:color w:val="000000"/>
                <w:szCs w:val="20"/>
              </w:rPr>
              <w:t>0.05</w:t>
            </w:r>
          </w:p>
        </w:tc>
      </w:tr>
      <w:tr w:rsidR="00CC6FBE" w:rsidRPr="0010609A" w:rsidTr="00CC6FBE">
        <w:trPr>
          <w:trHeight w:val="300"/>
        </w:trPr>
        <w:tc>
          <w:tcPr>
            <w:tcW w:w="1372" w:type="pct"/>
            <w:tcBorders>
              <w:top w:val="nil"/>
              <w:left w:val="single" w:sz="4" w:space="0" w:color="auto"/>
              <w:bottom w:val="single" w:sz="4" w:space="0" w:color="auto"/>
              <w:right w:val="single" w:sz="4" w:space="0" w:color="auto"/>
            </w:tcBorders>
            <w:shd w:val="clear" w:color="auto" w:fill="auto"/>
            <w:noWrap/>
            <w:vAlign w:val="center"/>
            <w:hideMark/>
          </w:tcPr>
          <w:p w:rsidR="00CC6FBE" w:rsidRPr="0010609A" w:rsidRDefault="00CC6FBE" w:rsidP="00CC6FBE">
            <w:pPr>
              <w:jc w:val="center"/>
              <w:rPr>
                <w:rFonts w:ascii="Calibri" w:hAnsi="Calibri"/>
                <w:color w:val="000000"/>
                <w:szCs w:val="20"/>
              </w:rPr>
            </w:pPr>
            <w:r w:rsidRPr="0010609A">
              <w:rPr>
                <w:rFonts w:ascii="Calibri" w:hAnsi="Calibri"/>
                <w:color w:val="000000"/>
                <w:szCs w:val="20"/>
              </w:rPr>
              <w:t>15-Sep-12</w:t>
            </w:r>
          </w:p>
        </w:tc>
        <w:tc>
          <w:tcPr>
            <w:tcW w:w="1181" w:type="pct"/>
            <w:tcBorders>
              <w:top w:val="nil"/>
              <w:left w:val="nil"/>
              <w:bottom w:val="single" w:sz="4" w:space="0" w:color="auto"/>
              <w:right w:val="single" w:sz="4" w:space="0" w:color="auto"/>
            </w:tcBorders>
            <w:shd w:val="clear" w:color="auto" w:fill="auto"/>
            <w:noWrap/>
            <w:vAlign w:val="center"/>
            <w:hideMark/>
          </w:tcPr>
          <w:p w:rsidR="00CC6FBE" w:rsidRPr="0010609A" w:rsidRDefault="00CC6FBE" w:rsidP="00CC6FBE">
            <w:pPr>
              <w:jc w:val="center"/>
              <w:rPr>
                <w:rFonts w:ascii="Calibri" w:hAnsi="Calibri"/>
                <w:color w:val="000000"/>
                <w:szCs w:val="20"/>
              </w:rPr>
            </w:pPr>
            <w:r>
              <w:rPr>
                <w:rFonts w:ascii="Calibri" w:hAnsi="Calibri"/>
                <w:color w:val="000000"/>
                <w:szCs w:val="20"/>
              </w:rPr>
              <w:t>0</w:t>
            </w:r>
          </w:p>
        </w:tc>
        <w:tc>
          <w:tcPr>
            <w:tcW w:w="1224" w:type="pct"/>
            <w:tcBorders>
              <w:top w:val="nil"/>
              <w:left w:val="nil"/>
              <w:bottom w:val="single" w:sz="4" w:space="0" w:color="auto"/>
              <w:right w:val="single" w:sz="4" w:space="0" w:color="auto"/>
            </w:tcBorders>
            <w:shd w:val="clear" w:color="auto" w:fill="auto"/>
            <w:noWrap/>
            <w:vAlign w:val="center"/>
            <w:hideMark/>
          </w:tcPr>
          <w:p w:rsidR="00CC6FBE" w:rsidRPr="0010609A" w:rsidRDefault="00CC6FBE" w:rsidP="00CC6FBE">
            <w:pPr>
              <w:jc w:val="center"/>
              <w:rPr>
                <w:rFonts w:ascii="Calibri" w:hAnsi="Calibri"/>
                <w:color w:val="000000"/>
                <w:szCs w:val="20"/>
              </w:rPr>
            </w:pPr>
            <w:r>
              <w:rPr>
                <w:rFonts w:ascii="Calibri" w:hAnsi="Calibri"/>
                <w:color w:val="000000"/>
                <w:szCs w:val="20"/>
              </w:rPr>
              <w:t>0</w:t>
            </w:r>
          </w:p>
        </w:tc>
        <w:tc>
          <w:tcPr>
            <w:tcW w:w="1224" w:type="pct"/>
            <w:tcBorders>
              <w:top w:val="nil"/>
              <w:left w:val="nil"/>
              <w:bottom w:val="single" w:sz="4" w:space="0" w:color="auto"/>
              <w:right w:val="single" w:sz="4" w:space="0" w:color="auto"/>
            </w:tcBorders>
            <w:vAlign w:val="center"/>
          </w:tcPr>
          <w:p w:rsidR="00CC6FBE" w:rsidRPr="0010609A" w:rsidRDefault="00CC6FBE" w:rsidP="00CC6FBE">
            <w:pPr>
              <w:jc w:val="center"/>
              <w:rPr>
                <w:rFonts w:ascii="Calibri" w:hAnsi="Calibri"/>
                <w:color w:val="000000"/>
                <w:szCs w:val="20"/>
              </w:rPr>
            </w:pPr>
            <w:r>
              <w:rPr>
                <w:rFonts w:ascii="Calibri" w:hAnsi="Calibri"/>
                <w:color w:val="000000"/>
                <w:szCs w:val="20"/>
              </w:rPr>
              <w:t>0*</w:t>
            </w:r>
          </w:p>
        </w:tc>
      </w:tr>
      <w:tr w:rsidR="00CC6FBE" w:rsidRPr="0010609A" w:rsidTr="00CC6FBE">
        <w:trPr>
          <w:trHeight w:val="300"/>
        </w:trPr>
        <w:tc>
          <w:tcPr>
            <w:tcW w:w="1372" w:type="pct"/>
            <w:tcBorders>
              <w:top w:val="nil"/>
              <w:left w:val="single" w:sz="4" w:space="0" w:color="auto"/>
              <w:bottom w:val="single" w:sz="4" w:space="0" w:color="auto"/>
              <w:right w:val="single" w:sz="4" w:space="0" w:color="auto"/>
            </w:tcBorders>
            <w:shd w:val="clear" w:color="auto" w:fill="auto"/>
            <w:noWrap/>
            <w:vAlign w:val="center"/>
            <w:hideMark/>
          </w:tcPr>
          <w:p w:rsidR="00CC6FBE" w:rsidRPr="0010609A" w:rsidRDefault="00CC6FBE" w:rsidP="00CC6FBE">
            <w:pPr>
              <w:jc w:val="center"/>
              <w:rPr>
                <w:rFonts w:ascii="Calibri" w:hAnsi="Calibri"/>
                <w:color w:val="000000"/>
                <w:szCs w:val="20"/>
              </w:rPr>
            </w:pPr>
            <w:r w:rsidRPr="0010609A">
              <w:rPr>
                <w:rFonts w:ascii="Calibri" w:hAnsi="Calibri"/>
                <w:color w:val="000000"/>
                <w:szCs w:val="20"/>
              </w:rPr>
              <w:t>Average PTR Day</w:t>
            </w:r>
          </w:p>
        </w:tc>
        <w:tc>
          <w:tcPr>
            <w:tcW w:w="1181" w:type="pct"/>
            <w:tcBorders>
              <w:top w:val="nil"/>
              <w:left w:val="nil"/>
              <w:bottom w:val="single" w:sz="4" w:space="0" w:color="auto"/>
              <w:right w:val="single" w:sz="4" w:space="0" w:color="auto"/>
            </w:tcBorders>
            <w:shd w:val="clear" w:color="auto" w:fill="auto"/>
            <w:noWrap/>
            <w:vAlign w:val="center"/>
            <w:hideMark/>
          </w:tcPr>
          <w:p w:rsidR="00CC6FBE" w:rsidRPr="0010609A" w:rsidRDefault="00CC6FBE" w:rsidP="00CC6FBE">
            <w:pPr>
              <w:jc w:val="center"/>
              <w:rPr>
                <w:rFonts w:ascii="Calibri" w:hAnsi="Calibri"/>
                <w:color w:val="000000"/>
                <w:szCs w:val="20"/>
              </w:rPr>
            </w:pPr>
            <w:r>
              <w:rPr>
                <w:rFonts w:ascii="Calibri" w:hAnsi="Calibri"/>
                <w:color w:val="000000"/>
                <w:szCs w:val="20"/>
              </w:rPr>
              <w:t>0</w:t>
            </w:r>
          </w:p>
        </w:tc>
        <w:tc>
          <w:tcPr>
            <w:tcW w:w="1224" w:type="pct"/>
            <w:tcBorders>
              <w:top w:val="nil"/>
              <w:left w:val="nil"/>
              <w:bottom w:val="single" w:sz="4" w:space="0" w:color="auto"/>
              <w:right w:val="single" w:sz="4" w:space="0" w:color="auto"/>
            </w:tcBorders>
            <w:shd w:val="clear" w:color="auto" w:fill="auto"/>
            <w:noWrap/>
            <w:vAlign w:val="center"/>
            <w:hideMark/>
          </w:tcPr>
          <w:p w:rsidR="00CC6FBE" w:rsidRPr="0010609A" w:rsidRDefault="00CC6FBE" w:rsidP="00CC6FBE">
            <w:pPr>
              <w:jc w:val="center"/>
              <w:rPr>
                <w:rFonts w:ascii="Calibri" w:hAnsi="Calibri"/>
                <w:color w:val="000000"/>
                <w:szCs w:val="20"/>
              </w:rPr>
            </w:pPr>
            <w:r>
              <w:rPr>
                <w:rFonts w:ascii="Calibri" w:hAnsi="Calibri"/>
                <w:color w:val="000000"/>
                <w:szCs w:val="20"/>
              </w:rPr>
              <w:t>0</w:t>
            </w:r>
          </w:p>
        </w:tc>
        <w:tc>
          <w:tcPr>
            <w:tcW w:w="1224" w:type="pct"/>
            <w:tcBorders>
              <w:top w:val="nil"/>
              <w:left w:val="nil"/>
              <w:bottom w:val="single" w:sz="4" w:space="0" w:color="auto"/>
              <w:right w:val="single" w:sz="4" w:space="0" w:color="auto"/>
            </w:tcBorders>
            <w:vAlign w:val="center"/>
          </w:tcPr>
          <w:p w:rsidR="00CC6FBE" w:rsidRPr="0010609A" w:rsidRDefault="00CC6FBE" w:rsidP="00CC6FBE">
            <w:pPr>
              <w:jc w:val="center"/>
              <w:rPr>
                <w:rFonts w:ascii="Calibri" w:hAnsi="Calibri"/>
                <w:color w:val="000000"/>
                <w:szCs w:val="20"/>
              </w:rPr>
            </w:pPr>
            <w:r>
              <w:rPr>
                <w:rFonts w:ascii="Calibri" w:hAnsi="Calibri"/>
                <w:color w:val="000000"/>
                <w:szCs w:val="20"/>
              </w:rPr>
              <w:t>0*</w:t>
            </w:r>
          </w:p>
        </w:tc>
      </w:tr>
    </w:tbl>
    <w:p w:rsidR="00CC6FBE" w:rsidRPr="00A95830" w:rsidRDefault="00CC6FBE" w:rsidP="00A95830">
      <w:pPr>
        <w:pStyle w:val="BodyText"/>
      </w:pPr>
    </w:p>
    <w:p w:rsidR="000F0D5F" w:rsidRPr="006D13C5" w:rsidRDefault="00CB76DB" w:rsidP="006D13C5">
      <w:pPr>
        <w:pStyle w:val="Heading2"/>
      </w:pPr>
      <w:bookmarkStart w:id="7" w:name="_Toc351363725"/>
      <w:r>
        <w:t>Ke</w:t>
      </w:r>
      <w:r w:rsidR="006D13C5">
        <w:t>y Findings</w:t>
      </w:r>
      <w:bookmarkEnd w:id="7"/>
    </w:p>
    <w:p w:rsidR="00401110" w:rsidRPr="009461C4" w:rsidRDefault="00401110" w:rsidP="00401110">
      <w:pPr>
        <w:pStyle w:val="BodyText"/>
      </w:pPr>
      <w:r>
        <w:t>The following were identified as key findings during the SmartHours 2012 impact evaluation:</w:t>
      </w:r>
    </w:p>
    <w:p w:rsidR="00401110" w:rsidRDefault="00401110" w:rsidP="00401110">
      <w:pPr>
        <w:pStyle w:val="BodyText"/>
        <w:numPr>
          <w:ilvl w:val="0"/>
          <w:numId w:val="29"/>
        </w:numPr>
      </w:pPr>
      <w:r>
        <w:t xml:space="preserve">Based on the results of the regression analysis and the load shape analysis, we can conclude that the Non-Notified participants are not responding to PTR events. </w:t>
      </w:r>
    </w:p>
    <w:p w:rsidR="00401110" w:rsidRDefault="00401110" w:rsidP="00401110">
      <w:pPr>
        <w:pStyle w:val="BodyText"/>
        <w:numPr>
          <w:ilvl w:val="0"/>
          <w:numId w:val="29"/>
        </w:numPr>
      </w:pPr>
      <w:r>
        <w:t xml:space="preserve">Again, based on the results of the regression analysis and the load shape analysis, we can conclude that the My Account participants are not responding to PTR events. </w:t>
      </w:r>
    </w:p>
    <w:p w:rsidR="00401110" w:rsidRDefault="00401110" w:rsidP="00401110">
      <w:pPr>
        <w:pStyle w:val="BodyText"/>
        <w:numPr>
          <w:ilvl w:val="0"/>
          <w:numId w:val="29"/>
        </w:numPr>
      </w:pPr>
      <w:r>
        <w:t xml:space="preserve">The analysis for the Opt-in Alert customers was somewhat inconclusive. Based on the regression analysis, some of the PTR events show small reductions in usage, around 3%. However, the matched control group analysis did not show any statistically significant reductions in usage during PTR event days. While our official estimate of savings for the group is zero, the mixed results indicate that one could logically conclude that some participants are likely to be taking action on some days; however the overall effect of such actions is small falling between 1% and 3%. </w:t>
      </w:r>
    </w:p>
    <w:p w:rsidR="00401110" w:rsidRDefault="00401110" w:rsidP="00401110">
      <w:pPr>
        <w:pStyle w:val="BodyText"/>
        <w:numPr>
          <w:ilvl w:val="0"/>
          <w:numId w:val="29"/>
        </w:numPr>
      </w:pPr>
      <w:r>
        <w:t xml:space="preserve">Many industry studies have found small commercial customers to be much less price responsive than residential customers on dynamic pricing rates, and they are typically the least targeted for DR programs. Given this information, it is not surprising that we were unable to detect any impacts in this group of customers.  </w:t>
      </w:r>
    </w:p>
    <w:p w:rsidR="006D13C5" w:rsidRDefault="006D13C5" w:rsidP="000F0D5F">
      <w:pPr>
        <w:pStyle w:val="BodyText"/>
      </w:pPr>
    </w:p>
    <w:p w:rsidR="006D13C5" w:rsidRDefault="006D13C5" w:rsidP="000F0D5F">
      <w:pPr>
        <w:pStyle w:val="BodyText"/>
      </w:pPr>
    </w:p>
    <w:p w:rsidR="006D13C5" w:rsidRDefault="006D13C5" w:rsidP="000F0D5F">
      <w:pPr>
        <w:pStyle w:val="BodyText"/>
      </w:pPr>
    </w:p>
    <w:p w:rsidR="006D13C5" w:rsidRPr="00433CA8" w:rsidRDefault="006D13C5" w:rsidP="000F0D5F">
      <w:pPr>
        <w:pStyle w:val="BodyText"/>
      </w:pPr>
    </w:p>
    <w:tbl>
      <w:tblPr>
        <w:tblW w:w="5000" w:type="pct"/>
        <w:tblCellMar>
          <w:left w:w="58" w:type="dxa"/>
          <w:right w:w="29" w:type="dxa"/>
        </w:tblCellMar>
        <w:tblLook w:val="0000"/>
      </w:tblPr>
      <w:tblGrid>
        <w:gridCol w:w="1297"/>
        <w:gridCol w:w="7790"/>
      </w:tblGrid>
      <w:tr w:rsidR="008554E6" w:rsidRPr="00500201" w:rsidTr="00067F6E">
        <w:trPr>
          <w:cantSplit/>
          <w:trHeight w:hRule="exact" w:val="288"/>
        </w:trPr>
        <w:tc>
          <w:tcPr>
            <w:tcW w:w="1297" w:type="dxa"/>
            <w:shd w:val="clear" w:color="auto" w:fill="auto"/>
            <w:vAlign w:val="center"/>
          </w:tcPr>
          <w:p w:rsidR="008554E6" w:rsidRPr="00500201" w:rsidRDefault="008554E6" w:rsidP="007A277C">
            <w:pPr>
              <w:pStyle w:val="Chapter"/>
              <w:framePr w:hSpace="0" w:wrap="auto" w:vAnchor="margin" w:hAnchor="text" w:yAlign="inline"/>
            </w:pPr>
          </w:p>
        </w:tc>
        <w:tc>
          <w:tcPr>
            <w:tcW w:w="7790" w:type="dxa"/>
            <w:shd w:val="clear" w:color="auto" w:fill="auto"/>
            <w:vAlign w:val="center"/>
          </w:tcPr>
          <w:p w:rsidR="008554E6" w:rsidRPr="00132BB4" w:rsidRDefault="008554E6" w:rsidP="00274498">
            <w:pPr>
              <w:pStyle w:val="Chapter"/>
              <w:framePr w:wrap="around"/>
            </w:pPr>
          </w:p>
        </w:tc>
      </w:tr>
    </w:tbl>
    <w:p w:rsidR="00B3398E" w:rsidRPr="00433CA8" w:rsidRDefault="00B3398E" w:rsidP="00B3398E">
      <w:pPr>
        <w:pStyle w:val="ContentsTitle"/>
      </w:pPr>
      <w:r>
        <w:t>Contents</w:t>
      </w:r>
    </w:p>
    <w:p w:rsidR="00241477" w:rsidRDefault="00397D35">
      <w:pPr>
        <w:pStyle w:val="TOC7"/>
        <w:tabs>
          <w:tab w:val="right" w:leader="dot" w:pos="8990"/>
        </w:tabs>
        <w:rPr>
          <w:rFonts w:asciiTheme="minorHAnsi" w:eastAsiaTheme="minorEastAsia" w:hAnsiTheme="minorHAnsi" w:cstheme="minorBidi"/>
          <w:b w:val="0"/>
          <w:caps w:val="0"/>
          <w:noProof/>
          <w:sz w:val="22"/>
          <w:szCs w:val="22"/>
        </w:rPr>
      </w:pPr>
      <w:r w:rsidRPr="00397D35">
        <w:rPr>
          <w:szCs w:val="20"/>
        </w:rPr>
        <w:fldChar w:fldCharType="begin"/>
      </w:r>
      <w:r w:rsidR="00765034">
        <w:rPr>
          <w:szCs w:val="20"/>
        </w:rPr>
        <w:instrText xml:space="preserve"> TOC \o "3-3" \h \z \t "Heading 2,2,Chapter Title,1,Appendix Title,6,ES Title,7" </w:instrText>
      </w:r>
      <w:r w:rsidRPr="00397D35">
        <w:rPr>
          <w:szCs w:val="20"/>
        </w:rPr>
        <w:fldChar w:fldCharType="separate"/>
      </w:r>
      <w:hyperlink w:anchor="_Toc351363721" w:history="1">
        <w:r w:rsidR="00241477" w:rsidRPr="005B19D9">
          <w:rPr>
            <w:rStyle w:val="Hyperlink"/>
            <w:noProof/>
          </w:rPr>
          <w:t>Executive Summary</w:t>
        </w:r>
        <w:r w:rsidR="00241477">
          <w:rPr>
            <w:noProof/>
            <w:webHidden/>
          </w:rPr>
          <w:tab/>
        </w:r>
        <w:r>
          <w:rPr>
            <w:noProof/>
            <w:webHidden/>
          </w:rPr>
          <w:fldChar w:fldCharType="begin"/>
        </w:r>
        <w:r w:rsidR="00241477">
          <w:rPr>
            <w:noProof/>
            <w:webHidden/>
          </w:rPr>
          <w:instrText xml:space="preserve"> PAGEREF _Toc351363721 \h </w:instrText>
        </w:r>
        <w:r>
          <w:rPr>
            <w:noProof/>
            <w:webHidden/>
          </w:rPr>
        </w:r>
        <w:r>
          <w:rPr>
            <w:noProof/>
            <w:webHidden/>
          </w:rPr>
          <w:fldChar w:fldCharType="separate"/>
        </w:r>
        <w:r w:rsidR="00241477">
          <w:rPr>
            <w:noProof/>
            <w:webHidden/>
          </w:rPr>
          <w:t>v</w:t>
        </w:r>
        <w:r>
          <w:rPr>
            <w:noProof/>
            <w:webHidden/>
          </w:rPr>
          <w:fldChar w:fldCharType="end"/>
        </w:r>
      </w:hyperlink>
    </w:p>
    <w:p w:rsidR="00241477" w:rsidRDefault="00397D35">
      <w:pPr>
        <w:pStyle w:val="TOC2"/>
        <w:rPr>
          <w:rFonts w:asciiTheme="minorHAnsi" w:eastAsiaTheme="minorEastAsia" w:hAnsiTheme="minorHAnsi" w:cstheme="minorBidi"/>
          <w:sz w:val="22"/>
          <w:szCs w:val="22"/>
        </w:rPr>
      </w:pPr>
      <w:hyperlink w:anchor="_Toc351363722" w:history="1">
        <w:r w:rsidR="00241477" w:rsidRPr="005B19D9">
          <w:rPr>
            <w:rStyle w:val="Hyperlink"/>
          </w:rPr>
          <w:t>Introduction</w:t>
        </w:r>
        <w:r w:rsidR="00241477">
          <w:rPr>
            <w:webHidden/>
          </w:rPr>
          <w:tab/>
        </w:r>
        <w:r>
          <w:rPr>
            <w:webHidden/>
          </w:rPr>
          <w:fldChar w:fldCharType="begin"/>
        </w:r>
        <w:r w:rsidR="00241477">
          <w:rPr>
            <w:webHidden/>
          </w:rPr>
          <w:instrText xml:space="preserve"> PAGEREF _Toc351363722 \h </w:instrText>
        </w:r>
        <w:r>
          <w:rPr>
            <w:webHidden/>
          </w:rPr>
        </w:r>
        <w:r>
          <w:rPr>
            <w:webHidden/>
          </w:rPr>
          <w:fldChar w:fldCharType="separate"/>
        </w:r>
        <w:r w:rsidR="00241477">
          <w:rPr>
            <w:webHidden/>
          </w:rPr>
          <w:t>v</w:t>
        </w:r>
        <w:r>
          <w:rPr>
            <w:webHidden/>
          </w:rPr>
          <w:fldChar w:fldCharType="end"/>
        </w:r>
      </w:hyperlink>
    </w:p>
    <w:p w:rsidR="00241477" w:rsidRDefault="00397D35">
      <w:pPr>
        <w:pStyle w:val="TOC2"/>
        <w:rPr>
          <w:rFonts w:asciiTheme="minorHAnsi" w:eastAsiaTheme="minorEastAsia" w:hAnsiTheme="minorHAnsi" w:cstheme="minorBidi"/>
          <w:sz w:val="22"/>
          <w:szCs w:val="22"/>
        </w:rPr>
      </w:pPr>
      <w:hyperlink w:anchor="_Toc351363723" w:history="1">
        <w:r w:rsidR="00241477" w:rsidRPr="005B19D9">
          <w:rPr>
            <w:rStyle w:val="Hyperlink"/>
          </w:rPr>
          <w:t>Sample Design and Methodology</w:t>
        </w:r>
        <w:r w:rsidR="00241477">
          <w:rPr>
            <w:webHidden/>
          </w:rPr>
          <w:tab/>
        </w:r>
        <w:r>
          <w:rPr>
            <w:webHidden/>
          </w:rPr>
          <w:fldChar w:fldCharType="begin"/>
        </w:r>
        <w:r w:rsidR="00241477">
          <w:rPr>
            <w:webHidden/>
          </w:rPr>
          <w:instrText xml:space="preserve"> PAGEREF _Toc351363723 \h </w:instrText>
        </w:r>
        <w:r>
          <w:rPr>
            <w:webHidden/>
          </w:rPr>
        </w:r>
        <w:r>
          <w:rPr>
            <w:webHidden/>
          </w:rPr>
          <w:fldChar w:fldCharType="separate"/>
        </w:r>
        <w:r w:rsidR="00241477">
          <w:rPr>
            <w:webHidden/>
          </w:rPr>
          <w:t>vi</w:t>
        </w:r>
        <w:r>
          <w:rPr>
            <w:webHidden/>
          </w:rPr>
          <w:fldChar w:fldCharType="end"/>
        </w:r>
      </w:hyperlink>
    </w:p>
    <w:p w:rsidR="00241477" w:rsidRDefault="00397D35">
      <w:pPr>
        <w:pStyle w:val="TOC2"/>
        <w:rPr>
          <w:rFonts w:asciiTheme="minorHAnsi" w:eastAsiaTheme="minorEastAsia" w:hAnsiTheme="minorHAnsi" w:cstheme="minorBidi"/>
          <w:sz w:val="22"/>
          <w:szCs w:val="22"/>
        </w:rPr>
      </w:pPr>
      <w:hyperlink w:anchor="_Toc351363724" w:history="1">
        <w:r w:rsidR="00241477" w:rsidRPr="005B19D9">
          <w:rPr>
            <w:rStyle w:val="Hyperlink"/>
          </w:rPr>
          <w:t>Program Impacts</w:t>
        </w:r>
        <w:r w:rsidR="00241477">
          <w:rPr>
            <w:webHidden/>
          </w:rPr>
          <w:tab/>
        </w:r>
        <w:r>
          <w:rPr>
            <w:webHidden/>
          </w:rPr>
          <w:fldChar w:fldCharType="begin"/>
        </w:r>
        <w:r w:rsidR="00241477">
          <w:rPr>
            <w:webHidden/>
          </w:rPr>
          <w:instrText xml:space="preserve"> PAGEREF _Toc351363724 \h </w:instrText>
        </w:r>
        <w:r>
          <w:rPr>
            <w:webHidden/>
          </w:rPr>
        </w:r>
        <w:r>
          <w:rPr>
            <w:webHidden/>
          </w:rPr>
          <w:fldChar w:fldCharType="separate"/>
        </w:r>
        <w:r w:rsidR="00241477">
          <w:rPr>
            <w:webHidden/>
          </w:rPr>
          <w:t>vii</w:t>
        </w:r>
        <w:r>
          <w:rPr>
            <w:webHidden/>
          </w:rPr>
          <w:fldChar w:fldCharType="end"/>
        </w:r>
      </w:hyperlink>
    </w:p>
    <w:p w:rsidR="00241477" w:rsidRDefault="00397D35">
      <w:pPr>
        <w:pStyle w:val="TOC2"/>
        <w:rPr>
          <w:rFonts w:asciiTheme="minorHAnsi" w:eastAsiaTheme="minorEastAsia" w:hAnsiTheme="minorHAnsi" w:cstheme="minorBidi"/>
          <w:sz w:val="22"/>
          <w:szCs w:val="22"/>
        </w:rPr>
      </w:pPr>
      <w:hyperlink w:anchor="_Toc351363725" w:history="1">
        <w:r w:rsidR="00241477" w:rsidRPr="005B19D9">
          <w:rPr>
            <w:rStyle w:val="Hyperlink"/>
          </w:rPr>
          <w:t>Key Findings</w:t>
        </w:r>
        <w:r w:rsidR="00241477">
          <w:rPr>
            <w:webHidden/>
          </w:rPr>
          <w:tab/>
        </w:r>
        <w:r>
          <w:rPr>
            <w:webHidden/>
          </w:rPr>
          <w:fldChar w:fldCharType="begin"/>
        </w:r>
        <w:r w:rsidR="00241477">
          <w:rPr>
            <w:webHidden/>
          </w:rPr>
          <w:instrText xml:space="preserve"> PAGEREF _Toc351363725 \h </w:instrText>
        </w:r>
        <w:r>
          <w:rPr>
            <w:webHidden/>
          </w:rPr>
        </w:r>
        <w:r>
          <w:rPr>
            <w:webHidden/>
          </w:rPr>
          <w:fldChar w:fldCharType="separate"/>
        </w:r>
        <w:r w:rsidR="00241477">
          <w:rPr>
            <w:webHidden/>
          </w:rPr>
          <w:t>vii</w:t>
        </w:r>
        <w:r>
          <w:rPr>
            <w:webHidden/>
          </w:rPr>
          <w:fldChar w:fldCharType="end"/>
        </w:r>
      </w:hyperlink>
    </w:p>
    <w:p w:rsidR="00241477" w:rsidRDefault="00397D35">
      <w:pPr>
        <w:pStyle w:val="TOC1"/>
        <w:rPr>
          <w:rFonts w:asciiTheme="minorHAnsi" w:eastAsiaTheme="minorEastAsia" w:hAnsiTheme="minorHAnsi" w:cstheme="minorBidi"/>
          <w:b w:val="0"/>
          <w:caps w:val="0"/>
          <w:sz w:val="22"/>
          <w:szCs w:val="22"/>
        </w:rPr>
      </w:pPr>
      <w:hyperlink w:anchor="_Toc351363726" w:history="1">
        <w:r w:rsidR="00241477" w:rsidRPr="005B19D9">
          <w:rPr>
            <w:rStyle w:val="Hyperlink"/>
          </w:rPr>
          <w:t>Peak Time Rebate Program Summary</w:t>
        </w:r>
        <w:r w:rsidR="00241477">
          <w:rPr>
            <w:webHidden/>
          </w:rPr>
          <w:tab/>
        </w:r>
        <w:r>
          <w:rPr>
            <w:webHidden/>
          </w:rPr>
          <w:fldChar w:fldCharType="begin"/>
        </w:r>
        <w:r w:rsidR="00241477">
          <w:rPr>
            <w:webHidden/>
          </w:rPr>
          <w:instrText xml:space="preserve"> PAGEREF _Toc351363726 \h </w:instrText>
        </w:r>
        <w:r>
          <w:rPr>
            <w:webHidden/>
          </w:rPr>
        </w:r>
        <w:r>
          <w:rPr>
            <w:webHidden/>
          </w:rPr>
          <w:fldChar w:fldCharType="separate"/>
        </w:r>
        <w:r w:rsidR="00241477">
          <w:rPr>
            <w:webHidden/>
          </w:rPr>
          <w:t>1-1</w:t>
        </w:r>
        <w:r>
          <w:rPr>
            <w:webHidden/>
          </w:rPr>
          <w:fldChar w:fldCharType="end"/>
        </w:r>
      </w:hyperlink>
    </w:p>
    <w:p w:rsidR="00241477" w:rsidRDefault="00397D35">
      <w:pPr>
        <w:pStyle w:val="TOC2"/>
        <w:rPr>
          <w:rFonts w:asciiTheme="minorHAnsi" w:eastAsiaTheme="minorEastAsia" w:hAnsiTheme="minorHAnsi" w:cstheme="minorBidi"/>
          <w:sz w:val="22"/>
          <w:szCs w:val="22"/>
        </w:rPr>
      </w:pPr>
      <w:hyperlink w:anchor="_Toc351363727" w:history="1">
        <w:r w:rsidR="00241477" w:rsidRPr="005B19D9">
          <w:rPr>
            <w:rStyle w:val="Hyperlink"/>
          </w:rPr>
          <w:t>Peak Time Rebate Program Description</w:t>
        </w:r>
        <w:r w:rsidR="00241477">
          <w:rPr>
            <w:webHidden/>
          </w:rPr>
          <w:tab/>
        </w:r>
        <w:r>
          <w:rPr>
            <w:webHidden/>
          </w:rPr>
          <w:fldChar w:fldCharType="begin"/>
        </w:r>
        <w:r w:rsidR="00241477">
          <w:rPr>
            <w:webHidden/>
          </w:rPr>
          <w:instrText xml:space="preserve"> PAGEREF _Toc351363727 \h </w:instrText>
        </w:r>
        <w:r>
          <w:rPr>
            <w:webHidden/>
          </w:rPr>
        </w:r>
        <w:r>
          <w:rPr>
            <w:webHidden/>
          </w:rPr>
          <w:fldChar w:fldCharType="separate"/>
        </w:r>
        <w:r w:rsidR="00241477">
          <w:rPr>
            <w:webHidden/>
          </w:rPr>
          <w:t>1-1</w:t>
        </w:r>
        <w:r>
          <w:rPr>
            <w:webHidden/>
          </w:rPr>
          <w:fldChar w:fldCharType="end"/>
        </w:r>
      </w:hyperlink>
    </w:p>
    <w:p w:rsidR="00241477" w:rsidRDefault="00397D35">
      <w:pPr>
        <w:pStyle w:val="TOC2"/>
        <w:rPr>
          <w:rFonts w:asciiTheme="minorHAnsi" w:eastAsiaTheme="minorEastAsia" w:hAnsiTheme="minorHAnsi" w:cstheme="minorBidi"/>
          <w:sz w:val="22"/>
          <w:szCs w:val="22"/>
        </w:rPr>
      </w:pPr>
      <w:hyperlink w:anchor="_Toc351363728" w:history="1">
        <w:r w:rsidR="00241477" w:rsidRPr="005B19D9">
          <w:rPr>
            <w:rStyle w:val="Hyperlink"/>
          </w:rPr>
          <w:t>Participant Characteristics</w:t>
        </w:r>
        <w:r w:rsidR="00241477">
          <w:rPr>
            <w:webHidden/>
          </w:rPr>
          <w:tab/>
        </w:r>
        <w:r>
          <w:rPr>
            <w:webHidden/>
          </w:rPr>
          <w:fldChar w:fldCharType="begin"/>
        </w:r>
        <w:r w:rsidR="00241477">
          <w:rPr>
            <w:webHidden/>
          </w:rPr>
          <w:instrText xml:space="preserve"> PAGEREF _Toc351363728 \h </w:instrText>
        </w:r>
        <w:r>
          <w:rPr>
            <w:webHidden/>
          </w:rPr>
        </w:r>
        <w:r>
          <w:rPr>
            <w:webHidden/>
          </w:rPr>
          <w:fldChar w:fldCharType="separate"/>
        </w:r>
        <w:r w:rsidR="00241477">
          <w:rPr>
            <w:webHidden/>
          </w:rPr>
          <w:t>1-2</w:t>
        </w:r>
        <w:r>
          <w:rPr>
            <w:webHidden/>
          </w:rPr>
          <w:fldChar w:fldCharType="end"/>
        </w:r>
      </w:hyperlink>
    </w:p>
    <w:p w:rsidR="00241477" w:rsidRDefault="00397D35">
      <w:pPr>
        <w:pStyle w:val="TOC2"/>
        <w:rPr>
          <w:rFonts w:asciiTheme="minorHAnsi" w:eastAsiaTheme="minorEastAsia" w:hAnsiTheme="minorHAnsi" w:cstheme="minorBidi"/>
          <w:sz w:val="22"/>
          <w:szCs w:val="22"/>
        </w:rPr>
      </w:pPr>
      <w:hyperlink w:anchor="_Toc351363729" w:history="1">
        <w:r w:rsidR="00241477" w:rsidRPr="005B19D9">
          <w:rPr>
            <w:rStyle w:val="Hyperlink"/>
          </w:rPr>
          <w:t>Weather and Events</w:t>
        </w:r>
        <w:r w:rsidR="00241477">
          <w:rPr>
            <w:webHidden/>
          </w:rPr>
          <w:tab/>
        </w:r>
        <w:r>
          <w:rPr>
            <w:webHidden/>
          </w:rPr>
          <w:fldChar w:fldCharType="begin"/>
        </w:r>
        <w:r w:rsidR="00241477">
          <w:rPr>
            <w:webHidden/>
          </w:rPr>
          <w:instrText xml:space="preserve"> PAGEREF _Toc351363729 \h </w:instrText>
        </w:r>
        <w:r>
          <w:rPr>
            <w:webHidden/>
          </w:rPr>
        </w:r>
        <w:r>
          <w:rPr>
            <w:webHidden/>
          </w:rPr>
          <w:fldChar w:fldCharType="separate"/>
        </w:r>
        <w:r w:rsidR="00241477">
          <w:rPr>
            <w:webHidden/>
          </w:rPr>
          <w:t>1-3</w:t>
        </w:r>
        <w:r>
          <w:rPr>
            <w:webHidden/>
          </w:rPr>
          <w:fldChar w:fldCharType="end"/>
        </w:r>
      </w:hyperlink>
    </w:p>
    <w:p w:rsidR="00241477" w:rsidRDefault="00397D35">
      <w:pPr>
        <w:pStyle w:val="TOC1"/>
        <w:rPr>
          <w:rFonts w:asciiTheme="minorHAnsi" w:eastAsiaTheme="minorEastAsia" w:hAnsiTheme="minorHAnsi" w:cstheme="minorBidi"/>
          <w:b w:val="0"/>
          <w:caps w:val="0"/>
          <w:sz w:val="22"/>
          <w:szCs w:val="22"/>
        </w:rPr>
      </w:pPr>
      <w:hyperlink w:anchor="_Toc351363730" w:history="1">
        <w:r w:rsidR="00241477" w:rsidRPr="005B19D9">
          <w:rPr>
            <w:rStyle w:val="Hyperlink"/>
          </w:rPr>
          <w:t>Methodology</w:t>
        </w:r>
        <w:r w:rsidR="00241477">
          <w:rPr>
            <w:webHidden/>
          </w:rPr>
          <w:tab/>
        </w:r>
        <w:r>
          <w:rPr>
            <w:webHidden/>
          </w:rPr>
          <w:fldChar w:fldCharType="begin"/>
        </w:r>
        <w:r w:rsidR="00241477">
          <w:rPr>
            <w:webHidden/>
          </w:rPr>
          <w:instrText xml:space="preserve"> PAGEREF _Toc351363730 \h </w:instrText>
        </w:r>
        <w:r>
          <w:rPr>
            <w:webHidden/>
          </w:rPr>
        </w:r>
        <w:r>
          <w:rPr>
            <w:webHidden/>
          </w:rPr>
          <w:fldChar w:fldCharType="separate"/>
        </w:r>
        <w:r w:rsidR="00241477">
          <w:rPr>
            <w:webHidden/>
          </w:rPr>
          <w:t>2-5</w:t>
        </w:r>
        <w:r>
          <w:rPr>
            <w:webHidden/>
          </w:rPr>
          <w:fldChar w:fldCharType="end"/>
        </w:r>
      </w:hyperlink>
    </w:p>
    <w:p w:rsidR="00241477" w:rsidRDefault="00397D35">
      <w:pPr>
        <w:pStyle w:val="TOC2"/>
        <w:rPr>
          <w:rFonts w:asciiTheme="minorHAnsi" w:eastAsiaTheme="minorEastAsia" w:hAnsiTheme="minorHAnsi" w:cstheme="minorBidi"/>
          <w:sz w:val="22"/>
          <w:szCs w:val="22"/>
        </w:rPr>
      </w:pPr>
      <w:hyperlink w:anchor="_Toc351363731" w:history="1">
        <w:r w:rsidR="00241477" w:rsidRPr="005B19D9">
          <w:rPr>
            <w:rStyle w:val="Hyperlink"/>
          </w:rPr>
          <w:t>Evaluation Goals</w:t>
        </w:r>
        <w:r w:rsidR="00241477">
          <w:rPr>
            <w:webHidden/>
          </w:rPr>
          <w:tab/>
        </w:r>
        <w:r>
          <w:rPr>
            <w:webHidden/>
          </w:rPr>
          <w:fldChar w:fldCharType="begin"/>
        </w:r>
        <w:r w:rsidR="00241477">
          <w:rPr>
            <w:webHidden/>
          </w:rPr>
          <w:instrText xml:space="preserve"> PAGEREF _Toc351363731 \h </w:instrText>
        </w:r>
        <w:r>
          <w:rPr>
            <w:webHidden/>
          </w:rPr>
        </w:r>
        <w:r>
          <w:rPr>
            <w:webHidden/>
          </w:rPr>
          <w:fldChar w:fldCharType="separate"/>
        </w:r>
        <w:r w:rsidR="00241477">
          <w:rPr>
            <w:webHidden/>
          </w:rPr>
          <w:t>2-5</w:t>
        </w:r>
        <w:r>
          <w:rPr>
            <w:webHidden/>
          </w:rPr>
          <w:fldChar w:fldCharType="end"/>
        </w:r>
      </w:hyperlink>
    </w:p>
    <w:p w:rsidR="00241477" w:rsidRDefault="00397D35">
      <w:pPr>
        <w:pStyle w:val="TOC2"/>
        <w:rPr>
          <w:rFonts w:asciiTheme="minorHAnsi" w:eastAsiaTheme="minorEastAsia" w:hAnsiTheme="minorHAnsi" w:cstheme="minorBidi"/>
          <w:sz w:val="22"/>
          <w:szCs w:val="22"/>
        </w:rPr>
      </w:pPr>
      <w:hyperlink w:anchor="_Toc351363732" w:history="1">
        <w:r w:rsidR="00241477" w:rsidRPr="005B19D9">
          <w:rPr>
            <w:rStyle w:val="Hyperlink"/>
          </w:rPr>
          <w:t>Evaluation Challenges</w:t>
        </w:r>
        <w:r w:rsidR="00241477">
          <w:rPr>
            <w:webHidden/>
          </w:rPr>
          <w:tab/>
        </w:r>
        <w:r>
          <w:rPr>
            <w:webHidden/>
          </w:rPr>
          <w:fldChar w:fldCharType="begin"/>
        </w:r>
        <w:r w:rsidR="00241477">
          <w:rPr>
            <w:webHidden/>
          </w:rPr>
          <w:instrText xml:space="preserve"> PAGEREF _Toc351363732 \h </w:instrText>
        </w:r>
        <w:r>
          <w:rPr>
            <w:webHidden/>
          </w:rPr>
        </w:r>
        <w:r>
          <w:rPr>
            <w:webHidden/>
          </w:rPr>
          <w:fldChar w:fldCharType="separate"/>
        </w:r>
        <w:r w:rsidR="00241477">
          <w:rPr>
            <w:webHidden/>
          </w:rPr>
          <w:t>2-5</w:t>
        </w:r>
        <w:r>
          <w:rPr>
            <w:webHidden/>
          </w:rPr>
          <w:fldChar w:fldCharType="end"/>
        </w:r>
      </w:hyperlink>
    </w:p>
    <w:p w:rsidR="00241477" w:rsidRDefault="00397D35">
      <w:pPr>
        <w:pStyle w:val="TOC2"/>
        <w:rPr>
          <w:rFonts w:asciiTheme="minorHAnsi" w:eastAsiaTheme="minorEastAsia" w:hAnsiTheme="minorHAnsi" w:cstheme="minorBidi"/>
          <w:sz w:val="22"/>
          <w:szCs w:val="22"/>
        </w:rPr>
      </w:pPr>
      <w:hyperlink w:anchor="_Toc351363733" w:history="1">
        <w:r w:rsidR="00241477" w:rsidRPr="005B19D9">
          <w:rPr>
            <w:rStyle w:val="Hyperlink"/>
          </w:rPr>
          <w:t>Analysis Approach</w:t>
        </w:r>
        <w:r w:rsidR="00241477">
          <w:rPr>
            <w:webHidden/>
          </w:rPr>
          <w:tab/>
        </w:r>
        <w:r>
          <w:rPr>
            <w:webHidden/>
          </w:rPr>
          <w:fldChar w:fldCharType="begin"/>
        </w:r>
        <w:r w:rsidR="00241477">
          <w:rPr>
            <w:webHidden/>
          </w:rPr>
          <w:instrText xml:space="preserve"> PAGEREF _Toc351363733 \h </w:instrText>
        </w:r>
        <w:r>
          <w:rPr>
            <w:webHidden/>
          </w:rPr>
        </w:r>
        <w:r>
          <w:rPr>
            <w:webHidden/>
          </w:rPr>
          <w:fldChar w:fldCharType="separate"/>
        </w:r>
        <w:r w:rsidR="00241477">
          <w:rPr>
            <w:webHidden/>
          </w:rPr>
          <w:t>2-6</w:t>
        </w:r>
        <w:r>
          <w:rPr>
            <w:webHidden/>
          </w:rPr>
          <w:fldChar w:fldCharType="end"/>
        </w:r>
      </w:hyperlink>
    </w:p>
    <w:p w:rsidR="00241477" w:rsidRDefault="00397D35">
      <w:pPr>
        <w:pStyle w:val="TOC3"/>
        <w:rPr>
          <w:rFonts w:asciiTheme="minorHAnsi" w:eastAsiaTheme="minorEastAsia" w:hAnsiTheme="minorHAnsi" w:cstheme="minorBidi"/>
          <w:sz w:val="22"/>
          <w:szCs w:val="22"/>
        </w:rPr>
      </w:pPr>
      <w:hyperlink w:anchor="_Toc351363734" w:history="1">
        <w:r w:rsidR="00241477" w:rsidRPr="005B19D9">
          <w:rPr>
            <w:rStyle w:val="Hyperlink"/>
          </w:rPr>
          <w:t>Sample Design</w:t>
        </w:r>
        <w:r w:rsidR="00241477">
          <w:rPr>
            <w:webHidden/>
          </w:rPr>
          <w:tab/>
        </w:r>
        <w:r>
          <w:rPr>
            <w:webHidden/>
          </w:rPr>
          <w:fldChar w:fldCharType="begin"/>
        </w:r>
        <w:r w:rsidR="00241477">
          <w:rPr>
            <w:webHidden/>
          </w:rPr>
          <w:instrText xml:space="preserve"> PAGEREF _Toc351363734 \h </w:instrText>
        </w:r>
        <w:r>
          <w:rPr>
            <w:webHidden/>
          </w:rPr>
        </w:r>
        <w:r>
          <w:rPr>
            <w:webHidden/>
          </w:rPr>
          <w:fldChar w:fldCharType="separate"/>
        </w:r>
        <w:r w:rsidR="00241477">
          <w:rPr>
            <w:webHidden/>
          </w:rPr>
          <w:t>2-6</w:t>
        </w:r>
        <w:r>
          <w:rPr>
            <w:webHidden/>
          </w:rPr>
          <w:fldChar w:fldCharType="end"/>
        </w:r>
      </w:hyperlink>
    </w:p>
    <w:p w:rsidR="00241477" w:rsidRDefault="00397D35">
      <w:pPr>
        <w:pStyle w:val="TOC3"/>
        <w:rPr>
          <w:rFonts w:asciiTheme="minorHAnsi" w:eastAsiaTheme="minorEastAsia" w:hAnsiTheme="minorHAnsi" w:cstheme="minorBidi"/>
          <w:sz w:val="22"/>
          <w:szCs w:val="22"/>
        </w:rPr>
      </w:pPr>
      <w:hyperlink w:anchor="_Toc351363735" w:history="1">
        <w:r w:rsidR="00241477" w:rsidRPr="005B19D9">
          <w:rPr>
            <w:rStyle w:val="Hyperlink"/>
          </w:rPr>
          <w:t>Data Validation</w:t>
        </w:r>
        <w:r w:rsidR="00241477">
          <w:rPr>
            <w:webHidden/>
          </w:rPr>
          <w:tab/>
        </w:r>
        <w:r>
          <w:rPr>
            <w:webHidden/>
          </w:rPr>
          <w:fldChar w:fldCharType="begin"/>
        </w:r>
        <w:r w:rsidR="00241477">
          <w:rPr>
            <w:webHidden/>
          </w:rPr>
          <w:instrText xml:space="preserve"> PAGEREF _Toc351363735 \h </w:instrText>
        </w:r>
        <w:r>
          <w:rPr>
            <w:webHidden/>
          </w:rPr>
        </w:r>
        <w:r>
          <w:rPr>
            <w:webHidden/>
          </w:rPr>
          <w:fldChar w:fldCharType="separate"/>
        </w:r>
        <w:r w:rsidR="00241477">
          <w:rPr>
            <w:webHidden/>
          </w:rPr>
          <w:t>2-8</w:t>
        </w:r>
        <w:r>
          <w:rPr>
            <w:webHidden/>
          </w:rPr>
          <w:fldChar w:fldCharType="end"/>
        </w:r>
      </w:hyperlink>
    </w:p>
    <w:p w:rsidR="00241477" w:rsidRDefault="00397D35">
      <w:pPr>
        <w:pStyle w:val="TOC3"/>
        <w:rPr>
          <w:rFonts w:asciiTheme="minorHAnsi" w:eastAsiaTheme="minorEastAsia" w:hAnsiTheme="minorHAnsi" w:cstheme="minorBidi"/>
          <w:sz w:val="22"/>
          <w:szCs w:val="22"/>
        </w:rPr>
      </w:pPr>
      <w:hyperlink w:anchor="_Toc351363736" w:history="1">
        <w:r w:rsidR="00241477" w:rsidRPr="005B19D9">
          <w:rPr>
            <w:rStyle w:val="Hyperlink"/>
          </w:rPr>
          <w:t xml:space="preserve">2012 </w:t>
        </w:r>
        <w:r w:rsidR="00241477" w:rsidRPr="005B19D9">
          <w:rPr>
            <w:rStyle w:val="Hyperlink"/>
            <w:i/>
          </w:rPr>
          <w:t>Ex-Post</w:t>
        </w:r>
        <w:r w:rsidR="00241477" w:rsidRPr="005B19D9">
          <w:rPr>
            <w:rStyle w:val="Hyperlink"/>
          </w:rPr>
          <w:t xml:space="preserve">  PTR Impacts</w:t>
        </w:r>
        <w:r w:rsidR="00241477">
          <w:rPr>
            <w:webHidden/>
          </w:rPr>
          <w:tab/>
        </w:r>
        <w:r>
          <w:rPr>
            <w:webHidden/>
          </w:rPr>
          <w:fldChar w:fldCharType="begin"/>
        </w:r>
        <w:r w:rsidR="00241477">
          <w:rPr>
            <w:webHidden/>
          </w:rPr>
          <w:instrText xml:space="preserve"> PAGEREF _Toc351363736 \h </w:instrText>
        </w:r>
        <w:r>
          <w:rPr>
            <w:webHidden/>
          </w:rPr>
        </w:r>
        <w:r>
          <w:rPr>
            <w:webHidden/>
          </w:rPr>
          <w:fldChar w:fldCharType="separate"/>
        </w:r>
        <w:r w:rsidR="00241477">
          <w:rPr>
            <w:webHidden/>
          </w:rPr>
          <w:t>2-8</w:t>
        </w:r>
        <w:r>
          <w:rPr>
            <w:webHidden/>
          </w:rPr>
          <w:fldChar w:fldCharType="end"/>
        </w:r>
      </w:hyperlink>
    </w:p>
    <w:p w:rsidR="00241477" w:rsidRDefault="00397D35">
      <w:pPr>
        <w:pStyle w:val="TOC1"/>
        <w:rPr>
          <w:rFonts w:asciiTheme="minorHAnsi" w:eastAsiaTheme="minorEastAsia" w:hAnsiTheme="minorHAnsi" w:cstheme="minorBidi"/>
          <w:b w:val="0"/>
          <w:caps w:val="0"/>
          <w:sz w:val="22"/>
          <w:szCs w:val="22"/>
        </w:rPr>
      </w:pPr>
      <w:hyperlink w:anchor="_Toc351363737" w:history="1">
        <w:r w:rsidR="00241477" w:rsidRPr="005B19D9">
          <w:rPr>
            <w:rStyle w:val="Hyperlink"/>
          </w:rPr>
          <w:t>Impact Results</w:t>
        </w:r>
        <w:r w:rsidR="00241477">
          <w:rPr>
            <w:webHidden/>
          </w:rPr>
          <w:tab/>
        </w:r>
        <w:r>
          <w:rPr>
            <w:webHidden/>
          </w:rPr>
          <w:fldChar w:fldCharType="begin"/>
        </w:r>
        <w:r w:rsidR="00241477">
          <w:rPr>
            <w:webHidden/>
          </w:rPr>
          <w:instrText xml:space="preserve"> PAGEREF _Toc351363737 \h </w:instrText>
        </w:r>
        <w:r>
          <w:rPr>
            <w:webHidden/>
          </w:rPr>
        </w:r>
        <w:r>
          <w:rPr>
            <w:webHidden/>
          </w:rPr>
          <w:fldChar w:fldCharType="separate"/>
        </w:r>
        <w:r w:rsidR="00241477">
          <w:rPr>
            <w:webHidden/>
          </w:rPr>
          <w:t>3-1</w:t>
        </w:r>
        <w:r>
          <w:rPr>
            <w:webHidden/>
          </w:rPr>
          <w:fldChar w:fldCharType="end"/>
        </w:r>
      </w:hyperlink>
    </w:p>
    <w:p w:rsidR="00241477" w:rsidRDefault="00397D35">
      <w:pPr>
        <w:pStyle w:val="TOC2"/>
        <w:rPr>
          <w:rFonts w:asciiTheme="minorHAnsi" w:eastAsiaTheme="minorEastAsia" w:hAnsiTheme="minorHAnsi" w:cstheme="minorBidi"/>
          <w:sz w:val="22"/>
          <w:szCs w:val="22"/>
        </w:rPr>
      </w:pPr>
      <w:hyperlink w:anchor="_Toc351363738" w:history="1">
        <w:r w:rsidR="00241477" w:rsidRPr="005B19D9">
          <w:rPr>
            <w:rStyle w:val="Hyperlink"/>
          </w:rPr>
          <w:t>Regression Results</w:t>
        </w:r>
        <w:r w:rsidR="00241477">
          <w:rPr>
            <w:webHidden/>
          </w:rPr>
          <w:tab/>
        </w:r>
        <w:r>
          <w:rPr>
            <w:webHidden/>
          </w:rPr>
          <w:fldChar w:fldCharType="begin"/>
        </w:r>
        <w:r w:rsidR="00241477">
          <w:rPr>
            <w:webHidden/>
          </w:rPr>
          <w:instrText xml:space="preserve"> PAGEREF _Toc351363738 \h </w:instrText>
        </w:r>
        <w:r>
          <w:rPr>
            <w:webHidden/>
          </w:rPr>
        </w:r>
        <w:r>
          <w:rPr>
            <w:webHidden/>
          </w:rPr>
          <w:fldChar w:fldCharType="separate"/>
        </w:r>
        <w:r w:rsidR="00241477">
          <w:rPr>
            <w:webHidden/>
          </w:rPr>
          <w:t>3-1</w:t>
        </w:r>
        <w:r>
          <w:rPr>
            <w:webHidden/>
          </w:rPr>
          <w:fldChar w:fldCharType="end"/>
        </w:r>
      </w:hyperlink>
    </w:p>
    <w:p w:rsidR="00241477" w:rsidRDefault="00397D35">
      <w:pPr>
        <w:pStyle w:val="TOC2"/>
        <w:rPr>
          <w:rFonts w:asciiTheme="minorHAnsi" w:eastAsiaTheme="minorEastAsia" w:hAnsiTheme="minorHAnsi" w:cstheme="minorBidi"/>
          <w:sz w:val="22"/>
          <w:szCs w:val="22"/>
        </w:rPr>
      </w:pPr>
      <w:hyperlink w:anchor="_Toc351363739" w:history="1">
        <w:r w:rsidR="00241477" w:rsidRPr="005B19D9">
          <w:rPr>
            <w:rStyle w:val="Hyperlink"/>
          </w:rPr>
          <w:t>Load Shape Analysis</w:t>
        </w:r>
        <w:r w:rsidR="00241477">
          <w:rPr>
            <w:webHidden/>
          </w:rPr>
          <w:tab/>
        </w:r>
        <w:r>
          <w:rPr>
            <w:webHidden/>
          </w:rPr>
          <w:fldChar w:fldCharType="begin"/>
        </w:r>
        <w:r w:rsidR="00241477">
          <w:rPr>
            <w:webHidden/>
          </w:rPr>
          <w:instrText xml:space="preserve"> PAGEREF _Toc351363739 \h </w:instrText>
        </w:r>
        <w:r>
          <w:rPr>
            <w:webHidden/>
          </w:rPr>
        </w:r>
        <w:r>
          <w:rPr>
            <w:webHidden/>
          </w:rPr>
          <w:fldChar w:fldCharType="separate"/>
        </w:r>
        <w:r w:rsidR="00241477">
          <w:rPr>
            <w:webHidden/>
          </w:rPr>
          <w:t>3-4</w:t>
        </w:r>
        <w:r>
          <w:rPr>
            <w:webHidden/>
          </w:rPr>
          <w:fldChar w:fldCharType="end"/>
        </w:r>
      </w:hyperlink>
    </w:p>
    <w:p w:rsidR="00241477" w:rsidRDefault="00397D35">
      <w:pPr>
        <w:pStyle w:val="TOC2"/>
        <w:rPr>
          <w:rFonts w:asciiTheme="minorHAnsi" w:eastAsiaTheme="minorEastAsia" w:hAnsiTheme="minorHAnsi" w:cstheme="minorBidi"/>
          <w:sz w:val="22"/>
          <w:szCs w:val="22"/>
        </w:rPr>
      </w:pPr>
      <w:hyperlink w:anchor="_Toc351363740" w:history="1">
        <w:r w:rsidR="00241477" w:rsidRPr="005B19D9">
          <w:rPr>
            <w:rStyle w:val="Hyperlink"/>
          </w:rPr>
          <w:t>Matched Control Group Analysis</w:t>
        </w:r>
        <w:r w:rsidR="00241477">
          <w:rPr>
            <w:webHidden/>
          </w:rPr>
          <w:tab/>
        </w:r>
        <w:r>
          <w:rPr>
            <w:webHidden/>
          </w:rPr>
          <w:fldChar w:fldCharType="begin"/>
        </w:r>
        <w:r w:rsidR="00241477">
          <w:rPr>
            <w:webHidden/>
          </w:rPr>
          <w:instrText xml:space="preserve"> PAGEREF _Toc351363740 \h </w:instrText>
        </w:r>
        <w:r>
          <w:rPr>
            <w:webHidden/>
          </w:rPr>
        </w:r>
        <w:r>
          <w:rPr>
            <w:webHidden/>
          </w:rPr>
          <w:fldChar w:fldCharType="separate"/>
        </w:r>
        <w:r w:rsidR="00241477">
          <w:rPr>
            <w:webHidden/>
          </w:rPr>
          <w:t>3-8</w:t>
        </w:r>
        <w:r>
          <w:rPr>
            <w:webHidden/>
          </w:rPr>
          <w:fldChar w:fldCharType="end"/>
        </w:r>
      </w:hyperlink>
    </w:p>
    <w:p w:rsidR="00241477" w:rsidRDefault="00397D35">
      <w:pPr>
        <w:pStyle w:val="TOC1"/>
        <w:rPr>
          <w:rFonts w:asciiTheme="minorHAnsi" w:eastAsiaTheme="minorEastAsia" w:hAnsiTheme="minorHAnsi" w:cstheme="minorBidi"/>
          <w:b w:val="0"/>
          <w:caps w:val="0"/>
          <w:sz w:val="22"/>
          <w:szCs w:val="22"/>
        </w:rPr>
      </w:pPr>
      <w:hyperlink w:anchor="_Toc351363741" w:history="1">
        <w:r w:rsidR="00241477" w:rsidRPr="005B19D9">
          <w:rPr>
            <w:rStyle w:val="Hyperlink"/>
          </w:rPr>
          <w:t>Customer Specific Reference Level Statistics</w:t>
        </w:r>
        <w:r w:rsidR="00241477">
          <w:rPr>
            <w:webHidden/>
          </w:rPr>
          <w:tab/>
        </w:r>
        <w:r>
          <w:rPr>
            <w:webHidden/>
          </w:rPr>
          <w:fldChar w:fldCharType="begin"/>
        </w:r>
        <w:r w:rsidR="00241477">
          <w:rPr>
            <w:webHidden/>
          </w:rPr>
          <w:instrText xml:space="preserve"> PAGEREF _Toc351363741 \h </w:instrText>
        </w:r>
        <w:r>
          <w:rPr>
            <w:webHidden/>
          </w:rPr>
        </w:r>
        <w:r>
          <w:rPr>
            <w:webHidden/>
          </w:rPr>
          <w:fldChar w:fldCharType="separate"/>
        </w:r>
        <w:r w:rsidR="00241477">
          <w:rPr>
            <w:webHidden/>
          </w:rPr>
          <w:t>4-13</w:t>
        </w:r>
        <w:r>
          <w:rPr>
            <w:webHidden/>
          </w:rPr>
          <w:fldChar w:fldCharType="end"/>
        </w:r>
      </w:hyperlink>
    </w:p>
    <w:p w:rsidR="00241477" w:rsidRDefault="00397D35">
      <w:pPr>
        <w:pStyle w:val="TOC2"/>
        <w:rPr>
          <w:rFonts w:asciiTheme="minorHAnsi" w:eastAsiaTheme="minorEastAsia" w:hAnsiTheme="minorHAnsi" w:cstheme="minorBidi"/>
          <w:sz w:val="22"/>
          <w:szCs w:val="22"/>
        </w:rPr>
      </w:pPr>
      <w:hyperlink w:anchor="_Toc351363742" w:history="1">
        <w:r w:rsidR="00241477" w:rsidRPr="005B19D9">
          <w:rPr>
            <w:rStyle w:val="Hyperlink"/>
          </w:rPr>
          <w:t>CRL Based Load Reduction and Bill Credits</w:t>
        </w:r>
        <w:r w:rsidR="00241477">
          <w:rPr>
            <w:webHidden/>
          </w:rPr>
          <w:tab/>
        </w:r>
        <w:r>
          <w:rPr>
            <w:webHidden/>
          </w:rPr>
          <w:fldChar w:fldCharType="begin"/>
        </w:r>
        <w:r w:rsidR="00241477">
          <w:rPr>
            <w:webHidden/>
          </w:rPr>
          <w:instrText xml:space="preserve"> PAGEREF _Toc351363742 \h </w:instrText>
        </w:r>
        <w:r>
          <w:rPr>
            <w:webHidden/>
          </w:rPr>
        </w:r>
        <w:r>
          <w:rPr>
            <w:webHidden/>
          </w:rPr>
          <w:fldChar w:fldCharType="separate"/>
        </w:r>
        <w:r w:rsidR="00241477">
          <w:rPr>
            <w:webHidden/>
          </w:rPr>
          <w:t>4-13</w:t>
        </w:r>
        <w:r>
          <w:rPr>
            <w:webHidden/>
          </w:rPr>
          <w:fldChar w:fldCharType="end"/>
        </w:r>
      </w:hyperlink>
    </w:p>
    <w:p w:rsidR="00241477" w:rsidRDefault="00397D35">
      <w:pPr>
        <w:pStyle w:val="TOC1"/>
        <w:rPr>
          <w:rFonts w:asciiTheme="minorHAnsi" w:eastAsiaTheme="minorEastAsia" w:hAnsiTheme="minorHAnsi" w:cstheme="minorBidi"/>
          <w:b w:val="0"/>
          <w:caps w:val="0"/>
          <w:sz w:val="22"/>
          <w:szCs w:val="22"/>
        </w:rPr>
      </w:pPr>
      <w:hyperlink w:anchor="_Toc351363743" w:history="1">
        <w:r w:rsidR="00241477" w:rsidRPr="005B19D9">
          <w:rPr>
            <w:rStyle w:val="Hyperlink"/>
          </w:rPr>
          <w:t>Key Findings and Recommendations</w:t>
        </w:r>
        <w:r w:rsidR="00241477">
          <w:rPr>
            <w:webHidden/>
          </w:rPr>
          <w:tab/>
        </w:r>
        <w:r>
          <w:rPr>
            <w:webHidden/>
          </w:rPr>
          <w:fldChar w:fldCharType="begin"/>
        </w:r>
        <w:r w:rsidR="00241477">
          <w:rPr>
            <w:webHidden/>
          </w:rPr>
          <w:instrText xml:space="preserve"> PAGEREF _Toc351363743 \h </w:instrText>
        </w:r>
        <w:r>
          <w:rPr>
            <w:webHidden/>
          </w:rPr>
        </w:r>
        <w:r>
          <w:rPr>
            <w:webHidden/>
          </w:rPr>
          <w:fldChar w:fldCharType="separate"/>
        </w:r>
        <w:r w:rsidR="00241477">
          <w:rPr>
            <w:webHidden/>
          </w:rPr>
          <w:t>5-16</w:t>
        </w:r>
        <w:r>
          <w:rPr>
            <w:webHidden/>
          </w:rPr>
          <w:fldChar w:fldCharType="end"/>
        </w:r>
      </w:hyperlink>
    </w:p>
    <w:p w:rsidR="00241477" w:rsidRDefault="00397D35">
      <w:pPr>
        <w:pStyle w:val="TOC2"/>
        <w:rPr>
          <w:rFonts w:asciiTheme="minorHAnsi" w:eastAsiaTheme="minorEastAsia" w:hAnsiTheme="minorHAnsi" w:cstheme="minorBidi"/>
          <w:sz w:val="22"/>
          <w:szCs w:val="22"/>
        </w:rPr>
      </w:pPr>
      <w:hyperlink w:anchor="_Toc351363744" w:history="1">
        <w:r w:rsidR="00241477" w:rsidRPr="005B19D9">
          <w:rPr>
            <w:rStyle w:val="Hyperlink"/>
          </w:rPr>
          <w:t>Key Findings</w:t>
        </w:r>
        <w:r w:rsidR="00241477">
          <w:rPr>
            <w:webHidden/>
          </w:rPr>
          <w:tab/>
        </w:r>
        <w:r>
          <w:rPr>
            <w:webHidden/>
          </w:rPr>
          <w:fldChar w:fldCharType="begin"/>
        </w:r>
        <w:r w:rsidR="00241477">
          <w:rPr>
            <w:webHidden/>
          </w:rPr>
          <w:instrText xml:space="preserve"> PAGEREF _Toc351363744 \h </w:instrText>
        </w:r>
        <w:r>
          <w:rPr>
            <w:webHidden/>
          </w:rPr>
        </w:r>
        <w:r>
          <w:rPr>
            <w:webHidden/>
          </w:rPr>
          <w:fldChar w:fldCharType="separate"/>
        </w:r>
        <w:r w:rsidR="00241477">
          <w:rPr>
            <w:webHidden/>
          </w:rPr>
          <w:t>5-16</w:t>
        </w:r>
        <w:r>
          <w:rPr>
            <w:webHidden/>
          </w:rPr>
          <w:fldChar w:fldCharType="end"/>
        </w:r>
      </w:hyperlink>
    </w:p>
    <w:p w:rsidR="00241477" w:rsidRDefault="00397D35">
      <w:pPr>
        <w:pStyle w:val="TOC2"/>
        <w:rPr>
          <w:rFonts w:asciiTheme="minorHAnsi" w:eastAsiaTheme="minorEastAsia" w:hAnsiTheme="minorHAnsi" w:cstheme="minorBidi"/>
          <w:sz w:val="22"/>
          <w:szCs w:val="22"/>
        </w:rPr>
      </w:pPr>
      <w:hyperlink w:anchor="_Toc351363745" w:history="1">
        <w:r w:rsidR="00241477" w:rsidRPr="005B19D9">
          <w:rPr>
            <w:rStyle w:val="Hyperlink"/>
          </w:rPr>
          <w:t>Recommendations</w:t>
        </w:r>
        <w:r w:rsidR="00241477">
          <w:rPr>
            <w:webHidden/>
          </w:rPr>
          <w:tab/>
        </w:r>
        <w:r>
          <w:rPr>
            <w:webHidden/>
          </w:rPr>
          <w:fldChar w:fldCharType="begin"/>
        </w:r>
        <w:r w:rsidR="00241477">
          <w:rPr>
            <w:webHidden/>
          </w:rPr>
          <w:instrText xml:space="preserve"> PAGEREF _Toc351363745 \h </w:instrText>
        </w:r>
        <w:r>
          <w:rPr>
            <w:webHidden/>
          </w:rPr>
        </w:r>
        <w:r>
          <w:rPr>
            <w:webHidden/>
          </w:rPr>
          <w:fldChar w:fldCharType="separate"/>
        </w:r>
        <w:r w:rsidR="00241477">
          <w:rPr>
            <w:webHidden/>
          </w:rPr>
          <w:t>5-16</w:t>
        </w:r>
        <w:r>
          <w:rPr>
            <w:webHidden/>
          </w:rPr>
          <w:fldChar w:fldCharType="end"/>
        </w:r>
      </w:hyperlink>
    </w:p>
    <w:p w:rsidR="00241477" w:rsidRDefault="00397D35">
      <w:pPr>
        <w:pStyle w:val="TOC6"/>
        <w:rPr>
          <w:rFonts w:asciiTheme="minorHAnsi" w:eastAsiaTheme="minorEastAsia" w:hAnsiTheme="minorHAnsi" w:cstheme="minorBidi"/>
          <w:b w:val="0"/>
          <w:caps w:val="0"/>
          <w:sz w:val="22"/>
          <w:szCs w:val="22"/>
        </w:rPr>
      </w:pPr>
      <w:hyperlink w:anchor="_Toc351363746" w:history="1">
        <w:r w:rsidR="00241477" w:rsidRPr="005B19D9">
          <w:rPr>
            <w:rStyle w:val="Hyperlink"/>
          </w:rPr>
          <w:t>regression Output and Parameter estimates</w:t>
        </w:r>
        <w:r w:rsidR="00241477">
          <w:rPr>
            <w:webHidden/>
          </w:rPr>
          <w:tab/>
        </w:r>
        <w:r>
          <w:rPr>
            <w:webHidden/>
          </w:rPr>
          <w:fldChar w:fldCharType="begin"/>
        </w:r>
        <w:r w:rsidR="00241477">
          <w:rPr>
            <w:webHidden/>
          </w:rPr>
          <w:instrText xml:space="preserve"> PAGEREF _Toc351363746 \h </w:instrText>
        </w:r>
        <w:r>
          <w:rPr>
            <w:webHidden/>
          </w:rPr>
        </w:r>
        <w:r>
          <w:rPr>
            <w:webHidden/>
          </w:rPr>
          <w:fldChar w:fldCharType="separate"/>
        </w:r>
        <w:r w:rsidR="00241477">
          <w:rPr>
            <w:webHidden/>
          </w:rPr>
          <w:t>A-1</w:t>
        </w:r>
        <w:r>
          <w:rPr>
            <w:webHidden/>
          </w:rPr>
          <w:fldChar w:fldCharType="end"/>
        </w:r>
      </w:hyperlink>
    </w:p>
    <w:p w:rsidR="00F02110" w:rsidRPr="00CB76DB" w:rsidRDefault="00397D35" w:rsidP="00D97C75">
      <w:pPr>
        <w:pStyle w:val="BodyText"/>
        <w:rPr>
          <w:spacing w:val="0"/>
          <w:szCs w:val="20"/>
        </w:rPr>
        <w:sectPr w:rsidR="00F02110" w:rsidRPr="00CB76DB" w:rsidSect="008904A7">
          <w:headerReference w:type="first" r:id="rId17"/>
          <w:footerReference w:type="first" r:id="rId18"/>
          <w:type w:val="oddPage"/>
          <w:pgSz w:w="12240" w:h="15840" w:code="1"/>
          <w:pgMar w:top="1152" w:right="1440" w:bottom="1152" w:left="1440" w:header="720" w:footer="720" w:gutter="360"/>
          <w:pgNumType w:fmt="lowerRoman"/>
          <w:cols w:space="720"/>
          <w:titlePg/>
          <w:docGrid w:linePitch="231"/>
        </w:sectPr>
      </w:pPr>
      <w:r>
        <w:rPr>
          <w:spacing w:val="0"/>
          <w:szCs w:val="20"/>
        </w:rPr>
        <w:fldChar w:fldCharType="end"/>
      </w:r>
    </w:p>
    <w:tbl>
      <w:tblPr>
        <w:tblW w:w="5000" w:type="pct"/>
        <w:tblCellMar>
          <w:left w:w="58" w:type="dxa"/>
          <w:right w:w="29" w:type="dxa"/>
        </w:tblCellMar>
        <w:tblLook w:val="0000"/>
      </w:tblPr>
      <w:tblGrid>
        <w:gridCol w:w="6983"/>
        <w:gridCol w:w="2104"/>
      </w:tblGrid>
      <w:tr w:rsidR="00283424" w:rsidRPr="00500201" w:rsidTr="00B3398E">
        <w:trPr>
          <w:cantSplit/>
          <w:trHeight w:hRule="exact" w:val="288"/>
        </w:trPr>
        <w:tc>
          <w:tcPr>
            <w:tcW w:w="6983" w:type="dxa"/>
            <w:shd w:val="clear" w:color="auto" w:fill="auto"/>
            <w:vAlign w:val="center"/>
          </w:tcPr>
          <w:p w:rsidR="00B3398E" w:rsidRPr="00433CA8" w:rsidRDefault="00B3398E" w:rsidP="00B3398E">
            <w:pPr>
              <w:pStyle w:val="ContentsTitle"/>
            </w:pPr>
            <w:r>
              <w:lastRenderedPageBreak/>
              <w:t>Contents</w:t>
            </w:r>
          </w:p>
          <w:p w:rsidR="00283424" w:rsidRPr="00500201" w:rsidRDefault="00283424" w:rsidP="00B3398E">
            <w:pPr>
              <w:pStyle w:val="Chapter"/>
              <w:framePr w:hSpace="0" w:wrap="auto" w:vAnchor="margin" w:hAnchor="text" w:yAlign="inline"/>
            </w:pPr>
          </w:p>
        </w:tc>
        <w:tc>
          <w:tcPr>
            <w:tcW w:w="2104" w:type="dxa"/>
            <w:shd w:val="clear" w:color="auto" w:fill="auto"/>
            <w:vAlign w:val="center"/>
          </w:tcPr>
          <w:p w:rsidR="00283424" w:rsidRPr="00132BB4" w:rsidRDefault="00283424" w:rsidP="00477A53">
            <w:pPr>
              <w:pStyle w:val="Chapter"/>
              <w:framePr w:wrap="around"/>
            </w:pPr>
          </w:p>
        </w:tc>
      </w:tr>
    </w:tbl>
    <w:p w:rsidR="00283424" w:rsidRDefault="00283424" w:rsidP="00283424">
      <w:pPr>
        <w:pStyle w:val="ContentsTitle"/>
      </w:pPr>
      <w:r>
        <w:t>List of Figures</w:t>
      </w:r>
    </w:p>
    <w:p w:rsidR="00241477" w:rsidRDefault="00397D35">
      <w:pPr>
        <w:pStyle w:val="TableofFigures"/>
        <w:rPr>
          <w:rFonts w:asciiTheme="minorHAnsi" w:eastAsiaTheme="minorEastAsia" w:hAnsiTheme="minorHAnsi" w:cstheme="minorBidi"/>
          <w:sz w:val="22"/>
          <w:szCs w:val="22"/>
        </w:rPr>
      </w:pPr>
      <w:r w:rsidRPr="00397D35">
        <w:rPr>
          <w:rFonts w:ascii="Verdana" w:hAnsi="Verdana"/>
          <w:szCs w:val="20"/>
        </w:rPr>
        <w:fldChar w:fldCharType="begin"/>
      </w:r>
      <w:r w:rsidR="00280628" w:rsidRPr="00EB21C8">
        <w:instrText xml:space="preserve"> TOC \c "Figure" </w:instrText>
      </w:r>
      <w:r w:rsidRPr="00397D35">
        <w:rPr>
          <w:rFonts w:ascii="Verdana" w:hAnsi="Verdana"/>
          <w:szCs w:val="20"/>
        </w:rPr>
        <w:fldChar w:fldCharType="separate"/>
      </w:r>
      <w:r w:rsidR="00241477">
        <w:t>Figure 3-1</w:t>
      </w:r>
      <w:r w:rsidR="00241477">
        <w:rPr>
          <w:rFonts w:asciiTheme="minorHAnsi" w:eastAsiaTheme="minorEastAsia" w:hAnsiTheme="minorHAnsi" w:cstheme="minorBidi"/>
          <w:sz w:val="22"/>
          <w:szCs w:val="22"/>
        </w:rPr>
        <w:tab/>
      </w:r>
      <w:r w:rsidR="00241477">
        <w:t>Non-Notified: Weekday Load Shapes and Temperature</w:t>
      </w:r>
      <w:r w:rsidR="00241477">
        <w:tab/>
      </w:r>
      <w:r>
        <w:fldChar w:fldCharType="begin"/>
      </w:r>
      <w:r w:rsidR="00241477">
        <w:instrText xml:space="preserve"> PAGEREF _Toc351363747 \h </w:instrText>
      </w:r>
      <w:r>
        <w:fldChar w:fldCharType="separate"/>
      </w:r>
      <w:r w:rsidR="00241477">
        <w:t>3-5</w:t>
      </w:r>
      <w:r>
        <w:fldChar w:fldCharType="end"/>
      </w:r>
    </w:p>
    <w:p w:rsidR="00241477" w:rsidRDefault="00241477">
      <w:pPr>
        <w:pStyle w:val="TableofFigures"/>
        <w:rPr>
          <w:rFonts w:asciiTheme="minorHAnsi" w:eastAsiaTheme="minorEastAsia" w:hAnsiTheme="minorHAnsi" w:cstheme="minorBidi"/>
          <w:sz w:val="22"/>
          <w:szCs w:val="22"/>
        </w:rPr>
      </w:pPr>
      <w:r>
        <w:t>Figure 3-2</w:t>
      </w:r>
      <w:r>
        <w:rPr>
          <w:rFonts w:asciiTheme="minorHAnsi" w:eastAsiaTheme="minorEastAsia" w:hAnsiTheme="minorHAnsi" w:cstheme="minorBidi"/>
          <w:sz w:val="22"/>
          <w:szCs w:val="22"/>
        </w:rPr>
        <w:tab/>
      </w:r>
      <w:r>
        <w:t>Non-Notified: Weekend Load Shapes and Temperature</w:t>
      </w:r>
      <w:r>
        <w:tab/>
      </w:r>
      <w:r w:rsidR="00397D35">
        <w:fldChar w:fldCharType="begin"/>
      </w:r>
      <w:r>
        <w:instrText xml:space="preserve"> PAGEREF _Toc351363748 \h </w:instrText>
      </w:r>
      <w:r w:rsidR="00397D35">
        <w:fldChar w:fldCharType="separate"/>
      </w:r>
      <w:r>
        <w:t>3-5</w:t>
      </w:r>
      <w:r w:rsidR="00397D35">
        <w:fldChar w:fldCharType="end"/>
      </w:r>
    </w:p>
    <w:p w:rsidR="00241477" w:rsidRDefault="00241477">
      <w:pPr>
        <w:pStyle w:val="TableofFigures"/>
        <w:rPr>
          <w:rFonts w:asciiTheme="minorHAnsi" w:eastAsiaTheme="minorEastAsia" w:hAnsiTheme="minorHAnsi" w:cstheme="minorBidi"/>
          <w:sz w:val="22"/>
          <w:szCs w:val="22"/>
        </w:rPr>
      </w:pPr>
      <w:r>
        <w:t>Figure 3-3</w:t>
      </w:r>
      <w:r>
        <w:rPr>
          <w:rFonts w:asciiTheme="minorHAnsi" w:eastAsiaTheme="minorEastAsia" w:hAnsiTheme="minorHAnsi" w:cstheme="minorBidi"/>
          <w:sz w:val="22"/>
          <w:szCs w:val="22"/>
        </w:rPr>
        <w:tab/>
      </w:r>
      <w:r>
        <w:t>My Account: Weekday Load Shapes and Temperature</w:t>
      </w:r>
      <w:r>
        <w:tab/>
      </w:r>
      <w:r w:rsidR="00397D35">
        <w:fldChar w:fldCharType="begin"/>
      </w:r>
      <w:r>
        <w:instrText xml:space="preserve"> PAGEREF _Toc351363749 \h </w:instrText>
      </w:r>
      <w:r w:rsidR="00397D35">
        <w:fldChar w:fldCharType="separate"/>
      </w:r>
      <w:r>
        <w:t>3-6</w:t>
      </w:r>
      <w:r w:rsidR="00397D35">
        <w:fldChar w:fldCharType="end"/>
      </w:r>
    </w:p>
    <w:p w:rsidR="00241477" w:rsidRDefault="00241477">
      <w:pPr>
        <w:pStyle w:val="TableofFigures"/>
        <w:rPr>
          <w:rFonts w:asciiTheme="minorHAnsi" w:eastAsiaTheme="minorEastAsia" w:hAnsiTheme="minorHAnsi" w:cstheme="minorBidi"/>
          <w:sz w:val="22"/>
          <w:szCs w:val="22"/>
        </w:rPr>
      </w:pPr>
      <w:r>
        <w:t>Figure 3-4</w:t>
      </w:r>
      <w:r>
        <w:rPr>
          <w:rFonts w:asciiTheme="minorHAnsi" w:eastAsiaTheme="minorEastAsia" w:hAnsiTheme="minorHAnsi" w:cstheme="minorBidi"/>
          <w:sz w:val="22"/>
          <w:szCs w:val="22"/>
        </w:rPr>
        <w:tab/>
      </w:r>
      <w:r>
        <w:t>My Account: Weekend Load Shapes and Temperature</w:t>
      </w:r>
      <w:r>
        <w:tab/>
      </w:r>
      <w:r w:rsidR="00397D35">
        <w:fldChar w:fldCharType="begin"/>
      </w:r>
      <w:r>
        <w:instrText xml:space="preserve"> PAGEREF _Toc351363750 \h </w:instrText>
      </w:r>
      <w:r w:rsidR="00397D35">
        <w:fldChar w:fldCharType="separate"/>
      </w:r>
      <w:r>
        <w:t>3-7</w:t>
      </w:r>
      <w:r w:rsidR="00397D35">
        <w:fldChar w:fldCharType="end"/>
      </w:r>
    </w:p>
    <w:p w:rsidR="00241477" w:rsidRDefault="00241477">
      <w:pPr>
        <w:pStyle w:val="TableofFigures"/>
        <w:rPr>
          <w:rFonts w:asciiTheme="minorHAnsi" w:eastAsiaTheme="minorEastAsia" w:hAnsiTheme="minorHAnsi" w:cstheme="minorBidi"/>
          <w:sz w:val="22"/>
          <w:szCs w:val="22"/>
        </w:rPr>
      </w:pPr>
      <w:r>
        <w:t>Figure 3-5</w:t>
      </w:r>
      <w:r>
        <w:rPr>
          <w:rFonts w:asciiTheme="minorHAnsi" w:eastAsiaTheme="minorEastAsia" w:hAnsiTheme="minorHAnsi" w:cstheme="minorBidi"/>
          <w:sz w:val="22"/>
          <w:szCs w:val="22"/>
        </w:rPr>
        <w:tab/>
      </w:r>
      <w:r>
        <w:t>Opt-In Alerts: Weekday Load Shapes and Temperature</w:t>
      </w:r>
      <w:r>
        <w:tab/>
      </w:r>
      <w:r w:rsidR="00397D35">
        <w:fldChar w:fldCharType="begin"/>
      </w:r>
      <w:r>
        <w:instrText xml:space="preserve"> PAGEREF _Toc351363751 \h </w:instrText>
      </w:r>
      <w:r w:rsidR="00397D35">
        <w:fldChar w:fldCharType="separate"/>
      </w:r>
      <w:r>
        <w:t>3-7</w:t>
      </w:r>
      <w:r w:rsidR="00397D35">
        <w:fldChar w:fldCharType="end"/>
      </w:r>
    </w:p>
    <w:p w:rsidR="00241477" w:rsidRDefault="00241477">
      <w:pPr>
        <w:pStyle w:val="TableofFigures"/>
        <w:rPr>
          <w:rFonts w:asciiTheme="minorHAnsi" w:eastAsiaTheme="minorEastAsia" w:hAnsiTheme="minorHAnsi" w:cstheme="minorBidi"/>
          <w:sz w:val="22"/>
          <w:szCs w:val="22"/>
        </w:rPr>
      </w:pPr>
      <w:r>
        <w:t>Figure 3-6</w:t>
      </w:r>
      <w:r>
        <w:rPr>
          <w:rFonts w:asciiTheme="minorHAnsi" w:eastAsiaTheme="minorEastAsia" w:hAnsiTheme="minorHAnsi" w:cstheme="minorBidi"/>
          <w:sz w:val="22"/>
          <w:szCs w:val="22"/>
        </w:rPr>
        <w:tab/>
      </w:r>
      <w:r>
        <w:t>Opt-In Alerts: Weekday Load Shapes and Temperature</w:t>
      </w:r>
      <w:r>
        <w:tab/>
      </w:r>
      <w:r w:rsidR="00397D35">
        <w:fldChar w:fldCharType="begin"/>
      </w:r>
      <w:r>
        <w:instrText xml:space="preserve"> PAGEREF _Toc351363752 \h </w:instrText>
      </w:r>
      <w:r w:rsidR="00397D35">
        <w:fldChar w:fldCharType="separate"/>
      </w:r>
      <w:r>
        <w:t>3-8</w:t>
      </w:r>
      <w:r w:rsidR="00397D35">
        <w:fldChar w:fldCharType="end"/>
      </w:r>
    </w:p>
    <w:p w:rsidR="00241477" w:rsidRDefault="00241477">
      <w:pPr>
        <w:pStyle w:val="TableofFigures"/>
        <w:rPr>
          <w:rFonts w:asciiTheme="minorHAnsi" w:eastAsiaTheme="minorEastAsia" w:hAnsiTheme="minorHAnsi" w:cstheme="minorBidi"/>
          <w:sz w:val="22"/>
          <w:szCs w:val="22"/>
        </w:rPr>
      </w:pPr>
      <w:r>
        <w:t>Figure 3-7</w:t>
      </w:r>
      <w:r>
        <w:rPr>
          <w:rFonts w:asciiTheme="minorHAnsi" w:eastAsiaTheme="minorEastAsia" w:hAnsiTheme="minorHAnsi" w:cstheme="minorBidi"/>
          <w:sz w:val="22"/>
          <w:szCs w:val="22"/>
        </w:rPr>
        <w:tab/>
      </w:r>
      <w:r>
        <w:t>Opt-in Alert vs. Matched Control: 2012 Non-Event Days</w:t>
      </w:r>
      <w:r>
        <w:tab/>
      </w:r>
      <w:r w:rsidR="00397D35">
        <w:fldChar w:fldCharType="begin"/>
      </w:r>
      <w:r>
        <w:instrText xml:space="preserve"> PAGEREF _Toc351363753 \h </w:instrText>
      </w:r>
      <w:r w:rsidR="00397D35">
        <w:fldChar w:fldCharType="separate"/>
      </w:r>
      <w:r>
        <w:t>3-8</w:t>
      </w:r>
      <w:r w:rsidR="00397D35">
        <w:fldChar w:fldCharType="end"/>
      </w:r>
    </w:p>
    <w:p w:rsidR="00241477" w:rsidRDefault="00241477">
      <w:pPr>
        <w:pStyle w:val="TableofFigures"/>
        <w:rPr>
          <w:rFonts w:asciiTheme="minorHAnsi" w:eastAsiaTheme="minorEastAsia" w:hAnsiTheme="minorHAnsi" w:cstheme="minorBidi"/>
          <w:sz w:val="22"/>
          <w:szCs w:val="22"/>
        </w:rPr>
      </w:pPr>
      <w:r>
        <w:t>Figure 3-8</w:t>
      </w:r>
      <w:r>
        <w:rPr>
          <w:rFonts w:asciiTheme="minorHAnsi" w:eastAsiaTheme="minorEastAsia" w:hAnsiTheme="minorHAnsi" w:cstheme="minorBidi"/>
          <w:sz w:val="22"/>
          <w:szCs w:val="22"/>
        </w:rPr>
        <w:tab/>
      </w:r>
      <w:r>
        <w:t>Average Per-Customer Load and Impact – July 20, 2012</w:t>
      </w:r>
      <w:r>
        <w:tab/>
      </w:r>
      <w:r w:rsidR="00397D35">
        <w:fldChar w:fldCharType="begin"/>
      </w:r>
      <w:r>
        <w:instrText xml:space="preserve"> PAGEREF _Toc351363754 \h </w:instrText>
      </w:r>
      <w:r w:rsidR="00397D35">
        <w:fldChar w:fldCharType="separate"/>
      </w:r>
      <w:r>
        <w:t>3-9</w:t>
      </w:r>
      <w:r w:rsidR="00397D35">
        <w:fldChar w:fldCharType="end"/>
      </w:r>
    </w:p>
    <w:p w:rsidR="00241477" w:rsidRDefault="00241477">
      <w:pPr>
        <w:pStyle w:val="TableofFigures"/>
        <w:rPr>
          <w:rFonts w:asciiTheme="minorHAnsi" w:eastAsiaTheme="minorEastAsia" w:hAnsiTheme="minorHAnsi" w:cstheme="minorBidi"/>
          <w:sz w:val="22"/>
          <w:szCs w:val="22"/>
        </w:rPr>
      </w:pPr>
      <w:r>
        <w:t>Figure 3-9</w:t>
      </w:r>
      <w:r>
        <w:rPr>
          <w:rFonts w:asciiTheme="minorHAnsi" w:eastAsiaTheme="minorEastAsia" w:hAnsiTheme="minorHAnsi" w:cstheme="minorBidi"/>
          <w:sz w:val="22"/>
          <w:szCs w:val="22"/>
        </w:rPr>
        <w:tab/>
      </w:r>
      <w:r>
        <w:t>Average Per-Customer Load and Impact – August 9, 2012</w:t>
      </w:r>
      <w:r>
        <w:tab/>
      </w:r>
      <w:r w:rsidR="00397D35">
        <w:fldChar w:fldCharType="begin"/>
      </w:r>
      <w:r>
        <w:instrText xml:space="preserve"> PAGEREF _Toc351363755 \h </w:instrText>
      </w:r>
      <w:r w:rsidR="00397D35">
        <w:fldChar w:fldCharType="separate"/>
      </w:r>
      <w:r>
        <w:t>3-9</w:t>
      </w:r>
      <w:r w:rsidR="00397D35">
        <w:fldChar w:fldCharType="end"/>
      </w:r>
    </w:p>
    <w:p w:rsidR="00241477" w:rsidRDefault="00241477">
      <w:pPr>
        <w:pStyle w:val="TableofFigures"/>
        <w:rPr>
          <w:rFonts w:asciiTheme="minorHAnsi" w:eastAsiaTheme="minorEastAsia" w:hAnsiTheme="minorHAnsi" w:cstheme="minorBidi"/>
          <w:sz w:val="22"/>
          <w:szCs w:val="22"/>
        </w:rPr>
      </w:pPr>
      <w:r>
        <w:t>Figure 3-10</w:t>
      </w:r>
      <w:r>
        <w:rPr>
          <w:rFonts w:asciiTheme="minorHAnsi" w:eastAsiaTheme="minorEastAsia" w:hAnsiTheme="minorHAnsi" w:cstheme="minorBidi"/>
          <w:sz w:val="22"/>
          <w:szCs w:val="22"/>
        </w:rPr>
        <w:tab/>
      </w:r>
      <w:r>
        <w:t>Average Per-Customer Load and Impact – August 10, 2012</w:t>
      </w:r>
      <w:r>
        <w:tab/>
      </w:r>
      <w:r w:rsidR="00397D35">
        <w:fldChar w:fldCharType="begin"/>
      </w:r>
      <w:r>
        <w:instrText xml:space="preserve"> PAGEREF _Toc351363756 \h </w:instrText>
      </w:r>
      <w:r w:rsidR="00397D35">
        <w:fldChar w:fldCharType="separate"/>
      </w:r>
      <w:r>
        <w:t>3-10</w:t>
      </w:r>
      <w:r w:rsidR="00397D35">
        <w:fldChar w:fldCharType="end"/>
      </w:r>
    </w:p>
    <w:p w:rsidR="00241477" w:rsidRDefault="00241477">
      <w:pPr>
        <w:pStyle w:val="TableofFigures"/>
        <w:rPr>
          <w:rFonts w:asciiTheme="minorHAnsi" w:eastAsiaTheme="minorEastAsia" w:hAnsiTheme="minorHAnsi" w:cstheme="minorBidi"/>
          <w:sz w:val="22"/>
          <w:szCs w:val="22"/>
        </w:rPr>
      </w:pPr>
      <w:r>
        <w:t>Figure 3-11</w:t>
      </w:r>
      <w:r>
        <w:rPr>
          <w:rFonts w:asciiTheme="minorHAnsi" w:eastAsiaTheme="minorEastAsia" w:hAnsiTheme="minorHAnsi" w:cstheme="minorBidi"/>
          <w:sz w:val="22"/>
          <w:szCs w:val="22"/>
        </w:rPr>
        <w:tab/>
      </w:r>
      <w:r>
        <w:t>Average Per-Customer Load and Impact – August 11, 2012</w:t>
      </w:r>
      <w:r>
        <w:tab/>
      </w:r>
      <w:r w:rsidR="00397D35">
        <w:fldChar w:fldCharType="begin"/>
      </w:r>
      <w:r>
        <w:instrText xml:space="preserve"> PAGEREF _Toc351363757 \h </w:instrText>
      </w:r>
      <w:r w:rsidR="00397D35">
        <w:fldChar w:fldCharType="separate"/>
      </w:r>
      <w:r>
        <w:t>3-10</w:t>
      </w:r>
      <w:r w:rsidR="00397D35">
        <w:fldChar w:fldCharType="end"/>
      </w:r>
    </w:p>
    <w:p w:rsidR="00241477" w:rsidRDefault="00241477">
      <w:pPr>
        <w:pStyle w:val="TableofFigures"/>
        <w:rPr>
          <w:rFonts w:asciiTheme="minorHAnsi" w:eastAsiaTheme="minorEastAsia" w:hAnsiTheme="minorHAnsi" w:cstheme="minorBidi"/>
          <w:sz w:val="22"/>
          <w:szCs w:val="22"/>
        </w:rPr>
      </w:pPr>
      <w:r>
        <w:t>Figure 3-12</w:t>
      </w:r>
      <w:r>
        <w:rPr>
          <w:rFonts w:asciiTheme="minorHAnsi" w:eastAsiaTheme="minorEastAsia" w:hAnsiTheme="minorHAnsi" w:cstheme="minorBidi"/>
          <w:sz w:val="22"/>
          <w:szCs w:val="22"/>
        </w:rPr>
        <w:tab/>
      </w:r>
      <w:r>
        <w:t>Average Per-Customer Load and Impact – August 14, 2012</w:t>
      </w:r>
      <w:r>
        <w:tab/>
      </w:r>
      <w:r w:rsidR="00397D35">
        <w:fldChar w:fldCharType="begin"/>
      </w:r>
      <w:r>
        <w:instrText xml:space="preserve"> PAGEREF _Toc351363758 \h </w:instrText>
      </w:r>
      <w:r w:rsidR="00397D35">
        <w:fldChar w:fldCharType="separate"/>
      </w:r>
      <w:r>
        <w:t>3-11</w:t>
      </w:r>
      <w:r w:rsidR="00397D35">
        <w:fldChar w:fldCharType="end"/>
      </w:r>
    </w:p>
    <w:p w:rsidR="00241477" w:rsidRDefault="00241477">
      <w:pPr>
        <w:pStyle w:val="TableofFigures"/>
        <w:rPr>
          <w:rFonts w:asciiTheme="minorHAnsi" w:eastAsiaTheme="minorEastAsia" w:hAnsiTheme="minorHAnsi" w:cstheme="minorBidi"/>
          <w:sz w:val="22"/>
          <w:szCs w:val="22"/>
        </w:rPr>
      </w:pPr>
      <w:r>
        <w:t>Figure 3-13</w:t>
      </w:r>
      <w:r>
        <w:rPr>
          <w:rFonts w:asciiTheme="minorHAnsi" w:eastAsiaTheme="minorEastAsia" w:hAnsiTheme="minorHAnsi" w:cstheme="minorBidi"/>
          <w:sz w:val="22"/>
          <w:szCs w:val="22"/>
        </w:rPr>
        <w:tab/>
      </w:r>
      <w:r>
        <w:t>Average Per-Customer Load and Impact – August 21, 2012</w:t>
      </w:r>
      <w:r>
        <w:tab/>
      </w:r>
      <w:r w:rsidR="00397D35">
        <w:fldChar w:fldCharType="begin"/>
      </w:r>
      <w:r>
        <w:instrText xml:space="preserve"> PAGEREF _Toc351363759 \h </w:instrText>
      </w:r>
      <w:r w:rsidR="00397D35">
        <w:fldChar w:fldCharType="separate"/>
      </w:r>
      <w:r>
        <w:t>3-11</w:t>
      </w:r>
      <w:r w:rsidR="00397D35">
        <w:fldChar w:fldCharType="end"/>
      </w:r>
    </w:p>
    <w:p w:rsidR="00241477" w:rsidRDefault="00241477">
      <w:pPr>
        <w:pStyle w:val="TableofFigures"/>
        <w:rPr>
          <w:rFonts w:asciiTheme="minorHAnsi" w:eastAsiaTheme="minorEastAsia" w:hAnsiTheme="minorHAnsi" w:cstheme="minorBidi"/>
          <w:sz w:val="22"/>
          <w:szCs w:val="22"/>
        </w:rPr>
      </w:pPr>
      <w:r>
        <w:t>Figure 3-14</w:t>
      </w:r>
      <w:r>
        <w:rPr>
          <w:rFonts w:asciiTheme="minorHAnsi" w:eastAsiaTheme="minorEastAsia" w:hAnsiTheme="minorHAnsi" w:cstheme="minorBidi"/>
          <w:sz w:val="22"/>
          <w:szCs w:val="22"/>
        </w:rPr>
        <w:tab/>
      </w:r>
      <w:r>
        <w:t>Average Per-Customer Load and Impact – September 15, 2012</w:t>
      </w:r>
      <w:r>
        <w:tab/>
      </w:r>
      <w:r w:rsidR="00397D35">
        <w:fldChar w:fldCharType="begin"/>
      </w:r>
      <w:r>
        <w:instrText xml:space="preserve"> PAGEREF _Toc351363760 \h </w:instrText>
      </w:r>
      <w:r w:rsidR="00397D35">
        <w:fldChar w:fldCharType="separate"/>
      </w:r>
      <w:r>
        <w:t>3-12</w:t>
      </w:r>
      <w:r w:rsidR="00397D35">
        <w:fldChar w:fldCharType="end"/>
      </w:r>
    </w:p>
    <w:p w:rsidR="00283424" w:rsidRPr="00EB21C8" w:rsidRDefault="00397D35" w:rsidP="00283424">
      <w:pPr>
        <w:pStyle w:val="BodyText"/>
      </w:pPr>
      <w:r w:rsidRPr="00EB21C8">
        <w:fldChar w:fldCharType="end"/>
      </w:r>
    </w:p>
    <w:p w:rsidR="00AB54A6" w:rsidRDefault="00AB54A6" w:rsidP="00477A53">
      <w:pPr>
        <w:pStyle w:val="Chapter"/>
        <w:framePr w:hSpace="0" w:wrap="auto" w:vAnchor="margin" w:hAnchor="text" w:yAlign="inline"/>
        <w:sectPr w:rsidR="00AB54A6" w:rsidSect="008904A7">
          <w:type w:val="oddPage"/>
          <w:pgSz w:w="12240" w:h="15840" w:code="1"/>
          <w:pgMar w:top="1152" w:right="1440" w:bottom="1152" w:left="1800" w:header="720" w:footer="720" w:gutter="0"/>
          <w:pgNumType w:fmt="lowerRoman"/>
          <w:cols w:space="720"/>
          <w:titlePg/>
          <w:docGrid w:linePitch="231"/>
        </w:sectPr>
      </w:pPr>
    </w:p>
    <w:tbl>
      <w:tblPr>
        <w:tblW w:w="5000" w:type="pct"/>
        <w:tblCellMar>
          <w:left w:w="58" w:type="dxa"/>
          <w:right w:w="29" w:type="dxa"/>
        </w:tblCellMar>
        <w:tblLook w:val="0000"/>
      </w:tblPr>
      <w:tblGrid>
        <w:gridCol w:w="1297"/>
        <w:gridCol w:w="7790"/>
      </w:tblGrid>
      <w:tr w:rsidR="00283424" w:rsidRPr="00500201" w:rsidTr="00AB54A6">
        <w:trPr>
          <w:cantSplit/>
          <w:trHeight w:hRule="exact" w:val="288"/>
        </w:trPr>
        <w:tc>
          <w:tcPr>
            <w:tcW w:w="1297" w:type="dxa"/>
            <w:shd w:val="clear" w:color="auto" w:fill="auto"/>
            <w:vAlign w:val="center"/>
          </w:tcPr>
          <w:p w:rsidR="00283424" w:rsidRPr="00500201" w:rsidRDefault="00283424" w:rsidP="00477A53">
            <w:pPr>
              <w:pStyle w:val="Chapter"/>
              <w:framePr w:hSpace="0" w:wrap="auto" w:vAnchor="margin" w:hAnchor="text" w:yAlign="inline"/>
            </w:pPr>
          </w:p>
        </w:tc>
        <w:tc>
          <w:tcPr>
            <w:tcW w:w="7790" w:type="dxa"/>
            <w:shd w:val="clear" w:color="auto" w:fill="auto"/>
            <w:vAlign w:val="center"/>
          </w:tcPr>
          <w:p w:rsidR="00283424" w:rsidRPr="00A914B8" w:rsidRDefault="00283424" w:rsidP="00477A53">
            <w:pPr>
              <w:pStyle w:val="Chapter"/>
              <w:framePr w:wrap="around"/>
              <w:rPr>
                <w:b/>
              </w:rPr>
            </w:pPr>
          </w:p>
        </w:tc>
      </w:tr>
    </w:tbl>
    <w:p w:rsidR="00283424" w:rsidRPr="00433CA8" w:rsidRDefault="00283424" w:rsidP="00283424">
      <w:pPr>
        <w:pStyle w:val="ContentsTitle"/>
      </w:pPr>
      <w:r>
        <w:t>List of Tables</w:t>
      </w:r>
    </w:p>
    <w:p w:rsidR="00241477" w:rsidRDefault="00397D35">
      <w:pPr>
        <w:pStyle w:val="TableofFigures"/>
        <w:rPr>
          <w:rFonts w:asciiTheme="minorHAnsi" w:eastAsiaTheme="minorEastAsia" w:hAnsiTheme="minorHAnsi" w:cstheme="minorBidi"/>
          <w:sz w:val="22"/>
          <w:szCs w:val="22"/>
        </w:rPr>
      </w:pPr>
      <w:r w:rsidRPr="00036C88">
        <w:rPr>
          <w:rFonts w:ascii="Times New Roman" w:hAnsi="Times New Roman"/>
          <w:sz w:val="24"/>
          <w:szCs w:val="24"/>
        </w:rPr>
        <w:fldChar w:fldCharType="begin"/>
      </w:r>
      <w:r w:rsidR="00F47F23" w:rsidRPr="00036C88">
        <w:rPr>
          <w:rFonts w:ascii="Times New Roman" w:hAnsi="Times New Roman"/>
          <w:sz w:val="24"/>
          <w:szCs w:val="24"/>
        </w:rPr>
        <w:instrText xml:space="preserve"> TOC \c "Table" </w:instrText>
      </w:r>
      <w:r w:rsidRPr="00036C88">
        <w:rPr>
          <w:rFonts w:ascii="Times New Roman" w:hAnsi="Times New Roman"/>
          <w:sz w:val="24"/>
          <w:szCs w:val="24"/>
        </w:rPr>
        <w:fldChar w:fldCharType="separate"/>
      </w:r>
      <w:r w:rsidR="00241477">
        <w:t>Table E-1</w:t>
      </w:r>
      <w:r w:rsidR="00241477">
        <w:rPr>
          <w:rFonts w:asciiTheme="minorHAnsi" w:eastAsiaTheme="minorEastAsia" w:hAnsiTheme="minorHAnsi" w:cstheme="minorBidi"/>
          <w:sz w:val="22"/>
          <w:szCs w:val="22"/>
        </w:rPr>
        <w:tab/>
      </w:r>
      <w:r w:rsidR="00241477">
        <w:t>Customer Characteristics by Group</w:t>
      </w:r>
      <w:r w:rsidR="00241477">
        <w:tab/>
      </w:r>
      <w:r>
        <w:fldChar w:fldCharType="begin"/>
      </w:r>
      <w:r w:rsidR="00241477">
        <w:instrText xml:space="preserve"> PAGEREF _Toc351364107 \h </w:instrText>
      </w:r>
      <w:r>
        <w:fldChar w:fldCharType="separate"/>
      </w:r>
      <w:r w:rsidR="00241477">
        <w:t>v</w:t>
      </w:r>
      <w:r>
        <w:fldChar w:fldCharType="end"/>
      </w:r>
    </w:p>
    <w:p w:rsidR="00241477" w:rsidRDefault="00241477">
      <w:pPr>
        <w:pStyle w:val="TableofFigures"/>
        <w:rPr>
          <w:rFonts w:asciiTheme="minorHAnsi" w:eastAsiaTheme="minorEastAsia" w:hAnsiTheme="minorHAnsi" w:cstheme="minorBidi"/>
          <w:sz w:val="22"/>
          <w:szCs w:val="22"/>
        </w:rPr>
      </w:pPr>
      <w:r>
        <w:t>Table E-2</w:t>
      </w:r>
      <w:r>
        <w:rPr>
          <w:rFonts w:asciiTheme="minorHAnsi" w:eastAsiaTheme="minorEastAsia" w:hAnsiTheme="minorHAnsi" w:cstheme="minorBidi"/>
          <w:sz w:val="22"/>
          <w:szCs w:val="22"/>
        </w:rPr>
        <w:tab/>
      </w:r>
      <w:r>
        <w:t>Average and Maximum Temperature Summary</w:t>
      </w:r>
      <w:r>
        <w:tab/>
      </w:r>
      <w:r w:rsidR="00397D35">
        <w:fldChar w:fldCharType="begin"/>
      </w:r>
      <w:r>
        <w:instrText xml:space="preserve"> PAGEREF _Toc351364108 \h </w:instrText>
      </w:r>
      <w:r w:rsidR="00397D35">
        <w:fldChar w:fldCharType="separate"/>
      </w:r>
      <w:r>
        <w:t>vi</w:t>
      </w:r>
      <w:r w:rsidR="00397D35">
        <w:fldChar w:fldCharType="end"/>
      </w:r>
    </w:p>
    <w:p w:rsidR="00241477" w:rsidRDefault="00241477">
      <w:pPr>
        <w:pStyle w:val="TableofFigures"/>
        <w:rPr>
          <w:rFonts w:asciiTheme="minorHAnsi" w:eastAsiaTheme="minorEastAsia" w:hAnsiTheme="minorHAnsi" w:cstheme="minorBidi"/>
          <w:sz w:val="22"/>
          <w:szCs w:val="22"/>
        </w:rPr>
      </w:pPr>
      <w:r>
        <w:t>Table E-2</w:t>
      </w:r>
      <w:r>
        <w:rPr>
          <w:rFonts w:asciiTheme="minorHAnsi" w:eastAsiaTheme="minorEastAsia" w:hAnsiTheme="minorHAnsi" w:cstheme="minorBidi"/>
          <w:sz w:val="22"/>
          <w:szCs w:val="22"/>
        </w:rPr>
        <w:tab/>
      </w:r>
      <w:r>
        <w:t>Average and Maximum Temperature Summary</w:t>
      </w:r>
      <w:r>
        <w:tab/>
      </w:r>
      <w:r w:rsidR="00397D35">
        <w:fldChar w:fldCharType="begin"/>
      </w:r>
      <w:r>
        <w:instrText xml:space="preserve"> PAGEREF _Toc351364109 \h </w:instrText>
      </w:r>
      <w:r w:rsidR="00397D35">
        <w:fldChar w:fldCharType="separate"/>
      </w:r>
      <w:r>
        <w:t>vii</w:t>
      </w:r>
      <w:r w:rsidR="00397D35">
        <w:fldChar w:fldCharType="end"/>
      </w:r>
    </w:p>
    <w:p w:rsidR="00241477" w:rsidRDefault="00241477">
      <w:pPr>
        <w:pStyle w:val="TableofFigures"/>
        <w:rPr>
          <w:rFonts w:asciiTheme="minorHAnsi" w:eastAsiaTheme="minorEastAsia" w:hAnsiTheme="minorHAnsi" w:cstheme="minorBidi"/>
          <w:sz w:val="22"/>
          <w:szCs w:val="22"/>
        </w:rPr>
      </w:pPr>
      <w:r>
        <w:t>Table 1-1</w:t>
      </w:r>
      <w:r>
        <w:rPr>
          <w:rFonts w:asciiTheme="minorHAnsi" w:eastAsiaTheme="minorEastAsia" w:hAnsiTheme="minorHAnsi" w:cstheme="minorBidi"/>
          <w:sz w:val="22"/>
          <w:szCs w:val="22"/>
        </w:rPr>
        <w:tab/>
      </w:r>
      <w:r>
        <w:t>Customer Characteristics by Group</w:t>
      </w:r>
      <w:r>
        <w:tab/>
      </w:r>
      <w:r w:rsidR="00397D35">
        <w:fldChar w:fldCharType="begin"/>
      </w:r>
      <w:r>
        <w:instrText xml:space="preserve"> PAGEREF _Toc351364110 \h </w:instrText>
      </w:r>
      <w:r w:rsidR="00397D35">
        <w:fldChar w:fldCharType="separate"/>
      </w:r>
      <w:r>
        <w:t>1-2</w:t>
      </w:r>
      <w:r w:rsidR="00397D35">
        <w:fldChar w:fldCharType="end"/>
      </w:r>
    </w:p>
    <w:p w:rsidR="00241477" w:rsidRDefault="00241477">
      <w:pPr>
        <w:pStyle w:val="TableofFigures"/>
        <w:rPr>
          <w:rFonts w:asciiTheme="minorHAnsi" w:eastAsiaTheme="minorEastAsia" w:hAnsiTheme="minorHAnsi" w:cstheme="minorBidi"/>
          <w:sz w:val="22"/>
          <w:szCs w:val="22"/>
        </w:rPr>
      </w:pPr>
      <w:r>
        <w:t>Table 1-2</w:t>
      </w:r>
      <w:r>
        <w:rPr>
          <w:rFonts w:asciiTheme="minorHAnsi" w:eastAsiaTheme="minorEastAsia" w:hAnsiTheme="minorHAnsi" w:cstheme="minorBidi"/>
          <w:sz w:val="22"/>
          <w:szCs w:val="22"/>
        </w:rPr>
        <w:tab/>
      </w:r>
      <w:r>
        <w:t>Opt-In Alert Enrollments by Month</w:t>
      </w:r>
      <w:r>
        <w:tab/>
      </w:r>
      <w:r w:rsidR="00397D35">
        <w:fldChar w:fldCharType="begin"/>
      </w:r>
      <w:r>
        <w:instrText xml:space="preserve"> PAGEREF _Toc351364111 \h </w:instrText>
      </w:r>
      <w:r w:rsidR="00397D35">
        <w:fldChar w:fldCharType="separate"/>
      </w:r>
      <w:r>
        <w:t>1-3</w:t>
      </w:r>
      <w:r w:rsidR="00397D35">
        <w:fldChar w:fldCharType="end"/>
      </w:r>
    </w:p>
    <w:p w:rsidR="00241477" w:rsidRDefault="00241477">
      <w:pPr>
        <w:pStyle w:val="TableofFigures"/>
        <w:rPr>
          <w:rFonts w:asciiTheme="minorHAnsi" w:eastAsiaTheme="minorEastAsia" w:hAnsiTheme="minorHAnsi" w:cstheme="minorBidi"/>
          <w:sz w:val="22"/>
          <w:szCs w:val="22"/>
        </w:rPr>
      </w:pPr>
      <w:r>
        <w:t>Table 1-3</w:t>
      </w:r>
      <w:r>
        <w:rPr>
          <w:rFonts w:asciiTheme="minorHAnsi" w:eastAsiaTheme="minorEastAsia" w:hAnsiTheme="minorHAnsi" w:cstheme="minorBidi"/>
          <w:sz w:val="22"/>
          <w:szCs w:val="22"/>
        </w:rPr>
        <w:tab/>
      </w:r>
      <w:r>
        <w:t>Percent of Customers by Type and Weather Zone</w:t>
      </w:r>
      <w:r>
        <w:tab/>
      </w:r>
      <w:r w:rsidR="00397D35">
        <w:fldChar w:fldCharType="begin"/>
      </w:r>
      <w:r>
        <w:instrText xml:space="preserve"> PAGEREF _Toc351364112 \h </w:instrText>
      </w:r>
      <w:r w:rsidR="00397D35">
        <w:fldChar w:fldCharType="separate"/>
      </w:r>
      <w:r>
        <w:t>1-3</w:t>
      </w:r>
      <w:r w:rsidR="00397D35">
        <w:fldChar w:fldCharType="end"/>
      </w:r>
    </w:p>
    <w:p w:rsidR="00241477" w:rsidRDefault="00241477">
      <w:pPr>
        <w:pStyle w:val="TableofFigures"/>
        <w:rPr>
          <w:rFonts w:asciiTheme="minorHAnsi" w:eastAsiaTheme="minorEastAsia" w:hAnsiTheme="minorHAnsi" w:cstheme="minorBidi"/>
          <w:sz w:val="22"/>
          <w:szCs w:val="22"/>
        </w:rPr>
      </w:pPr>
      <w:r>
        <w:t>Table 1-4</w:t>
      </w:r>
      <w:r>
        <w:rPr>
          <w:rFonts w:asciiTheme="minorHAnsi" w:eastAsiaTheme="minorEastAsia" w:hAnsiTheme="minorHAnsi" w:cstheme="minorBidi"/>
          <w:sz w:val="22"/>
          <w:szCs w:val="22"/>
        </w:rPr>
        <w:tab/>
      </w:r>
      <w:r>
        <w:t>Average and Maximum Temperature Summary</w:t>
      </w:r>
      <w:r>
        <w:tab/>
      </w:r>
      <w:r w:rsidR="00397D35">
        <w:fldChar w:fldCharType="begin"/>
      </w:r>
      <w:r>
        <w:instrText xml:space="preserve"> PAGEREF _Toc351364113 \h </w:instrText>
      </w:r>
      <w:r w:rsidR="00397D35">
        <w:fldChar w:fldCharType="separate"/>
      </w:r>
      <w:r>
        <w:t>1-3</w:t>
      </w:r>
      <w:r w:rsidR="00397D35">
        <w:fldChar w:fldCharType="end"/>
      </w:r>
    </w:p>
    <w:p w:rsidR="00241477" w:rsidRDefault="00241477">
      <w:pPr>
        <w:pStyle w:val="TableofFigures"/>
        <w:rPr>
          <w:rFonts w:asciiTheme="minorHAnsi" w:eastAsiaTheme="minorEastAsia" w:hAnsiTheme="minorHAnsi" w:cstheme="minorBidi"/>
          <w:sz w:val="22"/>
          <w:szCs w:val="22"/>
        </w:rPr>
      </w:pPr>
      <w:r>
        <w:t>Table 2-1</w:t>
      </w:r>
      <w:r>
        <w:rPr>
          <w:rFonts w:asciiTheme="minorHAnsi" w:eastAsiaTheme="minorEastAsia" w:hAnsiTheme="minorHAnsi" w:cstheme="minorBidi"/>
          <w:sz w:val="22"/>
          <w:szCs w:val="22"/>
        </w:rPr>
        <w:tab/>
      </w:r>
      <w:r>
        <w:t>Original 2011 DLP Sample Design</w:t>
      </w:r>
      <w:r>
        <w:tab/>
      </w:r>
      <w:r w:rsidR="00397D35">
        <w:fldChar w:fldCharType="begin"/>
      </w:r>
      <w:r>
        <w:instrText xml:space="preserve"> PAGEREF _Toc351364114 \h </w:instrText>
      </w:r>
      <w:r w:rsidR="00397D35">
        <w:fldChar w:fldCharType="separate"/>
      </w:r>
      <w:r>
        <w:t>2-7</w:t>
      </w:r>
      <w:r w:rsidR="00397D35">
        <w:fldChar w:fldCharType="end"/>
      </w:r>
    </w:p>
    <w:p w:rsidR="00241477" w:rsidRDefault="00241477">
      <w:pPr>
        <w:pStyle w:val="TableofFigures"/>
        <w:rPr>
          <w:rFonts w:asciiTheme="minorHAnsi" w:eastAsiaTheme="minorEastAsia" w:hAnsiTheme="minorHAnsi" w:cstheme="minorBidi"/>
          <w:sz w:val="22"/>
          <w:szCs w:val="22"/>
        </w:rPr>
      </w:pPr>
      <w:r>
        <w:t>Table 2-2</w:t>
      </w:r>
      <w:r>
        <w:rPr>
          <w:rFonts w:asciiTheme="minorHAnsi" w:eastAsiaTheme="minorEastAsia" w:hAnsiTheme="minorHAnsi" w:cstheme="minorBidi"/>
          <w:sz w:val="22"/>
          <w:szCs w:val="22"/>
        </w:rPr>
        <w:tab/>
      </w:r>
      <w:r>
        <w:t>Post-stratification of the 2011 DLP Sample</w:t>
      </w:r>
      <w:r>
        <w:tab/>
      </w:r>
      <w:r w:rsidR="00397D35">
        <w:fldChar w:fldCharType="begin"/>
      </w:r>
      <w:r>
        <w:instrText xml:space="preserve"> PAGEREF _Toc351364115 \h </w:instrText>
      </w:r>
      <w:r w:rsidR="00397D35">
        <w:fldChar w:fldCharType="separate"/>
      </w:r>
      <w:r>
        <w:t>2-8</w:t>
      </w:r>
      <w:r w:rsidR="00397D35">
        <w:fldChar w:fldCharType="end"/>
      </w:r>
    </w:p>
    <w:p w:rsidR="00241477" w:rsidRDefault="00241477">
      <w:pPr>
        <w:pStyle w:val="TableofFigures"/>
        <w:rPr>
          <w:rFonts w:asciiTheme="minorHAnsi" w:eastAsiaTheme="minorEastAsia" w:hAnsiTheme="minorHAnsi" w:cstheme="minorBidi"/>
          <w:sz w:val="22"/>
          <w:szCs w:val="22"/>
        </w:rPr>
      </w:pPr>
      <w:r>
        <w:t>Table 2-3</w:t>
      </w:r>
      <w:r>
        <w:rPr>
          <w:rFonts w:asciiTheme="minorHAnsi" w:eastAsiaTheme="minorEastAsia" w:hAnsiTheme="minorHAnsi" w:cstheme="minorBidi"/>
          <w:sz w:val="22"/>
          <w:szCs w:val="22"/>
        </w:rPr>
        <w:tab/>
      </w:r>
      <w:r>
        <w:t>Model Precision on Hot Non-Event Days</w:t>
      </w:r>
      <w:r>
        <w:tab/>
      </w:r>
      <w:r w:rsidR="00397D35">
        <w:fldChar w:fldCharType="begin"/>
      </w:r>
      <w:r>
        <w:instrText xml:space="preserve"> PAGEREF _Toc351364116 \h </w:instrText>
      </w:r>
      <w:r w:rsidR="00397D35">
        <w:fldChar w:fldCharType="separate"/>
      </w:r>
      <w:r>
        <w:t>2-11</w:t>
      </w:r>
      <w:r w:rsidR="00397D35">
        <w:fldChar w:fldCharType="end"/>
      </w:r>
    </w:p>
    <w:p w:rsidR="00241477" w:rsidRDefault="00241477">
      <w:pPr>
        <w:pStyle w:val="TableofFigures"/>
        <w:rPr>
          <w:rFonts w:asciiTheme="minorHAnsi" w:eastAsiaTheme="minorEastAsia" w:hAnsiTheme="minorHAnsi" w:cstheme="minorBidi"/>
          <w:sz w:val="22"/>
          <w:szCs w:val="22"/>
        </w:rPr>
      </w:pPr>
      <w:r>
        <w:t>Table 2-4</w:t>
      </w:r>
      <w:r>
        <w:rPr>
          <w:rFonts w:asciiTheme="minorHAnsi" w:eastAsiaTheme="minorEastAsia" w:hAnsiTheme="minorHAnsi" w:cstheme="minorBidi"/>
          <w:sz w:val="22"/>
          <w:szCs w:val="22"/>
        </w:rPr>
        <w:tab/>
      </w:r>
      <w:r>
        <w:t>Average On-Peak Temperature on Comparison and PTR Event Days</w:t>
      </w:r>
      <w:r>
        <w:tab/>
      </w:r>
      <w:r w:rsidR="00397D35">
        <w:fldChar w:fldCharType="begin"/>
      </w:r>
      <w:r>
        <w:instrText xml:space="preserve"> PAGEREF _Toc351364117 \h </w:instrText>
      </w:r>
      <w:r w:rsidR="00397D35">
        <w:fldChar w:fldCharType="separate"/>
      </w:r>
      <w:r>
        <w:t>2-12</w:t>
      </w:r>
      <w:r w:rsidR="00397D35">
        <w:fldChar w:fldCharType="end"/>
      </w:r>
    </w:p>
    <w:p w:rsidR="00241477" w:rsidRDefault="00241477">
      <w:pPr>
        <w:pStyle w:val="TableofFigures"/>
        <w:rPr>
          <w:rFonts w:asciiTheme="minorHAnsi" w:eastAsiaTheme="minorEastAsia" w:hAnsiTheme="minorHAnsi" w:cstheme="minorBidi"/>
          <w:sz w:val="22"/>
          <w:szCs w:val="22"/>
        </w:rPr>
      </w:pPr>
      <w:r>
        <w:t>Table 3-1</w:t>
      </w:r>
      <w:r>
        <w:rPr>
          <w:rFonts w:asciiTheme="minorHAnsi" w:eastAsiaTheme="minorEastAsia" w:hAnsiTheme="minorHAnsi" w:cstheme="minorBidi"/>
          <w:sz w:val="22"/>
          <w:szCs w:val="22"/>
        </w:rPr>
        <w:tab/>
      </w:r>
      <w:r>
        <w:t>Significance of Event-Related Parameter Estimates</w:t>
      </w:r>
      <w:r>
        <w:tab/>
      </w:r>
      <w:r w:rsidR="00397D35">
        <w:fldChar w:fldCharType="begin"/>
      </w:r>
      <w:r>
        <w:instrText xml:space="preserve"> PAGEREF _Toc351364118 \h </w:instrText>
      </w:r>
      <w:r w:rsidR="00397D35">
        <w:fldChar w:fldCharType="separate"/>
      </w:r>
      <w:r>
        <w:t>3-2</w:t>
      </w:r>
      <w:r w:rsidR="00397D35">
        <w:fldChar w:fldCharType="end"/>
      </w:r>
    </w:p>
    <w:p w:rsidR="00241477" w:rsidRDefault="00241477">
      <w:pPr>
        <w:pStyle w:val="TableofFigures"/>
        <w:rPr>
          <w:rFonts w:asciiTheme="minorHAnsi" w:eastAsiaTheme="minorEastAsia" w:hAnsiTheme="minorHAnsi" w:cstheme="minorBidi"/>
          <w:sz w:val="22"/>
          <w:szCs w:val="22"/>
        </w:rPr>
      </w:pPr>
      <w:r>
        <w:t>Table 3-2</w:t>
      </w:r>
      <w:r>
        <w:rPr>
          <w:rFonts w:asciiTheme="minorHAnsi" w:eastAsiaTheme="minorEastAsia" w:hAnsiTheme="minorHAnsi" w:cstheme="minorBidi"/>
          <w:sz w:val="22"/>
          <w:szCs w:val="22"/>
        </w:rPr>
        <w:tab/>
      </w:r>
      <w:r>
        <w:t>Opt-in Alert Customers: Load Impact Estimates</w:t>
      </w:r>
      <w:r>
        <w:tab/>
      </w:r>
      <w:r w:rsidR="00397D35">
        <w:fldChar w:fldCharType="begin"/>
      </w:r>
      <w:r>
        <w:instrText xml:space="preserve"> PAGEREF _Toc351364119 \h </w:instrText>
      </w:r>
      <w:r w:rsidR="00397D35">
        <w:fldChar w:fldCharType="separate"/>
      </w:r>
      <w:r>
        <w:t>3-3</w:t>
      </w:r>
      <w:r w:rsidR="00397D35">
        <w:fldChar w:fldCharType="end"/>
      </w:r>
    </w:p>
    <w:p w:rsidR="00241477" w:rsidRDefault="00241477">
      <w:pPr>
        <w:pStyle w:val="TableofFigures"/>
        <w:rPr>
          <w:rFonts w:asciiTheme="minorHAnsi" w:eastAsiaTheme="minorEastAsia" w:hAnsiTheme="minorHAnsi" w:cstheme="minorBidi"/>
          <w:sz w:val="22"/>
          <w:szCs w:val="22"/>
        </w:rPr>
      </w:pPr>
      <w:r>
        <w:t>Table 3-3</w:t>
      </w:r>
      <w:r>
        <w:rPr>
          <w:rFonts w:asciiTheme="minorHAnsi" w:eastAsiaTheme="minorEastAsia" w:hAnsiTheme="minorHAnsi" w:cstheme="minorBidi"/>
          <w:sz w:val="22"/>
          <w:szCs w:val="22"/>
        </w:rPr>
        <w:tab/>
      </w:r>
      <w:r>
        <w:t>Non-Notified Customers: Load Impact Estimates</w:t>
      </w:r>
      <w:r>
        <w:tab/>
      </w:r>
      <w:r w:rsidR="00397D35">
        <w:fldChar w:fldCharType="begin"/>
      </w:r>
      <w:r>
        <w:instrText xml:space="preserve"> PAGEREF _Toc351364120 \h </w:instrText>
      </w:r>
      <w:r w:rsidR="00397D35">
        <w:fldChar w:fldCharType="separate"/>
      </w:r>
      <w:r>
        <w:t>3-3</w:t>
      </w:r>
      <w:r w:rsidR="00397D35">
        <w:fldChar w:fldCharType="end"/>
      </w:r>
    </w:p>
    <w:p w:rsidR="00241477" w:rsidRDefault="00241477">
      <w:pPr>
        <w:pStyle w:val="TableofFigures"/>
        <w:rPr>
          <w:rFonts w:asciiTheme="minorHAnsi" w:eastAsiaTheme="minorEastAsia" w:hAnsiTheme="minorHAnsi" w:cstheme="minorBidi"/>
          <w:sz w:val="22"/>
          <w:szCs w:val="22"/>
        </w:rPr>
      </w:pPr>
      <w:r>
        <w:t>Table 3-4</w:t>
      </w:r>
      <w:r>
        <w:rPr>
          <w:rFonts w:asciiTheme="minorHAnsi" w:eastAsiaTheme="minorEastAsia" w:hAnsiTheme="minorHAnsi" w:cstheme="minorBidi"/>
          <w:sz w:val="22"/>
          <w:szCs w:val="22"/>
        </w:rPr>
        <w:tab/>
      </w:r>
      <w:r>
        <w:t>My Account Customers: Load Impact Estimates</w:t>
      </w:r>
      <w:r>
        <w:tab/>
      </w:r>
      <w:r w:rsidR="00397D35">
        <w:fldChar w:fldCharType="begin"/>
      </w:r>
      <w:r>
        <w:instrText xml:space="preserve"> PAGEREF _Toc351364121 \h </w:instrText>
      </w:r>
      <w:r w:rsidR="00397D35">
        <w:fldChar w:fldCharType="separate"/>
      </w:r>
      <w:r>
        <w:t>3-4</w:t>
      </w:r>
      <w:r w:rsidR="00397D35">
        <w:fldChar w:fldCharType="end"/>
      </w:r>
    </w:p>
    <w:p w:rsidR="00241477" w:rsidRDefault="00241477">
      <w:pPr>
        <w:pStyle w:val="TableofFigures"/>
        <w:rPr>
          <w:rFonts w:asciiTheme="minorHAnsi" w:eastAsiaTheme="minorEastAsia" w:hAnsiTheme="minorHAnsi" w:cstheme="minorBidi"/>
          <w:sz w:val="22"/>
          <w:szCs w:val="22"/>
        </w:rPr>
      </w:pPr>
      <w:r>
        <w:t>Table 4-1</w:t>
      </w:r>
      <w:r>
        <w:rPr>
          <w:rFonts w:asciiTheme="minorHAnsi" w:eastAsiaTheme="minorEastAsia" w:hAnsiTheme="minorHAnsi" w:cstheme="minorBidi"/>
          <w:sz w:val="22"/>
          <w:szCs w:val="22"/>
        </w:rPr>
        <w:tab/>
      </w:r>
      <w:r>
        <w:t>Number of Customers Using More or Less than their CRL by Event</w:t>
      </w:r>
      <w:r>
        <w:tab/>
      </w:r>
      <w:r w:rsidR="00397D35">
        <w:fldChar w:fldCharType="begin"/>
      </w:r>
      <w:r>
        <w:instrText xml:space="preserve"> PAGEREF _Toc351364122 \h </w:instrText>
      </w:r>
      <w:r w:rsidR="00397D35">
        <w:fldChar w:fldCharType="separate"/>
      </w:r>
      <w:r>
        <w:t>4-13</w:t>
      </w:r>
      <w:r w:rsidR="00397D35">
        <w:fldChar w:fldCharType="end"/>
      </w:r>
    </w:p>
    <w:p w:rsidR="00241477" w:rsidRDefault="00241477">
      <w:pPr>
        <w:pStyle w:val="TableofFigures"/>
        <w:rPr>
          <w:rFonts w:asciiTheme="minorHAnsi" w:eastAsiaTheme="minorEastAsia" w:hAnsiTheme="minorHAnsi" w:cstheme="minorBidi"/>
          <w:sz w:val="22"/>
          <w:szCs w:val="22"/>
        </w:rPr>
      </w:pPr>
      <w:r>
        <w:t>Table 4-2</w:t>
      </w:r>
      <w:r>
        <w:rPr>
          <w:rFonts w:asciiTheme="minorHAnsi" w:eastAsiaTheme="minorEastAsia" w:hAnsiTheme="minorHAnsi" w:cstheme="minorBidi"/>
          <w:sz w:val="22"/>
          <w:szCs w:val="22"/>
        </w:rPr>
        <w:tab/>
      </w:r>
      <w:r>
        <w:t>Load Reduction by Event: All Customers</w:t>
      </w:r>
      <w:r>
        <w:tab/>
      </w:r>
      <w:r w:rsidR="00397D35">
        <w:fldChar w:fldCharType="begin"/>
      </w:r>
      <w:r>
        <w:instrText xml:space="preserve"> PAGEREF _Toc351364123 \h </w:instrText>
      </w:r>
      <w:r w:rsidR="00397D35">
        <w:fldChar w:fldCharType="separate"/>
      </w:r>
      <w:r>
        <w:t>4-14</w:t>
      </w:r>
      <w:r w:rsidR="00397D35">
        <w:fldChar w:fldCharType="end"/>
      </w:r>
    </w:p>
    <w:p w:rsidR="00241477" w:rsidRDefault="00241477">
      <w:pPr>
        <w:pStyle w:val="TableofFigures"/>
        <w:rPr>
          <w:rFonts w:asciiTheme="minorHAnsi" w:eastAsiaTheme="minorEastAsia" w:hAnsiTheme="minorHAnsi" w:cstheme="minorBidi"/>
          <w:sz w:val="22"/>
          <w:szCs w:val="22"/>
        </w:rPr>
      </w:pPr>
      <w:r>
        <w:t>Table 4-3</w:t>
      </w:r>
      <w:r>
        <w:rPr>
          <w:rFonts w:asciiTheme="minorHAnsi" w:eastAsiaTheme="minorEastAsia" w:hAnsiTheme="minorHAnsi" w:cstheme="minorBidi"/>
          <w:sz w:val="22"/>
          <w:szCs w:val="22"/>
        </w:rPr>
        <w:tab/>
      </w:r>
      <w:r>
        <w:t>Load Reduction by Event: Customers using less than their CRL</w:t>
      </w:r>
      <w:r>
        <w:tab/>
      </w:r>
      <w:r w:rsidR="00397D35">
        <w:fldChar w:fldCharType="begin"/>
      </w:r>
      <w:r>
        <w:instrText xml:space="preserve"> PAGEREF _Toc351364124 \h </w:instrText>
      </w:r>
      <w:r w:rsidR="00397D35">
        <w:fldChar w:fldCharType="separate"/>
      </w:r>
      <w:r>
        <w:t>4-14</w:t>
      </w:r>
      <w:r w:rsidR="00397D35">
        <w:fldChar w:fldCharType="end"/>
      </w:r>
    </w:p>
    <w:p w:rsidR="00241477" w:rsidRDefault="00241477">
      <w:pPr>
        <w:pStyle w:val="TableofFigures"/>
        <w:rPr>
          <w:rFonts w:asciiTheme="minorHAnsi" w:eastAsiaTheme="minorEastAsia" w:hAnsiTheme="minorHAnsi" w:cstheme="minorBidi"/>
          <w:sz w:val="22"/>
          <w:szCs w:val="22"/>
        </w:rPr>
      </w:pPr>
      <w:r>
        <w:t>Table 4-4</w:t>
      </w:r>
      <w:r>
        <w:rPr>
          <w:rFonts w:asciiTheme="minorHAnsi" w:eastAsiaTheme="minorEastAsia" w:hAnsiTheme="minorHAnsi" w:cstheme="minorBidi"/>
          <w:sz w:val="22"/>
          <w:szCs w:val="22"/>
        </w:rPr>
        <w:tab/>
      </w:r>
      <w:r>
        <w:t>Total Rebates Paid</w:t>
      </w:r>
      <w:r>
        <w:tab/>
      </w:r>
      <w:r w:rsidR="00397D35">
        <w:fldChar w:fldCharType="begin"/>
      </w:r>
      <w:r>
        <w:instrText xml:space="preserve"> PAGEREF _Toc351364125 \h </w:instrText>
      </w:r>
      <w:r w:rsidR="00397D35">
        <w:fldChar w:fldCharType="separate"/>
      </w:r>
      <w:r>
        <w:t>4-15</w:t>
      </w:r>
      <w:r w:rsidR="00397D35">
        <w:fldChar w:fldCharType="end"/>
      </w:r>
    </w:p>
    <w:p w:rsidR="00241477" w:rsidRDefault="00241477">
      <w:pPr>
        <w:pStyle w:val="TableofFigures"/>
        <w:rPr>
          <w:rFonts w:asciiTheme="minorHAnsi" w:eastAsiaTheme="minorEastAsia" w:hAnsiTheme="minorHAnsi" w:cstheme="minorBidi"/>
          <w:sz w:val="22"/>
          <w:szCs w:val="22"/>
        </w:rPr>
      </w:pPr>
      <w:r>
        <w:t>Table 4-5</w:t>
      </w:r>
      <w:r>
        <w:rPr>
          <w:rFonts w:asciiTheme="minorHAnsi" w:eastAsiaTheme="minorEastAsia" w:hAnsiTheme="minorHAnsi" w:cstheme="minorBidi"/>
          <w:sz w:val="22"/>
          <w:szCs w:val="22"/>
        </w:rPr>
        <w:tab/>
      </w:r>
      <w:r>
        <w:t>Dollars Paid per kW of Load Reduction</w:t>
      </w:r>
      <w:r>
        <w:tab/>
      </w:r>
      <w:r w:rsidR="00397D35">
        <w:fldChar w:fldCharType="begin"/>
      </w:r>
      <w:r>
        <w:instrText xml:space="preserve"> PAGEREF _Toc351364126 \h </w:instrText>
      </w:r>
      <w:r w:rsidR="00397D35">
        <w:fldChar w:fldCharType="separate"/>
      </w:r>
      <w:r>
        <w:t>4-15</w:t>
      </w:r>
      <w:r w:rsidR="00397D35">
        <w:fldChar w:fldCharType="end"/>
      </w:r>
    </w:p>
    <w:p w:rsidR="008554E6" w:rsidRDefault="00397D35" w:rsidP="00C61D7A">
      <w:pPr>
        <w:pStyle w:val="BodyText"/>
      </w:pPr>
      <w:r w:rsidRPr="00036C88">
        <w:rPr>
          <w:rFonts w:ascii="Times New Roman" w:hAnsi="Times New Roman"/>
          <w:spacing w:val="0"/>
          <w:sz w:val="24"/>
          <w:szCs w:val="24"/>
        </w:rPr>
        <w:fldChar w:fldCharType="end"/>
      </w:r>
    </w:p>
    <w:p w:rsidR="00AB54A6" w:rsidRDefault="00AB54A6" w:rsidP="00917BE6">
      <w:pPr>
        <w:pStyle w:val="Chapter"/>
        <w:framePr w:hSpace="0" w:wrap="auto" w:vAnchor="margin" w:hAnchor="text" w:yAlign="inline"/>
        <w:sectPr w:rsidR="00AB54A6" w:rsidSect="008904A7">
          <w:type w:val="oddPage"/>
          <w:pgSz w:w="12240" w:h="15840" w:code="1"/>
          <w:pgMar w:top="1152" w:right="1440" w:bottom="1152" w:left="1800" w:header="720" w:footer="720" w:gutter="0"/>
          <w:pgNumType w:fmt="lowerRoman"/>
          <w:cols w:space="720"/>
          <w:titlePg/>
          <w:docGrid w:linePitch="231"/>
        </w:sectPr>
      </w:pPr>
    </w:p>
    <w:tbl>
      <w:tblPr>
        <w:tblW w:w="5000" w:type="pct"/>
        <w:tblBorders>
          <w:insideV w:val="single" w:sz="4" w:space="0" w:color="808080"/>
        </w:tblBorders>
        <w:tblCellMar>
          <w:left w:w="58" w:type="dxa"/>
          <w:right w:w="29" w:type="dxa"/>
        </w:tblCellMar>
        <w:tblLook w:val="0000"/>
      </w:tblPr>
      <w:tblGrid>
        <w:gridCol w:w="1297"/>
        <w:gridCol w:w="7790"/>
      </w:tblGrid>
      <w:tr w:rsidR="00794BD9" w:rsidRPr="00351A80" w:rsidTr="00AB54A6">
        <w:trPr>
          <w:cantSplit/>
          <w:trHeight w:hRule="exact" w:val="288"/>
        </w:trPr>
        <w:tc>
          <w:tcPr>
            <w:tcW w:w="1297" w:type="dxa"/>
            <w:shd w:val="clear" w:color="auto" w:fill="auto"/>
            <w:vAlign w:val="center"/>
          </w:tcPr>
          <w:p w:rsidR="00794BD9" w:rsidRPr="00351A80" w:rsidRDefault="00794BD9" w:rsidP="00D031CB">
            <w:pPr>
              <w:pStyle w:val="Chapter"/>
              <w:framePr w:wrap="around"/>
            </w:pPr>
            <w:r w:rsidRPr="00351A80">
              <w:lastRenderedPageBreak/>
              <w:t>Chapter</w:t>
            </w:r>
          </w:p>
        </w:tc>
        <w:tc>
          <w:tcPr>
            <w:tcW w:w="7790" w:type="dxa"/>
            <w:shd w:val="clear" w:color="auto" w:fill="auto"/>
            <w:tcMar>
              <w:left w:w="173" w:type="dxa"/>
            </w:tcMar>
            <w:vAlign w:val="center"/>
          </w:tcPr>
          <w:p w:rsidR="00794BD9" w:rsidRPr="00351A80" w:rsidRDefault="00794BD9" w:rsidP="00D031CB">
            <w:pPr>
              <w:pStyle w:val="Heading1"/>
            </w:pPr>
            <w:bookmarkStart w:id="8" w:name="_Toc319670863"/>
            <w:bookmarkStart w:id="9" w:name="_Toc319671866"/>
            <w:bookmarkStart w:id="10" w:name="_Toc319671966"/>
            <w:bookmarkStart w:id="11" w:name="_Toc319673033"/>
            <w:bookmarkStart w:id="12" w:name="_Toc319674532"/>
            <w:bookmarkEnd w:id="8"/>
            <w:bookmarkEnd w:id="9"/>
            <w:bookmarkEnd w:id="10"/>
            <w:bookmarkEnd w:id="11"/>
            <w:bookmarkEnd w:id="12"/>
          </w:p>
        </w:tc>
      </w:tr>
    </w:tbl>
    <w:p w:rsidR="002A7F3E" w:rsidRDefault="002A7F3E" w:rsidP="00D031CB">
      <w:pPr>
        <w:pStyle w:val="ChapterTitle"/>
      </w:pPr>
    </w:p>
    <w:p w:rsidR="00794BD9" w:rsidRDefault="00E139B5" w:rsidP="00D031CB">
      <w:pPr>
        <w:pStyle w:val="ChapterTitle"/>
      </w:pPr>
      <w:bookmarkStart w:id="13" w:name="_Toc351363726"/>
      <w:r>
        <w:t>Peak Time Rebate</w:t>
      </w:r>
      <w:r w:rsidR="001A1A30">
        <w:t xml:space="preserve"> Program Summary</w:t>
      </w:r>
      <w:bookmarkEnd w:id="13"/>
    </w:p>
    <w:p w:rsidR="00F51F81" w:rsidRDefault="00A95830" w:rsidP="00F51F81">
      <w:pPr>
        <w:pStyle w:val="BodyText"/>
      </w:pPr>
      <w:r>
        <w:t>SDG&amp;E’s Peak Time Rebate (PTR)</w:t>
      </w:r>
      <w:r w:rsidR="006348AC">
        <w:t xml:space="preserve"> program</w:t>
      </w:r>
      <w:r>
        <w:t>, also known as Reduce Your Use,</w:t>
      </w:r>
      <w:r w:rsidR="006348AC">
        <w:t xml:space="preserve"> is a default program for all residential and small commercial customers in SDG&amp;E’s territory. This report presents the evaluation of the small commerc</w:t>
      </w:r>
      <w:r>
        <w:t>ial PTR participants</w:t>
      </w:r>
      <w:r w:rsidR="006348AC">
        <w:t xml:space="preserve">. </w:t>
      </w:r>
      <w:r w:rsidR="00C039C7">
        <w:t xml:space="preserve">The </w:t>
      </w:r>
      <w:r>
        <w:t>PTR</w:t>
      </w:r>
      <w:r w:rsidR="006348AC">
        <w:t xml:space="preserve"> program i</w:t>
      </w:r>
      <w:r w:rsidR="00880371">
        <w:t>s a default</w:t>
      </w:r>
      <w:r w:rsidR="00EB6C44">
        <w:t>,</w:t>
      </w:r>
      <w:r w:rsidR="00880371">
        <w:t xml:space="preserve"> rebate-</w:t>
      </w:r>
      <w:r w:rsidR="006348AC">
        <w:t>only</w:t>
      </w:r>
      <w:r w:rsidR="00EB6C44">
        <w:t>,</w:t>
      </w:r>
      <w:r w:rsidR="006348AC">
        <w:t xml:space="preserve"> dynamic pricing rate on which participants are paid a rebate for each kWh of energy that they reduce below their </w:t>
      </w:r>
      <w:r w:rsidR="0071773B">
        <w:t xml:space="preserve">customer specific reference level on </w:t>
      </w:r>
      <w:r>
        <w:t>PTR event days</w:t>
      </w:r>
      <w:r w:rsidR="0071773B">
        <w:t xml:space="preserve">. </w:t>
      </w:r>
    </w:p>
    <w:p w:rsidR="00F51F81" w:rsidRPr="00F51F81" w:rsidRDefault="0071773B" w:rsidP="00B4207A">
      <w:pPr>
        <w:pStyle w:val="BodyText"/>
      </w:pPr>
      <w:r>
        <w:t xml:space="preserve">While all </w:t>
      </w:r>
      <w:r w:rsidR="000C7595">
        <w:t>of SDG&amp;E’s 112,199</w:t>
      </w:r>
      <w:r w:rsidR="00880371">
        <w:t xml:space="preserve"> </w:t>
      </w:r>
      <w:r>
        <w:t>small commercial customers are</w:t>
      </w:r>
      <w:r w:rsidR="00880371">
        <w:t xml:space="preserve"> considered participants</w:t>
      </w:r>
      <w:r w:rsidR="00A95830">
        <w:t xml:space="preserve"> in the PTR program</w:t>
      </w:r>
      <w:r>
        <w:t>, not all of the customers received not</w:t>
      </w:r>
      <w:r w:rsidR="00A95830">
        <w:t>ification of PTR Events</w:t>
      </w:r>
      <w:r>
        <w:t>. Two groups of cu</w:t>
      </w:r>
      <w:r w:rsidR="00A95830">
        <w:t>stomers received event</w:t>
      </w:r>
      <w:r>
        <w:t xml:space="preserve"> notifications, those that are </w:t>
      </w:r>
      <w:r w:rsidR="003636FD">
        <w:t>My Account</w:t>
      </w:r>
      <w:r>
        <w:t xml:space="preserve"> users, and those that specifically requ</w:t>
      </w:r>
      <w:r w:rsidR="00880371">
        <w:t>ested to be notified of events</w:t>
      </w:r>
      <w:r w:rsidR="003636FD">
        <w:t>, known as Opt-in Alert participants</w:t>
      </w:r>
      <w:r w:rsidR="00880371">
        <w:t xml:space="preserve">. Approximately </w:t>
      </w:r>
      <w:r w:rsidR="000C7595">
        <w:t>37,077 (33</w:t>
      </w:r>
      <w:r w:rsidR="00880371">
        <w:t xml:space="preserve">%) of </w:t>
      </w:r>
      <w:r w:rsidR="00B4207A">
        <w:t xml:space="preserve"> SDG&amp;E’s </w:t>
      </w:r>
      <w:r w:rsidR="00880371">
        <w:t xml:space="preserve">small commercial customers </w:t>
      </w:r>
      <w:r w:rsidR="00B4207A">
        <w:t>received notifications through th</w:t>
      </w:r>
      <w:r w:rsidR="00253250">
        <w:t xml:space="preserve">eir </w:t>
      </w:r>
      <w:r w:rsidR="003636FD">
        <w:t>My Account</w:t>
      </w:r>
      <w:r w:rsidR="00253250">
        <w:t xml:space="preserve"> email account and</w:t>
      </w:r>
      <w:r w:rsidR="00880371">
        <w:t xml:space="preserve"> </w:t>
      </w:r>
      <w:r w:rsidR="003636FD">
        <w:t>341</w:t>
      </w:r>
      <w:r w:rsidR="00B4207A">
        <w:t xml:space="preserve"> requested notification either through email or text message.  </w:t>
      </w:r>
    </w:p>
    <w:p w:rsidR="00E20B04" w:rsidRPr="00D7742C" w:rsidRDefault="00E20B04" w:rsidP="00F851EE">
      <w:pPr>
        <w:pStyle w:val="BodyText"/>
      </w:pPr>
      <w:r>
        <w:t xml:space="preserve">This report includes </w:t>
      </w:r>
      <w:r w:rsidR="00F851EE">
        <w:t xml:space="preserve">the </w:t>
      </w:r>
      <w:r w:rsidR="00547A3B" w:rsidRPr="009A6724">
        <w:rPr>
          <w:i/>
        </w:rPr>
        <w:t>ex-post</w:t>
      </w:r>
      <w:r w:rsidR="00547A3B">
        <w:t xml:space="preserve"> </w:t>
      </w:r>
      <w:r w:rsidR="00F851EE">
        <w:t>impact</w:t>
      </w:r>
      <w:r w:rsidR="00547A3B">
        <w:t xml:space="preserve"> estimates for the</w:t>
      </w:r>
      <w:r w:rsidR="00A95830">
        <w:t xml:space="preserve"> small commercial PTR</w:t>
      </w:r>
      <w:r w:rsidR="00547A3B">
        <w:t xml:space="preserve"> participants. We also include a summary of the total a</w:t>
      </w:r>
      <w:r w:rsidR="009A6724">
        <w:t>mount of r</w:t>
      </w:r>
      <w:r w:rsidR="00A95830">
        <w:t>ebates</w:t>
      </w:r>
      <w:r w:rsidR="00547A3B">
        <w:t xml:space="preserve"> paid through the rate. </w:t>
      </w:r>
      <w:r w:rsidR="008D37A5">
        <w:t xml:space="preserve"> </w:t>
      </w:r>
    </w:p>
    <w:p w:rsidR="00E20B04" w:rsidRPr="00D7742C" w:rsidRDefault="00E139B5" w:rsidP="00C226D1">
      <w:pPr>
        <w:pStyle w:val="Heading2"/>
      </w:pPr>
      <w:bookmarkStart w:id="14" w:name="_Toc283126346"/>
      <w:bookmarkStart w:id="15" w:name="_Toc351363727"/>
      <w:bookmarkStart w:id="16" w:name="_Toc283126345"/>
      <w:r>
        <w:t>Peak Time Rebate</w:t>
      </w:r>
      <w:r w:rsidR="00841B84">
        <w:t xml:space="preserve"> Program Description</w:t>
      </w:r>
      <w:bookmarkEnd w:id="14"/>
      <w:bookmarkEnd w:id="15"/>
    </w:p>
    <w:bookmarkEnd w:id="16"/>
    <w:p w:rsidR="00A67CE7" w:rsidRDefault="00880371" w:rsidP="00A67CE7">
      <w:pPr>
        <w:pStyle w:val="BodyText"/>
      </w:pPr>
      <w:r>
        <w:t xml:space="preserve">The SDG&amp;E </w:t>
      </w:r>
      <w:r w:rsidR="00241477">
        <w:t>small c</w:t>
      </w:r>
      <w:r w:rsidR="00A95830">
        <w:t>ommercial PTR</w:t>
      </w:r>
      <w:r>
        <w:t xml:space="preserve"> program </w:t>
      </w:r>
      <w:r w:rsidR="00A67CE7">
        <w:t xml:space="preserve">was authorized by the </w:t>
      </w:r>
      <w:r w:rsidR="00A67CE7" w:rsidRPr="000D2337">
        <w:rPr>
          <w:bCs/>
        </w:rPr>
        <w:t xml:space="preserve">CPUC in </w:t>
      </w:r>
      <w:r w:rsidR="00A67CE7">
        <w:rPr>
          <w:bCs/>
        </w:rPr>
        <w:t>resolution E-4502 issued May 29</w:t>
      </w:r>
      <w:r w:rsidR="00A67CE7" w:rsidRPr="00C725F0">
        <w:rPr>
          <w:bCs/>
          <w:vertAlign w:val="superscript"/>
        </w:rPr>
        <w:t>th</w:t>
      </w:r>
      <w:r w:rsidR="00A67CE7">
        <w:rPr>
          <w:bCs/>
        </w:rPr>
        <w:t xml:space="preserve"> 2012 due to the fact that both Unit 2 and Unit 3 of SONGS </w:t>
      </w:r>
      <w:r w:rsidR="003636FD">
        <w:rPr>
          <w:bCs/>
        </w:rPr>
        <w:t>were not operating last summer.</w:t>
      </w:r>
      <w:r w:rsidR="00EB6C44">
        <w:rPr>
          <w:bCs/>
        </w:rPr>
        <w:t xml:space="preserve"> </w:t>
      </w:r>
      <w:r w:rsidR="000C7595">
        <w:t>Approximately 112,199</w:t>
      </w:r>
      <w:r w:rsidR="00A67CE7">
        <w:t xml:space="preserve"> small comme</w:t>
      </w:r>
      <w:r>
        <w:t>rcial premises were</w:t>
      </w:r>
      <w:r w:rsidR="00A67CE7" w:rsidRPr="000D2337">
        <w:t xml:space="preserve"> </w:t>
      </w:r>
      <w:r w:rsidR="00A67CE7">
        <w:t xml:space="preserve">automatically enrolled in the </w:t>
      </w:r>
      <w:r w:rsidR="00A95830">
        <w:t>PTR</w:t>
      </w:r>
      <w:r>
        <w:t xml:space="preserve"> program in July of 2012. </w:t>
      </w:r>
      <w:r w:rsidR="00A67CE7">
        <w:t xml:space="preserve"> In addition, a subset of approximately</w:t>
      </w:r>
      <w:r w:rsidR="003636FD">
        <w:t xml:space="preserve"> 341 customers </w:t>
      </w:r>
      <w:r w:rsidR="00A67CE7">
        <w:t>requested to be notified by e-mail or text alert when PTR events occur. The prog</w:t>
      </w:r>
      <w:r w:rsidR="003636FD">
        <w:t xml:space="preserve">ram was </w:t>
      </w:r>
      <w:r w:rsidR="00A67CE7">
        <w:t>scheduled to end on December 31</w:t>
      </w:r>
      <w:r w:rsidR="00A67CE7" w:rsidRPr="00C725F0">
        <w:rPr>
          <w:vertAlign w:val="superscript"/>
        </w:rPr>
        <w:t>st</w:t>
      </w:r>
      <w:r w:rsidR="00A67CE7">
        <w:t xml:space="preserve"> 2012</w:t>
      </w:r>
      <w:r w:rsidR="009A6724">
        <w:t xml:space="preserve"> and SDG&amp;E is not currently seeking to continue the program past that date</w:t>
      </w:r>
      <w:r>
        <w:t>.</w:t>
      </w:r>
    </w:p>
    <w:p w:rsidR="00A67CE7" w:rsidRPr="000D2337" w:rsidRDefault="00A67CE7" w:rsidP="00A67CE7">
      <w:pPr>
        <w:pStyle w:val="BodyText"/>
      </w:pPr>
      <w:r w:rsidRPr="000D2337">
        <w:t xml:space="preserve">The </w:t>
      </w:r>
      <w:r w:rsidR="00A95830">
        <w:t>PTR</w:t>
      </w:r>
      <w:r w:rsidR="00880371">
        <w:t xml:space="preserve"> program</w:t>
      </w:r>
      <w:r>
        <w:t xml:space="preserve"> </w:t>
      </w:r>
      <w:r w:rsidRPr="000D2337">
        <w:t>provi</w:t>
      </w:r>
      <w:r>
        <w:t>des small commercial</w:t>
      </w:r>
      <w:r w:rsidRPr="000D2337">
        <w:t xml:space="preserve"> customers the opportunity to earn a bill credit for lo</w:t>
      </w:r>
      <w:r w:rsidR="00880371">
        <w:t xml:space="preserve">wering their consumption during events. For those that receive notification, the program </w:t>
      </w:r>
      <w:r w:rsidRPr="000D2337">
        <w:t>p</w:t>
      </w:r>
      <w:r w:rsidR="00880371">
        <w:t xml:space="preserve">rovides customers with day-ahead notification of an event. In emergency situations, an </w:t>
      </w:r>
      <w:r w:rsidRPr="000D2337">
        <w:t>event can be called on a day-of basis, but day-of events are not the primary design or intended use of the program.</w:t>
      </w:r>
      <w:r>
        <w:t xml:space="preserve"> </w:t>
      </w:r>
      <w:r w:rsidR="003D0B10">
        <w:t>There is no maximum number of PT</w:t>
      </w:r>
      <w:r w:rsidR="00A95830">
        <w:t>R events that can be called, but the</w:t>
      </w:r>
      <w:r w:rsidR="003D0B10">
        <w:t xml:space="preserve"> incentive payments were designed assuming that an average of nine events would be called each year</w:t>
      </w:r>
    </w:p>
    <w:p w:rsidR="004531A9" w:rsidRDefault="00A95830" w:rsidP="004531A9">
      <w:pPr>
        <w:pStyle w:val="BodyText"/>
      </w:pPr>
      <w:r>
        <w:t>The PTR</w:t>
      </w:r>
      <w:r w:rsidR="00880371">
        <w:t xml:space="preserve"> rate</w:t>
      </w:r>
      <w:r w:rsidR="00A67CE7">
        <w:t xml:space="preserve"> is a two-level incentive</w:t>
      </w:r>
      <w:r w:rsidR="00A67CE7" w:rsidRPr="000D2337">
        <w:t xml:space="preserve"> program, providing a basic incentive level ($0.75/kWh) to customers that reduce energy use through manual means and a</w:t>
      </w:r>
      <w:r w:rsidR="001A1A30">
        <w:t>n additional</w:t>
      </w:r>
      <w:r w:rsidR="00A67CE7" w:rsidRPr="000D2337">
        <w:t xml:space="preserve"> incentive ($1.25/kWh) to customers that reduce energy use through automated enabling technologies.  </w:t>
      </w:r>
      <w:r w:rsidR="00A67CE7">
        <w:t>In 2012 the only customer</w:t>
      </w:r>
      <w:r w:rsidR="00880371">
        <w:t>s</w:t>
      </w:r>
      <w:r w:rsidR="00A67CE7">
        <w:t xml:space="preserve"> who </w:t>
      </w:r>
      <w:r w:rsidR="00880371">
        <w:t>were</w:t>
      </w:r>
      <w:r w:rsidR="00A67CE7">
        <w:t xml:space="preserve"> eligible for the enabling technology credit </w:t>
      </w:r>
      <w:r w:rsidR="00880371">
        <w:t>were</w:t>
      </w:r>
      <w:r w:rsidR="00A67CE7">
        <w:t xml:space="preserve"> </w:t>
      </w:r>
      <w:r w:rsidR="003636FD">
        <w:t>those</w:t>
      </w:r>
      <w:r w:rsidR="00A67CE7">
        <w:t xml:space="preserve"> enrolled in the Summer Saver program.</w:t>
      </w:r>
      <w:r w:rsidR="00880371">
        <w:rPr>
          <w:rStyle w:val="FootnoteReference"/>
        </w:rPr>
        <w:footnoteReference w:id="1"/>
      </w:r>
      <w:r w:rsidR="00A67CE7">
        <w:t xml:space="preserve"> </w:t>
      </w:r>
      <w:r w:rsidR="004531A9">
        <w:t xml:space="preserve">The incentive is paid to customers through a bill credit that is calculated based on each customer’s </w:t>
      </w:r>
      <w:r w:rsidR="00A67CE7" w:rsidRPr="000D2337">
        <w:t>event day reduction in electric usage below their established customer-specific reference level (</w:t>
      </w:r>
      <w:smartTag w:uri="urn:schemas-microsoft-com:office:smarttags" w:element="stockticker">
        <w:r w:rsidR="00A67CE7" w:rsidRPr="000D2337">
          <w:t>CRL</w:t>
        </w:r>
      </w:smartTag>
      <w:r w:rsidR="00A67CE7" w:rsidRPr="000D2337">
        <w:t>).</w:t>
      </w:r>
      <w:r>
        <w:rPr>
          <w:rStyle w:val="FootnoteReference"/>
        </w:rPr>
        <w:footnoteReference w:id="2"/>
      </w:r>
      <w:r w:rsidR="004531A9" w:rsidRPr="004531A9">
        <w:t xml:space="preserve"> </w:t>
      </w:r>
    </w:p>
    <w:p w:rsidR="003D0B10" w:rsidRDefault="009A6724" w:rsidP="003D0B10">
      <w:pPr>
        <w:pStyle w:val="BodyText"/>
      </w:pPr>
      <w:r>
        <w:lastRenderedPageBreak/>
        <w:t>After being defaulted onto the rate, c</w:t>
      </w:r>
      <w:r w:rsidR="00A95830">
        <w:t>ustomers were</w:t>
      </w:r>
      <w:r w:rsidR="00EB6C44">
        <w:t xml:space="preserve"> </w:t>
      </w:r>
      <w:r w:rsidR="00A67CE7" w:rsidRPr="000D2337">
        <w:t xml:space="preserve">provided with a </w:t>
      </w:r>
      <w:r w:rsidR="00A95830">
        <w:t>PTR</w:t>
      </w:r>
      <w:r w:rsidR="00A67CE7" w:rsidRPr="000D2337">
        <w:t xml:space="preserve"> education k</w:t>
      </w:r>
      <w:r w:rsidR="003D0B10">
        <w:t>it including information on the</w:t>
      </w:r>
      <w:r w:rsidR="00A67CE7" w:rsidRPr="000D2337">
        <w:t xml:space="preserve"> program, how they can earn a rebate on event days and the benefit of</w:t>
      </w:r>
      <w:r>
        <w:t xml:space="preserve"> </w:t>
      </w:r>
      <w:r w:rsidR="00A67CE7" w:rsidRPr="000D2337">
        <w:t>enrolling for event notifications.  The intent of the information is to assist customers in achieving the bill credit</w:t>
      </w:r>
      <w:r w:rsidR="003D0B10">
        <w:t xml:space="preserve">.  The education kit </w:t>
      </w:r>
      <w:r w:rsidR="00A67CE7" w:rsidRPr="000D2337">
        <w:t>encourage</w:t>
      </w:r>
      <w:r w:rsidR="003D0B10">
        <w:t>d</w:t>
      </w:r>
      <w:r w:rsidR="00A67CE7" w:rsidRPr="000D2337">
        <w:t xml:space="preserve"> customers to sign up for day-ahead electronic notifications of event days throu</w:t>
      </w:r>
      <w:r w:rsidR="00A67CE7">
        <w:t>gh e-mail and</w:t>
      </w:r>
      <w:r w:rsidR="00241477">
        <w:t>/or</w:t>
      </w:r>
      <w:r w:rsidR="00A67CE7">
        <w:t xml:space="preserve"> text.</w:t>
      </w:r>
      <w:r w:rsidR="00A67CE7" w:rsidRPr="000D2337">
        <w:t xml:space="preserve"> </w:t>
      </w:r>
      <w:r w:rsidR="003D0B10">
        <w:t xml:space="preserve">The kit also includes information on how to access information about their consumption history, CRL, event performance, and rebate calculation through </w:t>
      </w:r>
      <w:r w:rsidR="003D0B10" w:rsidRPr="000D2337">
        <w:t>participation through web presentment, e-</w:t>
      </w:r>
      <w:r w:rsidR="003D0B10">
        <w:t>mail, and on their energy bill.</w:t>
      </w:r>
    </w:p>
    <w:p w:rsidR="002D46E3" w:rsidRDefault="000A2965" w:rsidP="002D46E3">
      <w:pPr>
        <w:pStyle w:val="Heading2"/>
      </w:pPr>
      <w:bookmarkStart w:id="17" w:name="_Toc351363728"/>
      <w:r>
        <w:t>Participant Characteristics</w:t>
      </w:r>
      <w:bookmarkEnd w:id="17"/>
    </w:p>
    <w:p w:rsidR="000A2965" w:rsidRDefault="00C760F9" w:rsidP="000A2965">
      <w:pPr>
        <w:pStyle w:val="BodyText"/>
      </w:pPr>
      <w:r>
        <w:t>Throughout the evaluation we will be looking at the small c</w:t>
      </w:r>
      <w:r w:rsidR="00241477">
        <w:t>ommercial participants in three</w:t>
      </w:r>
      <w:r>
        <w:t xml:space="preserve"> subgroups defined below:</w:t>
      </w:r>
      <w:r w:rsidR="00253250">
        <w:rPr>
          <w:rStyle w:val="FootnoteReference"/>
        </w:rPr>
        <w:footnoteReference w:id="3"/>
      </w:r>
    </w:p>
    <w:p w:rsidR="00C760F9" w:rsidRDefault="00241477" w:rsidP="00C25C32">
      <w:pPr>
        <w:pStyle w:val="BodyText"/>
        <w:numPr>
          <w:ilvl w:val="0"/>
          <w:numId w:val="26"/>
        </w:numPr>
      </w:pPr>
      <w:r>
        <w:t>Non-Notified Customers – T</w:t>
      </w:r>
      <w:r w:rsidR="00C760F9">
        <w:t>hese customers did not receive any official notifica</w:t>
      </w:r>
      <w:r w:rsidR="00D7217C">
        <w:t xml:space="preserve">tion of PTR event days </w:t>
      </w:r>
      <w:r w:rsidR="00C760F9">
        <w:t>from SDG&amp;E. It is possible</w:t>
      </w:r>
      <w:r w:rsidR="006066D4">
        <w:t xml:space="preserve"> however,</w:t>
      </w:r>
      <w:r w:rsidR="00C760F9">
        <w:t xml:space="preserve"> that these customers may have heard about PTR events from other indirect sources, such as news, word of mouth, or the internet. </w:t>
      </w:r>
    </w:p>
    <w:p w:rsidR="00F1776A" w:rsidRDefault="00F1776A" w:rsidP="00C25C32">
      <w:pPr>
        <w:pStyle w:val="BodyText"/>
        <w:numPr>
          <w:ilvl w:val="0"/>
          <w:numId w:val="26"/>
        </w:numPr>
      </w:pPr>
      <w:r>
        <w:t>My</w:t>
      </w:r>
      <w:r w:rsidR="003636FD">
        <w:t xml:space="preserve"> </w:t>
      </w:r>
      <w:r w:rsidR="00C760F9">
        <w:t xml:space="preserve">Account Customers – </w:t>
      </w:r>
      <w:r>
        <w:t>My</w:t>
      </w:r>
      <w:r w:rsidR="003636FD">
        <w:t xml:space="preserve"> </w:t>
      </w:r>
      <w:r>
        <w:t xml:space="preserve">Account is </w:t>
      </w:r>
      <w:r w:rsidR="003636FD">
        <w:t xml:space="preserve">SDG&amp;E’s web interface which allows customers to pay and manage bills </w:t>
      </w:r>
      <w:r>
        <w:t>online. T</w:t>
      </w:r>
      <w:r w:rsidR="00C760F9">
        <w:t xml:space="preserve">hese customers </w:t>
      </w:r>
      <w:r>
        <w:t>receive a default notification email through My</w:t>
      </w:r>
      <w:r w:rsidR="003636FD">
        <w:t xml:space="preserve"> </w:t>
      </w:r>
      <w:r>
        <w:t>Account.</w:t>
      </w:r>
    </w:p>
    <w:p w:rsidR="00C760F9" w:rsidRDefault="00ED4B68" w:rsidP="00C25C32">
      <w:pPr>
        <w:pStyle w:val="BodyText"/>
        <w:numPr>
          <w:ilvl w:val="0"/>
          <w:numId w:val="26"/>
        </w:numPr>
      </w:pPr>
      <w:r>
        <w:t>Opt-in Alert Customers</w:t>
      </w:r>
      <w:r w:rsidR="00241477">
        <w:t xml:space="preserve"> – T</w:t>
      </w:r>
      <w:r w:rsidR="00F1776A">
        <w:t xml:space="preserve">hese customers </w:t>
      </w:r>
      <w:r w:rsidR="00EB6C44">
        <w:t>requested to be notified of PTR events through</w:t>
      </w:r>
      <w:r w:rsidR="00B71905">
        <w:t xml:space="preserve"> email, or text</w:t>
      </w:r>
      <w:r w:rsidR="00F1776A">
        <w:t>.</w:t>
      </w:r>
    </w:p>
    <w:p w:rsidR="00EB6C44" w:rsidRDefault="00ED4B68" w:rsidP="00EB6C44">
      <w:pPr>
        <w:pStyle w:val="BodyText"/>
      </w:pPr>
      <w:r>
        <w:t>There are also two</w:t>
      </w:r>
      <w:r w:rsidR="00EB6C44">
        <w:t xml:space="preserve"> groups of customers that were specifically </w:t>
      </w:r>
      <w:r>
        <w:t xml:space="preserve">excluded from this evaluation; 284 net metering customers, and 4,005 </w:t>
      </w:r>
      <w:r w:rsidR="003636FD">
        <w:t xml:space="preserve">Summer </w:t>
      </w:r>
      <w:r w:rsidR="00EB6C44">
        <w:t>Saver participants</w:t>
      </w:r>
      <w:r>
        <w:t xml:space="preserve"> that will be evaluated separately in the Summer Saver evaluation.</w:t>
      </w:r>
    </w:p>
    <w:p w:rsidR="00E70D90" w:rsidRDefault="00ED4B68" w:rsidP="00EB6C44">
      <w:pPr>
        <w:pStyle w:val="BodyText"/>
      </w:pPr>
      <w:r>
        <w:t>Table 1-1 shows the number of customers and the average on-peak usage of t</w:t>
      </w:r>
      <w:r w:rsidR="00D7217C">
        <w:t>he customers in each of the three</w:t>
      </w:r>
      <w:r>
        <w:t xml:space="preserve"> groups</w:t>
      </w:r>
      <w:r w:rsidR="00A856DD">
        <w:t xml:space="preserve"> after excluding the Summer Saver and net metering customers</w:t>
      </w:r>
      <w:r>
        <w:t xml:space="preserve">. </w:t>
      </w:r>
    </w:p>
    <w:p w:rsidR="00A856DD" w:rsidRDefault="00A856DD" w:rsidP="00A856DD">
      <w:pPr>
        <w:pStyle w:val="TableCaption"/>
        <w:ind w:left="0" w:firstLine="0"/>
      </w:pPr>
      <w:bookmarkStart w:id="18" w:name="_Toc351364110"/>
      <w:r w:rsidRPr="005F25AF">
        <w:t xml:space="preserve">Table </w:t>
      </w:r>
      <w:r w:rsidR="00397D35" w:rsidRPr="005F25AF">
        <w:fldChar w:fldCharType="begin"/>
      </w:r>
      <w:r w:rsidRPr="005F25AF">
        <w:instrText xml:space="preserve"> STYLEREF  "Heading 1,Chap Num"  \* MERGEFORMAT </w:instrText>
      </w:r>
      <w:r w:rsidR="00397D35" w:rsidRPr="005F25AF">
        <w:fldChar w:fldCharType="end"/>
      </w:r>
      <w:fldSimple w:instr=" STYLEREF  &quot;Heading 1,Chap Num&quot; \n  \* MERGEFORMAT ">
        <w:r>
          <w:rPr>
            <w:noProof/>
          </w:rPr>
          <w:t>1</w:t>
        </w:r>
      </w:fldSimple>
      <w:r w:rsidRPr="005F25AF">
        <w:t>-</w:t>
      </w:r>
      <w:fldSimple w:instr=" SEQ Table\s 1 \* MERGEFORMAT ">
        <w:r>
          <w:rPr>
            <w:noProof/>
          </w:rPr>
          <w:t>1</w:t>
        </w:r>
      </w:fldSimple>
      <w:r w:rsidRPr="005F25AF">
        <w:tab/>
      </w:r>
      <w:r>
        <w:t>Customer Characteristics by Group</w:t>
      </w:r>
      <w:bookmarkEnd w:id="18"/>
    </w:p>
    <w:tbl>
      <w:tblPr>
        <w:tblW w:w="5000" w:type="pct"/>
        <w:tblLook w:val="04A0"/>
      </w:tblPr>
      <w:tblGrid>
        <w:gridCol w:w="3169"/>
        <w:gridCol w:w="3149"/>
        <w:gridCol w:w="2898"/>
      </w:tblGrid>
      <w:tr w:rsidR="00A856DD" w:rsidRPr="00A856DD" w:rsidTr="00A856DD">
        <w:trPr>
          <w:trHeight w:val="300"/>
        </w:trPr>
        <w:tc>
          <w:tcPr>
            <w:tcW w:w="1719" w:type="pct"/>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A856DD" w:rsidRPr="00A856DD" w:rsidRDefault="00A856DD" w:rsidP="00A856DD">
            <w:pPr>
              <w:jc w:val="center"/>
              <w:rPr>
                <w:rFonts w:ascii="Calibri" w:hAnsi="Calibri"/>
                <w:b/>
                <w:bCs/>
                <w:color w:val="FFFFFF"/>
                <w:szCs w:val="20"/>
              </w:rPr>
            </w:pPr>
            <w:r w:rsidRPr="00A856DD">
              <w:rPr>
                <w:rFonts w:ascii="Calibri" w:hAnsi="Calibri"/>
                <w:b/>
                <w:bCs/>
                <w:color w:val="FFFFFF"/>
                <w:szCs w:val="20"/>
              </w:rPr>
              <w:t>Customer Type</w:t>
            </w:r>
          </w:p>
        </w:tc>
        <w:tc>
          <w:tcPr>
            <w:tcW w:w="1708" w:type="pct"/>
            <w:tcBorders>
              <w:top w:val="single" w:sz="4" w:space="0" w:color="auto"/>
              <w:left w:val="nil"/>
              <w:bottom w:val="single" w:sz="4" w:space="0" w:color="auto"/>
              <w:right w:val="single" w:sz="4" w:space="0" w:color="auto"/>
            </w:tcBorders>
            <w:shd w:val="clear" w:color="000000" w:fill="1F497D"/>
            <w:noWrap/>
            <w:vAlign w:val="center"/>
            <w:hideMark/>
          </w:tcPr>
          <w:p w:rsidR="00A856DD" w:rsidRPr="00A856DD" w:rsidRDefault="00A856DD" w:rsidP="00A856DD">
            <w:pPr>
              <w:jc w:val="center"/>
              <w:rPr>
                <w:rFonts w:ascii="Calibri" w:hAnsi="Calibri"/>
                <w:b/>
                <w:bCs/>
                <w:color w:val="FFFFFF"/>
                <w:szCs w:val="20"/>
              </w:rPr>
            </w:pPr>
            <w:r w:rsidRPr="00A856DD">
              <w:rPr>
                <w:rFonts w:ascii="Calibri" w:hAnsi="Calibri"/>
                <w:b/>
                <w:bCs/>
                <w:color w:val="FFFFFF"/>
                <w:szCs w:val="20"/>
              </w:rPr>
              <w:t>Number of Customers</w:t>
            </w:r>
          </w:p>
        </w:tc>
        <w:tc>
          <w:tcPr>
            <w:tcW w:w="1572" w:type="pct"/>
            <w:tcBorders>
              <w:top w:val="single" w:sz="4" w:space="0" w:color="auto"/>
              <w:left w:val="nil"/>
              <w:bottom w:val="single" w:sz="4" w:space="0" w:color="auto"/>
              <w:right w:val="single" w:sz="4" w:space="0" w:color="auto"/>
            </w:tcBorders>
            <w:shd w:val="clear" w:color="000000" w:fill="1F497D"/>
            <w:noWrap/>
            <w:vAlign w:val="center"/>
            <w:hideMark/>
          </w:tcPr>
          <w:p w:rsidR="00A856DD" w:rsidRPr="00A856DD" w:rsidRDefault="00A856DD" w:rsidP="00A856DD">
            <w:pPr>
              <w:jc w:val="center"/>
              <w:rPr>
                <w:rFonts w:ascii="Calibri" w:hAnsi="Calibri"/>
                <w:b/>
                <w:bCs/>
                <w:color w:val="FFFFFF"/>
                <w:szCs w:val="20"/>
              </w:rPr>
            </w:pPr>
            <w:r w:rsidRPr="00A856DD">
              <w:rPr>
                <w:rFonts w:ascii="Calibri" w:hAnsi="Calibri"/>
                <w:b/>
                <w:bCs/>
                <w:color w:val="FFFFFF"/>
                <w:szCs w:val="20"/>
              </w:rPr>
              <w:t>Average on-peak kW</w:t>
            </w:r>
          </w:p>
        </w:tc>
      </w:tr>
      <w:tr w:rsidR="00A856DD" w:rsidRPr="00A856DD" w:rsidTr="00A856DD">
        <w:trPr>
          <w:trHeight w:val="300"/>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A856DD" w:rsidRPr="00A856DD" w:rsidRDefault="00A856DD" w:rsidP="00A856DD">
            <w:pPr>
              <w:jc w:val="center"/>
              <w:rPr>
                <w:rFonts w:ascii="Calibri" w:hAnsi="Calibri"/>
                <w:color w:val="000000"/>
                <w:szCs w:val="20"/>
              </w:rPr>
            </w:pPr>
            <w:r w:rsidRPr="00A856DD">
              <w:rPr>
                <w:rFonts w:ascii="Calibri" w:hAnsi="Calibri"/>
                <w:color w:val="000000"/>
                <w:szCs w:val="20"/>
              </w:rPr>
              <w:t>No Notification</w:t>
            </w:r>
          </w:p>
        </w:tc>
        <w:tc>
          <w:tcPr>
            <w:tcW w:w="1708" w:type="pct"/>
            <w:tcBorders>
              <w:top w:val="nil"/>
              <w:left w:val="nil"/>
              <w:bottom w:val="single" w:sz="4" w:space="0" w:color="auto"/>
              <w:right w:val="single" w:sz="4" w:space="0" w:color="auto"/>
            </w:tcBorders>
            <w:shd w:val="clear" w:color="auto" w:fill="auto"/>
            <w:noWrap/>
            <w:vAlign w:val="center"/>
            <w:hideMark/>
          </w:tcPr>
          <w:p w:rsidR="00A856DD" w:rsidRPr="00A856DD" w:rsidRDefault="00A856DD" w:rsidP="00A856DD">
            <w:pPr>
              <w:jc w:val="center"/>
              <w:rPr>
                <w:rFonts w:ascii="Calibri" w:hAnsi="Calibri"/>
                <w:color w:val="000000"/>
                <w:szCs w:val="20"/>
              </w:rPr>
            </w:pPr>
            <w:r w:rsidRPr="00A856DD">
              <w:rPr>
                <w:rFonts w:ascii="Calibri" w:hAnsi="Calibri"/>
                <w:color w:val="000000"/>
                <w:szCs w:val="20"/>
              </w:rPr>
              <w:t>72,452</w:t>
            </w:r>
          </w:p>
        </w:tc>
        <w:tc>
          <w:tcPr>
            <w:tcW w:w="1572" w:type="pct"/>
            <w:tcBorders>
              <w:top w:val="nil"/>
              <w:left w:val="nil"/>
              <w:bottom w:val="single" w:sz="4" w:space="0" w:color="auto"/>
              <w:right w:val="single" w:sz="4" w:space="0" w:color="auto"/>
            </w:tcBorders>
            <w:shd w:val="clear" w:color="auto" w:fill="auto"/>
            <w:noWrap/>
            <w:vAlign w:val="center"/>
            <w:hideMark/>
          </w:tcPr>
          <w:p w:rsidR="00A856DD" w:rsidRPr="00A856DD" w:rsidRDefault="00A856DD" w:rsidP="00A856DD">
            <w:pPr>
              <w:jc w:val="center"/>
              <w:rPr>
                <w:rFonts w:ascii="Calibri" w:hAnsi="Calibri"/>
                <w:color w:val="000000"/>
                <w:szCs w:val="20"/>
              </w:rPr>
            </w:pPr>
            <w:r w:rsidRPr="00A856DD">
              <w:rPr>
                <w:rFonts w:ascii="Calibri" w:hAnsi="Calibri"/>
                <w:color w:val="000000"/>
                <w:szCs w:val="20"/>
              </w:rPr>
              <w:t>3.94</w:t>
            </w:r>
          </w:p>
        </w:tc>
      </w:tr>
      <w:tr w:rsidR="00A856DD" w:rsidRPr="00A856DD" w:rsidTr="00A856DD">
        <w:trPr>
          <w:trHeight w:val="300"/>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A856DD" w:rsidRPr="00A856DD" w:rsidRDefault="00A856DD" w:rsidP="00A856DD">
            <w:pPr>
              <w:jc w:val="center"/>
              <w:rPr>
                <w:rFonts w:ascii="Calibri" w:hAnsi="Calibri"/>
                <w:color w:val="000000"/>
                <w:szCs w:val="20"/>
              </w:rPr>
            </w:pPr>
            <w:r w:rsidRPr="00A856DD">
              <w:rPr>
                <w:rFonts w:ascii="Calibri" w:hAnsi="Calibri"/>
                <w:color w:val="000000"/>
                <w:szCs w:val="20"/>
              </w:rPr>
              <w:t>My Account</w:t>
            </w:r>
          </w:p>
        </w:tc>
        <w:tc>
          <w:tcPr>
            <w:tcW w:w="1708" w:type="pct"/>
            <w:tcBorders>
              <w:top w:val="nil"/>
              <w:left w:val="nil"/>
              <w:bottom w:val="single" w:sz="4" w:space="0" w:color="auto"/>
              <w:right w:val="single" w:sz="4" w:space="0" w:color="auto"/>
            </w:tcBorders>
            <w:shd w:val="clear" w:color="auto" w:fill="auto"/>
            <w:noWrap/>
            <w:vAlign w:val="center"/>
            <w:hideMark/>
          </w:tcPr>
          <w:p w:rsidR="00A856DD" w:rsidRPr="00A856DD" w:rsidRDefault="00A856DD" w:rsidP="00A856DD">
            <w:pPr>
              <w:jc w:val="center"/>
              <w:rPr>
                <w:rFonts w:ascii="Calibri" w:hAnsi="Calibri"/>
                <w:color w:val="000000"/>
                <w:szCs w:val="20"/>
              </w:rPr>
            </w:pPr>
            <w:r w:rsidRPr="00A856DD">
              <w:rPr>
                <w:rFonts w:ascii="Calibri" w:hAnsi="Calibri"/>
                <w:color w:val="000000"/>
                <w:szCs w:val="20"/>
              </w:rPr>
              <w:t>35,125</w:t>
            </w:r>
          </w:p>
        </w:tc>
        <w:tc>
          <w:tcPr>
            <w:tcW w:w="1572" w:type="pct"/>
            <w:tcBorders>
              <w:top w:val="nil"/>
              <w:left w:val="nil"/>
              <w:bottom w:val="single" w:sz="4" w:space="0" w:color="auto"/>
              <w:right w:val="single" w:sz="4" w:space="0" w:color="auto"/>
            </w:tcBorders>
            <w:shd w:val="clear" w:color="auto" w:fill="auto"/>
            <w:noWrap/>
            <w:vAlign w:val="center"/>
            <w:hideMark/>
          </w:tcPr>
          <w:p w:rsidR="00A856DD" w:rsidRPr="00A856DD" w:rsidRDefault="00A856DD" w:rsidP="00A856DD">
            <w:pPr>
              <w:jc w:val="center"/>
              <w:rPr>
                <w:rFonts w:ascii="Calibri" w:hAnsi="Calibri"/>
                <w:color w:val="000000"/>
                <w:szCs w:val="20"/>
              </w:rPr>
            </w:pPr>
            <w:r w:rsidRPr="00A856DD">
              <w:rPr>
                <w:rFonts w:ascii="Calibri" w:hAnsi="Calibri"/>
                <w:color w:val="000000"/>
                <w:szCs w:val="20"/>
              </w:rPr>
              <w:t>4.82</w:t>
            </w:r>
          </w:p>
        </w:tc>
      </w:tr>
      <w:tr w:rsidR="00A856DD" w:rsidRPr="00A856DD" w:rsidTr="00A856DD">
        <w:trPr>
          <w:trHeight w:val="300"/>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A856DD" w:rsidRPr="00A856DD" w:rsidRDefault="00A856DD" w:rsidP="00A856DD">
            <w:pPr>
              <w:jc w:val="center"/>
              <w:rPr>
                <w:rFonts w:ascii="Calibri" w:hAnsi="Calibri"/>
                <w:color w:val="000000"/>
                <w:szCs w:val="20"/>
              </w:rPr>
            </w:pPr>
            <w:r w:rsidRPr="00A856DD">
              <w:rPr>
                <w:rFonts w:ascii="Calibri" w:hAnsi="Calibri"/>
                <w:color w:val="000000"/>
                <w:szCs w:val="20"/>
              </w:rPr>
              <w:t>Opt-in Alerts</w:t>
            </w:r>
          </w:p>
        </w:tc>
        <w:tc>
          <w:tcPr>
            <w:tcW w:w="1708" w:type="pct"/>
            <w:tcBorders>
              <w:top w:val="nil"/>
              <w:left w:val="nil"/>
              <w:bottom w:val="single" w:sz="4" w:space="0" w:color="auto"/>
              <w:right w:val="single" w:sz="4" w:space="0" w:color="auto"/>
            </w:tcBorders>
            <w:shd w:val="clear" w:color="auto" w:fill="auto"/>
            <w:noWrap/>
            <w:vAlign w:val="center"/>
            <w:hideMark/>
          </w:tcPr>
          <w:p w:rsidR="00A856DD" w:rsidRPr="00A856DD" w:rsidRDefault="00A856DD" w:rsidP="00A856DD">
            <w:pPr>
              <w:jc w:val="center"/>
              <w:rPr>
                <w:rFonts w:ascii="Calibri" w:hAnsi="Calibri"/>
                <w:color w:val="000000"/>
                <w:szCs w:val="20"/>
              </w:rPr>
            </w:pPr>
            <w:r w:rsidRPr="00A856DD">
              <w:rPr>
                <w:rFonts w:ascii="Calibri" w:hAnsi="Calibri"/>
                <w:color w:val="000000"/>
                <w:szCs w:val="20"/>
              </w:rPr>
              <w:t>341</w:t>
            </w:r>
          </w:p>
        </w:tc>
        <w:tc>
          <w:tcPr>
            <w:tcW w:w="1572" w:type="pct"/>
            <w:tcBorders>
              <w:top w:val="nil"/>
              <w:left w:val="nil"/>
              <w:bottom w:val="single" w:sz="4" w:space="0" w:color="auto"/>
              <w:right w:val="single" w:sz="4" w:space="0" w:color="auto"/>
            </w:tcBorders>
            <w:shd w:val="clear" w:color="auto" w:fill="auto"/>
            <w:noWrap/>
            <w:vAlign w:val="center"/>
            <w:hideMark/>
          </w:tcPr>
          <w:p w:rsidR="00A856DD" w:rsidRPr="00A856DD" w:rsidRDefault="00A856DD" w:rsidP="00A856DD">
            <w:pPr>
              <w:jc w:val="center"/>
              <w:rPr>
                <w:rFonts w:ascii="Calibri" w:hAnsi="Calibri"/>
                <w:color w:val="000000"/>
                <w:szCs w:val="20"/>
              </w:rPr>
            </w:pPr>
            <w:r w:rsidRPr="00A856DD">
              <w:rPr>
                <w:rFonts w:ascii="Calibri" w:hAnsi="Calibri"/>
                <w:color w:val="000000"/>
                <w:szCs w:val="20"/>
              </w:rPr>
              <w:t>3.56</w:t>
            </w:r>
          </w:p>
        </w:tc>
      </w:tr>
      <w:tr w:rsidR="00A856DD" w:rsidRPr="00A856DD" w:rsidTr="00A856DD">
        <w:trPr>
          <w:trHeight w:val="300"/>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A856DD" w:rsidRPr="00A856DD" w:rsidRDefault="00A856DD" w:rsidP="00A856DD">
            <w:pPr>
              <w:jc w:val="center"/>
              <w:rPr>
                <w:rFonts w:ascii="Calibri" w:hAnsi="Calibri"/>
                <w:color w:val="000000"/>
                <w:szCs w:val="20"/>
              </w:rPr>
            </w:pPr>
            <w:r w:rsidRPr="00A856DD">
              <w:rPr>
                <w:rFonts w:ascii="Calibri" w:hAnsi="Calibri"/>
                <w:color w:val="000000"/>
                <w:szCs w:val="20"/>
              </w:rPr>
              <w:t>All Small Commercial</w:t>
            </w:r>
          </w:p>
        </w:tc>
        <w:tc>
          <w:tcPr>
            <w:tcW w:w="1708" w:type="pct"/>
            <w:tcBorders>
              <w:top w:val="nil"/>
              <w:left w:val="nil"/>
              <w:bottom w:val="single" w:sz="4" w:space="0" w:color="auto"/>
              <w:right w:val="single" w:sz="4" w:space="0" w:color="auto"/>
            </w:tcBorders>
            <w:shd w:val="clear" w:color="auto" w:fill="auto"/>
            <w:noWrap/>
            <w:vAlign w:val="center"/>
            <w:hideMark/>
          </w:tcPr>
          <w:p w:rsidR="00A856DD" w:rsidRPr="00A856DD" w:rsidRDefault="00A856DD" w:rsidP="00A856DD">
            <w:pPr>
              <w:jc w:val="center"/>
              <w:rPr>
                <w:rFonts w:ascii="Calibri" w:hAnsi="Calibri"/>
                <w:color w:val="000000"/>
                <w:szCs w:val="20"/>
              </w:rPr>
            </w:pPr>
            <w:r w:rsidRPr="00A856DD">
              <w:rPr>
                <w:rFonts w:ascii="Calibri" w:hAnsi="Calibri"/>
                <w:color w:val="000000"/>
                <w:szCs w:val="20"/>
              </w:rPr>
              <w:t>107,918</w:t>
            </w:r>
          </w:p>
        </w:tc>
        <w:tc>
          <w:tcPr>
            <w:tcW w:w="1572" w:type="pct"/>
            <w:tcBorders>
              <w:top w:val="nil"/>
              <w:left w:val="nil"/>
              <w:bottom w:val="single" w:sz="4" w:space="0" w:color="auto"/>
              <w:right w:val="single" w:sz="4" w:space="0" w:color="auto"/>
            </w:tcBorders>
            <w:shd w:val="clear" w:color="auto" w:fill="auto"/>
            <w:noWrap/>
            <w:vAlign w:val="center"/>
            <w:hideMark/>
          </w:tcPr>
          <w:p w:rsidR="00A856DD" w:rsidRPr="00A856DD" w:rsidRDefault="00A856DD" w:rsidP="00A856DD">
            <w:pPr>
              <w:jc w:val="center"/>
              <w:rPr>
                <w:rFonts w:ascii="Calibri" w:hAnsi="Calibri"/>
                <w:color w:val="000000"/>
                <w:szCs w:val="20"/>
              </w:rPr>
            </w:pPr>
            <w:r w:rsidRPr="00A856DD">
              <w:rPr>
                <w:rFonts w:ascii="Calibri" w:hAnsi="Calibri"/>
                <w:color w:val="000000"/>
                <w:szCs w:val="20"/>
              </w:rPr>
              <w:t>4.02</w:t>
            </w:r>
          </w:p>
        </w:tc>
      </w:tr>
    </w:tbl>
    <w:p w:rsidR="00A856DD" w:rsidRDefault="00A856DD" w:rsidP="00EB6C44">
      <w:pPr>
        <w:pStyle w:val="BodyText"/>
      </w:pPr>
    </w:p>
    <w:p w:rsidR="00C73E4D" w:rsidRDefault="00A856DD" w:rsidP="00EB6C44">
      <w:pPr>
        <w:pStyle w:val="BodyText"/>
      </w:pPr>
      <w:r>
        <w:t>The large majority of customers, 67%, did not receive any notification of PTR events.</w:t>
      </w:r>
      <w:r w:rsidR="007B7AED">
        <w:t xml:space="preserve"> </w:t>
      </w:r>
      <w:r w:rsidR="006066D4">
        <w:t>Nearly a third, a</w:t>
      </w:r>
      <w:r w:rsidR="007B7AED">
        <w:t>bout 32%</w:t>
      </w:r>
      <w:r w:rsidR="006066D4">
        <w:t xml:space="preserve">, of the customers </w:t>
      </w:r>
      <w:r w:rsidR="007B7AED">
        <w:t>receive</w:t>
      </w:r>
      <w:r w:rsidR="006066D4">
        <w:t>d an automated</w:t>
      </w:r>
      <w:r w:rsidR="007B7AED">
        <w:t xml:space="preserve"> no</w:t>
      </w:r>
      <w:r w:rsidR="006066D4">
        <w:t>tification of PTR events via</w:t>
      </w:r>
      <w:r w:rsidR="007B7AED">
        <w:t xml:space="preserve"> email </w:t>
      </w:r>
      <w:r w:rsidR="006066D4">
        <w:t xml:space="preserve">through </w:t>
      </w:r>
      <w:r w:rsidR="003636FD">
        <w:t>My Account</w:t>
      </w:r>
      <w:r w:rsidR="007B7AED">
        <w:t>. In addition</w:t>
      </w:r>
      <w:r w:rsidR="006066D4">
        <w:t>,</w:t>
      </w:r>
      <w:r w:rsidR="007B7AED">
        <w:t xml:space="preserve"> </w:t>
      </w:r>
      <w:r w:rsidR="003636FD">
        <w:t>My Account</w:t>
      </w:r>
      <w:r w:rsidR="007B7AED">
        <w:t xml:space="preserve"> users are in general larger users than the remainder of the population with an average on-peak KW of 4.82 vs. 4.02 for the entire cla</w:t>
      </w:r>
      <w:r w:rsidR="006066D4">
        <w:t>ss.  Only 341 customers</w:t>
      </w:r>
      <w:r w:rsidR="007B7AED">
        <w:t xml:space="preserve"> requested to be notified of PTR days, which </w:t>
      </w:r>
      <w:r w:rsidR="006066D4">
        <w:t>represents</w:t>
      </w:r>
      <w:r w:rsidR="007B7AED">
        <w:t xml:space="preserve"> about 0.3% of the small commercial customers. Those cu</w:t>
      </w:r>
      <w:r w:rsidR="006066D4">
        <w:t>stomers that signed up for the Opt-in A</w:t>
      </w:r>
      <w:r w:rsidR="007B7AED">
        <w:t>lerts are also</w:t>
      </w:r>
      <w:r w:rsidR="006066D4">
        <w:t>,</w:t>
      </w:r>
      <w:r w:rsidR="007B7AED">
        <w:t xml:space="preserve"> on average</w:t>
      </w:r>
      <w:r w:rsidR="006066D4">
        <w:t>,</w:t>
      </w:r>
      <w:r w:rsidR="007B7AED">
        <w:t xml:space="preserve"> smaller than the general population with an average on-peak kW of 3.56.</w:t>
      </w:r>
      <w:r w:rsidR="00C73E4D">
        <w:t xml:space="preserve"> Table 1-2 shows the number of customers that signed up for Opt-in Alerts throughout the summer of 2012 by month. </w:t>
      </w:r>
    </w:p>
    <w:p w:rsidR="006066D4" w:rsidRDefault="006066D4" w:rsidP="00EB6C44">
      <w:pPr>
        <w:pStyle w:val="BodyText"/>
      </w:pPr>
    </w:p>
    <w:p w:rsidR="00C73E4D" w:rsidRDefault="00C73E4D" w:rsidP="00C73E4D">
      <w:pPr>
        <w:pStyle w:val="TableCaption"/>
        <w:ind w:left="0" w:firstLine="0"/>
      </w:pPr>
      <w:r>
        <w:lastRenderedPageBreak/>
        <w:t xml:space="preserve"> </w:t>
      </w:r>
      <w:bookmarkStart w:id="19" w:name="_Toc351364111"/>
      <w:r w:rsidRPr="005F25AF">
        <w:t xml:space="preserve">Table </w:t>
      </w:r>
      <w:r w:rsidR="00397D35" w:rsidRPr="005F25AF">
        <w:fldChar w:fldCharType="begin"/>
      </w:r>
      <w:r w:rsidRPr="005F25AF">
        <w:instrText xml:space="preserve"> STYLEREF  "Heading 1,Chap Num"  \* MERGEFORMAT </w:instrText>
      </w:r>
      <w:r w:rsidR="00397D35" w:rsidRPr="005F25AF">
        <w:fldChar w:fldCharType="end"/>
      </w:r>
      <w:fldSimple w:instr=" STYLEREF  &quot;Heading 1,Chap Num&quot; \n  \* MERGEFORMAT ">
        <w:r>
          <w:rPr>
            <w:noProof/>
          </w:rPr>
          <w:t>1</w:t>
        </w:r>
      </w:fldSimple>
      <w:r w:rsidRPr="005F25AF">
        <w:t>-</w:t>
      </w:r>
      <w:fldSimple w:instr=" SEQ Table\s 1 \* MERGEFORMAT ">
        <w:r>
          <w:rPr>
            <w:noProof/>
          </w:rPr>
          <w:t>2</w:t>
        </w:r>
      </w:fldSimple>
      <w:r w:rsidRPr="005F25AF">
        <w:tab/>
      </w:r>
      <w:r>
        <w:t xml:space="preserve">Opt-In Alert </w:t>
      </w:r>
      <w:r w:rsidR="00251C4A">
        <w:t>Enrollments</w:t>
      </w:r>
      <w:r>
        <w:t xml:space="preserve"> by Month</w:t>
      </w:r>
      <w:bookmarkEnd w:id="19"/>
      <w:r>
        <w:t xml:space="preserve"> </w:t>
      </w:r>
    </w:p>
    <w:tbl>
      <w:tblPr>
        <w:tblW w:w="5166" w:type="dxa"/>
        <w:tblInd w:w="93" w:type="dxa"/>
        <w:tblLook w:val="04A0"/>
      </w:tblPr>
      <w:tblGrid>
        <w:gridCol w:w="2289"/>
        <w:gridCol w:w="2877"/>
      </w:tblGrid>
      <w:tr w:rsidR="00C73E4D" w:rsidRPr="00C73E4D" w:rsidTr="00C73E4D">
        <w:trPr>
          <w:trHeight w:val="291"/>
        </w:trPr>
        <w:tc>
          <w:tcPr>
            <w:tcW w:w="2289"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C73E4D" w:rsidRPr="00C73E4D" w:rsidRDefault="00C73E4D" w:rsidP="00C73E4D">
            <w:pPr>
              <w:jc w:val="center"/>
              <w:rPr>
                <w:rFonts w:ascii="Calibri" w:hAnsi="Calibri"/>
                <w:b/>
                <w:bCs/>
                <w:color w:val="FFFFFF"/>
                <w:szCs w:val="20"/>
              </w:rPr>
            </w:pPr>
            <w:r w:rsidRPr="00C73E4D">
              <w:rPr>
                <w:rFonts w:ascii="Calibri" w:hAnsi="Calibri"/>
                <w:b/>
                <w:bCs/>
                <w:color w:val="FFFFFF"/>
                <w:szCs w:val="20"/>
              </w:rPr>
              <w:t>Month</w:t>
            </w:r>
          </w:p>
        </w:tc>
        <w:tc>
          <w:tcPr>
            <w:tcW w:w="2877" w:type="dxa"/>
            <w:tcBorders>
              <w:top w:val="single" w:sz="4" w:space="0" w:color="auto"/>
              <w:left w:val="nil"/>
              <w:bottom w:val="single" w:sz="4" w:space="0" w:color="auto"/>
              <w:right w:val="single" w:sz="4" w:space="0" w:color="auto"/>
            </w:tcBorders>
            <w:shd w:val="clear" w:color="000000" w:fill="1F497D"/>
            <w:noWrap/>
            <w:vAlign w:val="center"/>
            <w:hideMark/>
          </w:tcPr>
          <w:p w:rsidR="00C73E4D" w:rsidRPr="00C73E4D" w:rsidRDefault="00C73E4D" w:rsidP="00C73E4D">
            <w:pPr>
              <w:jc w:val="center"/>
              <w:rPr>
                <w:rFonts w:ascii="Calibri" w:hAnsi="Calibri"/>
                <w:b/>
                <w:bCs/>
                <w:color w:val="FFFFFF"/>
                <w:szCs w:val="20"/>
              </w:rPr>
            </w:pPr>
            <w:r w:rsidRPr="00C73E4D">
              <w:rPr>
                <w:rFonts w:ascii="Calibri" w:hAnsi="Calibri"/>
                <w:b/>
                <w:bCs/>
                <w:color w:val="FFFFFF"/>
                <w:szCs w:val="20"/>
              </w:rPr>
              <w:t>Number of Participants</w:t>
            </w:r>
          </w:p>
        </w:tc>
      </w:tr>
      <w:tr w:rsidR="00C73E4D" w:rsidRPr="00C73E4D" w:rsidTr="00C73E4D">
        <w:trPr>
          <w:trHeight w:val="291"/>
        </w:trPr>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C73E4D" w:rsidRPr="00C73E4D" w:rsidRDefault="00C73E4D" w:rsidP="00C73E4D">
            <w:pPr>
              <w:jc w:val="center"/>
              <w:rPr>
                <w:rFonts w:ascii="Calibri" w:hAnsi="Calibri"/>
                <w:color w:val="000000"/>
                <w:szCs w:val="20"/>
              </w:rPr>
            </w:pPr>
            <w:r w:rsidRPr="00C73E4D">
              <w:rPr>
                <w:rFonts w:ascii="Calibri" w:hAnsi="Calibri"/>
                <w:color w:val="000000"/>
                <w:szCs w:val="20"/>
              </w:rPr>
              <w:t>Jun-12</w:t>
            </w:r>
          </w:p>
        </w:tc>
        <w:tc>
          <w:tcPr>
            <w:tcW w:w="2877" w:type="dxa"/>
            <w:tcBorders>
              <w:top w:val="nil"/>
              <w:left w:val="nil"/>
              <w:bottom w:val="single" w:sz="4" w:space="0" w:color="auto"/>
              <w:right w:val="single" w:sz="4" w:space="0" w:color="auto"/>
            </w:tcBorders>
            <w:shd w:val="clear" w:color="auto" w:fill="auto"/>
            <w:noWrap/>
            <w:vAlign w:val="center"/>
            <w:hideMark/>
          </w:tcPr>
          <w:p w:rsidR="00C73E4D" w:rsidRPr="00C73E4D" w:rsidRDefault="00C73E4D" w:rsidP="00C73E4D">
            <w:pPr>
              <w:jc w:val="center"/>
              <w:rPr>
                <w:rFonts w:ascii="Calibri" w:hAnsi="Calibri"/>
                <w:color w:val="000000"/>
                <w:szCs w:val="20"/>
              </w:rPr>
            </w:pPr>
            <w:r w:rsidRPr="00C73E4D">
              <w:rPr>
                <w:rFonts w:ascii="Calibri" w:hAnsi="Calibri"/>
                <w:color w:val="000000"/>
                <w:szCs w:val="20"/>
              </w:rPr>
              <w:t>76</w:t>
            </w:r>
          </w:p>
        </w:tc>
      </w:tr>
      <w:tr w:rsidR="00C73E4D" w:rsidRPr="00C73E4D" w:rsidTr="00C73E4D">
        <w:trPr>
          <w:trHeight w:val="291"/>
        </w:trPr>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C73E4D" w:rsidRPr="00C73E4D" w:rsidRDefault="00C73E4D" w:rsidP="00C73E4D">
            <w:pPr>
              <w:jc w:val="center"/>
              <w:rPr>
                <w:rFonts w:ascii="Calibri" w:hAnsi="Calibri"/>
                <w:color w:val="000000"/>
                <w:szCs w:val="20"/>
              </w:rPr>
            </w:pPr>
            <w:r w:rsidRPr="00C73E4D">
              <w:rPr>
                <w:rFonts w:ascii="Calibri" w:hAnsi="Calibri"/>
                <w:color w:val="000000"/>
                <w:szCs w:val="20"/>
              </w:rPr>
              <w:t>Jul-12</w:t>
            </w:r>
          </w:p>
        </w:tc>
        <w:tc>
          <w:tcPr>
            <w:tcW w:w="2877" w:type="dxa"/>
            <w:tcBorders>
              <w:top w:val="nil"/>
              <w:left w:val="nil"/>
              <w:bottom w:val="single" w:sz="4" w:space="0" w:color="auto"/>
              <w:right w:val="single" w:sz="4" w:space="0" w:color="auto"/>
            </w:tcBorders>
            <w:shd w:val="clear" w:color="auto" w:fill="auto"/>
            <w:noWrap/>
            <w:vAlign w:val="center"/>
            <w:hideMark/>
          </w:tcPr>
          <w:p w:rsidR="00C73E4D" w:rsidRPr="00C73E4D" w:rsidRDefault="00C73E4D" w:rsidP="00C73E4D">
            <w:pPr>
              <w:jc w:val="center"/>
              <w:rPr>
                <w:rFonts w:ascii="Calibri" w:hAnsi="Calibri"/>
                <w:color w:val="000000"/>
                <w:szCs w:val="20"/>
              </w:rPr>
            </w:pPr>
            <w:r w:rsidRPr="00C73E4D">
              <w:rPr>
                <w:rFonts w:ascii="Calibri" w:hAnsi="Calibri"/>
                <w:color w:val="000000"/>
                <w:szCs w:val="20"/>
              </w:rPr>
              <w:t>220</w:t>
            </w:r>
          </w:p>
        </w:tc>
      </w:tr>
      <w:tr w:rsidR="00C73E4D" w:rsidRPr="00C73E4D" w:rsidTr="00C73E4D">
        <w:trPr>
          <w:trHeight w:val="291"/>
        </w:trPr>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C73E4D" w:rsidRPr="00C73E4D" w:rsidRDefault="00C73E4D" w:rsidP="00C73E4D">
            <w:pPr>
              <w:jc w:val="center"/>
              <w:rPr>
                <w:rFonts w:ascii="Calibri" w:hAnsi="Calibri"/>
                <w:color w:val="000000"/>
                <w:szCs w:val="20"/>
              </w:rPr>
            </w:pPr>
            <w:r w:rsidRPr="00C73E4D">
              <w:rPr>
                <w:rFonts w:ascii="Calibri" w:hAnsi="Calibri"/>
                <w:color w:val="000000"/>
                <w:szCs w:val="20"/>
              </w:rPr>
              <w:t>Aug-12</w:t>
            </w:r>
          </w:p>
        </w:tc>
        <w:tc>
          <w:tcPr>
            <w:tcW w:w="2877" w:type="dxa"/>
            <w:tcBorders>
              <w:top w:val="nil"/>
              <w:left w:val="nil"/>
              <w:bottom w:val="single" w:sz="4" w:space="0" w:color="auto"/>
              <w:right w:val="single" w:sz="4" w:space="0" w:color="auto"/>
            </w:tcBorders>
            <w:shd w:val="clear" w:color="auto" w:fill="auto"/>
            <w:noWrap/>
            <w:vAlign w:val="center"/>
            <w:hideMark/>
          </w:tcPr>
          <w:p w:rsidR="00C73E4D" w:rsidRPr="00C73E4D" w:rsidRDefault="00C73E4D" w:rsidP="00C73E4D">
            <w:pPr>
              <w:jc w:val="center"/>
              <w:rPr>
                <w:rFonts w:ascii="Calibri" w:hAnsi="Calibri"/>
                <w:color w:val="000000"/>
                <w:szCs w:val="20"/>
              </w:rPr>
            </w:pPr>
            <w:r w:rsidRPr="00C73E4D">
              <w:rPr>
                <w:rFonts w:ascii="Calibri" w:hAnsi="Calibri"/>
                <w:color w:val="000000"/>
                <w:szCs w:val="20"/>
              </w:rPr>
              <w:t>45</w:t>
            </w:r>
          </w:p>
        </w:tc>
      </w:tr>
    </w:tbl>
    <w:p w:rsidR="00505F00" w:rsidRDefault="00F46B08" w:rsidP="009304B0">
      <w:pPr>
        <w:pStyle w:val="Heading2"/>
      </w:pPr>
      <w:bookmarkStart w:id="20" w:name="_Toc351363729"/>
      <w:bookmarkStart w:id="21" w:name="_Toc319670865"/>
      <w:bookmarkStart w:id="22" w:name="_Toc319670921"/>
      <w:bookmarkStart w:id="23" w:name="_Toc319671868"/>
      <w:bookmarkStart w:id="24" w:name="_Toc319671968"/>
      <w:bookmarkStart w:id="25" w:name="_Toc319673035"/>
      <w:bookmarkStart w:id="26" w:name="_Toc319674534"/>
      <w:bookmarkStart w:id="27" w:name="_Toc329701176"/>
      <w:r>
        <w:t>Weather</w:t>
      </w:r>
      <w:r w:rsidR="00E73A2F">
        <w:t xml:space="preserve"> and Events</w:t>
      </w:r>
      <w:bookmarkEnd w:id="20"/>
    </w:p>
    <w:p w:rsidR="00B31605" w:rsidRDefault="00E73A2F" w:rsidP="00336831">
      <w:pPr>
        <w:pStyle w:val="CommentText"/>
      </w:pPr>
      <w:r>
        <w:t>SDG&amp;E</w:t>
      </w:r>
      <w:r w:rsidR="00336831">
        <w:t xml:space="preserve"> </w:t>
      </w:r>
      <w:r>
        <w:t>divides its</w:t>
      </w:r>
      <w:r w:rsidR="00336831">
        <w:t xml:space="preserve"> service territory into 4 weather zones, Coastal</w:t>
      </w:r>
      <w:r>
        <w:t>,</w:t>
      </w:r>
      <w:r w:rsidR="00336831">
        <w:t xml:space="preserve"> Mountain, Inland,</w:t>
      </w:r>
      <w:r w:rsidR="0010609A">
        <w:t xml:space="preserve"> and D</w:t>
      </w:r>
      <w:r>
        <w:t xml:space="preserve">esert. </w:t>
      </w:r>
      <w:r w:rsidR="00397D35">
        <w:fldChar w:fldCharType="begin"/>
      </w:r>
      <w:r w:rsidR="00F37E60">
        <w:instrText xml:space="preserve"> REF _Ref350173494 \h </w:instrText>
      </w:r>
      <w:r w:rsidR="00397D35">
        <w:fldChar w:fldCharType="separate"/>
      </w:r>
      <w:r w:rsidR="00251C4A" w:rsidRPr="005F25AF">
        <w:t xml:space="preserve">Table </w:t>
      </w:r>
      <w:r w:rsidR="00251C4A">
        <w:rPr>
          <w:noProof/>
        </w:rPr>
        <w:t>1</w:t>
      </w:r>
      <w:r w:rsidR="00251C4A" w:rsidRPr="005F25AF">
        <w:t>-</w:t>
      </w:r>
      <w:r w:rsidR="00251C4A">
        <w:rPr>
          <w:noProof/>
        </w:rPr>
        <w:t>3</w:t>
      </w:r>
      <w:r w:rsidR="00397D35">
        <w:fldChar w:fldCharType="end"/>
      </w:r>
      <w:r w:rsidR="00F37E60">
        <w:t xml:space="preserve"> </w:t>
      </w:r>
      <w:r>
        <w:t xml:space="preserve">shows the number of small commercial customers </w:t>
      </w:r>
      <w:r w:rsidR="00F37E60">
        <w:t xml:space="preserve">by group </w:t>
      </w:r>
      <w:r>
        <w:t>in each of the 4 weather zones.</w:t>
      </w:r>
      <w:r w:rsidR="00F37E60">
        <w:t xml:space="preserve"> SDG&amp;E’s population is heavily concentrated in the coastal zone </w:t>
      </w:r>
      <w:r w:rsidR="00307946">
        <w:t>with about 60% of businesses being located within that zone.</w:t>
      </w:r>
      <w:r w:rsidR="00F37E60">
        <w:t xml:space="preserve"> Most</w:t>
      </w:r>
      <w:r w:rsidR="00251C4A">
        <w:t xml:space="preserve"> of the remainder</w:t>
      </w:r>
      <w:r w:rsidR="00F37E60">
        <w:t xml:space="preserve"> of the population is </w:t>
      </w:r>
      <w:r w:rsidR="00307946">
        <w:t xml:space="preserve">located in the </w:t>
      </w:r>
      <w:r w:rsidR="00B71905">
        <w:t>Inland</w:t>
      </w:r>
      <w:r w:rsidR="00307946">
        <w:t xml:space="preserve"> zone</w:t>
      </w:r>
      <w:r w:rsidR="00251C4A">
        <w:t>, only 1.6</w:t>
      </w:r>
      <w:r w:rsidR="00F37E60">
        <w:t xml:space="preserve">% of the population </w:t>
      </w:r>
      <w:r w:rsidR="00307946">
        <w:t xml:space="preserve">is located </w:t>
      </w:r>
      <w:r w:rsidR="00F37E60">
        <w:t>in the Mountain</w:t>
      </w:r>
      <w:r w:rsidR="00B71905">
        <w:t xml:space="preserve"> zone, and less than 1% in the Desert</w:t>
      </w:r>
      <w:r w:rsidR="00F37E60">
        <w:t xml:space="preserve"> zone. The </w:t>
      </w:r>
      <w:r w:rsidR="003636FD">
        <w:t>My Account</w:t>
      </w:r>
      <w:r w:rsidR="00F37E60">
        <w:t xml:space="preserve"> customers are similarly distributed across the zones. Those wh</w:t>
      </w:r>
      <w:r w:rsidR="00307946">
        <w:t>o requested notifications are</w:t>
      </w:r>
      <w:r w:rsidR="00F37E60">
        <w:t xml:space="preserve"> split</w:t>
      </w:r>
      <w:r w:rsidR="00307946">
        <w:t xml:space="preserve"> mostly between the two densest zones,</w:t>
      </w:r>
      <w:r w:rsidR="00251C4A">
        <w:t xml:space="preserve"> with 70</w:t>
      </w:r>
      <w:r w:rsidR="00F37E60">
        <w:t xml:space="preserve">% </w:t>
      </w:r>
      <w:r w:rsidR="00307946">
        <w:t>located</w:t>
      </w:r>
      <w:r w:rsidR="00F37E60">
        <w:t xml:space="preserve"> </w:t>
      </w:r>
      <w:r w:rsidR="00251C4A">
        <w:t>along the coast and 30</w:t>
      </w:r>
      <w:r w:rsidR="00241477">
        <w:t>% located i</w:t>
      </w:r>
      <w:r w:rsidR="00B71905">
        <w:t>nland</w:t>
      </w:r>
      <w:r w:rsidR="00F37E60">
        <w:t xml:space="preserve">. </w:t>
      </w:r>
    </w:p>
    <w:p w:rsidR="00B31605" w:rsidRDefault="00B31605" w:rsidP="00B31605">
      <w:pPr>
        <w:pStyle w:val="TableCaption"/>
        <w:ind w:left="0" w:firstLine="0"/>
      </w:pPr>
      <w:bookmarkStart w:id="28" w:name="_Ref350173494"/>
      <w:bookmarkStart w:id="29" w:name="_Toc351364112"/>
      <w:r w:rsidRPr="005F25AF">
        <w:t xml:space="preserve">Table </w:t>
      </w:r>
      <w:r w:rsidR="00397D35" w:rsidRPr="005F25AF">
        <w:fldChar w:fldCharType="begin"/>
      </w:r>
      <w:r w:rsidRPr="005F25AF">
        <w:instrText xml:space="preserve"> STYLEREF  "Heading 1,Chap Num"  \* MERGEFORMAT </w:instrText>
      </w:r>
      <w:r w:rsidR="00397D35" w:rsidRPr="005F25AF">
        <w:fldChar w:fldCharType="end"/>
      </w:r>
      <w:fldSimple w:instr=" STYLEREF  &quot;Heading 1,Chap Num&quot; \n  \* MERGEFORMAT ">
        <w:r w:rsidR="00251C4A">
          <w:rPr>
            <w:noProof/>
          </w:rPr>
          <w:t>1</w:t>
        </w:r>
      </w:fldSimple>
      <w:r w:rsidRPr="005F25AF">
        <w:t>-</w:t>
      </w:r>
      <w:fldSimple w:instr=" SEQ Table\s 1 \* MERGEFORMAT ">
        <w:r w:rsidR="00251C4A">
          <w:rPr>
            <w:noProof/>
          </w:rPr>
          <w:t>3</w:t>
        </w:r>
      </w:fldSimple>
      <w:bookmarkEnd w:id="28"/>
      <w:r w:rsidRPr="005F25AF">
        <w:tab/>
      </w:r>
      <w:r w:rsidR="00F02555">
        <w:t xml:space="preserve">Percent of </w:t>
      </w:r>
      <w:r w:rsidR="00F37E60">
        <w:t xml:space="preserve">Customers by </w:t>
      </w:r>
      <w:r w:rsidR="00F02555">
        <w:t xml:space="preserve">Type and </w:t>
      </w:r>
      <w:r w:rsidR="00F37E60">
        <w:t>Weather Zone</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801"/>
        <w:gridCol w:w="1710"/>
        <w:gridCol w:w="1653"/>
        <w:gridCol w:w="1694"/>
      </w:tblGrid>
      <w:tr w:rsidR="00F02555" w:rsidRPr="00F02555" w:rsidTr="00F02555">
        <w:trPr>
          <w:trHeight w:val="300"/>
        </w:trPr>
        <w:tc>
          <w:tcPr>
            <w:tcW w:w="1279" w:type="pct"/>
            <w:shd w:val="clear" w:color="000000" w:fill="1F497D"/>
            <w:vAlign w:val="center"/>
            <w:hideMark/>
          </w:tcPr>
          <w:p w:rsidR="00F02555" w:rsidRPr="00F02555" w:rsidRDefault="00F02555" w:rsidP="00F02555">
            <w:pPr>
              <w:jc w:val="center"/>
              <w:rPr>
                <w:rFonts w:ascii="Calibri" w:hAnsi="Calibri"/>
                <w:b/>
                <w:bCs/>
                <w:color w:val="FFFFFF"/>
                <w:szCs w:val="20"/>
              </w:rPr>
            </w:pPr>
            <w:r w:rsidRPr="00F02555">
              <w:rPr>
                <w:rFonts w:ascii="Calibri" w:hAnsi="Calibri"/>
                <w:b/>
                <w:bCs/>
                <w:color w:val="FFFFFF"/>
                <w:szCs w:val="20"/>
              </w:rPr>
              <w:t>Climate Zone</w:t>
            </w:r>
          </w:p>
        </w:tc>
        <w:tc>
          <w:tcPr>
            <w:tcW w:w="977" w:type="pct"/>
            <w:shd w:val="clear" w:color="000000" w:fill="1F497D"/>
            <w:noWrap/>
            <w:vAlign w:val="center"/>
            <w:hideMark/>
          </w:tcPr>
          <w:p w:rsidR="00F02555" w:rsidRPr="00F02555" w:rsidRDefault="00241477" w:rsidP="00F02555">
            <w:pPr>
              <w:jc w:val="center"/>
              <w:rPr>
                <w:rFonts w:ascii="Calibri" w:hAnsi="Calibri"/>
                <w:b/>
                <w:bCs/>
                <w:color w:val="FFFFFF"/>
                <w:szCs w:val="20"/>
              </w:rPr>
            </w:pPr>
            <w:r>
              <w:rPr>
                <w:rFonts w:ascii="Calibri" w:hAnsi="Calibri"/>
                <w:b/>
                <w:bCs/>
                <w:color w:val="FFFFFF"/>
                <w:szCs w:val="20"/>
              </w:rPr>
              <w:t>Non-Notified</w:t>
            </w:r>
          </w:p>
        </w:tc>
        <w:tc>
          <w:tcPr>
            <w:tcW w:w="928" w:type="pct"/>
            <w:shd w:val="clear" w:color="000000" w:fill="1F497D"/>
            <w:noWrap/>
            <w:vAlign w:val="center"/>
            <w:hideMark/>
          </w:tcPr>
          <w:p w:rsidR="00F02555" w:rsidRPr="00F02555" w:rsidRDefault="003636FD" w:rsidP="00F02555">
            <w:pPr>
              <w:jc w:val="center"/>
              <w:rPr>
                <w:rFonts w:ascii="Calibri" w:hAnsi="Calibri"/>
                <w:b/>
                <w:bCs/>
                <w:color w:val="FFFFFF"/>
                <w:szCs w:val="20"/>
              </w:rPr>
            </w:pPr>
            <w:r>
              <w:rPr>
                <w:rFonts w:ascii="Calibri" w:hAnsi="Calibri"/>
                <w:b/>
                <w:bCs/>
                <w:color w:val="FFFFFF"/>
                <w:szCs w:val="20"/>
              </w:rPr>
              <w:t>My Account</w:t>
            </w:r>
          </w:p>
        </w:tc>
        <w:tc>
          <w:tcPr>
            <w:tcW w:w="897" w:type="pct"/>
            <w:shd w:val="clear" w:color="000000" w:fill="1F497D"/>
            <w:noWrap/>
            <w:vAlign w:val="center"/>
            <w:hideMark/>
          </w:tcPr>
          <w:p w:rsidR="00F02555" w:rsidRPr="00F02555" w:rsidRDefault="00F02555" w:rsidP="00F02555">
            <w:pPr>
              <w:jc w:val="center"/>
              <w:rPr>
                <w:rFonts w:ascii="Calibri" w:hAnsi="Calibri"/>
                <w:b/>
                <w:bCs/>
                <w:color w:val="FFFFFF"/>
                <w:szCs w:val="20"/>
              </w:rPr>
            </w:pPr>
            <w:r>
              <w:rPr>
                <w:rFonts w:ascii="Calibri" w:hAnsi="Calibri"/>
                <w:b/>
                <w:bCs/>
                <w:color w:val="FFFFFF"/>
                <w:szCs w:val="20"/>
              </w:rPr>
              <w:t>Opt-in Alerts</w:t>
            </w:r>
          </w:p>
        </w:tc>
        <w:tc>
          <w:tcPr>
            <w:tcW w:w="919" w:type="pct"/>
            <w:shd w:val="clear" w:color="000000" w:fill="1F497D"/>
            <w:noWrap/>
            <w:vAlign w:val="center"/>
            <w:hideMark/>
          </w:tcPr>
          <w:p w:rsidR="00F02555" w:rsidRPr="00F02555" w:rsidRDefault="00F02555" w:rsidP="00F02555">
            <w:pPr>
              <w:jc w:val="center"/>
              <w:rPr>
                <w:rFonts w:ascii="Calibri" w:hAnsi="Calibri"/>
                <w:b/>
                <w:bCs/>
                <w:color w:val="FFFFFF"/>
                <w:szCs w:val="20"/>
              </w:rPr>
            </w:pPr>
            <w:r w:rsidRPr="00F02555">
              <w:rPr>
                <w:rFonts w:ascii="Calibri" w:hAnsi="Calibri"/>
                <w:b/>
                <w:bCs/>
                <w:color w:val="FFFFFF"/>
                <w:szCs w:val="20"/>
              </w:rPr>
              <w:t>Population</w:t>
            </w:r>
          </w:p>
        </w:tc>
      </w:tr>
      <w:tr w:rsidR="00F02555" w:rsidRPr="00F02555" w:rsidTr="00F02555">
        <w:trPr>
          <w:trHeight w:val="300"/>
        </w:trPr>
        <w:tc>
          <w:tcPr>
            <w:tcW w:w="1279" w:type="pct"/>
            <w:shd w:val="clear" w:color="auto" w:fill="auto"/>
            <w:noWrap/>
            <w:vAlign w:val="center"/>
            <w:hideMark/>
          </w:tcPr>
          <w:p w:rsidR="00F02555" w:rsidRPr="00F02555" w:rsidRDefault="00F02555" w:rsidP="00F02555">
            <w:pPr>
              <w:jc w:val="center"/>
              <w:rPr>
                <w:rFonts w:ascii="Calibri" w:hAnsi="Calibri"/>
                <w:color w:val="000000"/>
                <w:szCs w:val="20"/>
              </w:rPr>
            </w:pPr>
            <w:r w:rsidRPr="00F02555">
              <w:rPr>
                <w:rFonts w:ascii="Calibri" w:hAnsi="Calibri"/>
                <w:color w:val="000000"/>
                <w:szCs w:val="20"/>
              </w:rPr>
              <w:t>Zone 1 - Coastal</w:t>
            </w:r>
          </w:p>
        </w:tc>
        <w:tc>
          <w:tcPr>
            <w:tcW w:w="977" w:type="pct"/>
            <w:shd w:val="clear" w:color="auto" w:fill="auto"/>
            <w:noWrap/>
            <w:vAlign w:val="center"/>
            <w:hideMark/>
          </w:tcPr>
          <w:p w:rsidR="00F02555" w:rsidRPr="00F02555" w:rsidRDefault="00F02555" w:rsidP="00F02555">
            <w:pPr>
              <w:jc w:val="center"/>
              <w:rPr>
                <w:rFonts w:ascii="Calibri" w:hAnsi="Calibri"/>
                <w:color w:val="000000"/>
                <w:szCs w:val="20"/>
              </w:rPr>
            </w:pPr>
            <w:r w:rsidRPr="00F02555">
              <w:rPr>
                <w:rFonts w:ascii="Calibri" w:hAnsi="Calibri"/>
                <w:color w:val="000000"/>
                <w:szCs w:val="20"/>
              </w:rPr>
              <w:t>59.3%</w:t>
            </w:r>
          </w:p>
        </w:tc>
        <w:tc>
          <w:tcPr>
            <w:tcW w:w="928" w:type="pct"/>
            <w:shd w:val="clear" w:color="auto" w:fill="auto"/>
            <w:noWrap/>
            <w:vAlign w:val="center"/>
            <w:hideMark/>
          </w:tcPr>
          <w:p w:rsidR="00F02555" w:rsidRPr="00F02555" w:rsidRDefault="00F02555" w:rsidP="00F02555">
            <w:pPr>
              <w:jc w:val="center"/>
              <w:rPr>
                <w:rFonts w:ascii="Calibri" w:hAnsi="Calibri"/>
                <w:color w:val="000000"/>
                <w:szCs w:val="20"/>
              </w:rPr>
            </w:pPr>
            <w:r w:rsidRPr="00F02555">
              <w:rPr>
                <w:rFonts w:ascii="Calibri" w:hAnsi="Calibri"/>
                <w:color w:val="000000"/>
                <w:szCs w:val="20"/>
              </w:rPr>
              <w:t>62.3%</w:t>
            </w:r>
          </w:p>
        </w:tc>
        <w:tc>
          <w:tcPr>
            <w:tcW w:w="897" w:type="pct"/>
            <w:shd w:val="clear" w:color="auto" w:fill="auto"/>
            <w:noWrap/>
            <w:vAlign w:val="center"/>
            <w:hideMark/>
          </w:tcPr>
          <w:p w:rsidR="00F02555" w:rsidRPr="00F02555" w:rsidRDefault="00F02555" w:rsidP="00F02555">
            <w:pPr>
              <w:jc w:val="center"/>
              <w:rPr>
                <w:rFonts w:ascii="Calibri" w:hAnsi="Calibri"/>
                <w:color w:val="000000"/>
                <w:szCs w:val="20"/>
              </w:rPr>
            </w:pPr>
            <w:r w:rsidRPr="00F02555">
              <w:rPr>
                <w:rFonts w:ascii="Calibri" w:hAnsi="Calibri"/>
                <w:color w:val="000000"/>
                <w:szCs w:val="20"/>
              </w:rPr>
              <w:t>69.8%</w:t>
            </w:r>
          </w:p>
        </w:tc>
        <w:tc>
          <w:tcPr>
            <w:tcW w:w="919" w:type="pct"/>
            <w:shd w:val="clear" w:color="auto" w:fill="auto"/>
            <w:noWrap/>
            <w:vAlign w:val="center"/>
            <w:hideMark/>
          </w:tcPr>
          <w:p w:rsidR="00F02555" w:rsidRPr="00F02555" w:rsidRDefault="00F02555" w:rsidP="00F02555">
            <w:pPr>
              <w:jc w:val="center"/>
              <w:rPr>
                <w:rFonts w:ascii="Calibri" w:hAnsi="Calibri"/>
                <w:color w:val="000000"/>
                <w:szCs w:val="20"/>
              </w:rPr>
            </w:pPr>
            <w:r w:rsidRPr="00F02555">
              <w:rPr>
                <w:rFonts w:ascii="Calibri" w:hAnsi="Calibri"/>
                <w:color w:val="000000"/>
                <w:szCs w:val="20"/>
              </w:rPr>
              <w:t>60.3%</w:t>
            </w:r>
          </w:p>
        </w:tc>
      </w:tr>
      <w:tr w:rsidR="00F02555" w:rsidRPr="00F02555" w:rsidTr="00F02555">
        <w:trPr>
          <w:trHeight w:val="300"/>
        </w:trPr>
        <w:tc>
          <w:tcPr>
            <w:tcW w:w="1279" w:type="pct"/>
            <w:shd w:val="clear" w:color="auto" w:fill="auto"/>
            <w:noWrap/>
            <w:vAlign w:val="center"/>
            <w:hideMark/>
          </w:tcPr>
          <w:p w:rsidR="00F02555" w:rsidRPr="00F02555" w:rsidRDefault="00F02555" w:rsidP="00F02555">
            <w:pPr>
              <w:jc w:val="center"/>
              <w:rPr>
                <w:rFonts w:ascii="Calibri" w:hAnsi="Calibri"/>
                <w:color w:val="000000"/>
                <w:szCs w:val="20"/>
              </w:rPr>
            </w:pPr>
            <w:r w:rsidRPr="00F02555">
              <w:rPr>
                <w:rFonts w:ascii="Calibri" w:hAnsi="Calibri"/>
                <w:color w:val="000000"/>
                <w:szCs w:val="20"/>
              </w:rPr>
              <w:t>Zone 2 - Mountain</w:t>
            </w:r>
          </w:p>
        </w:tc>
        <w:tc>
          <w:tcPr>
            <w:tcW w:w="977" w:type="pct"/>
            <w:shd w:val="clear" w:color="auto" w:fill="auto"/>
            <w:noWrap/>
            <w:vAlign w:val="center"/>
            <w:hideMark/>
          </w:tcPr>
          <w:p w:rsidR="00F02555" w:rsidRPr="00F02555" w:rsidRDefault="00F02555" w:rsidP="00F02555">
            <w:pPr>
              <w:jc w:val="center"/>
              <w:rPr>
                <w:rFonts w:ascii="Calibri" w:hAnsi="Calibri"/>
                <w:color w:val="000000"/>
                <w:szCs w:val="20"/>
              </w:rPr>
            </w:pPr>
            <w:r w:rsidRPr="00F02555">
              <w:rPr>
                <w:rFonts w:ascii="Calibri" w:hAnsi="Calibri"/>
                <w:color w:val="000000"/>
                <w:szCs w:val="20"/>
              </w:rPr>
              <w:t>1.6%</w:t>
            </w:r>
          </w:p>
        </w:tc>
        <w:tc>
          <w:tcPr>
            <w:tcW w:w="928" w:type="pct"/>
            <w:shd w:val="clear" w:color="auto" w:fill="auto"/>
            <w:noWrap/>
            <w:vAlign w:val="center"/>
            <w:hideMark/>
          </w:tcPr>
          <w:p w:rsidR="00F02555" w:rsidRPr="00F02555" w:rsidRDefault="00F02555" w:rsidP="00F02555">
            <w:pPr>
              <w:jc w:val="center"/>
              <w:rPr>
                <w:rFonts w:ascii="Calibri" w:hAnsi="Calibri"/>
                <w:color w:val="000000"/>
                <w:szCs w:val="20"/>
              </w:rPr>
            </w:pPr>
            <w:r w:rsidRPr="00F02555">
              <w:rPr>
                <w:rFonts w:ascii="Calibri" w:hAnsi="Calibri"/>
                <w:color w:val="000000"/>
                <w:szCs w:val="20"/>
              </w:rPr>
              <w:t>1.5%</w:t>
            </w:r>
          </w:p>
        </w:tc>
        <w:tc>
          <w:tcPr>
            <w:tcW w:w="897" w:type="pct"/>
            <w:shd w:val="clear" w:color="auto" w:fill="auto"/>
            <w:noWrap/>
            <w:vAlign w:val="center"/>
            <w:hideMark/>
          </w:tcPr>
          <w:p w:rsidR="00F02555" w:rsidRPr="00F02555" w:rsidRDefault="00F02555" w:rsidP="00F02555">
            <w:pPr>
              <w:jc w:val="center"/>
              <w:rPr>
                <w:rFonts w:ascii="Calibri" w:hAnsi="Calibri"/>
                <w:color w:val="000000"/>
                <w:szCs w:val="20"/>
              </w:rPr>
            </w:pPr>
            <w:r w:rsidRPr="00F02555">
              <w:rPr>
                <w:rFonts w:ascii="Calibri" w:hAnsi="Calibri"/>
                <w:color w:val="000000"/>
                <w:szCs w:val="20"/>
              </w:rPr>
              <w:t>0.6%</w:t>
            </w:r>
          </w:p>
        </w:tc>
        <w:tc>
          <w:tcPr>
            <w:tcW w:w="919" w:type="pct"/>
            <w:shd w:val="clear" w:color="auto" w:fill="auto"/>
            <w:noWrap/>
            <w:vAlign w:val="center"/>
            <w:hideMark/>
          </w:tcPr>
          <w:p w:rsidR="00F02555" w:rsidRPr="00F02555" w:rsidRDefault="00F02555" w:rsidP="00F02555">
            <w:pPr>
              <w:jc w:val="center"/>
              <w:rPr>
                <w:rFonts w:ascii="Calibri" w:hAnsi="Calibri"/>
                <w:color w:val="000000"/>
                <w:szCs w:val="20"/>
              </w:rPr>
            </w:pPr>
            <w:r w:rsidRPr="00F02555">
              <w:rPr>
                <w:rFonts w:ascii="Calibri" w:hAnsi="Calibri"/>
                <w:color w:val="000000"/>
                <w:szCs w:val="20"/>
              </w:rPr>
              <w:t>1.6%</w:t>
            </w:r>
          </w:p>
        </w:tc>
      </w:tr>
      <w:tr w:rsidR="00B71905" w:rsidRPr="00F02555" w:rsidTr="00F02555">
        <w:trPr>
          <w:trHeight w:val="300"/>
        </w:trPr>
        <w:tc>
          <w:tcPr>
            <w:tcW w:w="1279" w:type="pct"/>
            <w:shd w:val="clear" w:color="auto" w:fill="auto"/>
            <w:noWrap/>
            <w:vAlign w:val="center"/>
            <w:hideMark/>
          </w:tcPr>
          <w:p w:rsidR="00B71905" w:rsidRPr="00F02555" w:rsidRDefault="00B71905" w:rsidP="00B71905">
            <w:pPr>
              <w:jc w:val="center"/>
              <w:rPr>
                <w:rFonts w:ascii="Calibri" w:hAnsi="Calibri"/>
                <w:color w:val="000000"/>
                <w:szCs w:val="20"/>
              </w:rPr>
            </w:pPr>
            <w:r w:rsidRPr="00F02555">
              <w:rPr>
                <w:rFonts w:ascii="Calibri" w:hAnsi="Calibri"/>
                <w:color w:val="000000"/>
                <w:szCs w:val="20"/>
              </w:rPr>
              <w:t>Zone 3 - Inland</w:t>
            </w:r>
          </w:p>
        </w:tc>
        <w:tc>
          <w:tcPr>
            <w:tcW w:w="977" w:type="pct"/>
            <w:shd w:val="clear" w:color="auto" w:fill="auto"/>
            <w:noWrap/>
            <w:vAlign w:val="center"/>
            <w:hideMark/>
          </w:tcPr>
          <w:p w:rsidR="00B71905" w:rsidRPr="00F02555" w:rsidRDefault="00B71905" w:rsidP="00B71905">
            <w:pPr>
              <w:jc w:val="center"/>
              <w:rPr>
                <w:rFonts w:ascii="Calibri" w:hAnsi="Calibri"/>
                <w:color w:val="000000"/>
                <w:szCs w:val="20"/>
              </w:rPr>
            </w:pPr>
            <w:r w:rsidRPr="00F02555">
              <w:rPr>
                <w:rFonts w:ascii="Calibri" w:hAnsi="Calibri"/>
                <w:color w:val="000000"/>
                <w:szCs w:val="20"/>
              </w:rPr>
              <w:t>38.8%</w:t>
            </w:r>
          </w:p>
        </w:tc>
        <w:tc>
          <w:tcPr>
            <w:tcW w:w="928" w:type="pct"/>
            <w:shd w:val="clear" w:color="auto" w:fill="auto"/>
            <w:noWrap/>
            <w:vAlign w:val="center"/>
            <w:hideMark/>
          </w:tcPr>
          <w:p w:rsidR="00B71905" w:rsidRPr="00F02555" w:rsidRDefault="00B71905" w:rsidP="00B71905">
            <w:pPr>
              <w:jc w:val="center"/>
              <w:rPr>
                <w:rFonts w:ascii="Calibri" w:hAnsi="Calibri"/>
                <w:color w:val="000000"/>
                <w:szCs w:val="20"/>
              </w:rPr>
            </w:pPr>
            <w:r w:rsidRPr="00F02555">
              <w:rPr>
                <w:rFonts w:ascii="Calibri" w:hAnsi="Calibri"/>
                <w:color w:val="000000"/>
                <w:szCs w:val="20"/>
              </w:rPr>
              <w:t>35.9%</w:t>
            </w:r>
          </w:p>
        </w:tc>
        <w:tc>
          <w:tcPr>
            <w:tcW w:w="897" w:type="pct"/>
            <w:shd w:val="clear" w:color="auto" w:fill="auto"/>
            <w:noWrap/>
            <w:vAlign w:val="center"/>
            <w:hideMark/>
          </w:tcPr>
          <w:p w:rsidR="00B71905" w:rsidRPr="00F02555" w:rsidRDefault="00B71905" w:rsidP="00B71905">
            <w:pPr>
              <w:jc w:val="center"/>
              <w:rPr>
                <w:rFonts w:ascii="Calibri" w:hAnsi="Calibri"/>
                <w:color w:val="000000"/>
                <w:szCs w:val="20"/>
              </w:rPr>
            </w:pPr>
            <w:r w:rsidRPr="00F02555">
              <w:rPr>
                <w:rFonts w:ascii="Calibri" w:hAnsi="Calibri"/>
                <w:color w:val="000000"/>
                <w:szCs w:val="20"/>
              </w:rPr>
              <w:t>29.6%</w:t>
            </w:r>
          </w:p>
        </w:tc>
        <w:tc>
          <w:tcPr>
            <w:tcW w:w="919" w:type="pct"/>
            <w:shd w:val="clear" w:color="auto" w:fill="auto"/>
            <w:noWrap/>
            <w:vAlign w:val="center"/>
            <w:hideMark/>
          </w:tcPr>
          <w:p w:rsidR="00B71905" w:rsidRPr="00F02555" w:rsidRDefault="00B71905" w:rsidP="00B71905">
            <w:pPr>
              <w:jc w:val="center"/>
              <w:rPr>
                <w:rFonts w:ascii="Calibri" w:hAnsi="Calibri"/>
                <w:color w:val="000000"/>
                <w:szCs w:val="20"/>
              </w:rPr>
            </w:pPr>
            <w:r w:rsidRPr="00F02555">
              <w:rPr>
                <w:rFonts w:ascii="Calibri" w:hAnsi="Calibri"/>
                <w:color w:val="000000"/>
                <w:szCs w:val="20"/>
              </w:rPr>
              <w:t>37.8%</w:t>
            </w:r>
          </w:p>
        </w:tc>
      </w:tr>
      <w:tr w:rsidR="00B71905" w:rsidRPr="00F02555" w:rsidTr="00F02555">
        <w:trPr>
          <w:trHeight w:val="300"/>
        </w:trPr>
        <w:tc>
          <w:tcPr>
            <w:tcW w:w="1279" w:type="pct"/>
            <w:shd w:val="clear" w:color="auto" w:fill="auto"/>
            <w:noWrap/>
            <w:vAlign w:val="center"/>
            <w:hideMark/>
          </w:tcPr>
          <w:p w:rsidR="00B71905" w:rsidRPr="00F02555" w:rsidRDefault="00B71905" w:rsidP="00B71905">
            <w:pPr>
              <w:jc w:val="center"/>
              <w:rPr>
                <w:rFonts w:ascii="Calibri" w:hAnsi="Calibri"/>
                <w:color w:val="000000"/>
                <w:szCs w:val="20"/>
              </w:rPr>
            </w:pPr>
            <w:r w:rsidRPr="00F02555">
              <w:rPr>
                <w:rFonts w:ascii="Calibri" w:hAnsi="Calibri"/>
                <w:color w:val="000000"/>
                <w:szCs w:val="20"/>
              </w:rPr>
              <w:t>Zone 4 - Desert</w:t>
            </w:r>
          </w:p>
        </w:tc>
        <w:tc>
          <w:tcPr>
            <w:tcW w:w="977" w:type="pct"/>
            <w:shd w:val="clear" w:color="auto" w:fill="auto"/>
            <w:noWrap/>
            <w:vAlign w:val="center"/>
            <w:hideMark/>
          </w:tcPr>
          <w:p w:rsidR="00B71905" w:rsidRPr="00F02555" w:rsidRDefault="00B71905" w:rsidP="00F02555">
            <w:pPr>
              <w:jc w:val="center"/>
              <w:rPr>
                <w:rFonts w:ascii="Calibri" w:hAnsi="Calibri"/>
                <w:color w:val="000000"/>
                <w:szCs w:val="20"/>
              </w:rPr>
            </w:pPr>
            <w:r w:rsidRPr="00F02555">
              <w:rPr>
                <w:rFonts w:ascii="Calibri" w:hAnsi="Calibri"/>
                <w:color w:val="000000"/>
                <w:szCs w:val="20"/>
              </w:rPr>
              <w:t>0.3%</w:t>
            </w:r>
          </w:p>
        </w:tc>
        <w:tc>
          <w:tcPr>
            <w:tcW w:w="928" w:type="pct"/>
            <w:shd w:val="clear" w:color="auto" w:fill="auto"/>
            <w:noWrap/>
            <w:vAlign w:val="center"/>
            <w:hideMark/>
          </w:tcPr>
          <w:p w:rsidR="00B71905" w:rsidRPr="00F02555" w:rsidRDefault="00B71905" w:rsidP="00F02555">
            <w:pPr>
              <w:jc w:val="center"/>
              <w:rPr>
                <w:rFonts w:ascii="Calibri" w:hAnsi="Calibri"/>
                <w:color w:val="000000"/>
                <w:szCs w:val="20"/>
              </w:rPr>
            </w:pPr>
            <w:r w:rsidRPr="00F02555">
              <w:rPr>
                <w:rFonts w:ascii="Calibri" w:hAnsi="Calibri"/>
                <w:color w:val="000000"/>
                <w:szCs w:val="20"/>
              </w:rPr>
              <w:t>0.2%</w:t>
            </w:r>
          </w:p>
        </w:tc>
        <w:tc>
          <w:tcPr>
            <w:tcW w:w="897" w:type="pct"/>
            <w:shd w:val="clear" w:color="auto" w:fill="auto"/>
            <w:noWrap/>
            <w:vAlign w:val="center"/>
            <w:hideMark/>
          </w:tcPr>
          <w:p w:rsidR="00B71905" w:rsidRPr="00F02555" w:rsidRDefault="00B71905" w:rsidP="00F02555">
            <w:pPr>
              <w:jc w:val="center"/>
              <w:rPr>
                <w:rFonts w:ascii="Calibri" w:hAnsi="Calibri"/>
                <w:color w:val="000000"/>
                <w:szCs w:val="20"/>
              </w:rPr>
            </w:pPr>
            <w:r w:rsidRPr="00F02555">
              <w:rPr>
                <w:rFonts w:ascii="Calibri" w:hAnsi="Calibri"/>
                <w:color w:val="000000"/>
                <w:szCs w:val="20"/>
              </w:rPr>
              <w:t>0.0%</w:t>
            </w:r>
          </w:p>
        </w:tc>
        <w:tc>
          <w:tcPr>
            <w:tcW w:w="919" w:type="pct"/>
            <w:shd w:val="clear" w:color="auto" w:fill="auto"/>
            <w:noWrap/>
            <w:vAlign w:val="center"/>
            <w:hideMark/>
          </w:tcPr>
          <w:p w:rsidR="00B71905" w:rsidRPr="00F02555" w:rsidRDefault="00B71905" w:rsidP="00F02555">
            <w:pPr>
              <w:jc w:val="center"/>
              <w:rPr>
                <w:rFonts w:ascii="Calibri" w:hAnsi="Calibri"/>
                <w:color w:val="000000"/>
                <w:szCs w:val="20"/>
              </w:rPr>
            </w:pPr>
            <w:r w:rsidRPr="00F02555">
              <w:rPr>
                <w:rFonts w:ascii="Calibri" w:hAnsi="Calibri"/>
                <w:color w:val="000000"/>
                <w:szCs w:val="20"/>
              </w:rPr>
              <w:t>0.3%</w:t>
            </w:r>
          </w:p>
        </w:tc>
      </w:tr>
    </w:tbl>
    <w:p w:rsidR="00B31605" w:rsidRDefault="00B31605" w:rsidP="00336831">
      <w:pPr>
        <w:pStyle w:val="CommentText"/>
      </w:pPr>
    </w:p>
    <w:p w:rsidR="00307946" w:rsidRDefault="00D920B0" w:rsidP="00336831">
      <w:pPr>
        <w:pStyle w:val="CommentText"/>
      </w:pPr>
      <w:r>
        <w:t>In practice</w:t>
      </w:r>
      <w:r w:rsidR="00307946">
        <w:t>,</w:t>
      </w:r>
      <w:r>
        <w:t xml:space="preserve"> because the population is largely spli</w:t>
      </w:r>
      <w:r w:rsidR="00B71905">
        <w:t>t between the Coastal and Inland</w:t>
      </w:r>
      <w:r>
        <w:t xml:space="preserve"> zones,</w:t>
      </w:r>
      <w:r w:rsidR="00307946">
        <w:t xml:space="preserve"> with very few busin</w:t>
      </w:r>
      <w:r w:rsidR="00B71905">
        <w:t>esses in the mountain and desert</w:t>
      </w:r>
      <w:r w:rsidR="00307946">
        <w:t xml:space="preserve"> areas,</w:t>
      </w:r>
      <w:r>
        <w:t xml:space="preserve"> </w:t>
      </w:r>
      <w:r w:rsidR="00251C4A">
        <w:t>any results reported by weather zone will fall into one of two regions</w:t>
      </w:r>
      <w:r w:rsidR="006066D4">
        <w:t>, Coastal or</w:t>
      </w:r>
      <w:r>
        <w:t xml:space="preserve"> Inland</w:t>
      </w:r>
      <w:r w:rsidR="00307946">
        <w:t xml:space="preserve"> where Inland includes</w:t>
      </w:r>
      <w:r w:rsidR="00251C4A">
        <w:t xml:space="preserve"> zones 2, 3, and 4 and C</w:t>
      </w:r>
      <w:r>
        <w:t>oastal includ</w:t>
      </w:r>
      <w:r w:rsidR="00307946">
        <w:t>es</w:t>
      </w:r>
      <w:r>
        <w:t xml:space="preserve"> zone 1.</w:t>
      </w:r>
    </w:p>
    <w:p w:rsidR="00D920B0" w:rsidRDefault="00D920B0" w:rsidP="00336831">
      <w:pPr>
        <w:pStyle w:val="CommentText"/>
      </w:pPr>
      <w:r>
        <w:t xml:space="preserve"> </w:t>
      </w:r>
    </w:p>
    <w:p w:rsidR="00CE428B" w:rsidRDefault="00E73A2F" w:rsidP="00336831">
      <w:pPr>
        <w:pStyle w:val="CommentText"/>
      </w:pPr>
      <w:r>
        <w:t>During the summer of 2012 SD</w:t>
      </w:r>
      <w:r w:rsidR="00307946">
        <w:t>G&amp;E called seven PTR events,</w:t>
      </w:r>
      <w:r>
        <w:t xml:space="preserve"> two of the events </w:t>
      </w:r>
      <w:r w:rsidR="00307946">
        <w:t xml:space="preserve">were </w:t>
      </w:r>
      <w:r>
        <w:t xml:space="preserve">called on Saturdays. </w:t>
      </w:r>
      <w:r w:rsidR="00251C4A">
        <w:t>E</w:t>
      </w:r>
      <w:r w:rsidR="00307946">
        <w:t xml:space="preserve">ach of </w:t>
      </w:r>
      <w:r w:rsidR="00336831">
        <w:t xml:space="preserve">the events had </w:t>
      </w:r>
      <w:r w:rsidR="00307946">
        <w:t xml:space="preserve">several </w:t>
      </w:r>
      <w:r w:rsidR="00336831">
        <w:t xml:space="preserve">comparable non-event days </w:t>
      </w:r>
      <w:r w:rsidR="00307946">
        <w:t>throughout the summer except one,</w:t>
      </w:r>
      <w:r w:rsidR="00336831">
        <w:t xml:space="preserve"> Saturday September 15</w:t>
      </w:r>
      <w:r w:rsidR="00307946">
        <w:t>,</w:t>
      </w:r>
      <w:r w:rsidR="003636FD">
        <w:t xml:space="preserve"> 2012</w:t>
      </w:r>
      <w:r w:rsidR="00336831">
        <w:t>.</w:t>
      </w:r>
      <w:r w:rsidR="00531733">
        <w:t xml:space="preserve"> </w:t>
      </w:r>
      <w:r w:rsidR="00F37E60">
        <w:t>The September 15 event was extremely hot compared to other events and</w:t>
      </w:r>
      <w:r w:rsidR="00307946">
        <w:t xml:space="preserve"> compared</w:t>
      </w:r>
      <w:r w:rsidR="00F37E60">
        <w:t xml:space="preserve"> to other days </w:t>
      </w:r>
      <w:r w:rsidR="00307946">
        <w:t xml:space="preserve">during </w:t>
      </w:r>
      <w:r w:rsidR="003636FD">
        <w:t>the summer. O</w:t>
      </w:r>
      <w:r w:rsidR="00F37E60">
        <w:t>ne day</w:t>
      </w:r>
      <w:r w:rsidR="003636FD">
        <w:t>,</w:t>
      </w:r>
      <w:r w:rsidR="00F37E60">
        <w:t xml:space="preserve"> Friday September 14</w:t>
      </w:r>
      <w:r w:rsidR="003636FD">
        <w:t>,</w:t>
      </w:r>
      <w:r w:rsidR="00F37E60">
        <w:t xml:space="preserve"> was similar in </w:t>
      </w:r>
      <w:r w:rsidR="003636FD">
        <w:t>temperature;</w:t>
      </w:r>
      <w:r w:rsidR="00F37E60">
        <w:t xml:space="preserve"> </w:t>
      </w:r>
      <w:r w:rsidR="00307946">
        <w:t xml:space="preserve">however the difference between weekday and weekend load shapes for commercial customers makes this a less than ideal day for comparison to the Saturday event. </w:t>
      </w:r>
      <w:r w:rsidR="00F37E60">
        <w:t xml:space="preserve"> </w:t>
      </w:r>
      <w:r w:rsidR="00397D35">
        <w:fldChar w:fldCharType="begin"/>
      </w:r>
      <w:r w:rsidR="00F37E60">
        <w:instrText xml:space="preserve"> REF _Ref350173515 \h </w:instrText>
      </w:r>
      <w:r w:rsidR="00397D35">
        <w:fldChar w:fldCharType="separate"/>
      </w:r>
      <w:r w:rsidR="00241477" w:rsidRPr="005F25AF">
        <w:t xml:space="preserve">Table </w:t>
      </w:r>
      <w:r w:rsidR="00241477">
        <w:rPr>
          <w:noProof/>
        </w:rPr>
        <w:t>1</w:t>
      </w:r>
      <w:r w:rsidR="00241477" w:rsidRPr="005F25AF">
        <w:t>-</w:t>
      </w:r>
      <w:r w:rsidR="00241477">
        <w:rPr>
          <w:noProof/>
        </w:rPr>
        <w:t>4</w:t>
      </w:r>
      <w:r w:rsidR="00397D35">
        <w:fldChar w:fldCharType="end"/>
      </w:r>
      <w:r w:rsidR="00F37E60">
        <w:t xml:space="preserve"> shows the average on-peak temperatures</w:t>
      </w:r>
      <w:r w:rsidR="00307946">
        <w:t xml:space="preserve"> for the Inland and C</w:t>
      </w:r>
      <w:r w:rsidR="00D920B0">
        <w:t>oastal reg</w:t>
      </w:r>
      <w:r w:rsidR="00307946">
        <w:t>ions on each event day, averaged</w:t>
      </w:r>
      <w:r w:rsidR="00D920B0">
        <w:t xml:space="preserve"> across event days, and for the entire summer.  </w:t>
      </w:r>
    </w:p>
    <w:p w:rsidR="00E139B5" w:rsidRDefault="00C478F4" w:rsidP="00C478F4">
      <w:pPr>
        <w:pStyle w:val="TableCaption"/>
        <w:ind w:left="0" w:firstLine="0"/>
      </w:pPr>
      <w:bookmarkStart w:id="30" w:name="_Ref350173515"/>
      <w:bookmarkStart w:id="31" w:name="_Toc351364113"/>
      <w:r w:rsidRPr="005F25AF">
        <w:t xml:space="preserve">Table </w:t>
      </w:r>
      <w:r w:rsidR="00397D35" w:rsidRPr="005F25AF">
        <w:fldChar w:fldCharType="begin"/>
      </w:r>
      <w:r w:rsidRPr="005F25AF">
        <w:instrText xml:space="preserve"> STYLEREF  "Heading 1,Chap Num"  \* MERGEFORMAT </w:instrText>
      </w:r>
      <w:r w:rsidR="00397D35" w:rsidRPr="005F25AF">
        <w:fldChar w:fldCharType="end"/>
      </w:r>
      <w:fldSimple w:instr=" STYLEREF  &quot;Heading 1,Chap Num&quot; \n  \* MERGEFORMAT ">
        <w:r w:rsidR="00241477">
          <w:rPr>
            <w:noProof/>
          </w:rPr>
          <w:t>1</w:t>
        </w:r>
      </w:fldSimple>
      <w:r w:rsidRPr="005F25AF">
        <w:t>-</w:t>
      </w:r>
      <w:fldSimple w:instr=" SEQ Table\s 1 \* MERGEFORMAT ">
        <w:r w:rsidR="00241477">
          <w:rPr>
            <w:noProof/>
          </w:rPr>
          <w:t>4</w:t>
        </w:r>
      </w:fldSimple>
      <w:bookmarkEnd w:id="30"/>
      <w:r w:rsidRPr="005F25AF">
        <w:tab/>
      </w:r>
      <w:r>
        <w:t>Average and Maximum Temperature Summary</w:t>
      </w:r>
      <w:bookmarkEnd w:id="31"/>
    </w:p>
    <w:tbl>
      <w:tblPr>
        <w:tblW w:w="5000" w:type="pct"/>
        <w:tblLook w:val="04A0"/>
      </w:tblPr>
      <w:tblGrid>
        <w:gridCol w:w="3347"/>
        <w:gridCol w:w="2881"/>
        <w:gridCol w:w="2988"/>
      </w:tblGrid>
      <w:tr w:rsidR="0010609A" w:rsidRPr="0010609A" w:rsidTr="0010609A">
        <w:trPr>
          <w:trHeight w:val="300"/>
        </w:trPr>
        <w:tc>
          <w:tcPr>
            <w:tcW w:w="1816" w:type="pct"/>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10609A" w:rsidRPr="0010609A" w:rsidRDefault="0010609A" w:rsidP="0010609A">
            <w:pPr>
              <w:jc w:val="center"/>
              <w:rPr>
                <w:rFonts w:ascii="Calibri" w:hAnsi="Calibri"/>
                <w:b/>
                <w:bCs/>
                <w:color w:val="FFFFFF"/>
                <w:szCs w:val="20"/>
              </w:rPr>
            </w:pPr>
            <w:r w:rsidRPr="0010609A">
              <w:rPr>
                <w:rFonts w:ascii="Calibri" w:hAnsi="Calibri"/>
                <w:b/>
                <w:bCs/>
                <w:color w:val="FFFFFF"/>
                <w:szCs w:val="20"/>
              </w:rPr>
              <w:t>Day Type</w:t>
            </w:r>
          </w:p>
        </w:tc>
        <w:tc>
          <w:tcPr>
            <w:tcW w:w="1563" w:type="pct"/>
            <w:tcBorders>
              <w:top w:val="single" w:sz="4" w:space="0" w:color="auto"/>
              <w:left w:val="nil"/>
              <w:bottom w:val="single" w:sz="4" w:space="0" w:color="auto"/>
              <w:right w:val="single" w:sz="4" w:space="0" w:color="auto"/>
            </w:tcBorders>
            <w:shd w:val="clear" w:color="000000" w:fill="1F497D"/>
            <w:noWrap/>
            <w:vAlign w:val="center"/>
            <w:hideMark/>
          </w:tcPr>
          <w:p w:rsidR="0010609A" w:rsidRPr="0010609A" w:rsidRDefault="0010609A" w:rsidP="0010609A">
            <w:pPr>
              <w:jc w:val="center"/>
              <w:rPr>
                <w:rFonts w:ascii="Calibri" w:hAnsi="Calibri"/>
                <w:b/>
                <w:bCs/>
                <w:color w:val="FFFFFF"/>
                <w:szCs w:val="20"/>
              </w:rPr>
            </w:pPr>
            <w:r w:rsidRPr="0010609A">
              <w:rPr>
                <w:rFonts w:ascii="Calibri" w:hAnsi="Calibri"/>
                <w:b/>
                <w:bCs/>
                <w:color w:val="FFFFFF"/>
                <w:szCs w:val="20"/>
              </w:rPr>
              <w:t>Inland</w:t>
            </w:r>
            <w:r>
              <w:rPr>
                <w:rFonts w:ascii="Calibri" w:hAnsi="Calibri"/>
                <w:b/>
                <w:bCs/>
                <w:color w:val="FFFFFF"/>
                <w:szCs w:val="20"/>
              </w:rPr>
              <w:t xml:space="preserve"> </w:t>
            </w:r>
          </w:p>
        </w:tc>
        <w:tc>
          <w:tcPr>
            <w:tcW w:w="1621" w:type="pct"/>
            <w:tcBorders>
              <w:top w:val="single" w:sz="4" w:space="0" w:color="auto"/>
              <w:left w:val="nil"/>
              <w:bottom w:val="single" w:sz="4" w:space="0" w:color="auto"/>
              <w:right w:val="single" w:sz="4" w:space="0" w:color="auto"/>
            </w:tcBorders>
            <w:shd w:val="clear" w:color="000000" w:fill="1F497D"/>
            <w:noWrap/>
            <w:vAlign w:val="center"/>
            <w:hideMark/>
          </w:tcPr>
          <w:p w:rsidR="0010609A" w:rsidRPr="0010609A" w:rsidRDefault="0010609A" w:rsidP="0010609A">
            <w:pPr>
              <w:jc w:val="center"/>
              <w:rPr>
                <w:rFonts w:ascii="Calibri" w:hAnsi="Calibri"/>
                <w:b/>
                <w:bCs/>
                <w:color w:val="FFFFFF"/>
                <w:szCs w:val="20"/>
              </w:rPr>
            </w:pPr>
            <w:r w:rsidRPr="0010609A">
              <w:rPr>
                <w:rFonts w:ascii="Calibri" w:hAnsi="Calibri"/>
                <w:b/>
                <w:bCs/>
                <w:color w:val="FFFFFF"/>
                <w:szCs w:val="20"/>
              </w:rPr>
              <w:t>Coastal</w:t>
            </w:r>
          </w:p>
        </w:tc>
      </w:tr>
      <w:tr w:rsidR="0010609A" w:rsidRPr="0010609A" w:rsidTr="0010609A">
        <w:trPr>
          <w:trHeight w:val="300"/>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20-Jul-12</w:t>
            </w:r>
          </w:p>
        </w:tc>
        <w:tc>
          <w:tcPr>
            <w:tcW w:w="1563" w:type="pct"/>
            <w:tcBorders>
              <w:top w:val="nil"/>
              <w:left w:val="nil"/>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83.4</w:t>
            </w:r>
          </w:p>
        </w:tc>
        <w:tc>
          <w:tcPr>
            <w:tcW w:w="1621" w:type="pct"/>
            <w:tcBorders>
              <w:top w:val="nil"/>
              <w:left w:val="nil"/>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78.2</w:t>
            </w:r>
          </w:p>
        </w:tc>
      </w:tr>
      <w:tr w:rsidR="0010609A" w:rsidRPr="0010609A" w:rsidTr="0010609A">
        <w:trPr>
          <w:trHeight w:val="300"/>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9-Aug-12</w:t>
            </w:r>
          </w:p>
        </w:tc>
        <w:tc>
          <w:tcPr>
            <w:tcW w:w="1563" w:type="pct"/>
            <w:tcBorders>
              <w:top w:val="nil"/>
              <w:left w:val="nil"/>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86.1</w:t>
            </w:r>
          </w:p>
        </w:tc>
        <w:tc>
          <w:tcPr>
            <w:tcW w:w="1621" w:type="pct"/>
            <w:tcBorders>
              <w:top w:val="nil"/>
              <w:left w:val="nil"/>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79.5</w:t>
            </w:r>
          </w:p>
        </w:tc>
      </w:tr>
      <w:tr w:rsidR="0010609A" w:rsidRPr="0010609A" w:rsidTr="0010609A">
        <w:trPr>
          <w:trHeight w:val="300"/>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10-Aug-12</w:t>
            </w:r>
          </w:p>
        </w:tc>
        <w:tc>
          <w:tcPr>
            <w:tcW w:w="1563" w:type="pct"/>
            <w:tcBorders>
              <w:top w:val="nil"/>
              <w:left w:val="nil"/>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86.9</w:t>
            </w:r>
          </w:p>
        </w:tc>
        <w:tc>
          <w:tcPr>
            <w:tcW w:w="1621" w:type="pct"/>
            <w:tcBorders>
              <w:top w:val="nil"/>
              <w:left w:val="nil"/>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80.9</w:t>
            </w:r>
          </w:p>
        </w:tc>
      </w:tr>
      <w:tr w:rsidR="0010609A" w:rsidRPr="0010609A" w:rsidTr="0010609A">
        <w:trPr>
          <w:trHeight w:val="300"/>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14-Aug-12</w:t>
            </w:r>
          </w:p>
        </w:tc>
        <w:tc>
          <w:tcPr>
            <w:tcW w:w="1563" w:type="pct"/>
            <w:tcBorders>
              <w:top w:val="nil"/>
              <w:left w:val="nil"/>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87.1</w:t>
            </w:r>
          </w:p>
        </w:tc>
        <w:tc>
          <w:tcPr>
            <w:tcW w:w="1621" w:type="pct"/>
            <w:tcBorders>
              <w:top w:val="nil"/>
              <w:left w:val="nil"/>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80.3</w:t>
            </w:r>
          </w:p>
        </w:tc>
      </w:tr>
      <w:tr w:rsidR="0010609A" w:rsidRPr="0010609A" w:rsidTr="0010609A">
        <w:trPr>
          <w:trHeight w:val="300"/>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21-Aug-12</w:t>
            </w:r>
          </w:p>
        </w:tc>
        <w:tc>
          <w:tcPr>
            <w:tcW w:w="1563" w:type="pct"/>
            <w:tcBorders>
              <w:top w:val="nil"/>
              <w:left w:val="nil"/>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80.3</w:t>
            </w:r>
          </w:p>
        </w:tc>
        <w:tc>
          <w:tcPr>
            <w:tcW w:w="1621" w:type="pct"/>
            <w:tcBorders>
              <w:top w:val="nil"/>
              <w:left w:val="nil"/>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76.1</w:t>
            </w:r>
          </w:p>
        </w:tc>
      </w:tr>
      <w:tr w:rsidR="0010609A" w:rsidRPr="0010609A" w:rsidTr="0010609A">
        <w:trPr>
          <w:trHeight w:val="300"/>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15-Sep-12</w:t>
            </w:r>
          </w:p>
        </w:tc>
        <w:tc>
          <w:tcPr>
            <w:tcW w:w="1563" w:type="pct"/>
            <w:tcBorders>
              <w:top w:val="nil"/>
              <w:left w:val="nil"/>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97.0</w:t>
            </w:r>
          </w:p>
        </w:tc>
        <w:tc>
          <w:tcPr>
            <w:tcW w:w="1621" w:type="pct"/>
            <w:tcBorders>
              <w:top w:val="nil"/>
              <w:left w:val="nil"/>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96.1</w:t>
            </w:r>
          </w:p>
        </w:tc>
      </w:tr>
      <w:tr w:rsidR="0010609A" w:rsidRPr="0010609A" w:rsidTr="0010609A">
        <w:trPr>
          <w:trHeight w:val="300"/>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Average PTR Day</w:t>
            </w:r>
          </w:p>
        </w:tc>
        <w:tc>
          <w:tcPr>
            <w:tcW w:w="1563" w:type="pct"/>
            <w:tcBorders>
              <w:top w:val="nil"/>
              <w:left w:val="nil"/>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86.8</w:t>
            </w:r>
          </w:p>
        </w:tc>
        <w:tc>
          <w:tcPr>
            <w:tcW w:w="1621" w:type="pct"/>
            <w:tcBorders>
              <w:top w:val="nil"/>
              <w:left w:val="nil"/>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81.8</w:t>
            </w:r>
          </w:p>
        </w:tc>
      </w:tr>
      <w:tr w:rsidR="0010609A" w:rsidRPr="0010609A" w:rsidTr="0010609A">
        <w:trPr>
          <w:trHeight w:val="300"/>
        </w:trPr>
        <w:tc>
          <w:tcPr>
            <w:tcW w:w="1816" w:type="pct"/>
            <w:tcBorders>
              <w:top w:val="nil"/>
              <w:left w:val="single" w:sz="4" w:space="0" w:color="auto"/>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Average All Summer</w:t>
            </w:r>
          </w:p>
        </w:tc>
        <w:tc>
          <w:tcPr>
            <w:tcW w:w="1563" w:type="pct"/>
            <w:tcBorders>
              <w:top w:val="nil"/>
              <w:left w:val="nil"/>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79.9</w:t>
            </w:r>
          </w:p>
        </w:tc>
        <w:tc>
          <w:tcPr>
            <w:tcW w:w="1621" w:type="pct"/>
            <w:tcBorders>
              <w:top w:val="nil"/>
              <w:left w:val="nil"/>
              <w:bottom w:val="single" w:sz="4" w:space="0" w:color="auto"/>
              <w:right w:val="single" w:sz="4" w:space="0" w:color="auto"/>
            </w:tcBorders>
            <w:shd w:val="clear" w:color="auto" w:fill="auto"/>
            <w:noWrap/>
            <w:vAlign w:val="center"/>
            <w:hideMark/>
          </w:tcPr>
          <w:p w:rsidR="0010609A" w:rsidRPr="0010609A" w:rsidRDefault="0010609A" w:rsidP="0010609A">
            <w:pPr>
              <w:jc w:val="center"/>
              <w:rPr>
                <w:rFonts w:ascii="Calibri" w:hAnsi="Calibri"/>
                <w:color w:val="000000"/>
                <w:szCs w:val="20"/>
              </w:rPr>
            </w:pPr>
            <w:r w:rsidRPr="0010609A">
              <w:rPr>
                <w:rFonts w:ascii="Calibri" w:hAnsi="Calibri"/>
                <w:color w:val="000000"/>
                <w:szCs w:val="20"/>
              </w:rPr>
              <w:t>75.5</w:t>
            </w:r>
          </w:p>
        </w:tc>
      </w:tr>
    </w:tbl>
    <w:p w:rsidR="0010609A" w:rsidRDefault="0010609A" w:rsidP="008A6A9B">
      <w:pPr>
        <w:pStyle w:val="BodyText"/>
      </w:pPr>
    </w:p>
    <w:p w:rsidR="008A6A9B" w:rsidRDefault="008A6A9B" w:rsidP="008A6A9B">
      <w:pPr>
        <w:pStyle w:val="BodyText"/>
      </w:pPr>
      <w:r>
        <w:lastRenderedPageBreak/>
        <w:t xml:space="preserve">In general temperatures inland are warmer than at the coast, with coastal temperatures remaining in the high 70’s to very low 80’s throughout the summer and on all PTR days except for the September 15 event. Inland temperatures were in the mid 80’s for most of the PTR events, again except for the event on September 15. </w:t>
      </w: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6066D4" w:rsidRDefault="006066D4" w:rsidP="008A6A9B">
      <w:pPr>
        <w:pStyle w:val="BodyText"/>
      </w:pPr>
    </w:p>
    <w:p w:rsidR="00E139B5" w:rsidRDefault="00E139B5" w:rsidP="00F420CC">
      <w:pPr>
        <w:pStyle w:val="CommentText"/>
      </w:pPr>
    </w:p>
    <w:tbl>
      <w:tblPr>
        <w:tblW w:w="5000" w:type="pct"/>
        <w:tblBorders>
          <w:insideV w:val="single" w:sz="4" w:space="0" w:color="808080"/>
        </w:tblBorders>
        <w:tblCellMar>
          <w:left w:w="58" w:type="dxa"/>
          <w:right w:w="29" w:type="dxa"/>
        </w:tblCellMar>
        <w:tblLook w:val="0000"/>
      </w:tblPr>
      <w:tblGrid>
        <w:gridCol w:w="1297"/>
        <w:gridCol w:w="7790"/>
      </w:tblGrid>
      <w:tr w:rsidR="00E139B5" w:rsidRPr="00351A80" w:rsidTr="00E139B5">
        <w:trPr>
          <w:cantSplit/>
          <w:trHeight w:hRule="exact" w:val="288"/>
        </w:trPr>
        <w:tc>
          <w:tcPr>
            <w:tcW w:w="1297" w:type="dxa"/>
            <w:shd w:val="clear" w:color="auto" w:fill="auto"/>
            <w:vAlign w:val="center"/>
          </w:tcPr>
          <w:p w:rsidR="00E139B5" w:rsidRPr="00351A80" w:rsidRDefault="00E139B5" w:rsidP="00E139B5">
            <w:pPr>
              <w:pStyle w:val="Chapter"/>
              <w:framePr w:hSpace="0" w:wrap="auto" w:vAnchor="margin" w:hAnchor="text" w:yAlign="inline"/>
            </w:pPr>
            <w:r w:rsidRPr="00351A80">
              <w:lastRenderedPageBreak/>
              <w:t>Chapter</w:t>
            </w:r>
          </w:p>
        </w:tc>
        <w:tc>
          <w:tcPr>
            <w:tcW w:w="7790" w:type="dxa"/>
            <w:shd w:val="clear" w:color="auto" w:fill="auto"/>
            <w:tcMar>
              <w:left w:w="173" w:type="dxa"/>
            </w:tcMar>
            <w:vAlign w:val="center"/>
          </w:tcPr>
          <w:p w:rsidR="00E139B5" w:rsidRPr="00351A80" w:rsidRDefault="00E139B5" w:rsidP="00E139B5">
            <w:pPr>
              <w:pStyle w:val="Heading1"/>
            </w:pPr>
          </w:p>
        </w:tc>
      </w:tr>
    </w:tbl>
    <w:p w:rsidR="00E139B5" w:rsidRDefault="00E139B5" w:rsidP="00AA1EE9">
      <w:pPr>
        <w:pStyle w:val="ChapterTitle"/>
      </w:pPr>
    </w:p>
    <w:p w:rsidR="00AA1EE9" w:rsidRDefault="00505F00" w:rsidP="00AA1EE9">
      <w:pPr>
        <w:pStyle w:val="ChapterTitle"/>
      </w:pPr>
      <w:bookmarkStart w:id="32" w:name="_Toc351363730"/>
      <w:r>
        <w:t>Methodology</w:t>
      </w:r>
      <w:bookmarkEnd w:id="32"/>
    </w:p>
    <w:bookmarkEnd w:id="21"/>
    <w:bookmarkEnd w:id="22"/>
    <w:bookmarkEnd w:id="23"/>
    <w:bookmarkEnd w:id="24"/>
    <w:bookmarkEnd w:id="25"/>
    <w:bookmarkEnd w:id="26"/>
    <w:bookmarkEnd w:id="27"/>
    <w:p w:rsidR="00611FB2" w:rsidRDefault="00AA1EE9" w:rsidP="00AE1AC0">
      <w:pPr>
        <w:pStyle w:val="BodyText"/>
      </w:pPr>
      <w:r>
        <w:t xml:space="preserve">The program evaluation activities were designed to estimate the </w:t>
      </w:r>
      <w:r w:rsidR="00494A61">
        <w:t xml:space="preserve">actual or </w:t>
      </w:r>
      <w:r w:rsidRPr="001C2E78">
        <w:rPr>
          <w:i/>
        </w:rPr>
        <w:t>ex-post</w:t>
      </w:r>
      <w:r>
        <w:t xml:space="preserve"> impacts for </w:t>
      </w:r>
      <w:r w:rsidR="002754A9">
        <w:t>the small c</w:t>
      </w:r>
      <w:r w:rsidR="00302DD1">
        <w:t>ommer</w:t>
      </w:r>
      <w:r w:rsidR="00E139B5">
        <w:t>cial PTR</w:t>
      </w:r>
      <w:r w:rsidR="00302DD1">
        <w:t xml:space="preserve"> program. A secondary task</w:t>
      </w:r>
      <w:r w:rsidR="00AE1AC0">
        <w:t xml:space="preserve"> </w:t>
      </w:r>
      <w:r w:rsidR="00302DD1">
        <w:t xml:space="preserve">was to provide summary settlement statistics for the rebates paid through the program based on the </w:t>
      </w:r>
      <w:r w:rsidR="00246C66">
        <w:t>customer</w:t>
      </w:r>
      <w:r w:rsidR="003C0EF5">
        <w:t>-specific</w:t>
      </w:r>
      <w:r w:rsidR="00246C66">
        <w:t xml:space="preserve"> reference load (</w:t>
      </w:r>
      <w:r w:rsidR="00302DD1">
        <w:t>CRL</w:t>
      </w:r>
      <w:r w:rsidR="00246C66">
        <w:t>)</w:t>
      </w:r>
      <w:r w:rsidR="00302DD1">
        <w:t xml:space="preserve">. </w:t>
      </w:r>
    </w:p>
    <w:p w:rsidR="00302DD1" w:rsidRDefault="00302DD1" w:rsidP="00302DD1">
      <w:pPr>
        <w:pStyle w:val="Heading2"/>
      </w:pPr>
      <w:bookmarkStart w:id="33" w:name="_Toc351363731"/>
      <w:r>
        <w:t>Evaluation Goals</w:t>
      </w:r>
      <w:bookmarkEnd w:id="33"/>
    </w:p>
    <w:p w:rsidR="00A67CE7" w:rsidRPr="00B165DB" w:rsidRDefault="00246C66" w:rsidP="00302DD1">
      <w:pPr>
        <w:pStyle w:val="BodyText"/>
      </w:pPr>
      <w:r>
        <w:t>The primary goal</w:t>
      </w:r>
      <w:r w:rsidR="00A67CE7" w:rsidRPr="000D2337">
        <w:t xml:space="preserve"> of the load impact evaluation </w:t>
      </w:r>
      <w:bookmarkStart w:id="34" w:name="_GoBack"/>
      <w:bookmarkEnd w:id="34"/>
      <w:r>
        <w:t>is</w:t>
      </w:r>
      <w:r w:rsidR="00302DD1">
        <w:t xml:space="preserve"> t</w:t>
      </w:r>
      <w:r w:rsidR="00A67CE7" w:rsidRPr="00B165DB">
        <w:t>o estimate the</w:t>
      </w:r>
      <w:r w:rsidR="00302DD1">
        <w:t xml:space="preserve"> </w:t>
      </w:r>
      <w:r w:rsidR="00302DD1" w:rsidRPr="002754A9">
        <w:rPr>
          <w:i/>
        </w:rPr>
        <w:t>ex-post</w:t>
      </w:r>
      <w:r w:rsidR="002754A9">
        <w:t xml:space="preserve"> load impacts of the small c</w:t>
      </w:r>
      <w:r w:rsidR="00A67CE7" w:rsidRPr="00B165DB">
        <w:t xml:space="preserve">ommercial </w:t>
      </w:r>
      <w:r w:rsidR="00E139B5">
        <w:t>PTR</w:t>
      </w:r>
      <w:r w:rsidR="00302DD1">
        <w:t xml:space="preserve"> program. This evaluation includes the following components</w:t>
      </w:r>
      <w:r w:rsidR="00A67CE7" w:rsidRPr="00B165DB">
        <w:t>:</w:t>
      </w:r>
    </w:p>
    <w:p w:rsidR="00A67CE7" w:rsidRPr="00F0427D" w:rsidRDefault="00E139B5" w:rsidP="00C25C32">
      <w:pPr>
        <w:pStyle w:val="BodyText"/>
        <w:numPr>
          <w:ilvl w:val="0"/>
          <w:numId w:val="23"/>
        </w:numPr>
      </w:pPr>
      <w:r>
        <w:t>Average program level h</w:t>
      </w:r>
      <w:r w:rsidR="00A67CE7" w:rsidRPr="000D2337">
        <w:t xml:space="preserve">ourly load reduction on </w:t>
      </w:r>
      <w:r>
        <w:t xml:space="preserve">each PTR event day, and across all </w:t>
      </w:r>
      <w:smartTag w:uri="urn:schemas-microsoft-com:office:smarttags" w:element="stockticker">
        <w:r w:rsidR="00A67CE7" w:rsidRPr="000D2337">
          <w:t>PTR</w:t>
        </w:r>
      </w:smartTag>
      <w:r w:rsidR="00A67CE7" w:rsidRPr="000D2337">
        <w:t xml:space="preserve"> event days</w:t>
      </w:r>
    </w:p>
    <w:p w:rsidR="00A67CE7" w:rsidRPr="000D2337" w:rsidRDefault="00E139B5" w:rsidP="00C25C32">
      <w:pPr>
        <w:pStyle w:val="BodyText"/>
        <w:numPr>
          <w:ilvl w:val="0"/>
          <w:numId w:val="23"/>
        </w:numPr>
      </w:pPr>
      <w:r>
        <w:t>Average per-participant</w:t>
      </w:r>
      <w:r w:rsidR="00A67CE7" w:rsidRPr="000D2337">
        <w:t xml:space="preserve"> hourly load reduction on </w:t>
      </w:r>
      <w:r>
        <w:t xml:space="preserve">each </w:t>
      </w:r>
      <w:smartTag w:uri="urn:schemas-microsoft-com:office:smarttags" w:element="stockticker">
        <w:r w:rsidR="00A67CE7" w:rsidRPr="000D2337">
          <w:t>PTR</w:t>
        </w:r>
      </w:smartTag>
      <w:r>
        <w:t xml:space="preserve"> event day, and across all PTR event days</w:t>
      </w:r>
    </w:p>
    <w:p w:rsidR="00A67CE7" w:rsidRDefault="00A67CE7" w:rsidP="00C25C32">
      <w:pPr>
        <w:pStyle w:val="BodyText"/>
        <w:numPr>
          <w:ilvl w:val="0"/>
          <w:numId w:val="23"/>
        </w:numPr>
      </w:pPr>
      <w:r>
        <w:t xml:space="preserve">Hourly </w:t>
      </w:r>
      <w:r w:rsidRPr="000D2337">
        <w:t xml:space="preserve">load reduction on </w:t>
      </w:r>
      <w:smartTag w:uri="urn:schemas-microsoft-com:office:smarttags" w:element="stockticker">
        <w:r w:rsidRPr="000D2337">
          <w:t>PTR</w:t>
        </w:r>
      </w:smartTag>
      <w:r w:rsidRPr="000D2337">
        <w:t xml:space="preserve"> event</w:t>
      </w:r>
      <w:r>
        <w:t xml:space="preserve"> days by various sub-groups</w:t>
      </w:r>
      <w:r w:rsidR="00DA5698">
        <w:t xml:space="preserve"> including</w:t>
      </w:r>
      <w:r>
        <w:t xml:space="preserve">, </w:t>
      </w:r>
      <w:r w:rsidR="00DA5698">
        <w:t>customers that did not receive any notification of events, customers that receive default notification through My Account, and Opt-in Alert customers that specifically requested event notification</w:t>
      </w:r>
      <w:r>
        <w:t>.</w:t>
      </w:r>
    </w:p>
    <w:p w:rsidR="00302DD1" w:rsidRDefault="00A40E02" w:rsidP="00E139B5">
      <w:pPr>
        <w:pStyle w:val="BodyText"/>
      </w:pPr>
      <w:r>
        <w:t xml:space="preserve">We also include the following summary </w:t>
      </w:r>
      <w:r w:rsidR="00302DD1">
        <w:t>settlement statistics</w:t>
      </w:r>
      <w:r>
        <w:t xml:space="preserve"> regarding PTR rebates, and a comparison of these statistics to the evaluation impacts: </w:t>
      </w:r>
    </w:p>
    <w:p w:rsidR="00302DD1" w:rsidRDefault="00302DD1" w:rsidP="00C25C32">
      <w:pPr>
        <w:pStyle w:val="BodyText"/>
        <w:numPr>
          <w:ilvl w:val="0"/>
          <w:numId w:val="24"/>
        </w:numPr>
      </w:pPr>
      <w:r w:rsidRPr="00681F0C">
        <w:t>The number of customers who used less than their  CRL for each event</w:t>
      </w:r>
    </w:p>
    <w:p w:rsidR="00302DD1" w:rsidRDefault="00302DD1" w:rsidP="00C25C32">
      <w:pPr>
        <w:pStyle w:val="BodyText"/>
        <w:numPr>
          <w:ilvl w:val="0"/>
          <w:numId w:val="24"/>
        </w:numPr>
      </w:pPr>
      <w:r w:rsidRPr="00681F0C">
        <w:t>The total load reduction</w:t>
      </w:r>
      <w:r w:rsidR="003636FD">
        <w:t xml:space="preserve"> by event</w:t>
      </w:r>
      <w:r w:rsidRPr="00681F0C">
        <w:t xml:space="preserve"> according the CRL</w:t>
      </w:r>
      <w:r w:rsidR="003636FD">
        <w:t>,</w:t>
      </w:r>
      <w:r w:rsidRPr="00681F0C">
        <w:t xml:space="preserve"> </w:t>
      </w:r>
      <w:r w:rsidR="003636FD">
        <w:t>including all customers</w:t>
      </w:r>
      <w:r w:rsidRPr="00681F0C">
        <w:t>.</w:t>
      </w:r>
    </w:p>
    <w:p w:rsidR="00302DD1" w:rsidRPr="0031750F" w:rsidRDefault="00302DD1" w:rsidP="00C25C32">
      <w:pPr>
        <w:pStyle w:val="BodyText"/>
        <w:numPr>
          <w:ilvl w:val="0"/>
          <w:numId w:val="24"/>
        </w:numPr>
      </w:pPr>
      <w:r w:rsidRPr="00681F0C">
        <w:t>The total load reduction by event according to the CRL</w:t>
      </w:r>
      <w:r w:rsidR="003636FD">
        <w:t>,</w:t>
      </w:r>
      <w:r w:rsidRPr="00681F0C">
        <w:t xml:space="preserve"> including only customers using less t</w:t>
      </w:r>
      <w:r w:rsidR="00A40E02">
        <w:t xml:space="preserve">han their CRL.  </w:t>
      </w:r>
    </w:p>
    <w:p w:rsidR="00302DD1" w:rsidRDefault="00302DD1" w:rsidP="00C25C32">
      <w:pPr>
        <w:pStyle w:val="BodyText"/>
        <w:numPr>
          <w:ilvl w:val="0"/>
          <w:numId w:val="24"/>
        </w:numPr>
      </w:pPr>
      <w:r w:rsidRPr="00681F0C">
        <w:t xml:space="preserve">Total bill credits paid by event. </w:t>
      </w:r>
    </w:p>
    <w:p w:rsidR="00302DD1" w:rsidRPr="00681F0C" w:rsidRDefault="00302DD1" w:rsidP="00C25C32">
      <w:pPr>
        <w:pStyle w:val="BodyText"/>
        <w:numPr>
          <w:ilvl w:val="0"/>
          <w:numId w:val="24"/>
        </w:numPr>
      </w:pPr>
      <w:r w:rsidRPr="00681F0C">
        <w:t>Dollars per MW paid out according to the total load reduction  estimated by the CRL</w:t>
      </w:r>
    </w:p>
    <w:p w:rsidR="00302DD1" w:rsidRPr="00681F0C" w:rsidRDefault="00302DD1" w:rsidP="00C25C32">
      <w:pPr>
        <w:pStyle w:val="BodyText"/>
        <w:numPr>
          <w:ilvl w:val="0"/>
          <w:numId w:val="24"/>
        </w:numPr>
      </w:pPr>
      <w:r w:rsidRPr="00681F0C">
        <w:t>Dollars per MW paid out according to the total load reduction estimated by the measurement and evaluation.</w:t>
      </w:r>
    </w:p>
    <w:p w:rsidR="00302DD1" w:rsidRPr="0023121F" w:rsidRDefault="00552665" w:rsidP="00A40E02">
      <w:pPr>
        <w:pStyle w:val="Heading2"/>
      </w:pPr>
      <w:bookmarkStart w:id="35" w:name="_Toc351363732"/>
      <w:r>
        <w:t>Evaluation Challenges</w:t>
      </w:r>
      <w:bookmarkEnd w:id="35"/>
    </w:p>
    <w:p w:rsidR="0092086F" w:rsidRDefault="00A74176" w:rsidP="0092086F">
      <w:pPr>
        <w:pStyle w:val="BodyText"/>
      </w:pPr>
      <w:r>
        <w:t>Below we identify two</w:t>
      </w:r>
      <w:r w:rsidR="0092086F">
        <w:t xml:space="preserve"> key challenges associated with the evaluation of the small commercial PTR program:  </w:t>
      </w:r>
    </w:p>
    <w:p w:rsidR="0092086F" w:rsidRDefault="0092086F" w:rsidP="00C25C32">
      <w:pPr>
        <w:pStyle w:val="BodyText"/>
        <w:numPr>
          <w:ilvl w:val="0"/>
          <w:numId w:val="25"/>
        </w:numPr>
      </w:pPr>
      <w:r w:rsidRPr="006754C2">
        <w:rPr>
          <w:b/>
        </w:rPr>
        <w:t>Lack of control group.</w:t>
      </w:r>
      <w:r>
        <w:t xml:space="preserve"> SDG&amp;E’s PTR program was deployed as a default rate for all small commercial customers. In addition, since PTR is considered a “no lose” rate, participants are unable to opt-off of the rate. Because the entire population is technically participating in the program</w:t>
      </w:r>
      <w:r w:rsidRPr="00036EC0">
        <w:t>,</w:t>
      </w:r>
      <w:r>
        <w:t xml:space="preserve"> creating a matched control group is challenging. However, after determining through regression and load shape analysis that those customers who are not being notified of events did not respond to PTR events, events, a matched control group of those who were not notified of PTR events was used to further analyze load impact results among those that did receive notification.  </w:t>
      </w:r>
    </w:p>
    <w:p w:rsidR="00213499" w:rsidRPr="00A74176" w:rsidRDefault="0092086F" w:rsidP="00C25C32">
      <w:pPr>
        <w:pStyle w:val="BodyText"/>
        <w:numPr>
          <w:ilvl w:val="0"/>
          <w:numId w:val="25"/>
        </w:numPr>
      </w:pPr>
      <w:r w:rsidRPr="002D46B0">
        <w:rPr>
          <w:b/>
        </w:rPr>
        <w:lastRenderedPageBreak/>
        <w:t xml:space="preserve">Small </w:t>
      </w:r>
      <w:r>
        <w:rPr>
          <w:b/>
        </w:rPr>
        <w:t>expected energy reduction across all customers</w:t>
      </w:r>
      <w:r w:rsidRPr="002D46B0">
        <w:rPr>
          <w:b/>
        </w:rPr>
        <w:t>.</w:t>
      </w:r>
      <w:r>
        <w:t xml:space="preserve">  Based on the evidence presented in recent default PTR pilots both at </w:t>
      </w:r>
      <w:proofErr w:type="spellStart"/>
      <w:r>
        <w:t>ComEd</w:t>
      </w:r>
      <w:proofErr w:type="spellEnd"/>
      <w:r>
        <w:t xml:space="preserve"> and SDG&amp;E, we would expect average energy savings for all participants to be very small, somewhere less than 5 percent. While on average the per customer savings is expected to be small, on an individual level we expect a wide variation in the level of savings, with a smaller subset of participants </w:t>
      </w:r>
      <w:r w:rsidR="00BB5EAF">
        <w:t>actively responding to events</w:t>
      </w:r>
      <w:r>
        <w:t>, and the larg</w:t>
      </w:r>
      <w:r w:rsidR="00BB5EAF">
        <w:t>e majority of participants responding very little, if at all</w:t>
      </w:r>
      <w:r>
        <w:t xml:space="preserve">. This type of distribution is very typical in DR programs, where the majority of the savings comes from a minority of participants. In this case, because of the default nature of the rate, and the fact that most customers have not proactively signed up for notification, the ratio of savers to non-savers is likely to be very small. </w:t>
      </w:r>
    </w:p>
    <w:p w:rsidR="009304B0" w:rsidRDefault="00213499" w:rsidP="00213499">
      <w:pPr>
        <w:rPr>
          <w:rFonts w:cs="Tahoma"/>
          <w:szCs w:val="20"/>
        </w:rPr>
      </w:pPr>
      <w:r>
        <w:rPr>
          <w:rFonts w:cs="Tahoma"/>
          <w:szCs w:val="20"/>
        </w:rPr>
        <w:t>The analysis approach outlined below was designed specifically to meet each o</w:t>
      </w:r>
      <w:r w:rsidR="00BB5EAF">
        <w:rPr>
          <w:rFonts w:cs="Tahoma"/>
          <w:szCs w:val="20"/>
        </w:rPr>
        <w:t xml:space="preserve">f the key evaluation goals while also addressing each of the challenges. </w:t>
      </w:r>
      <w:r>
        <w:rPr>
          <w:rFonts w:cs="Tahoma"/>
          <w:szCs w:val="20"/>
        </w:rPr>
        <w:t xml:space="preserve"> </w:t>
      </w:r>
    </w:p>
    <w:p w:rsidR="009304B0" w:rsidRDefault="009304B0" w:rsidP="009304B0">
      <w:pPr>
        <w:pStyle w:val="Heading2"/>
      </w:pPr>
      <w:bookmarkStart w:id="36" w:name="_Toc351363733"/>
      <w:r w:rsidRPr="006662CD">
        <w:t>Analysis Approach</w:t>
      </w:r>
      <w:bookmarkEnd w:id="36"/>
    </w:p>
    <w:p w:rsidR="00FD1935" w:rsidRDefault="00FD1935" w:rsidP="0033143C">
      <w:pPr>
        <w:pStyle w:val="BodyText"/>
      </w:pPr>
      <w:r>
        <w:t xml:space="preserve">The following sections describe </w:t>
      </w:r>
      <w:r w:rsidR="0016490C">
        <w:t xml:space="preserve">in detail </w:t>
      </w:r>
      <w:r>
        <w:t xml:space="preserve">the analysis approach and methodology we used to estimate the </w:t>
      </w:r>
      <w:r w:rsidRPr="001C2E78">
        <w:rPr>
          <w:i/>
        </w:rPr>
        <w:t>ex-post</w:t>
      </w:r>
      <w:r>
        <w:t xml:space="preserve"> impact</w:t>
      </w:r>
      <w:r w:rsidR="00D9561A">
        <w:t xml:space="preserve">s for </w:t>
      </w:r>
      <w:r w:rsidR="00BB5EAF">
        <w:t>the PTR participants</w:t>
      </w:r>
      <w:r>
        <w:t>.</w:t>
      </w:r>
      <w:r w:rsidR="00BB5EAF">
        <w:t xml:space="preserve"> We first describe the sample that was used for the analysis. Next we</w:t>
      </w:r>
      <w:r w:rsidR="00D21B78">
        <w:t xml:space="preserve"> describe the </w:t>
      </w:r>
      <w:r w:rsidR="00213499">
        <w:t>method</w:t>
      </w:r>
      <w:r w:rsidR="00D9561A">
        <w:t>s</w:t>
      </w:r>
      <w:r w:rsidR="00213499">
        <w:t xml:space="preserve"> we </w:t>
      </w:r>
      <w:r w:rsidR="00D9561A">
        <w:t>used t</w:t>
      </w:r>
      <w:r w:rsidR="00BB5EAF">
        <w:t>o validate the sample data. F</w:t>
      </w:r>
      <w:r w:rsidR="00D9561A">
        <w:t xml:space="preserve">inally we describe </w:t>
      </w:r>
      <w:r w:rsidR="00246C66">
        <w:t xml:space="preserve">the </w:t>
      </w:r>
      <w:r w:rsidR="00D9561A">
        <w:t xml:space="preserve">approach we used to estimate </w:t>
      </w:r>
      <w:r w:rsidR="00BB5EAF">
        <w:t xml:space="preserve">and validate the </w:t>
      </w:r>
      <w:r w:rsidR="00BB5EAF" w:rsidRPr="006066D4">
        <w:rPr>
          <w:i/>
        </w:rPr>
        <w:t xml:space="preserve">ex-post </w:t>
      </w:r>
      <w:r w:rsidR="00BB5EAF">
        <w:t>impacts for PTR</w:t>
      </w:r>
      <w:r w:rsidR="00D9561A">
        <w:t xml:space="preserve"> participants</w:t>
      </w:r>
      <w:r w:rsidR="00213499">
        <w:t xml:space="preserve">.  </w:t>
      </w:r>
    </w:p>
    <w:p w:rsidR="00552665" w:rsidRDefault="00552665" w:rsidP="00552665">
      <w:pPr>
        <w:pStyle w:val="Heading3"/>
      </w:pPr>
      <w:bookmarkStart w:id="37" w:name="_Toc351363734"/>
      <w:r>
        <w:t>Sample Design</w:t>
      </w:r>
      <w:bookmarkEnd w:id="37"/>
    </w:p>
    <w:p w:rsidR="007F12AB" w:rsidRDefault="00251C4A" w:rsidP="00BB5EAF">
      <w:pPr>
        <w:pStyle w:val="BodyText"/>
      </w:pPr>
      <w:r>
        <w:t xml:space="preserve">Because there are 107,918 small commercial PTR participants being considered in this evaluation and performing analysis on a </w:t>
      </w:r>
      <w:r w:rsidR="007F12AB">
        <w:t xml:space="preserve">population of that size is prohibitive, we used a large sample of participants for the analysis. </w:t>
      </w:r>
      <w:r w:rsidR="0083771D">
        <w:t>SDG&amp;E created a new Dynamic Load Profiling (DLP) sample for the small commercial class in summer of 20</w:t>
      </w:r>
      <w:r w:rsidR="00C478F4">
        <w:t xml:space="preserve">11. The sample consists of </w:t>
      </w:r>
      <w:r w:rsidR="00F90F34">
        <w:t>approximately 8,500</w:t>
      </w:r>
      <w:r w:rsidR="0083771D">
        <w:t xml:space="preserve"> customers and was designed </w:t>
      </w:r>
      <w:r w:rsidR="00246C66">
        <w:t xml:space="preserve">using typical </w:t>
      </w:r>
      <w:r w:rsidR="007F12AB">
        <w:t>stratified</w:t>
      </w:r>
      <w:r w:rsidR="00246C66">
        <w:t xml:space="preserve"> random</w:t>
      </w:r>
      <w:r w:rsidR="007F12AB">
        <w:t xml:space="preserve"> sampling techniques </w:t>
      </w:r>
      <w:r w:rsidR="0083771D">
        <w:t xml:space="preserve">to represent the small commercial population. </w:t>
      </w:r>
      <w:r w:rsidR="007F12AB">
        <w:t>We decided to use the DLP sample for our anal</w:t>
      </w:r>
      <w:r w:rsidR="0082098A">
        <w:t>ysis of the small commercial PTR</w:t>
      </w:r>
      <w:r w:rsidR="007F12AB">
        <w:t xml:space="preserve"> program for several reasons:</w:t>
      </w:r>
    </w:p>
    <w:p w:rsidR="007F12AB" w:rsidRDefault="007F12AB" w:rsidP="00C25C32">
      <w:pPr>
        <w:pStyle w:val="BodyText"/>
        <w:numPr>
          <w:ilvl w:val="0"/>
          <w:numId w:val="27"/>
        </w:numPr>
      </w:pPr>
      <w:r>
        <w:t xml:space="preserve">The DLP </w:t>
      </w:r>
      <w:r w:rsidR="0082098A">
        <w:t xml:space="preserve">sample </w:t>
      </w:r>
      <w:r>
        <w:t>customers were distributed relatively proportionally across the subgroups of interest.</w:t>
      </w:r>
    </w:p>
    <w:p w:rsidR="007F12AB" w:rsidRDefault="007F12AB" w:rsidP="00C25C32">
      <w:pPr>
        <w:pStyle w:val="BodyText"/>
        <w:numPr>
          <w:ilvl w:val="0"/>
          <w:numId w:val="27"/>
        </w:numPr>
      </w:pPr>
      <w:r>
        <w:t>Because the DLP</w:t>
      </w:r>
      <w:r w:rsidR="0082098A">
        <w:t xml:space="preserve"> sample</w:t>
      </w:r>
      <w:r w:rsidR="002754A9">
        <w:t xml:space="preserve"> customers were part of a l</w:t>
      </w:r>
      <w:r>
        <w:t>oad research sample they</w:t>
      </w:r>
      <w:r w:rsidR="00246C66">
        <w:t xml:space="preserve"> had more thoroughly validated and</w:t>
      </w:r>
      <w:r w:rsidR="0083771D">
        <w:t xml:space="preserve"> complete in</w:t>
      </w:r>
      <w:r>
        <w:t>terval data, especially during the pre-treatment period.</w:t>
      </w:r>
    </w:p>
    <w:p w:rsidR="007F12AB" w:rsidRDefault="007F12AB" w:rsidP="00C25C32">
      <w:pPr>
        <w:pStyle w:val="BodyText"/>
        <w:numPr>
          <w:ilvl w:val="0"/>
          <w:numId w:val="27"/>
        </w:numPr>
      </w:pPr>
      <w:r>
        <w:t>Using the DLP sample eliminated the need to select a new random stratified sample</w:t>
      </w:r>
      <w:r w:rsidR="00DC4A15">
        <w:t xml:space="preserve"> and submit an interval data request for that sample</w:t>
      </w:r>
      <w:r>
        <w:t xml:space="preserve"> </w:t>
      </w:r>
      <w:r w:rsidR="00DC4A15">
        <w:t>within the limited time available for this analysis</w:t>
      </w:r>
      <w:r>
        <w:t>.</w:t>
      </w:r>
    </w:p>
    <w:p w:rsidR="00A74176" w:rsidRDefault="00F90F34" w:rsidP="007F12AB">
      <w:pPr>
        <w:pStyle w:val="BodyText"/>
      </w:pPr>
      <w:r>
        <w:t xml:space="preserve">However, because the DLP sample is a stratified random sample rather than a simple random sample it was important to treat the weights properly throughout the analysis. </w:t>
      </w:r>
      <w:r w:rsidR="0083771D">
        <w:t xml:space="preserve">The </w:t>
      </w:r>
      <w:r w:rsidR="002754A9">
        <w:t>small c</w:t>
      </w:r>
      <w:r w:rsidR="00DC4A15">
        <w:t>ommercial DLP sample is</w:t>
      </w:r>
      <w:r w:rsidR="0083771D">
        <w:t xml:space="preserve"> stratified by </w:t>
      </w:r>
      <w:r w:rsidR="00047E58">
        <w:t xml:space="preserve">average daily summer usage </w:t>
      </w:r>
      <w:r w:rsidR="0083771D">
        <w:t>and climate zone</w:t>
      </w:r>
      <w:r w:rsidR="00246C66">
        <w:t>. T</w:t>
      </w:r>
      <w:r w:rsidR="00124882">
        <w:t xml:space="preserve">he original sample </w:t>
      </w:r>
      <w:r w:rsidR="007F12AB">
        <w:t>design</w:t>
      </w:r>
      <w:r w:rsidR="00124882">
        <w:t xml:space="preserve"> is sho</w:t>
      </w:r>
      <w:r w:rsidR="0083771D">
        <w:t>wn below in Table 2-1.</w:t>
      </w:r>
      <w:r w:rsidR="00531733">
        <w:t xml:space="preserve"> </w:t>
      </w:r>
    </w:p>
    <w:p w:rsidR="00FA021D" w:rsidRDefault="00FA021D" w:rsidP="007F12AB">
      <w:pPr>
        <w:pStyle w:val="BodyText"/>
      </w:pPr>
    </w:p>
    <w:p w:rsidR="00FA021D" w:rsidRDefault="00FA021D" w:rsidP="007F12AB">
      <w:pPr>
        <w:pStyle w:val="BodyText"/>
      </w:pPr>
    </w:p>
    <w:p w:rsidR="00FA021D" w:rsidRDefault="00FA021D" w:rsidP="007F12AB">
      <w:pPr>
        <w:pStyle w:val="BodyText"/>
      </w:pPr>
    </w:p>
    <w:p w:rsidR="00FA021D" w:rsidRDefault="00FA021D" w:rsidP="007F12AB">
      <w:pPr>
        <w:pStyle w:val="BodyText"/>
      </w:pPr>
    </w:p>
    <w:p w:rsidR="00FA021D" w:rsidRDefault="00FA021D" w:rsidP="007F12AB">
      <w:pPr>
        <w:pStyle w:val="BodyText"/>
      </w:pPr>
    </w:p>
    <w:p w:rsidR="00DC4A15" w:rsidRDefault="00DC4A15" w:rsidP="007F12AB">
      <w:pPr>
        <w:pStyle w:val="BodyText"/>
      </w:pPr>
    </w:p>
    <w:p w:rsidR="00047E58" w:rsidRDefault="00124882" w:rsidP="00124882">
      <w:pPr>
        <w:pStyle w:val="TableCaption"/>
        <w:ind w:left="0" w:firstLine="0"/>
      </w:pPr>
      <w:bookmarkStart w:id="38" w:name="_Toc349652985"/>
      <w:bookmarkStart w:id="39" w:name="_Toc351364114"/>
      <w:r w:rsidRPr="005F25AF">
        <w:lastRenderedPageBreak/>
        <w:t xml:space="preserve">Table </w:t>
      </w:r>
      <w:r w:rsidR="00397D35" w:rsidRPr="005F25AF">
        <w:fldChar w:fldCharType="begin"/>
      </w:r>
      <w:r w:rsidRPr="005F25AF">
        <w:instrText xml:space="preserve"> STYLEREF  "Heading 1,Chap Num"  \* MERGEFORMAT </w:instrText>
      </w:r>
      <w:r w:rsidR="00397D35" w:rsidRPr="005F25AF">
        <w:fldChar w:fldCharType="end"/>
      </w:r>
      <w:fldSimple w:instr=" STYLEREF  &quot;Heading 1,Chap Num&quot; \n  \* MERGEFORMAT ">
        <w:r>
          <w:rPr>
            <w:noProof/>
          </w:rPr>
          <w:t>2</w:t>
        </w:r>
      </w:fldSimple>
      <w:r w:rsidRPr="005F25AF">
        <w:t>-</w:t>
      </w:r>
      <w:fldSimple w:instr=" SEQ Table\s 1 \* MERGEFORMAT ">
        <w:r>
          <w:rPr>
            <w:noProof/>
          </w:rPr>
          <w:t>1</w:t>
        </w:r>
      </w:fldSimple>
      <w:r w:rsidRPr="005F25AF">
        <w:tab/>
      </w:r>
      <w:bookmarkEnd w:id="38"/>
      <w:r w:rsidR="007F12AB">
        <w:t xml:space="preserve">Original </w:t>
      </w:r>
      <w:r>
        <w:t>2011 DLP Sample Design</w:t>
      </w:r>
      <w:bookmarkEnd w:id="39"/>
    </w:p>
    <w:tbl>
      <w:tblPr>
        <w:tblW w:w="8747" w:type="dxa"/>
        <w:tblInd w:w="91" w:type="dxa"/>
        <w:tblLook w:val="04A0"/>
      </w:tblPr>
      <w:tblGrid>
        <w:gridCol w:w="2897"/>
        <w:gridCol w:w="2970"/>
        <w:gridCol w:w="2880"/>
      </w:tblGrid>
      <w:tr w:rsidR="00743C4A" w:rsidRPr="006F6E3B" w:rsidTr="00743C4A">
        <w:trPr>
          <w:trHeight w:val="615"/>
        </w:trPr>
        <w:tc>
          <w:tcPr>
            <w:tcW w:w="2897"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743C4A" w:rsidRPr="006F6E3B" w:rsidRDefault="00743C4A" w:rsidP="00694BA0">
            <w:pPr>
              <w:jc w:val="center"/>
              <w:rPr>
                <w:rFonts w:ascii="Calibri" w:hAnsi="Calibri"/>
                <w:b/>
                <w:bCs/>
                <w:color w:val="FFFFFF"/>
                <w:szCs w:val="20"/>
              </w:rPr>
            </w:pPr>
            <w:r w:rsidRPr="006F6E3B">
              <w:rPr>
                <w:rFonts w:ascii="Calibri" w:hAnsi="Calibri"/>
                <w:b/>
                <w:bCs/>
                <w:color w:val="FFFFFF"/>
                <w:szCs w:val="20"/>
              </w:rPr>
              <w:t>Stratum</w:t>
            </w:r>
          </w:p>
        </w:tc>
        <w:tc>
          <w:tcPr>
            <w:tcW w:w="2970" w:type="dxa"/>
            <w:tcBorders>
              <w:top w:val="single" w:sz="4" w:space="0" w:color="auto"/>
              <w:left w:val="nil"/>
              <w:bottom w:val="single" w:sz="4" w:space="0" w:color="auto"/>
              <w:right w:val="single" w:sz="4" w:space="0" w:color="auto"/>
            </w:tcBorders>
            <w:shd w:val="clear" w:color="000000" w:fill="1F497D"/>
            <w:vAlign w:val="center"/>
            <w:hideMark/>
          </w:tcPr>
          <w:p w:rsidR="00743C4A" w:rsidRPr="006F6E3B" w:rsidRDefault="00743C4A" w:rsidP="00694BA0">
            <w:pPr>
              <w:jc w:val="center"/>
              <w:rPr>
                <w:rFonts w:ascii="Calibri" w:hAnsi="Calibri"/>
                <w:b/>
                <w:bCs/>
                <w:color w:val="FFFFFF"/>
                <w:szCs w:val="20"/>
              </w:rPr>
            </w:pPr>
            <w:r w:rsidRPr="006F6E3B">
              <w:rPr>
                <w:rFonts w:ascii="Calibri" w:hAnsi="Calibri"/>
                <w:b/>
                <w:bCs/>
                <w:color w:val="FFFFFF"/>
                <w:szCs w:val="20"/>
              </w:rPr>
              <w:t>2011 Sample</w:t>
            </w:r>
          </w:p>
        </w:tc>
        <w:tc>
          <w:tcPr>
            <w:tcW w:w="2880" w:type="dxa"/>
            <w:tcBorders>
              <w:top w:val="single" w:sz="4" w:space="0" w:color="auto"/>
              <w:left w:val="nil"/>
              <w:bottom w:val="single" w:sz="4" w:space="0" w:color="auto"/>
              <w:right w:val="single" w:sz="4" w:space="0" w:color="auto"/>
            </w:tcBorders>
            <w:shd w:val="clear" w:color="000000" w:fill="1F497D"/>
            <w:vAlign w:val="center"/>
            <w:hideMark/>
          </w:tcPr>
          <w:p w:rsidR="00743C4A" w:rsidRPr="006F6E3B" w:rsidRDefault="00743C4A" w:rsidP="00694BA0">
            <w:pPr>
              <w:jc w:val="center"/>
              <w:rPr>
                <w:rFonts w:ascii="Calibri" w:hAnsi="Calibri"/>
                <w:b/>
                <w:bCs/>
                <w:color w:val="FFFFFF"/>
                <w:szCs w:val="20"/>
              </w:rPr>
            </w:pPr>
            <w:r w:rsidRPr="006F6E3B">
              <w:rPr>
                <w:rFonts w:ascii="Calibri" w:hAnsi="Calibri"/>
                <w:b/>
                <w:bCs/>
                <w:color w:val="FFFFFF"/>
                <w:szCs w:val="20"/>
              </w:rPr>
              <w:t>2011 Population</w:t>
            </w:r>
          </w:p>
        </w:tc>
      </w:tr>
      <w:tr w:rsidR="006F6E3B" w:rsidRPr="006F6E3B" w:rsidTr="00743C4A">
        <w:trPr>
          <w:trHeight w:val="300"/>
        </w:trPr>
        <w:tc>
          <w:tcPr>
            <w:tcW w:w="2897" w:type="dxa"/>
            <w:tcBorders>
              <w:top w:val="nil"/>
              <w:left w:val="single" w:sz="4" w:space="0" w:color="auto"/>
              <w:bottom w:val="single" w:sz="4" w:space="0" w:color="auto"/>
              <w:right w:val="single" w:sz="4" w:space="0" w:color="auto"/>
            </w:tcBorders>
            <w:shd w:val="clear" w:color="auto" w:fill="auto"/>
            <w:noWrap/>
            <w:vAlign w:val="center"/>
            <w:hideMark/>
          </w:tcPr>
          <w:p w:rsidR="006F6E3B" w:rsidRPr="006F6E3B" w:rsidRDefault="006F6E3B" w:rsidP="00694BA0">
            <w:pPr>
              <w:jc w:val="center"/>
              <w:rPr>
                <w:rFonts w:ascii="Calibri" w:hAnsi="Calibri"/>
                <w:color w:val="000000"/>
                <w:szCs w:val="20"/>
              </w:rPr>
            </w:pPr>
            <w:r w:rsidRPr="006F6E3B">
              <w:rPr>
                <w:rFonts w:ascii="Calibri" w:hAnsi="Calibri"/>
                <w:color w:val="000000"/>
                <w:szCs w:val="20"/>
              </w:rPr>
              <w:t>Coastal</w:t>
            </w:r>
          </w:p>
          <w:p w:rsidR="006F6E3B" w:rsidRPr="006F6E3B" w:rsidRDefault="006F6E3B" w:rsidP="00694BA0">
            <w:pPr>
              <w:jc w:val="center"/>
              <w:rPr>
                <w:rFonts w:ascii="Calibri" w:hAnsi="Calibri"/>
                <w:i/>
                <w:color w:val="000000"/>
                <w:szCs w:val="20"/>
              </w:rPr>
            </w:pPr>
            <w:r w:rsidRPr="006F6E3B">
              <w:rPr>
                <w:rFonts w:ascii="Calibri" w:hAnsi="Calibri"/>
                <w:i/>
                <w:color w:val="000000"/>
                <w:szCs w:val="20"/>
              </w:rPr>
              <w:t>&lt;= 30 kWh</w:t>
            </w:r>
            <w:r w:rsidR="00246C66">
              <w:rPr>
                <w:rFonts w:ascii="Calibri" w:hAnsi="Calibri"/>
                <w:i/>
                <w:color w:val="000000"/>
                <w:szCs w:val="20"/>
              </w:rPr>
              <w:t>/day</w:t>
            </w:r>
          </w:p>
        </w:tc>
        <w:tc>
          <w:tcPr>
            <w:tcW w:w="297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2,447</w:t>
            </w:r>
          </w:p>
        </w:tc>
        <w:tc>
          <w:tcPr>
            <w:tcW w:w="288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44,209</w:t>
            </w:r>
          </w:p>
        </w:tc>
      </w:tr>
      <w:tr w:rsidR="006F6E3B" w:rsidRPr="006F6E3B" w:rsidTr="00743C4A">
        <w:trPr>
          <w:trHeight w:val="300"/>
        </w:trPr>
        <w:tc>
          <w:tcPr>
            <w:tcW w:w="2897" w:type="dxa"/>
            <w:tcBorders>
              <w:top w:val="nil"/>
              <w:left w:val="single" w:sz="4" w:space="0" w:color="auto"/>
              <w:bottom w:val="single" w:sz="4" w:space="0" w:color="auto"/>
              <w:right w:val="single" w:sz="4" w:space="0" w:color="auto"/>
            </w:tcBorders>
            <w:shd w:val="clear" w:color="auto" w:fill="auto"/>
            <w:noWrap/>
            <w:vAlign w:val="center"/>
            <w:hideMark/>
          </w:tcPr>
          <w:p w:rsidR="006F6E3B" w:rsidRPr="006F6E3B" w:rsidRDefault="006F6E3B" w:rsidP="00694BA0">
            <w:pPr>
              <w:jc w:val="center"/>
              <w:rPr>
                <w:rFonts w:ascii="Calibri" w:hAnsi="Calibri"/>
                <w:color w:val="000000"/>
                <w:szCs w:val="20"/>
              </w:rPr>
            </w:pPr>
            <w:r w:rsidRPr="006F6E3B">
              <w:rPr>
                <w:rFonts w:ascii="Calibri" w:hAnsi="Calibri"/>
                <w:color w:val="000000"/>
                <w:szCs w:val="20"/>
              </w:rPr>
              <w:t>Coastal</w:t>
            </w:r>
          </w:p>
          <w:p w:rsidR="006F6E3B" w:rsidRPr="006F6E3B" w:rsidRDefault="006F6E3B" w:rsidP="00694BA0">
            <w:pPr>
              <w:jc w:val="center"/>
              <w:rPr>
                <w:rFonts w:ascii="Calibri" w:hAnsi="Calibri"/>
                <w:i/>
                <w:color w:val="000000"/>
                <w:szCs w:val="20"/>
              </w:rPr>
            </w:pPr>
            <w:r w:rsidRPr="006F6E3B">
              <w:rPr>
                <w:rFonts w:ascii="Calibri" w:hAnsi="Calibri"/>
                <w:i/>
                <w:color w:val="000000"/>
                <w:szCs w:val="20"/>
              </w:rPr>
              <w:t>30 &lt; kWh</w:t>
            </w:r>
            <w:r w:rsidR="00246C66">
              <w:rPr>
                <w:rFonts w:ascii="Calibri" w:hAnsi="Calibri"/>
                <w:i/>
                <w:color w:val="000000"/>
                <w:szCs w:val="20"/>
              </w:rPr>
              <w:t>/day</w:t>
            </w:r>
            <w:r w:rsidRPr="006F6E3B">
              <w:rPr>
                <w:rFonts w:ascii="Calibri" w:hAnsi="Calibri"/>
                <w:i/>
                <w:color w:val="000000"/>
                <w:szCs w:val="20"/>
              </w:rPr>
              <w:t xml:space="preserve"> &lt;= 114 </w:t>
            </w:r>
          </w:p>
        </w:tc>
        <w:tc>
          <w:tcPr>
            <w:tcW w:w="297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1,614</w:t>
            </w:r>
          </w:p>
        </w:tc>
        <w:tc>
          <w:tcPr>
            <w:tcW w:w="288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22,217</w:t>
            </w:r>
          </w:p>
        </w:tc>
      </w:tr>
      <w:tr w:rsidR="006F6E3B" w:rsidRPr="006F6E3B" w:rsidTr="00743C4A">
        <w:trPr>
          <w:trHeight w:val="300"/>
        </w:trPr>
        <w:tc>
          <w:tcPr>
            <w:tcW w:w="2897" w:type="dxa"/>
            <w:tcBorders>
              <w:top w:val="nil"/>
              <w:left w:val="single" w:sz="4" w:space="0" w:color="auto"/>
              <w:bottom w:val="single" w:sz="4" w:space="0" w:color="auto"/>
              <w:right w:val="single" w:sz="4" w:space="0" w:color="auto"/>
            </w:tcBorders>
            <w:shd w:val="clear" w:color="auto" w:fill="auto"/>
            <w:noWrap/>
            <w:vAlign w:val="center"/>
            <w:hideMark/>
          </w:tcPr>
          <w:p w:rsidR="006F6E3B" w:rsidRPr="006F6E3B" w:rsidRDefault="006F6E3B" w:rsidP="00694BA0">
            <w:pPr>
              <w:jc w:val="center"/>
              <w:rPr>
                <w:rFonts w:ascii="Calibri" w:hAnsi="Calibri"/>
                <w:color w:val="000000"/>
                <w:szCs w:val="20"/>
              </w:rPr>
            </w:pPr>
            <w:r w:rsidRPr="006F6E3B">
              <w:rPr>
                <w:rFonts w:ascii="Calibri" w:hAnsi="Calibri"/>
                <w:color w:val="000000"/>
                <w:szCs w:val="20"/>
              </w:rPr>
              <w:t>Coastal</w:t>
            </w:r>
          </w:p>
          <w:p w:rsidR="006F6E3B" w:rsidRPr="006F6E3B" w:rsidRDefault="006F6E3B" w:rsidP="00694BA0">
            <w:pPr>
              <w:jc w:val="center"/>
              <w:rPr>
                <w:rFonts w:ascii="Calibri" w:hAnsi="Calibri"/>
                <w:i/>
                <w:color w:val="000000"/>
                <w:szCs w:val="20"/>
              </w:rPr>
            </w:pPr>
            <w:r w:rsidRPr="006F6E3B">
              <w:rPr>
                <w:rFonts w:ascii="Calibri" w:hAnsi="Calibri"/>
                <w:i/>
                <w:color w:val="000000"/>
                <w:szCs w:val="20"/>
              </w:rPr>
              <w:t>&gt; 114 kWh</w:t>
            </w:r>
            <w:r w:rsidR="00246C66">
              <w:rPr>
                <w:rFonts w:ascii="Calibri" w:hAnsi="Calibri"/>
                <w:i/>
                <w:color w:val="000000"/>
                <w:szCs w:val="20"/>
              </w:rPr>
              <w:t>/day</w:t>
            </w:r>
          </w:p>
        </w:tc>
        <w:tc>
          <w:tcPr>
            <w:tcW w:w="297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548</w:t>
            </w:r>
          </w:p>
        </w:tc>
        <w:tc>
          <w:tcPr>
            <w:tcW w:w="288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7,360</w:t>
            </w:r>
          </w:p>
        </w:tc>
      </w:tr>
      <w:tr w:rsidR="006F6E3B" w:rsidRPr="006F6E3B" w:rsidTr="00743C4A">
        <w:trPr>
          <w:trHeight w:val="300"/>
        </w:trPr>
        <w:tc>
          <w:tcPr>
            <w:tcW w:w="2897" w:type="dxa"/>
            <w:tcBorders>
              <w:top w:val="single" w:sz="4" w:space="0" w:color="auto"/>
              <w:left w:val="single" w:sz="4" w:space="0" w:color="auto"/>
              <w:bottom w:val="single" w:sz="4" w:space="0" w:color="auto"/>
              <w:right w:val="single" w:sz="4" w:space="0" w:color="auto"/>
            </w:tcBorders>
            <w:shd w:val="clear" w:color="auto" w:fill="E5EBF1" w:themeFill="accent2" w:themeFillTint="33"/>
            <w:noWrap/>
            <w:vAlign w:val="center"/>
            <w:hideMark/>
          </w:tcPr>
          <w:p w:rsidR="006F6E3B" w:rsidRPr="006F6E3B" w:rsidRDefault="006F6E3B" w:rsidP="00694BA0">
            <w:pPr>
              <w:jc w:val="center"/>
              <w:rPr>
                <w:rFonts w:ascii="Calibri" w:hAnsi="Calibri"/>
                <w:color w:val="000000"/>
                <w:szCs w:val="20"/>
              </w:rPr>
            </w:pPr>
            <w:r w:rsidRPr="006F6E3B">
              <w:rPr>
                <w:rFonts w:ascii="Calibri" w:hAnsi="Calibri"/>
                <w:color w:val="000000"/>
                <w:szCs w:val="20"/>
              </w:rPr>
              <w:t>Desert</w:t>
            </w:r>
          </w:p>
          <w:p w:rsidR="006F6E3B" w:rsidRPr="006F6E3B" w:rsidRDefault="006F6E3B" w:rsidP="00694BA0">
            <w:pPr>
              <w:jc w:val="center"/>
              <w:rPr>
                <w:rFonts w:ascii="Calibri" w:hAnsi="Calibri"/>
                <w:i/>
                <w:color w:val="000000"/>
                <w:szCs w:val="20"/>
              </w:rPr>
            </w:pPr>
            <w:r w:rsidRPr="006F6E3B">
              <w:rPr>
                <w:rFonts w:ascii="Calibri" w:hAnsi="Calibri"/>
                <w:i/>
                <w:color w:val="000000"/>
                <w:szCs w:val="20"/>
              </w:rPr>
              <w:t>&lt;= 24 kWh</w:t>
            </w:r>
            <w:r w:rsidR="00246C66">
              <w:rPr>
                <w:rFonts w:ascii="Calibri" w:hAnsi="Calibri"/>
                <w:i/>
                <w:color w:val="000000"/>
                <w:szCs w:val="20"/>
              </w:rPr>
              <w:t>/day</w:t>
            </w:r>
          </w:p>
        </w:tc>
        <w:tc>
          <w:tcPr>
            <w:tcW w:w="2970"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1,416</w:t>
            </w:r>
          </w:p>
        </w:tc>
        <w:tc>
          <w:tcPr>
            <w:tcW w:w="2880"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22,117</w:t>
            </w:r>
          </w:p>
        </w:tc>
      </w:tr>
      <w:tr w:rsidR="006F6E3B" w:rsidRPr="006F6E3B" w:rsidTr="00743C4A">
        <w:trPr>
          <w:trHeight w:val="300"/>
        </w:trPr>
        <w:tc>
          <w:tcPr>
            <w:tcW w:w="2897" w:type="dxa"/>
            <w:tcBorders>
              <w:top w:val="single" w:sz="4" w:space="0" w:color="auto"/>
              <w:left w:val="single" w:sz="4" w:space="0" w:color="auto"/>
              <w:bottom w:val="single" w:sz="4" w:space="0" w:color="auto"/>
              <w:right w:val="single" w:sz="4" w:space="0" w:color="auto"/>
            </w:tcBorders>
            <w:shd w:val="clear" w:color="auto" w:fill="E5EBF1" w:themeFill="accent2" w:themeFillTint="33"/>
            <w:noWrap/>
            <w:vAlign w:val="center"/>
            <w:hideMark/>
          </w:tcPr>
          <w:p w:rsidR="006F6E3B" w:rsidRPr="006F6E3B" w:rsidRDefault="006F6E3B" w:rsidP="00694BA0">
            <w:pPr>
              <w:jc w:val="center"/>
              <w:rPr>
                <w:rFonts w:ascii="Calibri" w:hAnsi="Calibri"/>
                <w:color w:val="000000"/>
                <w:szCs w:val="20"/>
              </w:rPr>
            </w:pPr>
            <w:r w:rsidRPr="006F6E3B">
              <w:rPr>
                <w:rFonts w:ascii="Calibri" w:hAnsi="Calibri"/>
                <w:color w:val="000000"/>
                <w:szCs w:val="20"/>
              </w:rPr>
              <w:t xml:space="preserve">Desert </w:t>
            </w:r>
          </w:p>
          <w:p w:rsidR="006F6E3B" w:rsidRPr="006F6E3B" w:rsidRDefault="006F6E3B" w:rsidP="00694BA0">
            <w:pPr>
              <w:jc w:val="center"/>
              <w:rPr>
                <w:rFonts w:ascii="Calibri" w:hAnsi="Calibri"/>
                <w:i/>
                <w:color w:val="000000"/>
                <w:szCs w:val="20"/>
              </w:rPr>
            </w:pPr>
            <w:r w:rsidRPr="006F6E3B">
              <w:rPr>
                <w:rFonts w:ascii="Calibri" w:hAnsi="Calibri"/>
                <w:i/>
                <w:color w:val="000000"/>
                <w:szCs w:val="20"/>
              </w:rPr>
              <w:t>24 &lt; kWh</w:t>
            </w:r>
            <w:r w:rsidR="00246C66">
              <w:rPr>
                <w:rFonts w:ascii="Calibri" w:hAnsi="Calibri"/>
                <w:i/>
                <w:color w:val="000000"/>
                <w:szCs w:val="20"/>
              </w:rPr>
              <w:t xml:space="preserve">/day </w:t>
            </w:r>
            <w:r w:rsidRPr="006F6E3B">
              <w:rPr>
                <w:rFonts w:ascii="Calibri" w:hAnsi="Calibri"/>
                <w:i/>
                <w:color w:val="000000"/>
                <w:szCs w:val="20"/>
              </w:rPr>
              <w:t xml:space="preserve"> &lt;=102</w:t>
            </w:r>
          </w:p>
        </w:tc>
        <w:tc>
          <w:tcPr>
            <w:tcW w:w="2970"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1,481</w:t>
            </w:r>
          </w:p>
        </w:tc>
        <w:tc>
          <w:tcPr>
            <w:tcW w:w="2880"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15,991</w:t>
            </w:r>
          </w:p>
        </w:tc>
      </w:tr>
      <w:tr w:rsidR="006F6E3B" w:rsidRPr="006F6E3B" w:rsidTr="00743C4A">
        <w:trPr>
          <w:trHeight w:val="300"/>
        </w:trPr>
        <w:tc>
          <w:tcPr>
            <w:tcW w:w="2897" w:type="dxa"/>
            <w:tcBorders>
              <w:top w:val="single" w:sz="4" w:space="0" w:color="auto"/>
              <w:left w:val="single" w:sz="4" w:space="0" w:color="auto"/>
              <w:bottom w:val="single" w:sz="4" w:space="0" w:color="auto"/>
              <w:right w:val="single" w:sz="4" w:space="0" w:color="auto"/>
            </w:tcBorders>
            <w:shd w:val="clear" w:color="auto" w:fill="E5EBF1" w:themeFill="accent2" w:themeFillTint="33"/>
            <w:noWrap/>
            <w:vAlign w:val="center"/>
            <w:hideMark/>
          </w:tcPr>
          <w:p w:rsidR="006F6E3B" w:rsidRPr="006F6E3B" w:rsidRDefault="006F6E3B" w:rsidP="00694BA0">
            <w:pPr>
              <w:jc w:val="center"/>
              <w:rPr>
                <w:rFonts w:ascii="Calibri" w:hAnsi="Calibri"/>
                <w:color w:val="000000"/>
                <w:szCs w:val="20"/>
              </w:rPr>
            </w:pPr>
            <w:r w:rsidRPr="006F6E3B">
              <w:rPr>
                <w:rFonts w:ascii="Calibri" w:hAnsi="Calibri"/>
                <w:color w:val="000000"/>
                <w:szCs w:val="20"/>
              </w:rPr>
              <w:t xml:space="preserve">Desert </w:t>
            </w:r>
          </w:p>
          <w:p w:rsidR="006F6E3B" w:rsidRPr="006F6E3B" w:rsidRDefault="006F6E3B" w:rsidP="00694BA0">
            <w:pPr>
              <w:jc w:val="center"/>
              <w:rPr>
                <w:rFonts w:ascii="Calibri" w:hAnsi="Calibri"/>
                <w:i/>
                <w:color w:val="000000"/>
                <w:szCs w:val="20"/>
              </w:rPr>
            </w:pPr>
            <w:r w:rsidRPr="006F6E3B">
              <w:rPr>
                <w:rFonts w:ascii="Calibri" w:hAnsi="Calibri"/>
                <w:i/>
                <w:color w:val="000000"/>
                <w:szCs w:val="20"/>
              </w:rPr>
              <w:t>&gt; 102</w:t>
            </w:r>
          </w:p>
        </w:tc>
        <w:tc>
          <w:tcPr>
            <w:tcW w:w="2970"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466</w:t>
            </w:r>
          </w:p>
        </w:tc>
        <w:tc>
          <w:tcPr>
            <w:tcW w:w="2880"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4,492</w:t>
            </w:r>
          </w:p>
        </w:tc>
      </w:tr>
      <w:tr w:rsidR="006F6E3B" w:rsidRPr="006F6E3B" w:rsidTr="00743C4A">
        <w:trPr>
          <w:trHeight w:val="300"/>
        </w:trPr>
        <w:tc>
          <w:tcPr>
            <w:tcW w:w="2897" w:type="dxa"/>
            <w:tcBorders>
              <w:top w:val="nil"/>
              <w:left w:val="single" w:sz="4" w:space="0" w:color="auto"/>
              <w:bottom w:val="single" w:sz="4" w:space="0" w:color="auto"/>
              <w:right w:val="single" w:sz="4" w:space="0" w:color="auto"/>
            </w:tcBorders>
            <w:shd w:val="clear" w:color="auto" w:fill="auto"/>
            <w:noWrap/>
            <w:vAlign w:val="center"/>
            <w:hideMark/>
          </w:tcPr>
          <w:p w:rsidR="006F6E3B" w:rsidRPr="006F6E3B" w:rsidRDefault="006F6E3B" w:rsidP="00694BA0">
            <w:pPr>
              <w:jc w:val="center"/>
              <w:rPr>
                <w:rFonts w:ascii="Calibri" w:hAnsi="Calibri"/>
                <w:color w:val="000000"/>
                <w:szCs w:val="20"/>
              </w:rPr>
            </w:pPr>
            <w:r w:rsidRPr="006F6E3B">
              <w:rPr>
                <w:rFonts w:ascii="Calibri" w:hAnsi="Calibri"/>
                <w:color w:val="000000"/>
                <w:szCs w:val="20"/>
              </w:rPr>
              <w:t xml:space="preserve">Mountain/Inland </w:t>
            </w:r>
          </w:p>
          <w:p w:rsidR="006F6E3B" w:rsidRPr="006F6E3B" w:rsidRDefault="006F6E3B" w:rsidP="00694BA0">
            <w:pPr>
              <w:jc w:val="center"/>
              <w:rPr>
                <w:rFonts w:ascii="Calibri" w:hAnsi="Calibri"/>
                <w:i/>
                <w:color w:val="000000"/>
                <w:szCs w:val="20"/>
              </w:rPr>
            </w:pPr>
            <w:r w:rsidRPr="006F6E3B">
              <w:rPr>
                <w:rFonts w:ascii="Calibri" w:hAnsi="Calibri"/>
                <w:i/>
                <w:color w:val="000000"/>
                <w:szCs w:val="20"/>
              </w:rPr>
              <w:t>&lt;= 20 kWh</w:t>
            </w:r>
            <w:r w:rsidR="00246C66">
              <w:rPr>
                <w:rFonts w:ascii="Calibri" w:hAnsi="Calibri"/>
                <w:i/>
                <w:color w:val="000000"/>
                <w:szCs w:val="20"/>
              </w:rPr>
              <w:t>/day</w:t>
            </w:r>
          </w:p>
        </w:tc>
        <w:tc>
          <w:tcPr>
            <w:tcW w:w="297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61</w:t>
            </w:r>
          </w:p>
        </w:tc>
        <w:tc>
          <w:tcPr>
            <w:tcW w:w="288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1,632</w:t>
            </w:r>
          </w:p>
        </w:tc>
      </w:tr>
      <w:tr w:rsidR="006F6E3B" w:rsidRPr="006F6E3B" w:rsidTr="00E43A62">
        <w:trPr>
          <w:trHeight w:val="300"/>
        </w:trPr>
        <w:tc>
          <w:tcPr>
            <w:tcW w:w="2897" w:type="dxa"/>
            <w:tcBorders>
              <w:top w:val="nil"/>
              <w:left w:val="single" w:sz="4" w:space="0" w:color="auto"/>
              <w:bottom w:val="single" w:sz="4" w:space="0" w:color="auto"/>
              <w:right w:val="single" w:sz="4" w:space="0" w:color="auto"/>
            </w:tcBorders>
            <w:shd w:val="clear" w:color="auto" w:fill="auto"/>
            <w:noWrap/>
            <w:vAlign w:val="center"/>
            <w:hideMark/>
          </w:tcPr>
          <w:p w:rsidR="006F6E3B" w:rsidRPr="006F6E3B" w:rsidRDefault="006F6E3B" w:rsidP="00694BA0">
            <w:pPr>
              <w:jc w:val="center"/>
              <w:rPr>
                <w:rFonts w:ascii="Calibri" w:hAnsi="Calibri"/>
                <w:color w:val="000000"/>
                <w:szCs w:val="20"/>
              </w:rPr>
            </w:pPr>
            <w:r w:rsidRPr="006F6E3B">
              <w:rPr>
                <w:rFonts w:ascii="Calibri" w:hAnsi="Calibri"/>
                <w:color w:val="000000"/>
                <w:szCs w:val="20"/>
              </w:rPr>
              <w:t>Mountain/Inland</w:t>
            </w:r>
          </w:p>
          <w:p w:rsidR="006F6E3B" w:rsidRPr="006F6E3B" w:rsidRDefault="006F6E3B" w:rsidP="00694BA0">
            <w:pPr>
              <w:jc w:val="center"/>
              <w:rPr>
                <w:rFonts w:ascii="Calibri" w:hAnsi="Calibri"/>
                <w:i/>
                <w:color w:val="000000"/>
                <w:szCs w:val="20"/>
              </w:rPr>
            </w:pPr>
            <w:r w:rsidRPr="006F6E3B">
              <w:rPr>
                <w:rFonts w:ascii="Calibri" w:hAnsi="Calibri"/>
                <w:i/>
                <w:color w:val="000000"/>
                <w:szCs w:val="20"/>
              </w:rPr>
              <w:t>20 &lt; kWh</w:t>
            </w:r>
            <w:r w:rsidR="00246C66">
              <w:rPr>
                <w:rFonts w:ascii="Calibri" w:hAnsi="Calibri"/>
                <w:i/>
                <w:color w:val="000000"/>
                <w:szCs w:val="20"/>
              </w:rPr>
              <w:t>/day</w:t>
            </w:r>
            <w:r w:rsidRPr="006F6E3B">
              <w:rPr>
                <w:rFonts w:ascii="Calibri" w:hAnsi="Calibri"/>
                <w:i/>
                <w:color w:val="000000"/>
                <w:szCs w:val="20"/>
              </w:rPr>
              <w:t xml:space="preserve"> &lt;=95</w:t>
            </w:r>
          </w:p>
        </w:tc>
        <w:tc>
          <w:tcPr>
            <w:tcW w:w="297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88</w:t>
            </w:r>
          </w:p>
        </w:tc>
        <w:tc>
          <w:tcPr>
            <w:tcW w:w="288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733</w:t>
            </w:r>
          </w:p>
        </w:tc>
      </w:tr>
      <w:tr w:rsidR="006F6E3B" w:rsidRPr="006F6E3B" w:rsidTr="006F6E3B">
        <w:trPr>
          <w:trHeight w:val="300"/>
        </w:trPr>
        <w:tc>
          <w:tcPr>
            <w:tcW w:w="2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E3B" w:rsidRPr="006F6E3B" w:rsidRDefault="006F6E3B" w:rsidP="00694BA0">
            <w:pPr>
              <w:jc w:val="center"/>
              <w:rPr>
                <w:rFonts w:ascii="Calibri" w:hAnsi="Calibri"/>
                <w:color w:val="000000"/>
                <w:szCs w:val="20"/>
              </w:rPr>
            </w:pPr>
            <w:r w:rsidRPr="006F6E3B">
              <w:rPr>
                <w:rFonts w:ascii="Calibri" w:hAnsi="Calibri"/>
                <w:color w:val="000000"/>
                <w:szCs w:val="20"/>
              </w:rPr>
              <w:t>Mountain/Inland</w:t>
            </w:r>
          </w:p>
          <w:p w:rsidR="006F6E3B" w:rsidRPr="006F6E3B" w:rsidRDefault="006F6E3B" w:rsidP="00694BA0">
            <w:pPr>
              <w:jc w:val="center"/>
              <w:rPr>
                <w:rFonts w:ascii="Calibri" w:hAnsi="Calibri"/>
                <w:i/>
                <w:color w:val="000000"/>
                <w:szCs w:val="20"/>
              </w:rPr>
            </w:pPr>
            <w:r w:rsidRPr="006F6E3B">
              <w:rPr>
                <w:rFonts w:ascii="Calibri" w:hAnsi="Calibri"/>
                <w:i/>
                <w:color w:val="000000"/>
                <w:szCs w:val="20"/>
              </w:rPr>
              <w:t>&gt; 95 kWh</w:t>
            </w:r>
            <w:r w:rsidR="00246C66">
              <w:rPr>
                <w:rFonts w:ascii="Calibri" w:hAnsi="Calibri"/>
                <w:i/>
                <w:color w:val="000000"/>
                <w:szCs w:val="20"/>
              </w:rPr>
              <w:t>/day</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113</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242</w:t>
            </w:r>
          </w:p>
        </w:tc>
      </w:tr>
      <w:tr w:rsidR="00E43A62" w:rsidRPr="006F6E3B" w:rsidTr="006F6E3B">
        <w:trPr>
          <w:trHeight w:val="300"/>
        </w:trPr>
        <w:tc>
          <w:tcPr>
            <w:tcW w:w="2897" w:type="dxa"/>
            <w:tcBorders>
              <w:top w:val="single" w:sz="4" w:space="0" w:color="auto"/>
              <w:left w:val="single" w:sz="4" w:space="0" w:color="auto"/>
              <w:bottom w:val="single" w:sz="4" w:space="0" w:color="auto"/>
              <w:right w:val="single" w:sz="4" w:space="0" w:color="auto"/>
            </w:tcBorders>
            <w:shd w:val="clear" w:color="auto" w:fill="E5EBF1" w:themeFill="accent2" w:themeFillTint="33"/>
            <w:noWrap/>
            <w:vAlign w:val="center"/>
            <w:hideMark/>
          </w:tcPr>
          <w:p w:rsidR="00E43A62" w:rsidRPr="006F6E3B" w:rsidRDefault="00E43A62" w:rsidP="00694BA0">
            <w:pPr>
              <w:jc w:val="center"/>
              <w:rPr>
                <w:rFonts w:ascii="Calibri" w:hAnsi="Calibri"/>
                <w:b/>
                <w:color w:val="000000"/>
                <w:szCs w:val="20"/>
              </w:rPr>
            </w:pPr>
            <w:r w:rsidRPr="006F6E3B">
              <w:rPr>
                <w:rFonts w:ascii="Calibri" w:hAnsi="Calibri"/>
                <w:b/>
                <w:color w:val="000000"/>
                <w:szCs w:val="20"/>
              </w:rPr>
              <w:t>Totals</w:t>
            </w:r>
          </w:p>
        </w:tc>
        <w:tc>
          <w:tcPr>
            <w:tcW w:w="2970"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E43A62" w:rsidRPr="006F6E3B" w:rsidRDefault="00E43A62" w:rsidP="00694BA0">
            <w:pPr>
              <w:jc w:val="center"/>
              <w:rPr>
                <w:rFonts w:ascii="Calibri" w:hAnsi="Calibri"/>
                <w:b/>
                <w:color w:val="000000"/>
                <w:szCs w:val="20"/>
              </w:rPr>
            </w:pPr>
            <w:r w:rsidRPr="006F6E3B">
              <w:rPr>
                <w:rFonts w:ascii="Calibri" w:hAnsi="Calibri"/>
                <w:b/>
                <w:color w:val="000000"/>
                <w:szCs w:val="20"/>
              </w:rPr>
              <w:t>8,234</w:t>
            </w:r>
          </w:p>
        </w:tc>
        <w:tc>
          <w:tcPr>
            <w:tcW w:w="2880"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E43A62" w:rsidRPr="006F6E3B" w:rsidRDefault="00E43A62" w:rsidP="00694BA0">
            <w:pPr>
              <w:jc w:val="center"/>
              <w:rPr>
                <w:rFonts w:ascii="Calibri" w:hAnsi="Calibri"/>
                <w:b/>
                <w:color w:val="000000"/>
                <w:szCs w:val="20"/>
              </w:rPr>
            </w:pPr>
            <w:r w:rsidRPr="006F6E3B">
              <w:rPr>
                <w:rFonts w:ascii="Calibri" w:hAnsi="Calibri"/>
                <w:b/>
                <w:color w:val="000000"/>
                <w:szCs w:val="20"/>
              </w:rPr>
              <w:t>118,993</w:t>
            </w:r>
          </w:p>
        </w:tc>
      </w:tr>
    </w:tbl>
    <w:p w:rsidR="00047E58" w:rsidRDefault="00047E58" w:rsidP="00BB5EAF">
      <w:pPr>
        <w:pStyle w:val="BodyText"/>
      </w:pPr>
    </w:p>
    <w:p w:rsidR="00246C66" w:rsidRDefault="00246C66" w:rsidP="00246C66">
      <w:pPr>
        <w:pStyle w:val="BodyText"/>
      </w:pPr>
      <w:r>
        <w:t>We needed to modify the existing DLP sample slightly in order to be able to use it for this evaluation. First, all customers who requested notification of PTR events and were not already in the DLP sample were added to the analysis sample for evaluation.  The customers who requested notification that were also in the DLP sample were then removed from the DLP strata that they were originally assigned to, and combined with those customers added to the sample into a census or certainty stratum for the Opt-in Alert customers. Second, we adjusted the sample weights to reflect the mix and usage of customers being evaluated as participants in the small commercial PTR program in 2012. In order to make these adjustments we post-stratified the sample by reassigning both sample and population customers to the appropriate stratum based on their 2012 summer average daily usage and climate zone. We also excluded Summer</w:t>
      </w:r>
      <w:r w:rsidR="0017612C">
        <w:t xml:space="preserve"> </w:t>
      </w:r>
      <w:r>
        <w:t xml:space="preserve">Saver and Net Metering participants from both the population and the sample. </w:t>
      </w:r>
    </w:p>
    <w:p w:rsidR="00246C66" w:rsidRDefault="00246C66" w:rsidP="00246C66">
      <w:pPr>
        <w:pStyle w:val="BodyText"/>
      </w:pPr>
      <w:r>
        <w:t>We then recalculated the case weights for the post-stratified design. We used the same average summer daily usage breakpoints that were calculated for the 2011 stratification.</w:t>
      </w:r>
      <w:r>
        <w:rPr>
          <w:rStyle w:val="FootnoteReference"/>
        </w:rPr>
        <w:footnoteReference w:id="4"/>
      </w:r>
      <w:r>
        <w:t xml:space="preserve"> The updated stratification for the DLP sample is below is Table 2-2.</w:t>
      </w:r>
    </w:p>
    <w:p w:rsidR="0082098A" w:rsidRDefault="0082098A" w:rsidP="00BB5EAF">
      <w:pPr>
        <w:pStyle w:val="BodyText"/>
      </w:pPr>
    </w:p>
    <w:p w:rsidR="0082098A" w:rsidRDefault="0082098A" w:rsidP="00BB5EAF">
      <w:pPr>
        <w:pStyle w:val="BodyText"/>
      </w:pPr>
    </w:p>
    <w:p w:rsidR="0082098A" w:rsidRDefault="0082098A" w:rsidP="00BB5EAF">
      <w:pPr>
        <w:pStyle w:val="BodyText"/>
      </w:pPr>
    </w:p>
    <w:p w:rsidR="0082098A" w:rsidRDefault="0082098A" w:rsidP="00BB5EAF">
      <w:pPr>
        <w:pStyle w:val="BodyText"/>
      </w:pPr>
    </w:p>
    <w:p w:rsidR="0082098A" w:rsidRDefault="0082098A" w:rsidP="00BB5EAF">
      <w:pPr>
        <w:pStyle w:val="BodyText"/>
      </w:pPr>
    </w:p>
    <w:p w:rsidR="0082098A" w:rsidRDefault="0082098A" w:rsidP="00BB5EAF">
      <w:pPr>
        <w:pStyle w:val="BodyText"/>
      </w:pPr>
    </w:p>
    <w:p w:rsidR="008904A7" w:rsidRDefault="008904A7" w:rsidP="008904A7">
      <w:pPr>
        <w:pStyle w:val="TableCaption"/>
        <w:ind w:left="0" w:firstLine="0"/>
      </w:pPr>
      <w:bookmarkStart w:id="40" w:name="_Toc351364115"/>
      <w:r w:rsidRPr="005F25AF">
        <w:lastRenderedPageBreak/>
        <w:t xml:space="preserve">Table </w:t>
      </w:r>
      <w:r w:rsidR="00397D35" w:rsidRPr="005F25AF">
        <w:fldChar w:fldCharType="begin"/>
      </w:r>
      <w:r w:rsidRPr="005F25AF">
        <w:instrText xml:space="preserve"> STYLEREF  "Heading 1,Chap Num"  \* MERGEFORMAT </w:instrText>
      </w:r>
      <w:r w:rsidR="00397D35" w:rsidRPr="005F25AF">
        <w:fldChar w:fldCharType="end"/>
      </w:r>
      <w:fldSimple w:instr=" STYLEREF  &quot;Heading 1,Chap Num&quot; \n  \* MERGEFORMAT ">
        <w:r>
          <w:rPr>
            <w:noProof/>
          </w:rPr>
          <w:t>2</w:t>
        </w:r>
      </w:fldSimple>
      <w:r w:rsidRPr="005F25AF">
        <w:t>-</w:t>
      </w:r>
      <w:fldSimple w:instr=" SEQ Table\s 1 \* MERGEFORMAT ">
        <w:r>
          <w:rPr>
            <w:noProof/>
          </w:rPr>
          <w:t>2</w:t>
        </w:r>
      </w:fldSimple>
      <w:r w:rsidRPr="005F25AF">
        <w:tab/>
      </w:r>
      <w:r w:rsidR="00C10355">
        <w:t xml:space="preserve">Post-stratification of the 2011 </w:t>
      </w:r>
      <w:r w:rsidR="0098548C">
        <w:t xml:space="preserve">DLP </w:t>
      </w:r>
      <w:r w:rsidR="00C10355">
        <w:t>Sample</w:t>
      </w:r>
      <w:bookmarkEnd w:id="40"/>
    </w:p>
    <w:tbl>
      <w:tblPr>
        <w:tblW w:w="8781" w:type="dxa"/>
        <w:tblInd w:w="91" w:type="dxa"/>
        <w:tblLook w:val="04A0"/>
      </w:tblPr>
      <w:tblGrid>
        <w:gridCol w:w="2447"/>
        <w:gridCol w:w="1530"/>
        <w:gridCol w:w="1530"/>
        <w:gridCol w:w="1530"/>
        <w:gridCol w:w="1744"/>
      </w:tblGrid>
      <w:tr w:rsidR="00743C4A" w:rsidRPr="006F6E3B" w:rsidTr="00743C4A">
        <w:trPr>
          <w:trHeight w:val="608"/>
        </w:trPr>
        <w:tc>
          <w:tcPr>
            <w:tcW w:w="2447"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743C4A" w:rsidRPr="006F6E3B" w:rsidRDefault="00743C4A" w:rsidP="008904A7">
            <w:pPr>
              <w:jc w:val="center"/>
              <w:rPr>
                <w:rFonts w:ascii="Calibri" w:hAnsi="Calibri"/>
                <w:b/>
                <w:bCs/>
                <w:color w:val="FFFFFF"/>
                <w:szCs w:val="20"/>
              </w:rPr>
            </w:pPr>
            <w:r w:rsidRPr="006F6E3B">
              <w:rPr>
                <w:rFonts w:ascii="Calibri" w:hAnsi="Calibri"/>
                <w:b/>
                <w:bCs/>
                <w:color w:val="FFFFFF"/>
                <w:szCs w:val="20"/>
              </w:rPr>
              <w:t>Stratum</w:t>
            </w:r>
          </w:p>
        </w:tc>
        <w:tc>
          <w:tcPr>
            <w:tcW w:w="1530" w:type="dxa"/>
            <w:tcBorders>
              <w:top w:val="single" w:sz="4" w:space="0" w:color="auto"/>
              <w:left w:val="nil"/>
              <w:bottom w:val="single" w:sz="4" w:space="0" w:color="auto"/>
              <w:right w:val="single" w:sz="4" w:space="0" w:color="auto"/>
            </w:tcBorders>
            <w:shd w:val="clear" w:color="000000" w:fill="1F497D"/>
            <w:vAlign w:val="center"/>
            <w:hideMark/>
          </w:tcPr>
          <w:p w:rsidR="00743C4A" w:rsidRPr="006F6E3B" w:rsidRDefault="00743C4A" w:rsidP="008904A7">
            <w:pPr>
              <w:jc w:val="center"/>
              <w:rPr>
                <w:rFonts w:ascii="Calibri" w:hAnsi="Calibri"/>
                <w:b/>
                <w:bCs/>
                <w:color w:val="FFFFFF"/>
                <w:szCs w:val="20"/>
              </w:rPr>
            </w:pPr>
            <w:r w:rsidRPr="006F6E3B">
              <w:rPr>
                <w:rFonts w:ascii="Calibri" w:hAnsi="Calibri"/>
                <w:b/>
                <w:bCs/>
                <w:color w:val="FFFFFF"/>
                <w:szCs w:val="20"/>
              </w:rPr>
              <w:t>2012 Sample</w:t>
            </w:r>
          </w:p>
        </w:tc>
        <w:tc>
          <w:tcPr>
            <w:tcW w:w="1530" w:type="dxa"/>
            <w:tcBorders>
              <w:top w:val="single" w:sz="4" w:space="0" w:color="auto"/>
              <w:left w:val="nil"/>
              <w:bottom w:val="single" w:sz="4" w:space="0" w:color="auto"/>
              <w:right w:val="single" w:sz="4" w:space="0" w:color="auto"/>
            </w:tcBorders>
            <w:shd w:val="clear" w:color="000000" w:fill="1F497D"/>
            <w:vAlign w:val="center"/>
            <w:hideMark/>
          </w:tcPr>
          <w:p w:rsidR="00743C4A" w:rsidRPr="006F6E3B" w:rsidRDefault="00743C4A" w:rsidP="008904A7">
            <w:pPr>
              <w:jc w:val="center"/>
              <w:rPr>
                <w:rFonts w:ascii="Calibri" w:hAnsi="Calibri"/>
                <w:b/>
                <w:bCs/>
                <w:color w:val="FFFFFF"/>
                <w:szCs w:val="20"/>
              </w:rPr>
            </w:pPr>
            <w:r w:rsidRPr="006F6E3B">
              <w:rPr>
                <w:rFonts w:ascii="Calibri" w:hAnsi="Calibri"/>
                <w:b/>
                <w:bCs/>
                <w:color w:val="FFFFFF"/>
                <w:szCs w:val="20"/>
              </w:rPr>
              <w:t>2012 Population</w:t>
            </w:r>
          </w:p>
        </w:tc>
        <w:tc>
          <w:tcPr>
            <w:tcW w:w="1530" w:type="dxa"/>
            <w:tcBorders>
              <w:top w:val="single" w:sz="4" w:space="0" w:color="auto"/>
              <w:left w:val="nil"/>
              <w:bottom w:val="single" w:sz="4" w:space="0" w:color="auto"/>
              <w:right w:val="single" w:sz="4" w:space="0" w:color="auto"/>
            </w:tcBorders>
            <w:shd w:val="clear" w:color="000000" w:fill="1F497D"/>
            <w:vAlign w:val="center"/>
            <w:hideMark/>
          </w:tcPr>
          <w:p w:rsidR="00743C4A" w:rsidRPr="006F6E3B" w:rsidRDefault="00743C4A" w:rsidP="008904A7">
            <w:pPr>
              <w:jc w:val="center"/>
              <w:rPr>
                <w:rFonts w:ascii="Calibri" w:hAnsi="Calibri"/>
                <w:b/>
                <w:bCs/>
                <w:color w:val="FFFFFF"/>
                <w:szCs w:val="20"/>
              </w:rPr>
            </w:pPr>
            <w:r w:rsidRPr="006F6E3B">
              <w:rPr>
                <w:rFonts w:ascii="Calibri" w:hAnsi="Calibri"/>
                <w:b/>
                <w:bCs/>
                <w:color w:val="FFFFFF"/>
                <w:szCs w:val="20"/>
              </w:rPr>
              <w:t xml:space="preserve">Change in Sample </w:t>
            </w:r>
          </w:p>
        </w:tc>
        <w:tc>
          <w:tcPr>
            <w:tcW w:w="1744" w:type="dxa"/>
            <w:tcBorders>
              <w:top w:val="single" w:sz="4" w:space="0" w:color="auto"/>
              <w:left w:val="nil"/>
              <w:bottom w:val="single" w:sz="4" w:space="0" w:color="auto"/>
              <w:right w:val="single" w:sz="4" w:space="0" w:color="auto"/>
            </w:tcBorders>
            <w:shd w:val="clear" w:color="000000" w:fill="1F497D"/>
            <w:vAlign w:val="center"/>
            <w:hideMark/>
          </w:tcPr>
          <w:p w:rsidR="00743C4A" w:rsidRPr="006F6E3B" w:rsidRDefault="00743C4A" w:rsidP="008904A7">
            <w:pPr>
              <w:jc w:val="center"/>
              <w:rPr>
                <w:rFonts w:ascii="Calibri" w:hAnsi="Calibri"/>
                <w:b/>
                <w:bCs/>
                <w:color w:val="FFFFFF"/>
                <w:szCs w:val="20"/>
              </w:rPr>
            </w:pPr>
            <w:r w:rsidRPr="006F6E3B">
              <w:rPr>
                <w:rFonts w:ascii="Calibri" w:hAnsi="Calibri"/>
                <w:b/>
                <w:bCs/>
                <w:color w:val="FFFFFF"/>
                <w:szCs w:val="20"/>
              </w:rPr>
              <w:t>Change in Population</w:t>
            </w:r>
          </w:p>
        </w:tc>
      </w:tr>
      <w:tr w:rsidR="006F6E3B" w:rsidRPr="006F6E3B" w:rsidTr="00743C4A">
        <w:trPr>
          <w:trHeight w:val="297"/>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6F6E3B" w:rsidRPr="006F6E3B" w:rsidRDefault="006F6E3B" w:rsidP="008904A7">
            <w:pPr>
              <w:jc w:val="center"/>
              <w:rPr>
                <w:rFonts w:ascii="Calibri" w:hAnsi="Calibri"/>
                <w:color w:val="000000"/>
                <w:szCs w:val="20"/>
              </w:rPr>
            </w:pPr>
            <w:r w:rsidRPr="006F6E3B">
              <w:rPr>
                <w:rFonts w:ascii="Calibri" w:hAnsi="Calibri"/>
                <w:color w:val="000000"/>
                <w:szCs w:val="20"/>
              </w:rPr>
              <w:t>Coastal</w:t>
            </w:r>
          </w:p>
          <w:p w:rsidR="006F6E3B" w:rsidRPr="006F6E3B" w:rsidRDefault="006F6E3B" w:rsidP="008904A7">
            <w:pPr>
              <w:jc w:val="center"/>
              <w:rPr>
                <w:rFonts w:ascii="Calibri" w:hAnsi="Calibri"/>
                <w:i/>
                <w:color w:val="000000"/>
                <w:szCs w:val="20"/>
              </w:rPr>
            </w:pPr>
            <w:r w:rsidRPr="006F6E3B">
              <w:rPr>
                <w:rFonts w:ascii="Calibri" w:hAnsi="Calibri"/>
                <w:i/>
                <w:color w:val="000000"/>
                <w:szCs w:val="20"/>
              </w:rPr>
              <w:t>&lt;= 30 kWh</w:t>
            </w:r>
            <w:r w:rsidR="00246C66">
              <w:rPr>
                <w:rFonts w:ascii="Calibri" w:hAnsi="Calibri"/>
                <w:i/>
                <w:color w:val="000000"/>
                <w:szCs w:val="20"/>
              </w:rPr>
              <w:t>/day</w:t>
            </w:r>
          </w:p>
        </w:tc>
        <w:tc>
          <w:tcPr>
            <w:tcW w:w="153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2,440</w:t>
            </w:r>
          </w:p>
        </w:tc>
        <w:tc>
          <w:tcPr>
            <w:tcW w:w="153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36,060</w:t>
            </w:r>
          </w:p>
        </w:tc>
        <w:tc>
          <w:tcPr>
            <w:tcW w:w="153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-0.3%</w:t>
            </w:r>
          </w:p>
        </w:tc>
        <w:tc>
          <w:tcPr>
            <w:tcW w:w="1744"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-22.6%</w:t>
            </w:r>
          </w:p>
        </w:tc>
      </w:tr>
      <w:tr w:rsidR="006F6E3B" w:rsidRPr="006F6E3B" w:rsidTr="00743C4A">
        <w:trPr>
          <w:trHeight w:val="297"/>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6F6E3B" w:rsidRPr="006F6E3B" w:rsidRDefault="006F6E3B" w:rsidP="008904A7">
            <w:pPr>
              <w:jc w:val="center"/>
              <w:rPr>
                <w:rFonts w:ascii="Calibri" w:hAnsi="Calibri"/>
                <w:color w:val="000000"/>
                <w:szCs w:val="20"/>
              </w:rPr>
            </w:pPr>
            <w:r w:rsidRPr="006F6E3B">
              <w:rPr>
                <w:rFonts w:ascii="Calibri" w:hAnsi="Calibri"/>
                <w:color w:val="000000"/>
                <w:szCs w:val="20"/>
              </w:rPr>
              <w:t>Coastal</w:t>
            </w:r>
          </w:p>
          <w:p w:rsidR="006F6E3B" w:rsidRPr="006F6E3B" w:rsidRDefault="006F6E3B" w:rsidP="008904A7">
            <w:pPr>
              <w:jc w:val="center"/>
              <w:rPr>
                <w:rFonts w:ascii="Calibri" w:hAnsi="Calibri"/>
                <w:i/>
                <w:color w:val="000000"/>
                <w:szCs w:val="20"/>
              </w:rPr>
            </w:pPr>
            <w:r w:rsidRPr="006F6E3B">
              <w:rPr>
                <w:rFonts w:ascii="Calibri" w:hAnsi="Calibri"/>
                <w:i/>
                <w:color w:val="000000"/>
                <w:szCs w:val="20"/>
              </w:rPr>
              <w:t>30 &lt; kWh</w:t>
            </w:r>
            <w:r w:rsidR="00246C66">
              <w:rPr>
                <w:rFonts w:ascii="Calibri" w:hAnsi="Calibri"/>
                <w:i/>
                <w:color w:val="000000"/>
                <w:szCs w:val="20"/>
              </w:rPr>
              <w:t xml:space="preserve">/day </w:t>
            </w:r>
            <w:r w:rsidRPr="006F6E3B">
              <w:rPr>
                <w:rFonts w:ascii="Calibri" w:hAnsi="Calibri"/>
                <w:i/>
                <w:color w:val="000000"/>
                <w:szCs w:val="20"/>
              </w:rPr>
              <w:t xml:space="preserve"> &lt;= 114 </w:t>
            </w:r>
          </w:p>
        </w:tc>
        <w:tc>
          <w:tcPr>
            <w:tcW w:w="153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1,588</w:t>
            </w:r>
          </w:p>
        </w:tc>
        <w:tc>
          <w:tcPr>
            <w:tcW w:w="153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21,194</w:t>
            </w:r>
          </w:p>
        </w:tc>
        <w:tc>
          <w:tcPr>
            <w:tcW w:w="153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-1.6%</w:t>
            </w:r>
          </w:p>
        </w:tc>
        <w:tc>
          <w:tcPr>
            <w:tcW w:w="1744"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-4.8%</w:t>
            </w:r>
          </w:p>
        </w:tc>
      </w:tr>
      <w:tr w:rsidR="006F6E3B" w:rsidRPr="006F6E3B" w:rsidTr="00743C4A">
        <w:trPr>
          <w:trHeight w:val="297"/>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6F6E3B" w:rsidRPr="006F6E3B" w:rsidRDefault="006F6E3B" w:rsidP="008904A7">
            <w:pPr>
              <w:jc w:val="center"/>
              <w:rPr>
                <w:rFonts w:ascii="Calibri" w:hAnsi="Calibri"/>
                <w:color w:val="000000"/>
                <w:szCs w:val="20"/>
              </w:rPr>
            </w:pPr>
            <w:r w:rsidRPr="006F6E3B">
              <w:rPr>
                <w:rFonts w:ascii="Calibri" w:hAnsi="Calibri"/>
                <w:color w:val="000000"/>
                <w:szCs w:val="20"/>
              </w:rPr>
              <w:t>Coastal</w:t>
            </w:r>
          </w:p>
          <w:p w:rsidR="006F6E3B" w:rsidRPr="006F6E3B" w:rsidRDefault="006F6E3B" w:rsidP="00743C4A">
            <w:pPr>
              <w:jc w:val="center"/>
              <w:rPr>
                <w:rFonts w:ascii="Calibri" w:hAnsi="Calibri"/>
                <w:i/>
                <w:color w:val="000000"/>
                <w:szCs w:val="20"/>
              </w:rPr>
            </w:pPr>
            <w:r w:rsidRPr="006F6E3B">
              <w:rPr>
                <w:rFonts w:ascii="Calibri" w:hAnsi="Calibri"/>
                <w:i/>
                <w:color w:val="000000"/>
                <w:szCs w:val="20"/>
              </w:rPr>
              <w:t>&gt; 114 kWh</w:t>
            </w:r>
            <w:r w:rsidR="00246C66">
              <w:rPr>
                <w:rFonts w:ascii="Calibri" w:hAnsi="Calibri"/>
                <w:i/>
                <w:color w:val="000000"/>
                <w:szCs w:val="20"/>
              </w:rPr>
              <w:t xml:space="preserve">/day </w:t>
            </w:r>
          </w:p>
        </w:tc>
        <w:tc>
          <w:tcPr>
            <w:tcW w:w="153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581</w:t>
            </w:r>
          </w:p>
        </w:tc>
        <w:tc>
          <w:tcPr>
            <w:tcW w:w="153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7,633</w:t>
            </w:r>
          </w:p>
        </w:tc>
        <w:tc>
          <w:tcPr>
            <w:tcW w:w="153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5.7%</w:t>
            </w:r>
          </w:p>
        </w:tc>
        <w:tc>
          <w:tcPr>
            <w:tcW w:w="1744"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3.6%</w:t>
            </w:r>
          </w:p>
        </w:tc>
      </w:tr>
      <w:tr w:rsidR="006F6E3B" w:rsidRPr="006F6E3B" w:rsidTr="00743C4A">
        <w:trPr>
          <w:trHeight w:val="297"/>
        </w:trPr>
        <w:tc>
          <w:tcPr>
            <w:tcW w:w="2447" w:type="dxa"/>
            <w:tcBorders>
              <w:top w:val="single" w:sz="4" w:space="0" w:color="auto"/>
              <w:left w:val="single" w:sz="4" w:space="0" w:color="auto"/>
              <w:bottom w:val="single" w:sz="4" w:space="0" w:color="auto"/>
              <w:right w:val="single" w:sz="4" w:space="0" w:color="auto"/>
            </w:tcBorders>
            <w:shd w:val="clear" w:color="auto" w:fill="E5EBF1" w:themeFill="accent2" w:themeFillTint="33"/>
            <w:noWrap/>
            <w:vAlign w:val="center"/>
            <w:hideMark/>
          </w:tcPr>
          <w:p w:rsidR="006F6E3B" w:rsidRPr="006F6E3B" w:rsidRDefault="006F6E3B" w:rsidP="008904A7">
            <w:pPr>
              <w:jc w:val="center"/>
              <w:rPr>
                <w:rFonts w:ascii="Calibri" w:hAnsi="Calibri"/>
                <w:color w:val="000000"/>
                <w:szCs w:val="20"/>
              </w:rPr>
            </w:pPr>
            <w:r w:rsidRPr="006F6E3B">
              <w:rPr>
                <w:rFonts w:ascii="Calibri" w:hAnsi="Calibri"/>
                <w:color w:val="000000"/>
                <w:szCs w:val="20"/>
              </w:rPr>
              <w:t>Desert</w:t>
            </w:r>
          </w:p>
          <w:p w:rsidR="006F6E3B" w:rsidRPr="006F6E3B" w:rsidRDefault="006F6E3B" w:rsidP="008904A7">
            <w:pPr>
              <w:jc w:val="center"/>
              <w:rPr>
                <w:rFonts w:ascii="Calibri" w:hAnsi="Calibri"/>
                <w:i/>
                <w:color w:val="000000"/>
                <w:szCs w:val="20"/>
              </w:rPr>
            </w:pPr>
            <w:r w:rsidRPr="006F6E3B">
              <w:rPr>
                <w:rFonts w:ascii="Calibri" w:hAnsi="Calibri"/>
                <w:i/>
                <w:color w:val="000000"/>
                <w:szCs w:val="20"/>
              </w:rPr>
              <w:t>&lt;= 24 kWh</w:t>
            </w:r>
            <w:r w:rsidR="00246C66">
              <w:rPr>
                <w:rFonts w:ascii="Calibri" w:hAnsi="Calibri"/>
                <w:i/>
                <w:color w:val="000000"/>
                <w:szCs w:val="20"/>
              </w:rPr>
              <w:t>/day</w:t>
            </w:r>
          </w:p>
        </w:tc>
        <w:tc>
          <w:tcPr>
            <w:tcW w:w="1530"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1,406</w:t>
            </w:r>
          </w:p>
        </w:tc>
        <w:tc>
          <w:tcPr>
            <w:tcW w:w="1530"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21,788</w:t>
            </w:r>
          </w:p>
        </w:tc>
        <w:tc>
          <w:tcPr>
            <w:tcW w:w="1530"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-0.7%</w:t>
            </w:r>
          </w:p>
        </w:tc>
        <w:tc>
          <w:tcPr>
            <w:tcW w:w="1744"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-1.5%</w:t>
            </w:r>
          </w:p>
        </w:tc>
      </w:tr>
      <w:tr w:rsidR="006F6E3B" w:rsidRPr="006F6E3B" w:rsidTr="00743C4A">
        <w:trPr>
          <w:trHeight w:val="297"/>
        </w:trPr>
        <w:tc>
          <w:tcPr>
            <w:tcW w:w="2447" w:type="dxa"/>
            <w:tcBorders>
              <w:top w:val="single" w:sz="4" w:space="0" w:color="auto"/>
              <w:left w:val="single" w:sz="4" w:space="0" w:color="auto"/>
              <w:bottom w:val="single" w:sz="4" w:space="0" w:color="auto"/>
              <w:right w:val="single" w:sz="4" w:space="0" w:color="auto"/>
            </w:tcBorders>
            <w:shd w:val="clear" w:color="auto" w:fill="E5EBF1" w:themeFill="accent2" w:themeFillTint="33"/>
            <w:noWrap/>
            <w:vAlign w:val="center"/>
            <w:hideMark/>
          </w:tcPr>
          <w:p w:rsidR="006F6E3B" w:rsidRPr="006F6E3B" w:rsidRDefault="006F6E3B" w:rsidP="008904A7">
            <w:pPr>
              <w:jc w:val="center"/>
              <w:rPr>
                <w:rFonts w:ascii="Calibri" w:hAnsi="Calibri"/>
                <w:color w:val="000000"/>
                <w:szCs w:val="20"/>
              </w:rPr>
            </w:pPr>
            <w:r w:rsidRPr="006F6E3B">
              <w:rPr>
                <w:rFonts w:ascii="Calibri" w:hAnsi="Calibri"/>
                <w:color w:val="000000"/>
                <w:szCs w:val="20"/>
              </w:rPr>
              <w:t xml:space="preserve">Desert </w:t>
            </w:r>
          </w:p>
          <w:p w:rsidR="006F6E3B" w:rsidRPr="006F6E3B" w:rsidRDefault="006F6E3B" w:rsidP="008904A7">
            <w:pPr>
              <w:jc w:val="center"/>
              <w:rPr>
                <w:rFonts w:ascii="Calibri" w:hAnsi="Calibri"/>
                <w:i/>
                <w:color w:val="000000"/>
                <w:szCs w:val="20"/>
              </w:rPr>
            </w:pPr>
            <w:r w:rsidRPr="006F6E3B">
              <w:rPr>
                <w:rFonts w:ascii="Calibri" w:hAnsi="Calibri"/>
                <w:i/>
                <w:color w:val="000000"/>
                <w:szCs w:val="20"/>
              </w:rPr>
              <w:t>24 &lt; kWh</w:t>
            </w:r>
            <w:r w:rsidR="00246C66">
              <w:rPr>
                <w:rFonts w:ascii="Calibri" w:hAnsi="Calibri"/>
                <w:i/>
                <w:color w:val="000000"/>
                <w:szCs w:val="20"/>
              </w:rPr>
              <w:t>/day</w:t>
            </w:r>
            <w:r w:rsidRPr="006F6E3B">
              <w:rPr>
                <w:rFonts w:ascii="Calibri" w:hAnsi="Calibri"/>
                <w:i/>
                <w:color w:val="000000"/>
                <w:szCs w:val="20"/>
              </w:rPr>
              <w:t xml:space="preserve"> &lt;=102</w:t>
            </w:r>
          </w:p>
        </w:tc>
        <w:tc>
          <w:tcPr>
            <w:tcW w:w="1530"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1,464</w:t>
            </w:r>
          </w:p>
        </w:tc>
        <w:tc>
          <w:tcPr>
            <w:tcW w:w="1530"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14,459</w:t>
            </w:r>
          </w:p>
        </w:tc>
        <w:tc>
          <w:tcPr>
            <w:tcW w:w="1530"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-1.2%</w:t>
            </w:r>
          </w:p>
        </w:tc>
        <w:tc>
          <w:tcPr>
            <w:tcW w:w="1744"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-10.6%</w:t>
            </w:r>
          </w:p>
        </w:tc>
      </w:tr>
      <w:tr w:rsidR="006F6E3B" w:rsidRPr="006F6E3B" w:rsidTr="00743C4A">
        <w:trPr>
          <w:trHeight w:val="297"/>
        </w:trPr>
        <w:tc>
          <w:tcPr>
            <w:tcW w:w="2447" w:type="dxa"/>
            <w:tcBorders>
              <w:top w:val="single" w:sz="4" w:space="0" w:color="auto"/>
              <w:left w:val="single" w:sz="4" w:space="0" w:color="auto"/>
              <w:bottom w:val="single" w:sz="4" w:space="0" w:color="auto"/>
              <w:right w:val="single" w:sz="4" w:space="0" w:color="auto"/>
            </w:tcBorders>
            <w:shd w:val="clear" w:color="auto" w:fill="E5EBF1" w:themeFill="accent2" w:themeFillTint="33"/>
            <w:noWrap/>
            <w:vAlign w:val="center"/>
            <w:hideMark/>
          </w:tcPr>
          <w:p w:rsidR="006F6E3B" w:rsidRPr="006F6E3B" w:rsidRDefault="006F6E3B" w:rsidP="008904A7">
            <w:pPr>
              <w:jc w:val="center"/>
              <w:rPr>
                <w:rFonts w:ascii="Calibri" w:hAnsi="Calibri"/>
                <w:color w:val="000000"/>
                <w:szCs w:val="20"/>
              </w:rPr>
            </w:pPr>
            <w:r w:rsidRPr="006F6E3B">
              <w:rPr>
                <w:rFonts w:ascii="Calibri" w:hAnsi="Calibri"/>
                <w:color w:val="000000"/>
                <w:szCs w:val="20"/>
              </w:rPr>
              <w:t xml:space="preserve">Desert </w:t>
            </w:r>
          </w:p>
          <w:p w:rsidR="006F6E3B" w:rsidRPr="006F6E3B" w:rsidRDefault="006F6E3B" w:rsidP="00743C4A">
            <w:pPr>
              <w:jc w:val="center"/>
              <w:rPr>
                <w:rFonts w:ascii="Calibri" w:hAnsi="Calibri"/>
                <w:i/>
                <w:color w:val="000000"/>
                <w:szCs w:val="20"/>
              </w:rPr>
            </w:pPr>
            <w:r w:rsidRPr="006F6E3B">
              <w:rPr>
                <w:rFonts w:ascii="Calibri" w:hAnsi="Calibri"/>
                <w:i/>
                <w:color w:val="000000"/>
                <w:szCs w:val="20"/>
              </w:rPr>
              <w:t>&gt; 102</w:t>
            </w:r>
          </w:p>
        </w:tc>
        <w:tc>
          <w:tcPr>
            <w:tcW w:w="1530"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492</w:t>
            </w:r>
          </w:p>
        </w:tc>
        <w:tc>
          <w:tcPr>
            <w:tcW w:w="1530"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4,537</w:t>
            </w:r>
          </w:p>
        </w:tc>
        <w:tc>
          <w:tcPr>
            <w:tcW w:w="1530"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5.3%</w:t>
            </w:r>
          </w:p>
        </w:tc>
        <w:tc>
          <w:tcPr>
            <w:tcW w:w="1744"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1.0%</w:t>
            </w:r>
          </w:p>
        </w:tc>
      </w:tr>
      <w:tr w:rsidR="006F6E3B" w:rsidRPr="006F6E3B" w:rsidTr="00743C4A">
        <w:trPr>
          <w:trHeight w:val="297"/>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6F6E3B" w:rsidRPr="006F6E3B" w:rsidRDefault="006F6E3B" w:rsidP="008904A7">
            <w:pPr>
              <w:jc w:val="center"/>
              <w:rPr>
                <w:rFonts w:ascii="Calibri" w:hAnsi="Calibri"/>
                <w:color w:val="000000"/>
                <w:szCs w:val="20"/>
              </w:rPr>
            </w:pPr>
            <w:r w:rsidRPr="006F6E3B">
              <w:rPr>
                <w:rFonts w:ascii="Calibri" w:hAnsi="Calibri"/>
                <w:color w:val="000000"/>
                <w:szCs w:val="20"/>
              </w:rPr>
              <w:t xml:space="preserve">Mountain/Inland </w:t>
            </w:r>
          </w:p>
          <w:p w:rsidR="006F6E3B" w:rsidRPr="006F6E3B" w:rsidRDefault="006F6E3B" w:rsidP="008904A7">
            <w:pPr>
              <w:jc w:val="center"/>
              <w:rPr>
                <w:rFonts w:ascii="Calibri" w:hAnsi="Calibri"/>
                <w:i/>
                <w:color w:val="000000"/>
                <w:szCs w:val="20"/>
              </w:rPr>
            </w:pPr>
            <w:r w:rsidRPr="006F6E3B">
              <w:rPr>
                <w:rFonts w:ascii="Calibri" w:hAnsi="Calibri"/>
                <w:i/>
                <w:color w:val="000000"/>
                <w:szCs w:val="20"/>
              </w:rPr>
              <w:t>&lt;= 20 kWh</w:t>
            </w:r>
            <w:r w:rsidR="00246C66">
              <w:rPr>
                <w:rFonts w:ascii="Calibri" w:hAnsi="Calibri"/>
                <w:i/>
                <w:color w:val="000000"/>
                <w:szCs w:val="20"/>
              </w:rPr>
              <w:t>/day</w:t>
            </w:r>
          </w:p>
        </w:tc>
        <w:tc>
          <w:tcPr>
            <w:tcW w:w="153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70</w:t>
            </w:r>
          </w:p>
        </w:tc>
        <w:tc>
          <w:tcPr>
            <w:tcW w:w="153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1,183</w:t>
            </w:r>
          </w:p>
        </w:tc>
        <w:tc>
          <w:tcPr>
            <w:tcW w:w="153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12.9%</w:t>
            </w:r>
          </w:p>
        </w:tc>
        <w:tc>
          <w:tcPr>
            <w:tcW w:w="1744"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-38.0%</w:t>
            </w:r>
          </w:p>
        </w:tc>
      </w:tr>
      <w:tr w:rsidR="006F6E3B" w:rsidRPr="006F6E3B" w:rsidTr="00743C4A">
        <w:trPr>
          <w:trHeight w:val="297"/>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6F6E3B" w:rsidRPr="006F6E3B" w:rsidRDefault="006F6E3B" w:rsidP="008904A7">
            <w:pPr>
              <w:jc w:val="center"/>
              <w:rPr>
                <w:rFonts w:ascii="Calibri" w:hAnsi="Calibri"/>
                <w:color w:val="000000"/>
                <w:szCs w:val="20"/>
              </w:rPr>
            </w:pPr>
            <w:r w:rsidRPr="006F6E3B">
              <w:rPr>
                <w:rFonts w:ascii="Calibri" w:hAnsi="Calibri"/>
                <w:color w:val="000000"/>
                <w:szCs w:val="20"/>
              </w:rPr>
              <w:t>Mountain/Inland</w:t>
            </w:r>
          </w:p>
          <w:p w:rsidR="006F6E3B" w:rsidRPr="006F6E3B" w:rsidRDefault="006F6E3B" w:rsidP="008904A7">
            <w:pPr>
              <w:jc w:val="center"/>
              <w:rPr>
                <w:rFonts w:ascii="Calibri" w:hAnsi="Calibri"/>
                <w:i/>
                <w:color w:val="000000"/>
                <w:szCs w:val="20"/>
              </w:rPr>
            </w:pPr>
            <w:r w:rsidRPr="006F6E3B">
              <w:rPr>
                <w:rFonts w:ascii="Calibri" w:hAnsi="Calibri"/>
                <w:i/>
                <w:color w:val="000000"/>
                <w:szCs w:val="20"/>
              </w:rPr>
              <w:t>20 &lt; kWh</w:t>
            </w:r>
            <w:r w:rsidR="00246C66">
              <w:rPr>
                <w:rFonts w:ascii="Calibri" w:hAnsi="Calibri"/>
                <w:i/>
                <w:color w:val="000000"/>
                <w:szCs w:val="20"/>
              </w:rPr>
              <w:t>/day</w:t>
            </w:r>
            <w:r w:rsidRPr="006F6E3B">
              <w:rPr>
                <w:rFonts w:ascii="Calibri" w:hAnsi="Calibri"/>
                <w:i/>
                <w:color w:val="000000"/>
                <w:szCs w:val="20"/>
              </w:rPr>
              <w:t xml:space="preserve"> &lt;=95</w:t>
            </w:r>
          </w:p>
        </w:tc>
        <w:tc>
          <w:tcPr>
            <w:tcW w:w="153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91</w:t>
            </w:r>
          </w:p>
        </w:tc>
        <w:tc>
          <w:tcPr>
            <w:tcW w:w="153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619</w:t>
            </w:r>
          </w:p>
        </w:tc>
        <w:tc>
          <w:tcPr>
            <w:tcW w:w="153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3.3%</w:t>
            </w:r>
          </w:p>
        </w:tc>
        <w:tc>
          <w:tcPr>
            <w:tcW w:w="1744"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-18.4%</w:t>
            </w:r>
          </w:p>
        </w:tc>
      </w:tr>
      <w:tr w:rsidR="006F6E3B" w:rsidRPr="006F6E3B" w:rsidTr="00743C4A">
        <w:trPr>
          <w:trHeight w:val="297"/>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6F6E3B" w:rsidRPr="006F6E3B" w:rsidRDefault="006F6E3B" w:rsidP="008904A7">
            <w:pPr>
              <w:jc w:val="center"/>
              <w:rPr>
                <w:rFonts w:ascii="Calibri" w:hAnsi="Calibri"/>
                <w:color w:val="000000"/>
                <w:szCs w:val="20"/>
              </w:rPr>
            </w:pPr>
            <w:r w:rsidRPr="006F6E3B">
              <w:rPr>
                <w:rFonts w:ascii="Calibri" w:hAnsi="Calibri"/>
                <w:color w:val="000000"/>
                <w:szCs w:val="20"/>
              </w:rPr>
              <w:t>Mountain/Inland</w:t>
            </w:r>
          </w:p>
          <w:p w:rsidR="006F6E3B" w:rsidRPr="006F6E3B" w:rsidRDefault="006F6E3B" w:rsidP="008904A7">
            <w:pPr>
              <w:jc w:val="center"/>
              <w:rPr>
                <w:rFonts w:ascii="Calibri" w:hAnsi="Calibri"/>
                <w:i/>
                <w:color w:val="000000"/>
                <w:szCs w:val="20"/>
              </w:rPr>
            </w:pPr>
            <w:r w:rsidRPr="006F6E3B">
              <w:rPr>
                <w:rFonts w:ascii="Calibri" w:hAnsi="Calibri"/>
                <w:i/>
                <w:color w:val="000000"/>
                <w:szCs w:val="20"/>
              </w:rPr>
              <w:t>&gt; 95 kWh</w:t>
            </w:r>
            <w:r w:rsidR="00246C66">
              <w:rPr>
                <w:rFonts w:ascii="Calibri" w:hAnsi="Calibri"/>
                <w:i/>
                <w:color w:val="000000"/>
                <w:szCs w:val="20"/>
              </w:rPr>
              <w:t>/day</w:t>
            </w:r>
          </w:p>
        </w:tc>
        <w:tc>
          <w:tcPr>
            <w:tcW w:w="153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102</w:t>
            </w:r>
          </w:p>
        </w:tc>
        <w:tc>
          <w:tcPr>
            <w:tcW w:w="153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194</w:t>
            </w:r>
          </w:p>
        </w:tc>
        <w:tc>
          <w:tcPr>
            <w:tcW w:w="1530"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-10.8%</w:t>
            </w:r>
          </w:p>
        </w:tc>
        <w:tc>
          <w:tcPr>
            <w:tcW w:w="1744" w:type="dxa"/>
            <w:tcBorders>
              <w:top w:val="nil"/>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-24.7%</w:t>
            </w:r>
          </w:p>
        </w:tc>
      </w:tr>
      <w:tr w:rsidR="006F6E3B" w:rsidRPr="006F6E3B" w:rsidTr="006F6E3B">
        <w:trPr>
          <w:trHeight w:val="297"/>
        </w:trPr>
        <w:tc>
          <w:tcPr>
            <w:tcW w:w="2447" w:type="dxa"/>
            <w:tcBorders>
              <w:top w:val="single" w:sz="4" w:space="0" w:color="auto"/>
              <w:left w:val="single" w:sz="4" w:space="0" w:color="auto"/>
              <w:bottom w:val="single" w:sz="4" w:space="0" w:color="auto"/>
              <w:right w:val="single" w:sz="4" w:space="0" w:color="auto"/>
            </w:tcBorders>
            <w:shd w:val="clear" w:color="auto" w:fill="E5EBF1" w:themeFill="accent2" w:themeFillTint="33"/>
            <w:noWrap/>
            <w:vAlign w:val="center"/>
            <w:hideMark/>
          </w:tcPr>
          <w:p w:rsidR="006F6E3B" w:rsidRPr="006F6E3B" w:rsidRDefault="006F6E3B" w:rsidP="008904A7">
            <w:pPr>
              <w:jc w:val="center"/>
              <w:rPr>
                <w:rFonts w:ascii="Calibri" w:hAnsi="Calibri"/>
                <w:color w:val="000000"/>
                <w:szCs w:val="20"/>
              </w:rPr>
            </w:pPr>
            <w:r w:rsidRPr="006F6E3B">
              <w:rPr>
                <w:rFonts w:ascii="Calibri" w:hAnsi="Calibri"/>
                <w:color w:val="000000"/>
                <w:szCs w:val="20"/>
              </w:rPr>
              <w:t>Opt-In Alerts</w:t>
            </w:r>
          </w:p>
        </w:tc>
        <w:tc>
          <w:tcPr>
            <w:tcW w:w="1530"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3</w:t>
            </w:r>
            <w:r w:rsidR="0082098A">
              <w:rPr>
                <w:rFonts w:ascii="Calibri" w:hAnsi="Calibri"/>
                <w:color w:val="000000"/>
                <w:szCs w:val="20"/>
              </w:rPr>
              <w:t>41</w:t>
            </w:r>
          </w:p>
        </w:tc>
        <w:tc>
          <w:tcPr>
            <w:tcW w:w="1530"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6F6E3B" w:rsidRPr="006F6E3B" w:rsidRDefault="0082098A">
            <w:pPr>
              <w:jc w:val="center"/>
              <w:rPr>
                <w:rFonts w:ascii="Calibri" w:hAnsi="Calibri"/>
                <w:color w:val="000000"/>
                <w:szCs w:val="20"/>
              </w:rPr>
            </w:pPr>
            <w:r>
              <w:rPr>
                <w:rFonts w:ascii="Calibri" w:hAnsi="Calibri"/>
                <w:color w:val="000000"/>
                <w:szCs w:val="20"/>
              </w:rPr>
              <w:t>341</w:t>
            </w:r>
          </w:p>
        </w:tc>
        <w:tc>
          <w:tcPr>
            <w:tcW w:w="1530"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w:t>
            </w:r>
          </w:p>
        </w:tc>
        <w:tc>
          <w:tcPr>
            <w:tcW w:w="1744" w:type="dxa"/>
            <w:tcBorders>
              <w:top w:val="single" w:sz="4" w:space="0" w:color="auto"/>
              <w:left w:val="nil"/>
              <w:bottom w:val="single" w:sz="4" w:space="0" w:color="auto"/>
              <w:right w:val="single" w:sz="4" w:space="0" w:color="auto"/>
            </w:tcBorders>
            <w:shd w:val="clear" w:color="auto" w:fill="E5EBF1" w:themeFill="accent2" w:themeFillTint="33"/>
            <w:noWrap/>
            <w:vAlign w:val="center"/>
            <w:hideMark/>
          </w:tcPr>
          <w:p w:rsidR="006F6E3B" w:rsidRPr="006F6E3B" w:rsidRDefault="006F6E3B">
            <w:pPr>
              <w:jc w:val="center"/>
              <w:rPr>
                <w:rFonts w:ascii="Calibri" w:hAnsi="Calibri"/>
                <w:color w:val="000000"/>
                <w:szCs w:val="20"/>
              </w:rPr>
            </w:pPr>
            <w:r w:rsidRPr="006F6E3B">
              <w:rPr>
                <w:rFonts w:ascii="Calibri" w:hAnsi="Calibri"/>
                <w:color w:val="000000"/>
                <w:szCs w:val="20"/>
              </w:rPr>
              <w:t>-</w:t>
            </w:r>
          </w:p>
        </w:tc>
      </w:tr>
      <w:tr w:rsidR="006F6E3B" w:rsidRPr="006F6E3B" w:rsidTr="006F6E3B">
        <w:trPr>
          <w:trHeight w:val="297"/>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E3B" w:rsidRPr="006F6E3B" w:rsidRDefault="006F6E3B" w:rsidP="008904A7">
            <w:pPr>
              <w:jc w:val="center"/>
              <w:rPr>
                <w:rFonts w:ascii="Calibri" w:hAnsi="Calibri"/>
                <w:b/>
                <w:color w:val="000000"/>
                <w:szCs w:val="20"/>
              </w:rPr>
            </w:pPr>
            <w:r w:rsidRPr="006F6E3B">
              <w:rPr>
                <w:rFonts w:ascii="Calibri" w:hAnsi="Calibri"/>
                <w:b/>
                <w:color w:val="000000"/>
                <w:szCs w:val="20"/>
              </w:rPr>
              <w:t>Totals</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b/>
                <w:color w:val="000000"/>
                <w:szCs w:val="20"/>
              </w:rPr>
            </w:pPr>
            <w:r w:rsidRPr="006F6E3B">
              <w:rPr>
                <w:rFonts w:ascii="Calibri" w:hAnsi="Calibri"/>
                <w:b/>
                <w:color w:val="000000"/>
                <w:szCs w:val="20"/>
              </w:rPr>
              <w:t>8,57</w:t>
            </w:r>
            <w:r w:rsidR="0082098A">
              <w:rPr>
                <w:rFonts w:ascii="Calibri" w:hAnsi="Calibri"/>
                <w:b/>
                <w:color w:val="000000"/>
                <w:szCs w:val="20"/>
              </w:rPr>
              <w:t>5</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b/>
                <w:color w:val="000000"/>
                <w:szCs w:val="20"/>
              </w:rPr>
            </w:pPr>
            <w:r w:rsidRPr="006F6E3B">
              <w:rPr>
                <w:rFonts w:ascii="Calibri" w:hAnsi="Calibri"/>
                <w:b/>
                <w:color w:val="000000"/>
                <w:szCs w:val="20"/>
              </w:rPr>
              <w:t>108,00</w:t>
            </w:r>
            <w:r w:rsidR="0082098A">
              <w:rPr>
                <w:rFonts w:ascii="Calibri" w:hAnsi="Calibri"/>
                <w:b/>
                <w:color w:val="000000"/>
                <w:szCs w:val="20"/>
              </w:rPr>
              <w:t>8</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b/>
                <w:color w:val="000000"/>
                <w:szCs w:val="20"/>
              </w:rPr>
            </w:pPr>
            <w:r w:rsidRPr="006F6E3B">
              <w:rPr>
                <w:rFonts w:ascii="Calibri" w:hAnsi="Calibri"/>
                <w:b/>
                <w:color w:val="000000"/>
                <w:szCs w:val="20"/>
              </w:rPr>
              <w:t>4.0%</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6F6E3B" w:rsidRPr="006F6E3B" w:rsidRDefault="006F6E3B">
            <w:pPr>
              <w:jc w:val="center"/>
              <w:rPr>
                <w:rFonts w:ascii="Calibri" w:hAnsi="Calibri"/>
                <w:b/>
                <w:color w:val="000000"/>
                <w:szCs w:val="20"/>
              </w:rPr>
            </w:pPr>
            <w:r w:rsidRPr="006F6E3B">
              <w:rPr>
                <w:rFonts w:ascii="Calibri" w:hAnsi="Calibri"/>
                <w:b/>
                <w:color w:val="000000"/>
                <w:szCs w:val="20"/>
              </w:rPr>
              <w:t>10.2%</w:t>
            </w:r>
          </w:p>
        </w:tc>
      </w:tr>
    </w:tbl>
    <w:p w:rsidR="00BB5EAF" w:rsidRDefault="00BB5EAF" w:rsidP="00BB5EAF">
      <w:pPr>
        <w:pStyle w:val="BodyText"/>
      </w:pPr>
    </w:p>
    <w:p w:rsidR="0082098A" w:rsidRDefault="0082098A" w:rsidP="00BB5EAF">
      <w:pPr>
        <w:pStyle w:val="BodyText"/>
      </w:pPr>
      <w:r>
        <w:t xml:space="preserve">Most of the movement, both in the sample and in the population occurred between strata within one weather zone classification. Because the summer of 2012 was a bit hotter on average than the summer of 2011, more customers fell above the upper average daily usage breakpoints. </w:t>
      </w:r>
      <w:r w:rsidR="00F22CDD">
        <w:t>T</w:t>
      </w:r>
      <w:r>
        <w:t>he overall population is smaller here, than in the original sample</w:t>
      </w:r>
      <w:r w:rsidR="00246C66">
        <w:t xml:space="preserve"> design which is </w:t>
      </w:r>
      <w:r>
        <w:t xml:space="preserve">a result of removing the 4,005 </w:t>
      </w:r>
      <w:r w:rsidR="0017612C">
        <w:t>Summer Saver</w:t>
      </w:r>
      <w:r>
        <w:t xml:space="preserve"> participants, and the Net metering customers. Finally</w:t>
      </w:r>
      <w:r w:rsidR="00BE0C9B">
        <w:t>,</w:t>
      </w:r>
      <w:r>
        <w:t xml:space="preserve"> the sample grew </w:t>
      </w:r>
      <w:r w:rsidR="00BE0C9B">
        <w:t xml:space="preserve">by 341 customers when we added the </w:t>
      </w:r>
      <w:r w:rsidR="002572DC">
        <w:t>census str</w:t>
      </w:r>
      <w:r w:rsidR="00F90F34">
        <w:t>atum of Opt-in Alert</w:t>
      </w:r>
      <w:r w:rsidR="002572DC">
        <w:t xml:space="preserve"> participants</w:t>
      </w:r>
      <w:r w:rsidR="00BE0C9B">
        <w:t xml:space="preserve">.  </w:t>
      </w:r>
    </w:p>
    <w:p w:rsidR="00BB5EAF" w:rsidRPr="00573288" w:rsidRDefault="00FD1935" w:rsidP="00BB5EAF">
      <w:pPr>
        <w:pStyle w:val="Heading3"/>
      </w:pPr>
      <w:bookmarkStart w:id="41" w:name="_Toc351363735"/>
      <w:r w:rsidRPr="00573288">
        <w:t>Data Validation</w:t>
      </w:r>
      <w:bookmarkEnd w:id="41"/>
      <w:r w:rsidR="00172700" w:rsidRPr="00573288">
        <w:t xml:space="preserve"> </w:t>
      </w:r>
    </w:p>
    <w:p w:rsidR="000E7259" w:rsidRDefault="007F7F94" w:rsidP="007F7F94">
      <w:pPr>
        <w:pStyle w:val="BodyText"/>
      </w:pPr>
      <w:r w:rsidRPr="00573288">
        <w:t>We used a variety of methods to validate the interval data supplied by SDG&amp;E</w:t>
      </w:r>
      <w:r w:rsidR="000E7259">
        <w:t xml:space="preserve"> which are consistent with methods of data validation we use in similar evaluation work</w:t>
      </w:r>
      <w:r w:rsidRPr="00573288">
        <w:t>. We obtained access to interval data (up to 24 months, depending on the installat</w:t>
      </w:r>
      <w:r w:rsidR="005C1ADF">
        <w:t>ion date of the meter) for each</w:t>
      </w:r>
      <w:r w:rsidRPr="00573288">
        <w:t xml:space="preserve"> sample participant a total of </w:t>
      </w:r>
      <w:r w:rsidR="005C1ADF">
        <w:t>8,575</w:t>
      </w:r>
      <w:r w:rsidRPr="00573288">
        <w:t xml:space="preserve"> customers</w:t>
      </w:r>
      <w:r w:rsidR="00166A0A" w:rsidRPr="00573288">
        <w:rPr>
          <w:rStyle w:val="FootnoteReference"/>
        </w:rPr>
        <w:footnoteReference w:id="5"/>
      </w:r>
      <w:r w:rsidR="00166A0A" w:rsidRPr="00573288">
        <w:t xml:space="preserve">. </w:t>
      </w:r>
      <w:r w:rsidR="005C1ADF">
        <w:t>We also obtained the VEE codes that indicate if a particular interval was estimated. Consistent with SDG&amp;E’s internal procedures</w:t>
      </w:r>
      <w:r w:rsidR="00F90F34">
        <w:t>,</w:t>
      </w:r>
      <w:r w:rsidR="005C1ADF">
        <w:t xml:space="preserve"> we first eliminated any estimated data. </w:t>
      </w:r>
      <w:r w:rsidR="005C1ADF" w:rsidRPr="00573288">
        <w:t xml:space="preserve">Because the </w:t>
      </w:r>
      <w:r w:rsidR="005C1ADF">
        <w:t xml:space="preserve">sample is being used to create the Daily Load Profiles, the data undergoes additional VEE procedures at SDG&amp;E, therefore we expected the data to be high quality and require very little editing or exclusions. </w:t>
      </w:r>
      <w:r w:rsidR="00F90F34">
        <w:t>This was confirmed</w:t>
      </w:r>
      <w:r w:rsidR="000E7259">
        <w:t xml:space="preserve"> </w:t>
      </w:r>
      <w:r w:rsidR="005C1ADF">
        <w:t xml:space="preserve">when the data was screened </w:t>
      </w:r>
      <w:r w:rsidR="005C1ADF" w:rsidRPr="00573288">
        <w:t>for excessive zeros and erroneous values in order to identify participants with problematic data that needed to be excluded from the analysis.</w:t>
      </w:r>
      <w:r w:rsidR="005C1ADF">
        <w:t xml:space="preserve"> We did not eliminate any participants </w:t>
      </w:r>
      <w:r w:rsidR="000E7259">
        <w:t xml:space="preserve">based on these secondary </w:t>
      </w:r>
      <w:r w:rsidR="005C1ADF">
        <w:t xml:space="preserve">screens.  </w:t>
      </w:r>
    </w:p>
    <w:p w:rsidR="005316E6" w:rsidRPr="00BE0C9B" w:rsidRDefault="00FD1935" w:rsidP="00B31605">
      <w:pPr>
        <w:pStyle w:val="Heading3"/>
      </w:pPr>
      <w:bookmarkStart w:id="42" w:name="_Toc351363736"/>
      <w:r w:rsidRPr="00BE0C9B">
        <w:t xml:space="preserve">2012 </w:t>
      </w:r>
      <w:r w:rsidRPr="002572DC">
        <w:rPr>
          <w:i/>
        </w:rPr>
        <w:t>Ex-</w:t>
      </w:r>
      <w:proofErr w:type="gramStart"/>
      <w:r w:rsidRPr="002572DC">
        <w:rPr>
          <w:i/>
        </w:rPr>
        <w:t>Post</w:t>
      </w:r>
      <w:r w:rsidR="00F22CDD">
        <w:t xml:space="preserve">  PTR</w:t>
      </w:r>
      <w:proofErr w:type="gramEnd"/>
      <w:r w:rsidR="00A378DC" w:rsidRPr="00BE0C9B">
        <w:t xml:space="preserve"> Impacts</w:t>
      </w:r>
      <w:bookmarkEnd w:id="42"/>
      <w:r w:rsidRPr="00BE0C9B">
        <w:t xml:space="preserve"> </w:t>
      </w:r>
    </w:p>
    <w:p w:rsidR="005A3E7C" w:rsidRDefault="00C069BF" w:rsidP="00F61B68">
      <w:pPr>
        <w:pStyle w:val="BodyText"/>
      </w:pPr>
      <w:r>
        <w:t xml:space="preserve">Due to the challenges identified above, isolating and estimating </w:t>
      </w:r>
      <w:r w:rsidRPr="00C069BF">
        <w:rPr>
          <w:i/>
        </w:rPr>
        <w:t>ex-post</w:t>
      </w:r>
      <w:r w:rsidR="002572DC">
        <w:t xml:space="preserve"> impacts for the small commercial PTR program</w:t>
      </w:r>
      <w:r>
        <w:t xml:space="preserve"> was difficult, and in most cases our estimates were insignificant and assumed to be zero. However, during this evaluation we used several different methods to attempt to isolate impacts in specific subgroups and to confirm and validate the statistically insignificant results. </w:t>
      </w:r>
    </w:p>
    <w:p w:rsidR="00F61B68" w:rsidRPr="00F61B68" w:rsidRDefault="00C069BF" w:rsidP="00F61B68">
      <w:pPr>
        <w:pStyle w:val="BodyText"/>
      </w:pPr>
      <w:r>
        <w:lastRenderedPageBreak/>
        <w:t>A regression based approach was initially used to estimate the hourly impacts for each of the three subgroups on each event day, however nearly all of those estimates were insigni</w:t>
      </w:r>
      <w:r w:rsidR="00F90F34">
        <w:t>ficant</w:t>
      </w:r>
      <w:r>
        <w:t>. I</w:t>
      </w:r>
      <w:r w:rsidR="00F22CDD">
        <w:t>n addition, it is likely</w:t>
      </w:r>
      <w:r>
        <w:t xml:space="preserve"> that the very few significant estimates we were able to obtain, were merely are result of ra</w:t>
      </w:r>
      <w:r w:rsidR="00F90F34">
        <w:t>ndom variation, rather than a result of</w:t>
      </w:r>
      <w:r>
        <w:t xml:space="preserve"> actions being taken by customers</w:t>
      </w:r>
      <w:r w:rsidR="00F22CDD">
        <w:t>, a very common phenomenon when making may estimates</w:t>
      </w:r>
      <w:r>
        <w:t xml:space="preserve">. Therefore, we also included both a load shape analysis, which is similar to a baseline analysis, and a matched control group analysis for the </w:t>
      </w:r>
      <w:r w:rsidR="0027221B">
        <w:t xml:space="preserve">Opt-in Alert customers. </w:t>
      </w:r>
      <w:r w:rsidR="009A4A6A">
        <w:t xml:space="preserve">We included the matched control group analysis for the Opt-in customers only because both the regression results and the load shape analysis indicated that those customers might be taking some actions. </w:t>
      </w:r>
    </w:p>
    <w:p w:rsidR="00BB5EAF" w:rsidRPr="00433363" w:rsidRDefault="00BB5EAF" w:rsidP="00B31605">
      <w:pPr>
        <w:pStyle w:val="Heading4"/>
      </w:pPr>
      <w:r w:rsidRPr="00433363">
        <w:t xml:space="preserve">The Regression </w:t>
      </w:r>
      <w:r w:rsidR="00983BAB">
        <w:t>Approach</w:t>
      </w:r>
    </w:p>
    <w:p w:rsidR="009F6D98" w:rsidRDefault="00A65CD3" w:rsidP="00BB5EAF">
      <w:pPr>
        <w:pStyle w:val="BodyText"/>
      </w:pPr>
      <w:r>
        <w:t xml:space="preserve">We used </w:t>
      </w:r>
      <w:r w:rsidR="009F6D98">
        <w:t>hourly regression models</w:t>
      </w:r>
      <w:r>
        <w:t xml:space="preserve"> for each subgroup of interest (Non-Notified, </w:t>
      </w:r>
      <w:r w:rsidR="003636FD">
        <w:t>My Account</w:t>
      </w:r>
      <w:r>
        <w:t xml:space="preserve">, and Opt-in Alerts) </w:t>
      </w:r>
      <w:r w:rsidR="009F6D98">
        <w:t xml:space="preserve">to </w:t>
      </w:r>
      <w:r w:rsidR="00BB5EAF" w:rsidRPr="00412A50">
        <w:t xml:space="preserve">estimate the effect of a </w:t>
      </w:r>
      <w:r w:rsidR="00BB5EAF" w:rsidRPr="00C12542">
        <w:t>PTR</w:t>
      </w:r>
      <w:r w:rsidR="00BB5EAF" w:rsidRPr="00412A50">
        <w:t xml:space="preserve"> event on custo</w:t>
      </w:r>
      <w:r w:rsidR="00166A0A">
        <w:t>mers’ loads</w:t>
      </w:r>
      <w:r w:rsidR="00BB5EAF" w:rsidRPr="00412A50">
        <w:t>.</w:t>
      </w:r>
      <w:r>
        <w:t xml:space="preserve"> </w:t>
      </w:r>
      <w:r w:rsidR="00BB5EAF" w:rsidRPr="00412A50">
        <w:t>Because the PTR events are called only on isolated days over the course of the program year, and on all other days the participants and non</w:t>
      </w:r>
      <w:r w:rsidR="00BB5EAF">
        <w:t>-</w:t>
      </w:r>
      <w:r w:rsidR="00BB5EAF" w:rsidRPr="00412A50">
        <w:t xml:space="preserve">participants face the same rate, the data conforms nicely to what researchers often call a repeated measures design. This simply means that all participants are subjected to the treatment at the same time, repeatedly over the course of the study. In this case the control can be </w:t>
      </w:r>
      <w:r w:rsidR="00BB5EAF" w:rsidRPr="00C12542">
        <w:t>defined</w:t>
      </w:r>
      <w:r w:rsidR="00BB5EAF" w:rsidRPr="00412A50">
        <w:t xml:space="preserve"> as an absence of the treatment, </w:t>
      </w:r>
      <w:r w:rsidR="00166A0A">
        <w:t>which includes all non-PTR days</w:t>
      </w:r>
      <w:r w:rsidR="00BB5EAF" w:rsidRPr="00412A50">
        <w:t>.</w:t>
      </w:r>
      <w:r w:rsidR="00166A0A">
        <w:t xml:space="preserve"> In addition we can use pre-treatment</w:t>
      </w:r>
      <w:r w:rsidR="009F6D98">
        <w:t xml:space="preserve"> data, prior to participation in the PTR program to isolate any differences th</w:t>
      </w:r>
      <w:r w:rsidR="005A3E7C">
        <w:t>at result</w:t>
      </w:r>
      <w:r w:rsidR="009F6D98">
        <w:t xml:space="preserve"> from the program on non-PTR days</w:t>
      </w:r>
      <w:r w:rsidR="00983BAB">
        <w:t xml:space="preserve"> and to better isolate the effects of weather and other seasonal variables on usage</w:t>
      </w:r>
      <w:r w:rsidR="009F6D98">
        <w:t xml:space="preserve">. </w:t>
      </w:r>
      <w:r w:rsidR="00BB5EAF" w:rsidRPr="00412A50">
        <w:t xml:space="preserve"> </w:t>
      </w:r>
    </w:p>
    <w:p w:rsidR="009F6D98" w:rsidRDefault="00983BAB" w:rsidP="00BB5EAF">
      <w:pPr>
        <w:pStyle w:val="BodyText"/>
      </w:pPr>
      <w:r>
        <w:t>First, we</w:t>
      </w:r>
      <w:r w:rsidR="00BB5EAF">
        <w:t xml:space="preserve"> </w:t>
      </w:r>
      <w:r w:rsidR="00BB5EAF" w:rsidRPr="00C12542">
        <w:t>define</w:t>
      </w:r>
      <w:r w:rsidR="005A3E7C">
        <w:t>d the</w:t>
      </w:r>
      <w:r>
        <w:t xml:space="preserve"> treatment and pre</w:t>
      </w:r>
      <w:r w:rsidR="00BB5EAF">
        <w:t>-</w:t>
      </w:r>
      <w:r w:rsidR="00BB5EAF" w:rsidRPr="00412A50">
        <w:t xml:space="preserve">treatment periods. We </w:t>
      </w:r>
      <w:r w:rsidR="009F6D98">
        <w:t xml:space="preserve">defined the </w:t>
      </w:r>
      <w:r w:rsidR="00BB5EAF" w:rsidRPr="00412A50">
        <w:t>treatment period as beginning July 1, 2012 when customers were first defaulted onto the rate</w:t>
      </w:r>
      <w:r w:rsidR="009F6D98">
        <w:t>, and ending</w:t>
      </w:r>
      <w:r w:rsidR="00BB5EAF" w:rsidRPr="00412A50">
        <w:t xml:space="preserve"> on </w:t>
      </w:r>
      <w:r w:rsidR="00BB5EAF">
        <w:t>October</w:t>
      </w:r>
      <w:r w:rsidR="00BB5EAF" w:rsidRPr="00412A50">
        <w:t xml:space="preserve"> 31, 2012. The pre-treatment period will be defined as the 12 months prior to the treatment period</w:t>
      </w:r>
      <w:r w:rsidR="00BB5EAF">
        <w:t>,</w:t>
      </w:r>
      <w:r w:rsidR="00BB5EAF" w:rsidRPr="00412A50">
        <w:t xml:space="preserve"> beginning July 1, 2011. </w:t>
      </w:r>
      <w:r w:rsidR="00BB5EAF">
        <w:t>We in</w:t>
      </w:r>
      <w:r w:rsidR="00BB5EAF" w:rsidRPr="00412A50">
        <w:t>clud</w:t>
      </w:r>
      <w:r w:rsidR="00BB5EAF">
        <w:t xml:space="preserve">e </w:t>
      </w:r>
      <w:r w:rsidR="00BB5EAF" w:rsidRPr="00412A50">
        <w:t xml:space="preserve">pre-treatment data </w:t>
      </w:r>
      <w:r w:rsidR="00BB5EAF">
        <w:t xml:space="preserve">so that we can </w:t>
      </w:r>
      <w:r w:rsidR="00BB5EAF" w:rsidRPr="00412A50">
        <w:t>better estimate the effect of the program under a variety of weather conditions and day types</w:t>
      </w:r>
      <w:r w:rsidR="00BB5EAF">
        <w:t xml:space="preserve">. </w:t>
      </w:r>
    </w:p>
    <w:p w:rsidR="009748FD" w:rsidRDefault="009748FD" w:rsidP="009748FD">
      <w:pPr>
        <w:pStyle w:val="BodyText"/>
      </w:pPr>
      <w:r>
        <w:t>After establishing a pre and post-treatment period, we evaluated various modeling frameworks for estimating the effect of a PTR event on the participants. In general, the data we used to analyze the participants included both a customer-specific component and a time component. This type of data is generally referred to as panel data and can be modeled in several different ways; however, it is important to recognize that panel data has some inherent issues</w:t>
      </w:r>
      <w:r w:rsidRPr="00A97906">
        <w:t>.</w:t>
      </w:r>
      <w:r w:rsidRPr="00653BDD">
        <w:t xml:space="preserve"> </w:t>
      </w:r>
      <w:r w:rsidRPr="00A97906">
        <w:t>When estimating panel data, the variance of the error term is not constant due to correlation</w:t>
      </w:r>
      <w:r>
        <w:t xml:space="preserve"> within and across individuals.  Thus, the Ordinary Least Squares (OLS) is still consistent, but not optimal. For the estimation method we considered employing</w:t>
      </w:r>
      <w:r w:rsidRPr="00653BDD">
        <w:t xml:space="preserve"> </w:t>
      </w:r>
      <w:r>
        <w:t>three</w:t>
      </w:r>
      <w:r w:rsidRPr="00653BDD">
        <w:t xml:space="preserve"> different panel estimators: first-differencing</w:t>
      </w:r>
      <w:r>
        <w:t xml:space="preserve"> (FD)</w:t>
      </w:r>
      <w:r w:rsidRPr="00653BDD">
        <w:t>, fixed effects</w:t>
      </w:r>
      <w:r>
        <w:t xml:space="preserve"> (FE)</w:t>
      </w:r>
      <w:r w:rsidRPr="00653BDD">
        <w:t>, and random effects</w:t>
      </w:r>
      <w:r>
        <w:t xml:space="preserve"> (RE)</w:t>
      </w:r>
      <w:r w:rsidRPr="00653BDD">
        <w:t xml:space="preserve">. </w:t>
      </w:r>
      <w:r>
        <w:t>A crucial condition of FE and</w:t>
      </w:r>
      <w:r w:rsidRPr="00653BDD">
        <w:t xml:space="preserve"> </w:t>
      </w:r>
      <w:r>
        <w:t xml:space="preserve">FD </w:t>
      </w:r>
      <w:r w:rsidRPr="00653BDD">
        <w:t xml:space="preserve">is that </w:t>
      </w:r>
      <w:r>
        <w:t>the independent variables in the model must have</w:t>
      </w:r>
      <w:r w:rsidRPr="00653BDD">
        <w:t xml:space="preserve"> variation across </w:t>
      </w:r>
      <w:r>
        <w:t>each customer</w:t>
      </w:r>
      <w:r w:rsidRPr="00653BDD">
        <w:t xml:space="preserve">.  </w:t>
      </w:r>
      <w:r>
        <w:t>When a full s</w:t>
      </w:r>
      <w:r w:rsidR="005A3E7C">
        <w:t>et of customer-specific</w:t>
      </w:r>
      <w:r>
        <w:t xml:space="preserve"> dummy variables are included, as in our case, the estimation of time-constant variables such as location cannot be included in the model</w:t>
      </w:r>
      <w:r w:rsidRPr="00653BDD">
        <w:t>.</w:t>
      </w:r>
      <w:r w:rsidRPr="00A97906">
        <w:t xml:space="preserve"> </w:t>
      </w:r>
    </w:p>
    <w:p w:rsidR="009748FD" w:rsidRPr="00A32F0B" w:rsidRDefault="009748FD" w:rsidP="009748FD">
      <w:pPr>
        <w:pStyle w:val="BodyText"/>
      </w:pPr>
      <w:r w:rsidRPr="00653BDD">
        <w:t xml:space="preserve">The </w:t>
      </w:r>
      <w:r>
        <w:t>FE</w:t>
      </w:r>
      <w:r w:rsidRPr="00653BDD">
        <w:t xml:space="preserve"> estimator assumes </w:t>
      </w:r>
      <w:r>
        <w:t xml:space="preserve">that </w:t>
      </w:r>
      <w:r w:rsidRPr="00653BDD">
        <w:t>the error term is uncorrelated wit</w:t>
      </w:r>
      <w:r>
        <w:t>h the independent variables across</w:t>
      </w:r>
      <w:r w:rsidRPr="00653BDD">
        <w:t xml:space="preserve"> all </w:t>
      </w:r>
      <w:r>
        <w:t>time periods</w:t>
      </w:r>
      <w:r w:rsidRPr="00653BDD">
        <w:t xml:space="preserve"> for the </w:t>
      </w:r>
      <w:r>
        <w:t>time-variant</w:t>
      </w:r>
      <w:r w:rsidRPr="00653BDD">
        <w:t xml:space="preserve"> </w:t>
      </w:r>
      <w:r>
        <w:t>portion of the error term (</w:t>
      </w:r>
      <m:oMath>
        <m:sSub>
          <m:sSubPr>
            <m:ctrlPr>
              <w:rPr>
                <w:rFonts w:ascii="Cambria Math" w:hAnsi="Cambria Math"/>
                <w:i/>
              </w:rPr>
            </m:ctrlPr>
          </m:sSubPr>
          <m:e>
            <m:r>
              <w:rPr>
                <w:rFonts w:ascii="Cambria Math" w:hAnsi="Cambria Math"/>
              </w:rPr>
              <m:t>u</m:t>
            </m:r>
          </m:e>
          <m:sub>
            <m:r>
              <w:rPr>
                <w:rFonts w:ascii="Cambria Math" w:hAnsi="Cambria Math"/>
              </w:rPr>
              <m:t>i,t</m:t>
            </m:r>
          </m:sub>
        </m:sSub>
      </m:oMath>
      <w:r>
        <w:t xml:space="preserve">) </w:t>
      </w:r>
      <w:r w:rsidRPr="00653BDD">
        <w:t>but allows</w:t>
      </w:r>
      <w:r>
        <w:t xml:space="preserve"> the time constant portion of the error term</w:t>
      </w:r>
      <w:r w:rsidRPr="00653BDD">
        <w:t xml:space="preserve"> </w:t>
      </w:r>
      <w:r>
        <w:t>(</w:t>
      </w:r>
      <m:oMath>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oMath>
      <w:r w:rsidRPr="00653BDD">
        <w:t xml:space="preserve"> to be correlated with the explanatory variables in any time period</w:t>
      </w:r>
      <w:r>
        <w:t xml:space="preserve"> since it will be purged from the equation during estimation</w:t>
      </w:r>
      <w:r w:rsidRPr="00653BDD">
        <w:t xml:space="preserve">. </w:t>
      </w:r>
      <w:r>
        <w:t xml:space="preserve"> For a large number of observations, and a small number of time periods the choice to use FD or FE lies in the relative efficiency of the estimators determined by the serial correlation in (</w:t>
      </w:r>
      <m:oMath>
        <m:sSub>
          <m:sSubPr>
            <m:ctrlPr>
              <w:rPr>
                <w:rFonts w:ascii="Cambria Math" w:hAnsi="Cambria Math"/>
                <w:i/>
              </w:rPr>
            </m:ctrlPr>
          </m:sSubPr>
          <m:e>
            <m:r>
              <w:rPr>
                <w:rFonts w:ascii="Cambria Math" w:hAnsi="Cambria Math"/>
              </w:rPr>
              <m:t>u</m:t>
            </m:r>
          </m:e>
          <m:sub>
            <m:r>
              <w:rPr>
                <w:rFonts w:ascii="Cambria Math" w:hAnsi="Cambria Math"/>
              </w:rPr>
              <m:t>i,t</m:t>
            </m:r>
          </m:sub>
        </m:sSub>
      </m:oMath>
      <w:r>
        <w:t xml:space="preserve">).  When no serial correlation is present, FE is more efficient than FD.  </w:t>
      </w:r>
      <w:proofErr w:type="gramStart"/>
      <w:r w:rsidRPr="00653BDD">
        <w:t xml:space="preserve">Random effects </w:t>
      </w:r>
      <w:r>
        <w:t>has</w:t>
      </w:r>
      <w:proofErr w:type="gramEnd"/>
      <w:r>
        <w:t xml:space="preserve"> the additional assumption </w:t>
      </w:r>
      <w:r w:rsidRPr="00653BDD">
        <w:t xml:space="preserve">that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Pr="00653BDD">
        <w:t xml:space="preserve"> is uncorrelated with the explanatory variables across all time periods</w:t>
      </w:r>
      <w:r>
        <w:t xml:space="preserve"> (a very unlikely case)</w:t>
      </w:r>
      <w:r w:rsidRPr="00653BDD">
        <w:t xml:space="preserve">. </w:t>
      </w:r>
    </w:p>
    <w:p w:rsidR="00BB5EAF" w:rsidRDefault="009748FD" w:rsidP="00BB5EAF">
      <w:pPr>
        <w:pStyle w:val="BodyText"/>
      </w:pPr>
      <w:r>
        <w:t xml:space="preserve">Ultimately we decided to use the fixed-effect model with robust errors, which is a common approach for a </w:t>
      </w:r>
      <w:r w:rsidR="006F6E3B">
        <w:t xml:space="preserve">repeated </w:t>
      </w:r>
      <w:r w:rsidR="00983BAB">
        <w:t xml:space="preserve">measures with </w:t>
      </w:r>
      <w:r>
        <w:t>pre-treatmen</w:t>
      </w:r>
      <w:r w:rsidR="00983BAB">
        <w:t>t and post-treatment design using</w:t>
      </w:r>
      <w:r>
        <w:t xml:space="preserve"> panel </w:t>
      </w:r>
      <w:r>
        <w:lastRenderedPageBreak/>
        <w:t>data in the industry.</w:t>
      </w:r>
      <w:r>
        <w:rPr>
          <w:rStyle w:val="FootnoteReference"/>
          <w:rFonts w:cs="Tahoma"/>
        </w:rPr>
        <w:footnoteReference w:id="6"/>
      </w:r>
      <w:r>
        <w:t xml:space="preserve"> A somewhat simplified version of the hourly model specification used to estimate the effects of PTR </w:t>
      </w:r>
      <w:r w:rsidR="00A65CD3">
        <w:t xml:space="preserve">events for each subgroup </w:t>
      </w:r>
      <w:r>
        <w:t>is presented in Equation 1 below.</w:t>
      </w:r>
      <w:r w:rsidR="00A65CD3">
        <w:t xml:space="preserve"> </w:t>
      </w:r>
      <w:r>
        <w:t xml:space="preserve"> </w:t>
      </w:r>
    </w:p>
    <w:p w:rsidR="00BB5EAF" w:rsidRPr="00C817F3" w:rsidRDefault="00397D35" w:rsidP="00694BA0">
      <w:pPr>
        <w:pStyle w:val="BodyText"/>
        <w:spacing w:before="120" w:after="0"/>
        <w:ind w:left="720"/>
        <w:rPr>
          <w:b/>
          <w:szCs w:val="20"/>
        </w:rPr>
      </w:pPr>
      <m:oMath>
        <m:sSub>
          <m:sSubPr>
            <m:ctrlPr>
              <w:rPr>
                <w:rFonts w:ascii="Cambria Math" w:hAnsi="Cambria Math"/>
                <w:i/>
                <w:szCs w:val="20"/>
              </w:rPr>
            </m:ctrlPr>
          </m:sSubPr>
          <m:e>
            <m:r>
              <w:rPr>
                <w:rFonts w:ascii="Cambria Math" w:hAnsi="Cambria Math"/>
                <w:szCs w:val="20"/>
              </w:rPr>
              <m:t>kwh(j)</m:t>
            </m:r>
          </m:e>
          <m:sub>
            <m:r>
              <w:rPr>
                <w:rFonts w:ascii="Cambria Math" w:hAnsi="Cambria Math"/>
                <w:szCs w:val="20"/>
              </w:rPr>
              <m:t xml:space="preserve">it </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α</m:t>
            </m:r>
          </m:e>
          <m:sub>
            <m:r>
              <w:rPr>
                <w:rFonts w:ascii="Cambria Math" w:hAnsi="Cambria Math"/>
                <w:szCs w:val="20"/>
              </w:rPr>
              <m:t>i</m:t>
            </m:r>
          </m:sub>
        </m:sSub>
        <m:r>
          <w:rPr>
            <w:rFonts w:ascii="Cambria Math" w:hAnsi="Cambria Math"/>
            <w:szCs w:val="20"/>
          </w:rPr>
          <m:t>+ γ</m:t>
        </m:r>
        <m:sSub>
          <m:sSubPr>
            <m:ctrlPr>
              <w:rPr>
                <w:rFonts w:ascii="Cambria Math" w:hAnsi="Cambria Math"/>
                <w:i/>
                <w:szCs w:val="20"/>
              </w:rPr>
            </m:ctrlPr>
          </m:sSubPr>
          <m:e>
            <m:r>
              <w:rPr>
                <w:rFonts w:ascii="Cambria Math" w:hAnsi="Cambria Math"/>
                <w:szCs w:val="20"/>
              </w:rPr>
              <m:t>Seas</m:t>
            </m:r>
          </m:e>
          <m:sub>
            <m:r>
              <w:rPr>
                <w:rFonts w:ascii="Cambria Math" w:hAnsi="Cambria Math"/>
                <w:szCs w:val="20"/>
              </w:rPr>
              <m:t>t</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β</m:t>
            </m:r>
          </m:e>
          <m:sub>
            <m:r>
              <w:rPr>
                <w:rFonts w:ascii="Cambria Math" w:hAnsi="Cambria Math"/>
                <w:szCs w:val="20"/>
              </w:rPr>
              <m:t>1</m:t>
            </m:r>
          </m:sub>
        </m:sSub>
        <m:sSub>
          <m:sSubPr>
            <m:ctrlPr>
              <w:rPr>
                <w:rFonts w:ascii="Cambria Math" w:hAnsi="Cambria Math"/>
                <w:i/>
                <w:szCs w:val="20"/>
              </w:rPr>
            </m:ctrlPr>
          </m:sSubPr>
          <m:e>
            <m:r>
              <w:rPr>
                <w:rFonts w:ascii="Cambria Math" w:hAnsi="Cambria Math"/>
                <w:szCs w:val="20"/>
              </w:rPr>
              <m:t>CDH(j)</m:t>
            </m:r>
          </m:e>
          <m:sub>
            <m:r>
              <w:rPr>
                <w:rFonts w:ascii="Cambria Math" w:hAnsi="Cambria Math"/>
                <w:szCs w:val="20"/>
              </w:rPr>
              <m:t>it</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β</m:t>
            </m:r>
          </m:e>
          <m:sub>
            <m:r>
              <w:rPr>
                <w:rFonts w:ascii="Cambria Math" w:hAnsi="Cambria Math"/>
                <w:szCs w:val="20"/>
              </w:rPr>
              <m:t>2</m:t>
            </m:r>
          </m:sub>
        </m:sSub>
        <m:sSub>
          <m:sSubPr>
            <m:ctrlPr>
              <w:rPr>
                <w:rFonts w:ascii="Cambria Math" w:hAnsi="Cambria Math"/>
                <w:i/>
                <w:szCs w:val="20"/>
              </w:rPr>
            </m:ctrlPr>
          </m:sSubPr>
          <m:e>
            <m:r>
              <w:rPr>
                <w:rFonts w:ascii="Cambria Math" w:hAnsi="Cambria Math"/>
                <w:szCs w:val="20"/>
              </w:rPr>
              <m:t>CDHop</m:t>
            </m:r>
          </m:e>
          <m:sub>
            <m:r>
              <w:rPr>
                <w:rFonts w:ascii="Cambria Math" w:hAnsi="Cambria Math"/>
                <w:szCs w:val="20"/>
              </w:rPr>
              <m:t>it</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β</m:t>
            </m:r>
          </m:e>
          <m:sub>
            <m:r>
              <w:rPr>
                <w:rFonts w:ascii="Cambria Math" w:hAnsi="Cambria Math"/>
                <w:szCs w:val="20"/>
              </w:rPr>
              <m:t>3</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year12</m:t>
            </m:r>
          </m:e>
          <m:sub>
            <m:r>
              <w:rPr>
                <w:rFonts w:ascii="Cambria Math" w:hAnsi="Cambria Math"/>
                <w:szCs w:val="20"/>
              </w:rPr>
              <m:t>it</m:t>
            </m:r>
          </m:sub>
        </m:sSub>
        <m:sSub>
          <m:sSubPr>
            <m:ctrlPr>
              <w:rPr>
                <w:rFonts w:ascii="Cambria Math" w:hAnsi="Cambria Math"/>
                <w:i/>
                <w:szCs w:val="20"/>
              </w:rPr>
            </m:ctrlPr>
          </m:sSubPr>
          <m:e>
            <m:r>
              <w:rPr>
                <w:rFonts w:ascii="Cambria Math" w:hAnsi="Cambria Math"/>
                <w:szCs w:val="20"/>
              </w:rPr>
              <m:t>+ β</m:t>
            </m:r>
          </m:e>
          <m:sub>
            <m:r>
              <w:rPr>
                <w:rFonts w:ascii="Cambria Math" w:hAnsi="Cambria Math"/>
                <w:szCs w:val="20"/>
              </w:rPr>
              <m:t>4</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PTR</m:t>
            </m:r>
          </m:e>
          <m:sub>
            <m:r>
              <w:rPr>
                <w:rFonts w:ascii="Cambria Math" w:hAnsi="Cambria Math"/>
                <w:szCs w:val="20"/>
              </w:rPr>
              <m:t>it</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β</m:t>
            </m:r>
          </m:e>
          <m:sub>
            <m:r>
              <w:rPr>
                <w:rFonts w:ascii="Cambria Math" w:hAnsi="Cambria Math"/>
                <w:szCs w:val="20"/>
              </w:rPr>
              <m:t>5</m:t>
            </m:r>
          </m:sub>
        </m:sSub>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PTR</m:t>
                </m:r>
              </m:e>
              <m:sub>
                <m:r>
                  <w:rPr>
                    <w:rFonts w:ascii="Cambria Math" w:hAnsi="Cambria Math"/>
                    <w:szCs w:val="20"/>
                  </w:rPr>
                  <m:t>it</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CDHop</m:t>
                </m:r>
              </m:e>
              <m:sub>
                <m:r>
                  <w:rPr>
                    <w:rFonts w:ascii="Cambria Math" w:hAnsi="Cambria Math"/>
                    <w:szCs w:val="20"/>
                  </w:rPr>
                  <m:t>it</m:t>
                </m:r>
              </m:sub>
            </m:sSub>
          </m:e>
        </m:d>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ε</m:t>
            </m:r>
          </m:e>
          <m:sub>
            <m:r>
              <w:rPr>
                <w:rFonts w:ascii="Cambria Math" w:hAnsi="Cambria Math"/>
                <w:szCs w:val="20"/>
              </w:rPr>
              <m:t>it</m:t>
            </m:r>
          </m:sub>
        </m:sSub>
      </m:oMath>
      <w:r w:rsidR="00BB5EAF">
        <w:rPr>
          <w:b/>
          <w:szCs w:val="20"/>
        </w:rPr>
        <w:tab/>
      </w:r>
      <w:r w:rsidR="00BB5EAF">
        <w:rPr>
          <w:b/>
          <w:szCs w:val="20"/>
        </w:rPr>
        <w:tab/>
      </w:r>
      <w:r w:rsidR="00BB5EAF" w:rsidRPr="00D83302">
        <w:rPr>
          <w:szCs w:val="20"/>
        </w:rPr>
        <w:tab/>
      </w:r>
      <w:r w:rsidR="00694BA0">
        <w:rPr>
          <w:szCs w:val="20"/>
        </w:rPr>
        <w:tab/>
      </w:r>
      <w:r w:rsidR="00694BA0">
        <w:rPr>
          <w:szCs w:val="20"/>
        </w:rPr>
        <w:tab/>
      </w:r>
      <w:r w:rsidR="00694BA0">
        <w:rPr>
          <w:szCs w:val="20"/>
        </w:rPr>
        <w:tab/>
      </w:r>
      <w:r w:rsidR="00694BA0">
        <w:rPr>
          <w:szCs w:val="20"/>
        </w:rPr>
        <w:tab/>
      </w:r>
      <w:r w:rsidR="00694BA0">
        <w:rPr>
          <w:szCs w:val="20"/>
        </w:rPr>
        <w:tab/>
      </w:r>
      <w:r w:rsidR="00694BA0">
        <w:rPr>
          <w:szCs w:val="20"/>
        </w:rPr>
        <w:tab/>
      </w:r>
      <w:r w:rsidR="00694BA0">
        <w:rPr>
          <w:szCs w:val="20"/>
        </w:rPr>
        <w:tab/>
      </w:r>
      <w:r w:rsidR="00BB5EAF" w:rsidRPr="00D83302">
        <w:rPr>
          <w:szCs w:val="20"/>
        </w:rPr>
        <w:t>(1)</w:t>
      </w:r>
    </w:p>
    <w:p w:rsidR="00BB5EAF" w:rsidRDefault="00BB5EAF" w:rsidP="00BB5EAF">
      <w:pPr>
        <w:pStyle w:val="BodyText"/>
        <w:spacing w:before="120" w:after="0"/>
      </w:pPr>
      <w:r>
        <w:t>Where:</w:t>
      </w:r>
    </w:p>
    <w:p w:rsidR="00BB5EAF" w:rsidRPr="00D83E34" w:rsidRDefault="00BB5EAF" w:rsidP="00BB5EAF">
      <w:pPr>
        <w:pStyle w:val="BodyText"/>
        <w:spacing w:before="120" w:after="0"/>
        <w:rPr>
          <w:szCs w:val="20"/>
        </w:rPr>
      </w:pPr>
      <w:r>
        <w:tab/>
      </w:r>
      <m:oMath>
        <m:sSub>
          <m:sSubPr>
            <m:ctrlPr>
              <w:rPr>
                <w:rFonts w:ascii="Cambria Math" w:hAnsi="Cambria Math"/>
                <w:i/>
                <w:szCs w:val="20"/>
              </w:rPr>
            </m:ctrlPr>
          </m:sSubPr>
          <m:e>
            <m:r>
              <w:rPr>
                <w:rFonts w:ascii="Cambria Math" w:hAnsi="Cambria Math"/>
                <w:szCs w:val="20"/>
              </w:rPr>
              <m:t>kwh(j)</m:t>
            </m:r>
          </m:e>
          <m:sub>
            <m:r>
              <w:rPr>
                <w:rFonts w:ascii="Cambria Math" w:hAnsi="Cambria Math"/>
                <w:szCs w:val="20"/>
              </w:rPr>
              <m:t xml:space="preserve">it </m:t>
            </m:r>
          </m:sub>
        </m:sSub>
      </m:oMath>
      <w:r>
        <w:rPr>
          <w:sz w:val="22"/>
          <w:szCs w:val="22"/>
        </w:rPr>
        <w:t xml:space="preserve"> </w:t>
      </w:r>
      <w:r w:rsidR="00D83E34">
        <w:t>=</w:t>
      </w:r>
      <w:r w:rsidRPr="00C817F3">
        <w:t xml:space="preserve"> the consumption </w:t>
      </w:r>
      <w:r w:rsidR="00D83E34">
        <w:t xml:space="preserve">in </w:t>
      </w:r>
      <w:proofErr w:type="spellStart"/>
      <w:r w:rsidR="00D83E34">
        <w:t>hour</w:t>
      </w:r>
      <w:proofErr w:type="spellEnd"/>
      <w:r w:rsidR="00D83E34">
        <w:t xml:space="preserve"> </w:t>
      </w:r>
      <w:r w:rsidR="00D83E34" w:rsidRPr="00694BA0">
        <w:rPr>
          <w:i/>
        </w:rPr>
        <w:t>j</w:t>
      </w:r>
      <w:r w:rsidR="00D83E34">
        <w:t xml:space="preserve"> </w:t>
      </w:r>
      <w:r w:rsidRPr="00C817F3">
        <w:t>of</w:t>
      </w:r>
      <w:r>
        <w:rPr>
          <w:szCs w:val="20"/>
        </w:rPr>
        <w:t xml:space="preserve"> customer </w:t>
      </w:r>
      <w:proofErr w:type="spellStart"/>
      <w:r w:rsidRPr="00694BA0">
        <w:rPr>
          <w:i/>
          <w:szCs w:val="20"/>
        </w:rPr>
        <w:t>i</w:t>
      </w:r>
      <w:proofErr w:type="spellEnd"/>
      <w:r>
        <w:rPr>
          <w:szCs w:val="20"/>
        </w:rPr>
        <w:t xml:space="preserve"> </w:t>
      </w:r>
      <w:r w:rsidR="00D83E34">
        <w:rPr>
          <w:szCs w:val="20"/>
        </w:rPr>
        <w:t>on day</w:t>
      </w:r>
      <w:r>
        <w:rPr>
          <w:szCs w:val="20"/>
        </w:rPr>
        <w:t xml:space="preserve"> </w:t>
      </w:r>
      <w:r w:rsidRPr="00694BA0">
        <w:rPr>
          <w:i/>
          <w:szCs w:val="20"/>
        </w:rPr>
        <w:t xml:space="preserve">t. </w:t>
      </w:r>
      <w:r w:rsidRPr="00694BA0">
        <w:rPr>
          <w:i/>
        </w:rPr>
        <w:t xml:space="preserve"> </w:t>
      </w:r>
    </w:p>
    <w:p w:rsidR="00BB5EAF" w:rsidRDefault="00BB5EAF" w:rsidP="00BB5EAF">
      <w:pPr>
        <w:pStyle w:val="BodyText"/>
        <w:spacing w:before="120" w:after="0"/>
      </w:pPr>
      <w:r>
        <w:rPr>
          <w:szCs w:val="20"/>
        </w:rPr>
        <w:tab/>
      </w:r>
      <m:oMath>
        <m:sSub>
          <m:sSubPr>
            <m:ctrlPr>
              <w:rPr>
                <w:rFonts w:ascii="Cambria Math" w:hAnsi="Cambria Math"/>
                <w:i/>
                <w:szCs w:val="20"/>
              </w:rPr>
            </m:ctrlPr>
          </m:sSubPr>
          <m:e>
            <m:r>
              <w:rPr>
                <w:rFonts w:ascii="Cambria Math" w:hAnsi="Cambria Math"/>
                <w:szCs w:val="20"/>
              </w:rPr>
              <m:t>α</m:t>
            </m:r>
          </m:e>
          <m:sub>
            <m:r>
              <w:rPr>
                <w:rFonts w:ascii="Cambria Math" w:hAnsi="Cambria Math"/>
                <w:szCs w:val="20"/>
              </w:rPr>
              <m:t>i</m:t>
            </m:r>
          </m:sub>
        </m:sSub>
      </m:oMath>
      <w:r>
        <w:rPr>
          <w:b/>
          <w:szCs w:val="20"/>
        </w:rPr>
        <w:t xml:space="preserve"> </w:t>
      </w:r>
      <w:r w:rsidR="00D83E34">
        <w:t>=</w:t>
      </w:r>
      <w:r>
        <w:t xml:space="preserve"> a </w:t>
      </w:r>
      <w:r w:rsidR="00D83E34">
        <w:t xml:space="preserve">fixed effect for each customer </w:t>
      </w:r>
      <w:proofErr w:type="spellStart"/>
      <w:r w:rsidR="00D83E34" w:rsidRPr="00694BA0">
        <w:rPr>
          <w:i/>
        </w:rPr>
        <w:t>i</w:t>
      </w:r>
      <w:proofErr w:type="spellEnd"/>
    </w:p>
    <w:p w:rsidR="00D83E34" w:rsidRPr="00D83E34" w:rsidRDefault="00D83E34" w:rsidP="00D83E34">
      <w:pPr>
        <w:pStyle w:val="BodyText"/>
        <w:spacing w:before="120" w:after="0"/>
        <w:ind w:left="1080" w:hanging="360"/>
        <w:rPr>
          <w:rFonts w:cs="Tahoma"/>
        </w:rPr>
      </w:pPr>
      <m:oMath>
        <m:r>
          <w:rPr>
            <w:rFonts w:ascii="Cambria Math" w:hAnsi="Cambria Math"/>
            <w:szCs w:val="20"/>
          </w:rPr>
          <m:t>γ</m:t>
        </m:r>
        <m:sSub>
          <m:sSubPr>
            <m:ctrlPr>
              <w:rPr>
                <w:rFonts w:ascii="Cambria Math" w:hAnsi="Cambria Math"/>
                <w:i/>
                <w:szCs w:val="20"/>
              </w:rPr>
            </m:ctrlPr>
          </m:sSubPr>
          <m:e>
            <m:r>
              <w:rPr>
                <w:rFonts w:ascii="Cambria Math" w:hAnsi="Cambria Math"/>
                <w:szCs w:val="20"/>
              </w:rPr>
              <m:t>Seas</m:t>
            </m:r>
          </m:e>
          <m:sub>
            <m:r>
              <w:rPr>
                <w:rFonts w:ascii="Cambria Math" w:hAnsi="Cambria Math"/>
                <w:szCs w:val="20"/>
              </w:rPr>
              <m:t>t</m:t>
            </m:r>
          </m:sub>
        </m:sSub>
        <m:r>
          <m:rPr>
            <m:sty m:val="bi"/>
          </m:rPr>
          <w:rPr>
            <w:rFonts w:ascii="Cambria Math" w:hAnsi="Cambria Math"/>
            <w:szCs w:val="20"/>
          </w:rPr>
          <m:t xml:space="preserve"> </m:t>
        </m:r>
      </m:oMath>
      <w:r>
        <w:rPr>
          <w:rFonts w:cs="Tahoma"/>
        </w:rPr>
        <w:t xml:space="preserve"> =</w:t>
      </w:r>
      <w:r w:rsidRPr="00B023A6">
        <w:rPr>
          <w:rFonts w:cs="Tahoma"/>
        </w:rPr>
        <w:t xml:space="preserve"> a vector of </w:t>
      </w:r>
      <w:r>
        <w:rPr>
          <w:rFonts w:cs="Tahoma"/>
        </w:rPr>
        <w:t xml:space="preserve">seasonal indicator </w:t>
      </w:r>
      <w:r w:rsidRPr="00B023A6">
        <w:rPr>
          <w:rFonts w:cs="Tahoma"/>
        </w:rPr>
        <w:t>variables i.e. month, year, and day of week</w:t>
      </w:r>
    </w:p>
    <w:p w:rsidR="00D83E34" w:rsidRDefault="00BB5EAF" w:rsidP="00BB5EAF">
      <w:pPr>
        <w:pStyle w:val="BodyText"/>
        <w:spacing w:before="120" w:after="0"/>
        <w:rPr>
          <w:szCs w:val="20"/>
        </w:rPr>
      </w:pPr>
      <w:r>
        <w:tab/>
      </w:r>
      <m:oMath>
        <m:sSub>
          <m:sSubPr>
            <m:ctrlPr>
              <w:rPr>
                <w:rFonts w:ascii="Cambria Math" w:hAnsi="Cambria Math"/>
                <w:i/>
                <w:szCs w:val="20"/>
              </w:rPr>
            </m:ctrlPr>
          </m:sSubPr>
          <m:e>
            <m:r>
              <w:rPr>
                <w:rFonts w:ascii="Cambria Math" w:hAnsi="Cambria Math"/>
                <w:szCs w:val="20"/>
              </w:rPr>
              <m:t>β</m:t>
            </m:r>
          </m:e>
          <m:sub>
            <m:r>
              <w:rPr>
                <w:rFonts w:ascii="Cambria Math" w:hAnsi="Cambria Math"/>
                <w:szCs w:val="20"/>
              </w:rPr>
              <m:t>1</m:t>
            </m:r>
          </m:sub>
        </m:sSub>
        <m:sSub>
          <m:sSubPr>
            <m:ctrlPr>
              <w:rPr>
                <w:rFonts w:ascii="Cambria Math" w:hAnsi="Cambria Math"/>
                <w:i/>
                <w:szCs w:val="20"/>
              </w:rPr>
            </m:ctrlPr>
          </m:sSubPr>
          <m:e>
            <m:r>
              <w:rPr>
                <w:rFonts w:ascii="Cambria Math" w:hAnsi="Cambria Math"/>
                <w:szCs w:val="20"/>
              </w:rPr>
              <m:t>CDH(j)</m:t>
            </m:r>
          </m:e>
          <m:sub>
            <m:r>
              <w:rPr>
                <w:rFonts w:ascii="Cambria Math" w:hAnsi="Cambria Math"/>
                <w:szCs w:val="20"/>
              </w:rPr>
              <m:t>it</m:t>
            </m:r>
          </m:sub>
        </m:sSub>
      </m:oMath>
      <w:r>
        <w:rPr>
          <w:szCs w:val="20"/>
        </w:rPr>
        <w:t xml:space="preserve"> </w:t>
      </w:r>
      <w:r w:rsidR="00D83E34">
        <w:rPr>
          <w:szCs w:val="20"/>
        </w:rPr>
        <w:t xml:space="preserve">= a variable capturing the effect of temperatures above 70 degrees in </w:t>
      </w:r>
      <w:proofErr w:type="spellStart"/>
      <w:r w:rsidR="00D83E34">
        <w:rPr>
          <w:szCs w:val="20"/>
        </w:rPr>
        <w:t>hour</w:t>
      </w:r>
      <w:proofErr w:type="spellEnd"/>
      <w:r w:rsidR="00D83E34">
        <w:rPr>
          <w:szCs w:val="20"/>
        </w:rPr>
        <w:t xml:space="preserve"> </w:t>
      </w:r>
      <w:r w:rsidR="00D83E34" w:rsidRPr="00694BA0">
        <w:rPr>
          <w:i/>
          <w:szCs w:val="20"/>
        </w:rPr>
        <w:t>j</w:t>
      </w:r>
    </w:p>
    <w:p w:rsidR="00BB5EAF" w:rsidRDefault="00397D35" w:rsidP="00D83E34">
      <w:pPr>
        <w:pStyle w:val="BodyText"/>
        <w:spacing w:before="120" w:after="0"/>
        <w:ind w:left="720"/>
        <w:rPr>
          <w:szCs w:val="20"/>
        </w:rPr>
      </w:pPr>
      <m:oMath>
        <m:sSub>
          <m:sSubPr>
            <m:ctrlPr>
              <w:rPr>
                <w:rFonts w:ascii="Cambria Math" w:hAnsi="Cambria Math"/>
                <w:i/>
                <w:szCs w:val="20"/>
              </w:rPr>
            </m:ctrlPr>
          </m:sSubPr>
          <m:e>
            <m:r>
              <w:rPr>
                <w:rFonts w:ascii="Cambria Math" w:hAnsi="Cambria Math"/>
                <w:szCs w:val="20"/>
              </w:rPr>
              <m:t>β</m:t>
            </m:r>
          </m:e>
          <m:sub>
            <m:r>
              <w:rPr>
                <w:rFonts w:ascii="Cambria Math" w:hAnsi="Cambria Math"/>
                <w:szCs w:val="20"/>
              </w:rPr>
              <m:t>2</m:t>
            </m:r>
          </m:sub>
        </m:sSub>
        <m:sSub>
          <m:sSubPr>
            <m:ctrlPr>
              <w:rPr>
                <w:rFonts w:ascii="Cambria Math" w:hAnsi="Cambria Math"/>
                <w:i/>
                <w:szCs w:val="20"/>
              </w:rPr>
            </m:ctrlPr>
          </m:sSubPr>
          <m:e>
            <m:r>
              <w:rPr>
                <w:rFonts w:ascii="Cambria Math" w:hAnsi="Cambria Math"/>
                <w:szCs w:val="20"/>
              </w:rPr>
              <m:t>CDHop</m:t>
            </m:r>
          </m:e>
          <m:sub>
            <m:r>
              <w:rPr>
                <w:rFonts w:ascii="Cambria Math" w:hAnsi="Cambria Math"/>
                <w:szCs w:val="20"/>
              </w:rPr>
              <m:t>it</m:t>
            </m:r>
          </m:sub>
        </m:sSub>
      </m:oMath>
      <w:r w:rsidR="00D83E34">
        <w:rPr>
          <w:szCs w:val="20"/>
        </w:rPr>
        <w:t xml:space="preserve"> = a variable capturing the effect of temperatures above 70 degrees in the on-peak period</w:t>
      </w:r>
    </w:p>
    <w:p w:rsidR="00D83E34" w:rsidRDefault="00397D35" w:rsidP="00D83E34">
      <w:pPr>
        <w:pStyle w:val="BodyText"/>
        <w:spacing w:before="120" w:after="0"/>
        <w:ind w:left="720"/>
        <w:rPr>
          <w:szCs w:val="20"/>
        </w:rPr>
      </w:pPr>
      <m:oMath>
        <m:sSub>
          <m:sSubPr>
            <m:ctrlPr>
              <w:rPr>
                <w:rFonts w:ascii="Cambria Math" w:hAnsi="Cambria Math"/>
                <w:i/>
                <w:szCs w:val="20"/>
              </w:rPr>
            </m:ctrlPr>
          </m:sSubPr>
          <m:e>
            <m:r>
              <w:rPr>
                <w:rFonts w:ascii="Cambria Math" w:hAnsi="Cambria Math"/>
                <w:szCs w:val="20"/>
              </w:rPr>
              <m:t>β</m:t>
            </m:r>
          </m:e>
          <m:sub>
            <m:r>
              <w:rPr>
                <w:rFonts w:ascii="Cambria Math" w:hAnsi="Cambria Math"/>
                <w:szCs w:val="20"/>
              </w:rPr>
              <m:t>3</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year12</m:t>
            </m:r>
          </m:e>
          <m:sub>
            <m:r>
              <w:rPr>
                <w:rFonts w:ascii="Cambria Math" w:hAnsi="Cambria Math"/>
                <w:szCs w:val="20"/>
              </w:rPr>
              <m:t>it</m:t>
            </m:r>
          </m:sub>
        </m:sSub>
      </m:oMath>
      <w:r w:rsidR="00D83E34">
        <w:rPr>
          <w:szCs w:val="20"/>
        </w:rPr>
        <w:t xml:space="preserve">= a dummy variable that indicates the treatment period </w:t>
      </w:r>
    </w:p>
    <w:p w:rsidR="00BB5EAF" w:rsidRDefault="00397D35" w:rsidP="00BB5EAF">
      <w:pPr>
        <w:pStyle w:val="BodyText"/>
        <w:spacing w:before="120" w:after="0"/>
        <w:ind w:left="720"/>
        <w:rPr>
          <w:szCs w:val="20"/>
        </w:rPr>
      </w:pPr>
      <m:oMath>
        <m:sSub>
          <m:sSubPr>
            <m:ctrlPr>
              <w:rPr>
                <w:rFonts w:ascii="Cambria Math" w:hAnsi="Cambria Math"/>
                <w:i/>
                <w:szCs w:val="20"/>
              </w:rPr>
            </m:ctrlPr>
          </m:sSubPr>
          <m:e>
            <m:r>
              <w:rPr>
                <w:rFonts w:ascii="Cambria Math" w:hAnsi="Cambria Math"/>
                <w:szCs w:val="20"/>
              </w:rPr>
              <m:t>β</m:t>
            </m:r>
          </m:e>
          <m:sub>
            <m:r>
              <w:rPr>
                <w:rFonts w:ascii="Cambria Math" w:hAnsi="Cambria Math"/>
                <w:szCs w:val="20"/>
              </w:rPr>
              <m:t>4</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PTR</m:t>
            </m:r>
          </m:e>
          <m:sub>
            <m:r>
              <w:rPr>
                <w:rFonts w:ascii="Cambria Math" w:hAnsi="Cambria Math"/>
                <w:szCs w:val="20"/>
              </w:rPr>
              <m:t>it</m:t>
            </m:r>
          </m:sub>
        </m:sSub>
      </m:oMath>
      <w:r w:rsidR="00694BA0">
        <w:rPr>
          <w:szCs w:val="20"/>
        </w:rPr>
        <w:t xml:space="preserve"> = </w:t>
      </w:r>
      <w:r w:rsidR="00BB5EAF">
        <w:rPr>
          <w:szCs w:val="20"/>
        </w:rPr>
        <w:t xml:space="preserve">a dummy variable indicating </w:t>
      </w:r>
      <w:r w:rsidR="00D83E34">
        <w:rPr>
          <w:szCs w:val="20"/>
        </w:rPr>
        <w:t xml:space="preserve">that day </w:t>
      </w:r>
      <w:r w:rsidR="00D83E34" w:rsidRPr="00694BA0">
        <w:rPr>
          <w:i/>
          <w:szCs w:val="20"/>
        </w:rPr>
        <w:t>t</w:t>
      </w:r>
      <w:r w:rsidR="00D83E34">
        <w:rPr>
          <w:szCs w:val="20"/>
        </w:rPr>
        <w:t xml:space="preserve"> was a PTR event day</w:t>
      </w:r>
    </w:p>
    <w:p w:rsidR="00BB5EAF" w:rsidRDefault="00397D35" w:rsidP="00694BA0">
      <w:pPr>
        <w:pStyle w:val="BodyText"/>
        <w:spacing w:before="120" w:after="0"/>
        <w:ind w:left="720"/>
        <w:rPr>
          <w:szCs w:val="20"/>
        </w:rPr>
      </w:pPr>
      <m:oMath>
        <m:sSub>
          <m:sSubPr>
            <m:ctrlPr>
              <w:rPr>
                <w:rFonts w:ascii="Cambria Math" w:hAnsi="Cambria Math"/>
                <w:i/>
                <w:szCs w:val="20"/>
              </w:rPr>
            </m:ctrlPr>
          </m:sSubPr>
          <m:e>
            <m:r>
              <w:rPr>
                <w:rFonts w:ascii="Cambria Math" w:hAnsi="Cambria Math"/>
                <w:szCs w:val="20"/>
              </w:rPr>
              <m:t>β</m:t>
            </m:r>
          </m:e>
          <m:sub>
            <m:r>
              <w:rPr>
                <w:rFonts w:ascii="Cambria Math" w:hAnsi="Cambria Math"/>
                <w:szCs w:val="20"/>
              </w:rPr>
              <m:t>5</m:t>
            </m:r>
          </m:sub>
        </m:sSub>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PTR</m:t>
                </m:r>
              </m:e>
              <m:sub>
                <m:r>
                  <w:rPr>
                    <w:rFonts w:ascii="Cambria Math" w:hAnsi="Cambria Math"/>
                    <w:szCs w:val="20"/>
                  </w:rPr>
                  <m:t>it</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CDHop</m:t>
                </m:r>
              </m:e>
              <m:sub>
                <m:r>
                  <w:rPr>
                    <w:rFonts w:ascii="Cambria Math" w:hAnsi="Cambria Math"/>
                    <w:szCs w:val="20"/>
                  </w:rPr>
                  <m:t>it</m:t>
                </m:r>
              </m:sub>
            </m:sSub>
          </m:e>
        </m:d>
      </m:oMath>
      <w:r w:rsidR="00694BA0">
        <w:rPr>
          <w:szCs w:val="20"/>
        </w:rPr>
        <w:t xml:space="preserve"> = an interaction capturing weather related differences in response to a PTR event </w:t>
      </w:r>
    </w:p>
    <w:p w:rsidR="00BB5EAF" w:rsidRPr="00C817F3" w:rsidRDefault="00BB5EAF" w:rsidP="00BB5EAF">
      <w:pPr>
        <w:pStyle w:val="BodyText"/>
        <w:spacing w:before="120" w:after="0"/>
      </w:pPr>
      <w:r w:rsidRPr="00C817F3">
        <w:tab/>
      </w:r>
      <m:oMath>
        <m:sSub>
          <m:sSubPr>
            <m:ctrlPr>
              <w:rPr>
                <w:rFonts w:ascii="Cambria Math" w:hAnsi="Cambria Math"/>
                <w:i/>
                <w:szCs w:val="20"/>
              </w:rPr>
            </m:ctrlPr>
          </m:sSubPr>
          <m:e>
            <m:r>
              <w:rPr>
                <w:rFonts w:ascii="Cambria Math" w:hAnsi="Cambria Math"/>
                <w:szCs w:val="20"/>
              </w:rPr>
              <m:t>ε</m:t>
            </m:r>
          </m:e>
          <m:sub>
            <m:r>
              <w:rPr>
                <w:rFonts w:ascii="Cambria Math" w:hAnsi="Cambria Math"/>
                <w:szCs w:val="20"/>
              </w:rPr>
              <m:t>it</m:t>
            </m:r>
          </m:sub>
        </m:sSub>
      </m:oMath>
      <w:r w:rsidRPr="00C817F3">
        <w:rPr>
          <w:szCs w:val="20"/>
        </w:rPr>
        <w:t xml:space="preserve"> </w:t>
      </w:r>
      <w:proofErr w:type="gramStart"/>
      <w:r w:rsidRPr="00876545">
        <w:t>is</w:t>
      </w:r>
      <w:proofErr w:type="gramEnd"/>
      <w:r w:rsidRPr="00876545">
        <w:t xml:space="preserve"> the error for participant</w:t>
      </w:r>
      <w:r w:rsidRPr="00694BA0">
        <w:rPr>
          <w:i/>
        </w:rPr>
        <w:t xml:space="preserve"> </w:t>
      </w:r>
      <w:proofErr w:type="spellStart"/>
      <w:r w:rsidRPr="00694BA0">
        <w:rPr>
          <w:i/>
        </w:rPr>
        <w:t>i</w:t>
      </w:r>
      <w:proofErr w:type="spellEnd"/>
      <w:r w:rsidRPr="00694BA0">
        <w:rPr>
          <w:i/>
        </w:rPr>
        <w:t xml:space="preserve"> </w:t>
      </w:r>
      <w:r w:rsidRPr="00876545">
        <w:t xml:space="preserve">in </w:t>
      </w:r>
      <w:r w:rsidR="00694BA0">
        <w:t>hour(j) on day</w:t>
      </w:r>
      <w:r w:rsidRPr="00876545">
        <w:t xml:space="preserve"> </w:t>
      </w:r>
      <w:r w:rsidRPr="00694BA0">
        <w:rPr>
          <w:i/>
        </w:rPr>
        <w:t>t</w:t>
      </w:r>
    </w:p>
    <w:p w:rsidR="00BB5EAF" w:rsidRDefault="00BB5EAF" w:rsidP="00BB5EAF">
      <w:pPr>
        <w:pStyle w:val="BodyText"/>
      </w:pPr>
    </w:p>
    <w:p w:rsidR="00A65CD3" w:rsidRDefault="00A65CD3" w:rsidP="00BB5EAF">
      <w:pPr>
        <w:pStyle w:val="BodyText"/>
      </w:pPr>
      <w:r>
        <w:t xml:space="preserve">We estimated </w:t>
      </w:r>
      <w:r w:rsidR="00694BA0">
        <w:t>the model above</w:t>
      </w:r>
      <w:r>
        <w:t xml:space="preserve"> for each subgroup i</w:t>
      </w:r>
      <w:r w:rsidR="005A3E7C">
        <w:t xml:space="preserve">ndividually rather than estimating one population </w:t>
      </w:r>
      <w:r>
        <w:t xml:space="preserve">level model to limit the complexity of the model by eliminating the interaction terms necessary to distinguish </w:t>
      </w:r>
      <w:r w:rsidR="00F22CDD">
        <w:t xml:space="preserve">the impacts </w:t>
      </w:r>
      <w:r>
        <w:t xml:space="preserve">between </w:t>
      </w:r>
      <w:r w:rsidR="00694BA0">
        <w:t>each group</w:t>
      </w:r>
      <w:r>
        <w:t xml:space="preserve">. </w:t>
      </w:r>
      <w:r w:rsidR="004F5C8C">
        <w:t xml:space="preserve">In addition we also estimated both a weekday and weekend version of this model in order to estimate the impact of weekend PTR events. </w:t>
      </w:r>
    </w:p>
    <w:p w:rsidR="004F5C8C" w:rsidRDefault="00694BA0" w:rsidP="00983BAB">
      <w:pPr>
        <w:pStyle w:val="BodyText"/>
      </w:pPr>
      <w:r>
        <w:t>The model specified above allows us to estimate the av</w:t>
      </w:r>
      <w:r w:rsidR="00F44094">
        <w:t xml:space="preserve">erage impact </w:t>
      </w:r>
      <w:r>
        <w:t xml:space="preserve">for </w:t>
      </w:r>
      <w:r w:rsidR="00983BAB">
        <w:t>each PTR event</w:t>
      </w:r>
      <w:r>
        <w:t xml:space="preserve"> based on the average temperature during the on-peak period. The impact at a given temperature can be estimated for pa</w:t>
      </w:r>
      <w:r w:rsidR="00983BAB">
        <w:t xml:space="preserve">rticipants </w:t>
      </w:r>
      <w:r>
        <w:t xml:space="preserve">using Equation 2 below. </w:t>
      </w:r>
    </w:p>
    <w:p w:rsidR="004F5C8C" w:rsidRPr="00983BAB" w:rsidRDefault="004F5C8C" w:rsidP="00983BAB">
      <w:pPr>
        <w:pStyle w:val="BodyText"/>
      </w:pPr>
    </w:p>
    <w:p w:rsidR="00694BA0" w:rsidRPr="002C689F" w:rsidRDefault="00397D35" w:rsidP="00694BA0">
      <w:pPr>
        <w:pStyle w:val="BodyText"/>
        <w:spacing w:before="120" w:after="0"/>
        <w:ind w:left="630"/>
        <w:rPr>
          <w:rFonts w:cs="Tahoma"/>
          <w:b/>
          <w:szCs w:val="20"/>
        </w:rPr>
      </w:pPr>
      <m:oMath>
        <m:sSub>
          <m:sSubPr>
            <m:ctrlPr>
              <w:rPr>
                <w:rFonts w:ascii="Cambria Math" w:hAnsi="Cambria Math"/>
                <w:i/>
                <w:szCs w:val="20"/>
              </w:rPr>
            </m:ctrlPr>
          </m:sSubPr>
          <m:e>
            <m:r>
              <w:rPr>
                <w:rFonts w:ascii="Cambria Math" w:hAnsi="Cambria Math"/>
                <w:szCs w:val="20"/>
              </w:rPr>
              <m:t xml:space="preserve">Impact(j), PTR event </m:t>
            </m:r>
          </m:e>
          <m:sub>
            <m:r>
              <w:rPr>
                <w:rFonts w:ascii="Cambria Math" w:hAnsi="Cambria Math"/>
                <w:szCs w:val="20"/>
              </w:rPr>
              <m:t xml:space="preserve"> </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β</m:t>
            </m:r>
          </m:e>
          <m:sub>
            <m:r>
              <w:rPr>
                <w:rFonts w:ascii="Cambria Math" w:hAnsi="Cambria Math"/>
                <w:szCs w:val="20"/>
              </w:rPr>
              <m:t>4</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PTR</m:t>
            </m:r>
          </m:e>
          <m:sub>
            <m:r>
              <w:rPr>
                <w:rFonts w:ascii="Cambria Math" w:hAnsi="Cambria Math"/>
                <w:szCs w:val="20"/>
              </w:rPr>
              <m:t>it</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β</m:t>
            </m:r>
          </m:e>
          <m:sub>
            <m:r>
              <w:rPr>
                <w:rFonts w:ascii="Cambria Math" w:hAnsi="Cambria Math"/>
                <w:szCs w:val="20"/>
              </w:rPr>
              <m:t>5</m:t>
            </m:r>
          </m:sub>
        </m:sSub>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PTR</m:t>
                </m:r>
              </m:e>
              <m:sub>
                <m:r>
                  <w:rPr>
                    <w:rFonts w:ascii="Cambria Math" w:hAnsi="Cambria Math"/>
                    <w:szCs w:val="20"/>
                  </w:rPr>
                  <m:t>it</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CDDop</m:t>
                </m:r>
              </m:e>
              <m:sub>
                <m:r>
                  <w:rPr>
                    <w:rFonts w:ascii="Cambria Math" w:hAnsi="Cambria Math"/>
                    <w:szCs w:val="20"/>
                  </w:rPr>
                  <m:t>it</m:t>
                </m:r>
              </m:sub>
            </m:sSub>
          </m:e>
        </m:d>
      </m:oMath>
      <w:r w:rsidR="00694BA0">
        <w:rPr>
          <w:rFonts w:cs="Tahoma"/>
          <w:b/>
          <w:szCs w:val="20"/>
        </w:rPr>
        <w:tab/>
      </w:r>
      <w:r w:rsidR="00694BA0">
        <w:rPr>
          <w:rFonts w:cs="Tahoma"/>
          <w:b/>
          <w:szCs w:val="20"/>
        </w:rPr>
        <w:tab/>
      </w:r>
      <w:r w:rsidR="00694BA0">
        <w:rPr>
          <w:rFonts w:cs="Tahoma"/>
          <w:b/>
          <w:szCs w:val="20"/>
        </w:rPr>
        <w:tab/>
      </w:r>
      <w:r w:rsidR="00694BA0">
        <w:rPr>
          <w:rFonts w:cs="Tahoma"/>
          <w:szCs w:val="20"/>
        </w:rPr>
        <w:t>(2</w:t>
      </w:r>
      <w:r w:rsidR="00694BA0" w:rsidRPr="006B6526">
        <w:rPr>
          <w:rFonts w:cs="Tahoma"/>
          <w:szCs w:val="20"/>
        </w:rPr>
        <w:t>)</w:t>
      </w:r>
    </w:p>
    <w:p w:rsidR="00694BA0" w:rsidRDefault="00694BA0" w:rsidP="00694BA0">
      <w:pPr>
        <w:rPr>
          <w:rFonts w:cs="Tahoma"/>
          <w:szCs w:val="20"/>
        </w:rPr>
      </w:pPr>
    </w:p>
    <w:p w:rsidR="00694BA0" w:rsidRPr="00B023A6" w:rsidRDefault="00694BA0" w:rsidP="00694BA0">
      <w:pPr>
        <w:pStyle w:val="BodyText"/>
        <w:spacing w:before="120" w:after="0"/>
        <w:rPr>
          <w:rFonts w:cs="Tahoma"/>
        </w:rPr>
      </w:pPr>
      <w:r w:rsidRPr="00B023A6">
        <w:rPr>
          <w:rFonts w:cs="Tahoma"/>
        </w:rPr>
        <w:t>Where:</w:t>
      </w:r>
    </w:p>
    <w:p w:rsidR="00694BA0" w:rsidRDefault="00397D35" w:rsidP="00694BA0">
      <w:pPr>
        <w:pStyle w:val="BodyText"/>
        <w:spacing w:before="120" w:after="0"/>
        <w:ind w:left="1080" w:hanging="360"/>
        <w:rPr>
          <w:rFonts w:cs="Tahoma"/>
        </w:rPr>
      </w:pPr>
      <m:oMath>
        <m:sSub>
          <m:sSubPr>
            <m:ctrlPr>
              <w:rPr>
                <w:rFonts w:ascii="Cambria Math" w:hAnsi="Cambria Math"/>
                <w:i/>
                <w:szCs w:val="20"/>
              </w:rPr>
            </m:ctrlPr>
          </m:sSubPr>
          <m:e>
            <m:r>
              <w:rPr>
                <w:rFonts w:ascii="Cambria Math" w:hAnsi="Cambria Math"/>
                <w:szCs w:val="20"/>
              </w:rPr>
              <m:t>β</m:t>
            </m:r>
          </m:e>
          <m:sub>
            <m:r>
              <w:rPr>
                <w:rFonts w:ascii="Cambria Math" w:hAnsi="Cambria Math"/>
                <w:szCs w:val="20"/>
              </w:rPr>
              <m:t>4</m:t>
            </m:r>
          </m:sub>
        </m:sSub>
      </m:oMath>
      <w:r w:rsidR="00694BA0" w:rsidRPr="00B023A6">
        <w:rPr>
          <w:rFonts w:cs="Tahoma"/>
        </w:rPr>
        <w:t xml:space="preserve"> </w:t>
      </w:r>
      <w:r w:rsidR="00694BA0">
        <w:rPr>
          <w:rFonts w:cs="Tahoma"/>
        </w:rPr>
        <w:t xml:space="preserve">= the effect of </w:t>
      </w:r>
      <w:r w:rsidR="004F5C8C">
        <w:rPr>
          <w:rFonts w:cs="Tahoma"/>
        </w:rPr>
        <w:t xml:space="preserve">a PTR event on usage in </w:t>
      </w:r>
      <w:proofErr w:type="spellStart"/>
      <w:r w:rsidR="004F5C8C">
        <w:rPr>
          <w:rFonts w:cs="Tahoma"/>
        </w:rPr>
        <w:t>hour</w:t>
      </w:r>
      <w:proofErr w:type="spellEnd"/>
      <w:r w:rsidR="004F5C8C">
        <w:rPr>
          <w:rFonts w:cs="Tahoma"/>
        </w:rPr>
        <w:t xml:space="preserve"> </w:t>
      </w:r>
      <w:r w:rsidR="004F5C8C" w:rsidRPr="004F5C8C">
        <w:rPr>
          <w:rFonts w:cs="Tahoma"/>
          <w:i/>
        </w:rPr>
        <w:t>j</w:t>
      </w:r>
      <w:r w:rsidR="004F5C8C">
        <w:rPr>
          <w:rFonts w:cs="Tahoma"/>
        </w:rPr>
        <w:t xml:space="preserve"> </w:t>
      </w:r>
    </w:p>
    <w:p w:rsidR="00694BA0" w:rsidRDefault="00397D35" w:rsidP="00694BA0">
      <w:pPr>
        <w:pStyle w:val="BodyText"/>
        <w:spacing w:before="120" w:after="0"/>
        <w:ind w:left="1080" w:hanging="360"/>
        <w:rPr>
          <w:rFonts w:cs="Tahoma"/>
          <w:szCs w:val="20"/>
        </w:rPr>
      </w:pPr>
      <m:oMath>
        <m:sSub>
          <m:sSubPr>
            <m:ctrlPr>
              <w:rPr>
                <w:rFonts w:ascii="Cambria Math" w:hAnsi="Cambria Math"/>
                <w:i/>
                <w:szCs w:val="20"/>
              </w:rPr>
            </m:ctrlPr>
          </m:sSubPr>
          <m:e>
            <m:r>
              <w:rPr>
                <w:rFonts w:ascii="Cambria Math" w:hAnsi="Cambria Math"/>
                <w:szCs w:val="20"/>
              </w:rPr>
              <m:t>β</m:t>
            </m:r>
          </m:e>
          <m:sub>
            <m:r>
              <w:rPr>
                <w:rFonts w:ascii="Cambria Math" w:hAnsi="Cambria Math"/>
                <w:szCs w:val="20"/>
              </w:rPr>
              <m:t>3</m:t>
            </m:r>
          </m:sub>
        </m:sSub>
      </m:oMath>
      <w:r w:rsidR="00694BA0">
        <w:rPr>
          <w:rFonts w:cs="Tahoma"/>
          <w:szCs w:val="20"/>
        </w:rPr>
        <w:t xml:space="preserve"> = the </w:t>
      </w:r>
      <w:r w:rsidR="004F5C8C">
        <w:rPr>
          <w:rFonts w:cs="Tahoma"/>
          <w:szCs w:val="20"/>
        </w:rPr>
        <w:t>incremental effect of a PTR event on usage for each CDH du</w:t>
      </w:r>
      <w:r w:rsidR="00A74176">
        <w:rPr>
          <w:rFonts w:cs="Tahoma"/>
          <w:szCs w:val="20"/>
        </w:rPr>
        <w:t xml:space="preserve">ring the on-peak period in </w:t>
      </w:r>
      <w:proofErr w:type="spellStart"/>
      <w:r w:rsidR="00A74176">
        <w:rPr>
          <w:rFonts w:cs="Tahoma"/>
          <w:szCs w:val="20"/>
        </w:rPr>
        <w:t>hour</w:t>
      </w:r>
      <w:proofErr w:type="spellEnd"/>
      <w:r w:rsidR="00A74176">
        <w:rPr>
          <w:rFonts w:cs="Tahoma"/>
          <w:szCs w:val="20"/>
        </w:rPr>
        <w:t xml:space="preserve"> </w:t>
      </w:r>
      <w:r w:rsidR="004F5C8C" w:rsidRPr="004F5C8C">
        <w:rPr>
          <w:rFonts w:cs="Tahoma"/>
          <w:i/>
          <w:szCs w:val="20"/>
        </w:rPr>
        <w:t>j</w:t>
      </w:r>
    </w:p>
    <w:p w:rsidR="00694BA0" w:rsidRDefault="00694BA0" w:rsidP="00694BA0">
      <w:pPr>
        <w:rPr>
          <w:rFonts w:cs="Tahoma"/>
          <w:szCs w:val="20"/>
        </w:rPr>
      </w:pPr>
    </w:p>
    <w:p w:rsidR="0062686B" w:rsidRDefault="00694BA0" w:rsidP="00694BA0">
      <w:pPr>
        <w:pStyle w:val="BodyText"/>
      </w:pPr>
      <w:r w:rsidRPr="00437CC6">
        <w:t>There are two ways to estim</w:t>
      </w:r>
      <w:r w:rsidR="004F5C8C">
        <w:t>ate the impacts of PTR</w:t>
      </w:r>
      <w:r w:rsidRPr="00437CC6">
        <w:t xml:space="preserve"> using the model.  We can estimate the impact using the parameter estimates as described above, or we can use the model to estim</w:t>
      </w:r>
      <w:r w:rsidRPr="00ED32B2">
        <w:t>ate a baseline, defined as what the customer would have</w:t>
      </w:r>
      <w:r w:rsidR="004F5C8C">
        <w:t xml:space="preserve"> used in the absence of the PTR event</w:t>
      </w:r>
      <w:r w:rsidRPr="00ED32B2">
        <w:t>, and compare that with what the customer actually used.  We believe that the impact estimates using the model will be more consistent.  While comparing actual usage to a baseline is appealing in concept, it adds all the error from the model on a particular day into the impact.  While this should not systematically bias the</w:t>
      </w:r>
      <w:r w:rsidRPr="002A225F">
        <w:t xml:space="preserve"> estimates, since the errors should be unbiased, it adds variability to the impact estimate. Using the model parameters excludes that error from the impact estimate, so should provide more stable impact estimates.   </w:t>
      </w:r>
    </w:p>
    <w:p w:rsidR="00782443" w:rsidRDefault="00EB7E9B" w:rsidP="00694BA0">
      <w:pPr>
        <w:pStyle w:val="BodyText"/>
      </w:pPr>
      <w:r>
        <w:lastRenderedPageBreak/>
        <w:t xml:space="preserve">In this case, we experimented with many different model </w:t>
      </w:r>
      <w:r w:rsidR="00A74D89">
        <w:t>specifications;</w:t>
      </w:r>
      <w:r>
        <w:t xml:space="preserve"> however we were unable to estimate</w:t>
      </w:r>
      <w:r w:rsidR="00A74D89">
        <w:t xml:space="preserve"> consistently</w:t>
      </w:r>
      <w:r>
        <w:t xml:space="preserve"> statistically significant impacts for any of the subgroups using the model.</w:t>
      </w:r>
      <w:r w:rsidR="00910A4D">
        <w:rPr>
          <w:rStyle w:val="FootnoteReference"/>
        </w:rPr>
        <w:footnoteReference w:id="7"/>
      </w:r>
      <w:r w:rsidR="0062686B">
        <w:t xml:space="preserve"> </w:t>
      </w:r>
      <w:r w:rsidR="00A74D89">
        <w:t>Therefo</w:t>
      </w:r>
      <w:r w:rsidR="00910A4D">
        <w:t>r</w:t>
      </w:r>
      <w:r w:rsidR="00A74D89">
        <w:t xml:space="preserve">e it was important to ensure that the model was as accurate as possible </w:t>
      </w:r>
      <w:r w:rsidR="00782443">
        <w:t>to ensure that modeling error was not preventing us from capturing the impacts of a PTR event.</w:t>
      </w:r>
      <w:r w:rsidR="00A74D89">
        <w:t xml:space="preserve"> </w:t>
      </w:r>
    </w:p>
    <w:p w:rsidR="004F5C8C" w:rsidRDefault="00694BA0" w:rsidP="00694BA0">
      <w:pPr>
        <w:pStyle w:val="BodyText"/>
      </w:pPr>
      <w:r>
        <w:t xml:space="preserve">We validated the results of the regression models in two different ways. The first and simplest form of validation was to </w:t>
      </w:r>
      <w:r w:rsidR="004F5C8C">
        <w:t>look at the model precision on the hottest non-event days of the year.</w:t>
      </w:r>
      <w:r w:rsidR="00A74176">
        <w:t xml:space="preserve"> Table 2-3 shows the model precision on all the 2012 non-event days that had an average temperature over 80 degrees. </w:t>
      </w:r>
      <w:r w:rsidR="004F5C8C">
        <w:t xml:space="preserve"> </w:t>
      </w:r>
    </w:p>
    <w:p w:rsidR="00A74176" w:rsidRDefault="00A74176" w:rsidP="00A74176">
      <w:pPr>
        <w:pStyle w:val="TableCaption"/>
        <w:ind w:left="0" w:firstLine="0"/>
      </w:pPr>
      <w:bookmarkStart w:id="43" w:name="_Toc351364116"/>
      <w:r w:rsidRPr="005F25AF">
        <w:t xml:space="preserve">Table </w:t>
      </w:r>
      <w:r w:rsidR="00397D35" w:rsidRPr="005F25AF">
        <w:fldChar w:fldCharType="begin"/>
      </w:r>
      <w:r w:rsidRPr="005F25AF">
        <w:instrText xml:space="preserve"> STYLEREF  "Heading 1,Chap Num"  \* MERGEFORMAT </w:instrText>
      </w:r>
      <w:r w:rsidR="00397D35" w:rsidRPr="005F25AF">
        <w:fldChar w:fldCharType="end"/>
      </w:r>
      <w:fldSimple w:instr=" STYLEREF  &quot;Heading 1,Chap Num&quot; \n  \* MERGEFORMAT ">
        <w:r>
          <w:rPr>
            <w:noProof/>
          </w:rPr>
          <w:t>2</w:t>
        </w:r>
      </w:fldSimple>
      <w:r w:rsidRPr="005F25AF">
        <w:t>-</w:t>
      </w:r>
      <w:fldSimple w:instr=" SEQ Table\s 1 \* MERGEFORMAT ">
        <w:r>
          <w:rPr>
            <w:noProof/>
          </w:rPr>
          <w:t>3</w:t>
        </w:r>
      </w:fldSimple>
      <w:r w:rsidRPr="005F25AF">
        <w:tab/>
      </w:r>
      <w:r>
        <w:t>Model Precision on Hot Non-Event Days</w:t>
      </w:r>
      <w:bookmarkEnd w:id="43"/>
      <w:r>
        <w:t xml:space="preserve"> </w:t>
      </w:r>
    </w:p>
    <w:tbl>
      <w:tblPr>
        <w:tblW w:w="5000" w:type="pct"/>
        <w:tblLook w:val="04A0"/>
      </w:tblPr>
      <w:tblGrid>
        <w:gridCol w:w="1903"/>
        <w:gridCol w:w="1768"/>
        <w:gridCol w:w="1875"/>
        <w:gridCol w:w="1795"/>
        <w:gridCol w:w="1875"/>
      </w:tblGrid>
      <w:tr w:rsidR="00A74176" w:rsidRPr="00A74176" w:rsidTr="00A74176">
        <w:trPr>
          <w:trHeight w:val="510"/>
        </w:trPr>
        <w:tc>
          <w:tcPr>
            <w:tcW w:w="1032" w:type="pct"/>
            <w:tcBorders>
              <w:top w:val="single" w:sz="4" w:space="0" w:color="auto"/>
              <w:left w:val="single" w:sz="4" w:space="0" w:color="auto"/>
              <w:bottom w:val="single" w:sz="4" w:space="0" w:color="auto"/>
              <w:right w:val="single" w:sz="4" w:space="0" w:color="auto"/>
            </w:tcBorders>
            <w:shd w:val="clear" w:color="000000" w:fill="1F497D"/>
            <w:vAlign w:val="center"/>
            <w:hideMark/>
          </w:tcPr>
          <w:p w:rsidR="00A74176" w:rsidRPr="00A74176" w:rsidRDefault="00A74176" w:rsidP="00A74176">
            <w:pPr>
              <w:jc w:val="center"/>
              <w:rPr>
                <w:rFonts w:ascii="Calibri" w:hAnsi="Calibri"/>
                <w:b/>
                <w:bCs/>
                <w:color w:val="FFFFFF"/>
                <w:szCs w:val="20"/>
              </w:rPr>
            </w:pPr>
            <w:r w:rsidRPr="00A74176">
              <w:rPr>
                <w:rFonts w:ascii="Calibri" w:hAnsi="Calibri"/>
                <w:b/>
                <w:bCs/>
                <w:color w:val="FFFFFF"/>
                <w:szCs w:val="20"/>
              </w:rPr>
              <w:t>Date</w:t>
            </w:r>
          </w:p>
        </w:tc>
        <w:tc>
          <w:tcPr>
            <w:tcW w:w="959" w:type="pct"/>
            <w:tcBorders>
              <w:top w:val="single" w:sz="4" w:space="0" w:color="auto"/>
              <w:left w:val="nil"/>
              <w:bottom w:val="single" w:sz="4" w:space="0" w:color="auto"/>
              <w:right w:val="single" w:sz="4" w:space="0" w:color="auto"/>
            </w:tcBorders>
            <w:shd w:val="clear" w:color="000000" w:fill="1F497D"/>
            <w:vAlign w:val="center"/>
            <w:hideMark/>
          </w:tcPr>
          <w:p w:rsidR="00A74176" w:rsidRPr="00A74176" w:rsidRDefault="00A74176" w:rsidP="00A74176">
            <w:pPr>
              <w:jc w:val="center"/>
              <w:rPr>
                <w:rFonts w:ascii="Calibri" w:hAnsi="Calibri"/>
                <w:b/>
                <w:bCs/>
                <w:color w:val="FFFFFF"/>
                <w:szCs w:val="20"/>
              </w:rPr>
            </w:pPr>
            <w:r w:rsidRPr="00A74176">
              <w:rPr>
                <w:rFonts w:ascii="Calibri" w:hAnsi="Calibri"/>
                <w:b/>
                <w:bCs/>
                <w:color w:val="FFFFFF"/>
                <w:szCs w:val="20"/>
              </w:rPr>
              <w:t>Average Temperature</w:t>
            </w:r>
          </w:p>
        </w:tc>
        <w:tc>
          <w:tcPr>
            <w:tcW w:w="1017" w:type="pct"/>
            <w:tcBorders>
              <w:top w:val="single" w:sz="4" w:space="0" w:color="auto"/>
              <w:left w:val="nil"/>
              <w:bottom w:val="single" w:sz="4" w:space="0" w:color="auto"/>
              <w:right w:val="single" w:sz="4" w:space="0" w:color="auto"/>
            </w:tcBorders>
            <w:shd w:val="clear" w:color="000000" w:fill="1F497D"/>
            <w:vAlign w:val="center"/>
            <w:hideMark/>
          </w:tcPr>
          <w:p w:rsidR="00A74176" w:rsidRPr="00A74176" w:rsidRDefault="00F22CDD" w:rsidP="00A74176">
            <w:pPr>
              <w:jc w:val="center"/>
              <w:rPr>
                <w:rFonts w:ascii="Calibri" w:hAnsi="Calibri"/>
                <w:b/>
                <w:bCs/>
                <w:color w:val="FFFFFF"/>
                <w:szCs w:val="20"/>
              </w:rPr>
            </w:pPr>
            <w:r>
              <w:rPr>
                <w:rFonts w:ascii="Calibri" w:hAnsi="Calibri"/>
                <w:b/>
                <w:bCs/>
                <w:color w:val="FFFFFF"/>
                <w:szCs w:val="20"/>
              </w:rPr>
              <w:t xml:space="preserve">Actual </w:t>
            </w:r>
            <w:r w:rsidR="00A74176" w:rsidRPr="00A74176">
              <w:rPr>
                <w:rFonts w:ascii="Calibri" w:hAnsi="Calibri"/>
                <w:b/>
                <w:bCs/>
                <w:color w:val="FFFFFF"/>
                <w:szCs w:val="20"/>
              </w:rPr>
              <w:t>Precision</w:t>
            </w:r>
          </w:p>
        </w:tc>
        <w:tc>
          <w:tcPr>
            <w:tcW w:w="974" w:type="pct"/>
            <w:tcBorders>
              <w:top w:val="single" w:sz="4" w:space="0" w:color="auto"/>
              <w:left w:val="nil"/>
              <w:bottom w:val="single" w:sz="4" w:space="0" w:color="auto"/>
              <w:right w:val="single" w:sz="4" w:space="0" w:color="auto"/>
            </w:tcBorders>
            <w:shd w:val="clear" w:color="000000" w:fill="1F497D"/>
            <w:vAlign w:val="center"/>
            <w:hideMark/>
          </w:tcPr>
          <w:p w:rsidR="00A74176" w:rsidRPr="00A74176" w:rsidRDefault="00A74176" w:rsidP="00A74176">
            <w:pPr>
              <w:jc w:val="center"/>
              <w:rPr>
                <w:rFonts w:ascii="Calibri" w:hAnsi="Calibri"/>
                <w:b/>
                <w:bCs/>
                <w:color w:val="FFFFFF"/>
                <w:szCs w:val="20"/>
              </w:rPr>
            </w:pPr>
            <w:r w:rsidRPr="00A74176">
              <w:rPr>
                <w:rFonts w:ascii="Calibri" w:hAnsi="Calibri"/>
                <w:b/>
                <w:bCs/>
                <w:color w:val="FFFFFF"/>
                <w:szCs w:val="20"/>
              </w:rPr>
              <w:t>Actual kW</w:t>
            </w:r>
          </w:p>
        </w:tc>
        <w:tc>
          <w:tcPr>
            <w:tcW w:w="1017" w:type="pct"/>
            <w:tcBorders>
              <w:top w:val="single" w:sz="4" w:space="0" w:color="auto"/>
              <w:left w:val="nil"/>
              <w:bottom w:val="single" w:sz="4" w:space="0" w:color="auto"/>
              <w:right w:val="single" w:sz="4" w:space="0" w:color="auto"/>
            </w:tcBorders>
            <w:shd w:val="clear" w:color="000000" w:fill="1F497D"/>
            <w:vAlign w:val="center"/>
            <w:hideMark/>
          </w:tcPr>
          <w:p w:rsidR="00A74176" w:rsidRPr="00A74176" w:rsidRDefault="00A74176" w:rsidP="00A74176">
            <w:pPr>
              <w:jc w:val="center"/>
              <w:rPr>
                <w:rFonts w:ascii="Calibri" w:hAnsi="Calibri"/>
                <w:b/>
                <w:bCs/>
                <w:color w:val="FFFFFF"/>
                <w:szCs w:val="20"/>
              </w:rPr>
            </w:pPr>
            <w:r w:rsidRPr="00A74176">
              <w:rPr>
                <w:rFonts w:ascii="Calibri" w:hAnsi="Calibri"/>
                <w:b/>
                <w:bCs/>
                <w:color w:val="FFFFFF"/>
                <w:szCs w:val="20"/>
              </w:rPr>
              <w:t>Predicted kW</w:t>
            </w:r>
          </w:p>
        </w:tc>
      </w:tr>
      <w:tr w:rsidR="00A74176" w:rsidRPr="00A74176" w:rsidTr="00A74176">
        <w:trPr>
          <w:trHeight w:val="300"/>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7-Aug-12</w:t>
            </w:r>
          </w:p>
        </w:tc>
        <w:tc>
          <w:tcPr>
            <w:tcW w:w="959"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81.87</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2.40%</w:t>
            </w:r>
          </w:p>
        </w:tc>
        <w:tc>
          <w:tcPr>
            <w:tcW w:w="974"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3.41</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3.32</w:t>
            </w:r>
          </w:p>
        </w:tc>
      </w:tr>
      <w:tr w:rsidR="00A74176" w:rsidRPr="00A74176" w:rsidTr="00A74176">
        <w:trPr>
          <w:trHeight w:val="300"/>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8-Aug-12</w:t>
            </w:r>
          </w:p>
        </w:tc>
        <w:tc>
          <w:tcPr>
            <w:tcW w:w="959"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82.26</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2.36%</w:t>
            </w:r>
          </w:p>
        </w:tc>
        <w:tc>
          <w:tcPr>
            <w:tcW w:w="974"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3.46</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3.38</w:t>
            </w:r>
          </w:p>
        </w:tc>
      </w:tr>
      <w:tr w:rsidR="00A74176" w:rsidRPr="00A74176" w:rsidTr="00A74176">
        <w:trPr>
          <w:trHeight w:val="300"/>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13-Aug-12</w:t>
            </w:r>
          </w:p>
        </w:tc>
        <w:tc>
          <w:tcPr>
            <w:tcW w:w="959"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84.36</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3.64%</w:t>
            </w:r>
          </w:p>
        </w:tc>
        <w:tc>
          <w:tcPr>
            <w:tcW w:w="974"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3.56</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3.43</w:t>
            </w:r>
          </w:p>
        </w:tc>
      </w:tr>
      <w:tr w:rsidR="00A74176" w:rsidRPr="00A74176" w:rsidTr="00A74176">
        <w:trPr>
          <w:trHeight w:val="300"/>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15-Aug-12</w:t>
            </w:r>
          </w:p>
        </w:tc>
        <w:tc>
          <w:tcPr>
            <w:tcW w:w="959"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80.01</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0.50%</w:t>
            </w:r>
          </w:p>
        </w:tc>
        <w:tc>
          <w:tcPr>
            <w:tcW w:w="974"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3.31</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3.29</w:t>
            </w:r>
          </w:p>
        </w:tc>
      </w:tr>
      <w:tr w:rsidR="00A74176" w:rsidRPr="00A74176" w:rsidTr="00A74176">
        <w:trPr>
          <w:trHeight w:val="300"/>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16-Aug-12</w:t>
            </w:r>
          </w:p>
        </w:tc>
        <w:tc>
          <w:tcPr>
            <w:tcW w:w="959"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82.56</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4.04%</w:t>
            </w:r>
          </w:p>
        </w:tc>
        <w:tc>
          <w:tcPr>
            <w:tcW w:w="974"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3.43</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3.30</w:t>
            </w:r>
          </w:p>
        </w:tc>
      </w:tr>
      <w:tr w:rsidR="00A74176" w:rsidRPr="00A74176" w:rsidTr="00A74176">
        <w:trPr>
          <w:trHeight w:val="300"/>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17-Aug-12</w:t>
            </w:r>
          </w:p>
        </w:tc>
        <w:tc>
          <w:tcPr>
            <w:tcW w:w="959"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86.46</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4.03%</w:t>
            </w:r>
          </w:p>
        </w:tc>
        <w:tc>
          <w:tcPr>
            <w:tcW w:w="974"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3.51</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3.37</w:t>
            </w:r>
          </w:p>
        </w:tc>
      </w:tr>
      <w:tr w:rsidR="00A74176" w:rsidRPr="00A74176" w:rsidTr="00A74176">
        <w:trPr>
          <w:trHeight w:val="300"/>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27-Aug-12</w:t>
            </w:r>
          </w:p>
        </w:tc>
        <w:tc>
          <w:tcPr>
            <w:tcW w:w="959"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80.91</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-0.63%</w:t>
            </w:r>
          </w:p>
        </w:tc>
        <w:tc>
          <w:tcPr>
            <w:tcW w:w="974"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3.21</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3.23</w:t>
            </w:r>
          </w:p>
        </w:tc>
      </w:tr>
      <w:tr w:rsidR="00A74176" w:rsidRPr="00A74176" w:rsidTr="00A74176">
        <w:trPr>
          <w:trHeight w:val="300"/>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28-Aug-12</w:t>
            </w:r>
          </w:p>
        </w:tc>
        <w:tc>
          <w:tcPr>
            <w:tcW w:w="959"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81.06</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-2.17%</w:t>
            </w:r>
          </w:p>
        </w:tc>
        <w:tc>
          <w:tcPr>
            <w:tcW w:w="974"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3.23</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3.30</w:t>
            </w:r>
          </w:p>
        </w:tc>
      </w:tr>
      <w:tr w:rsidR="00A74176" w:rsidRPr="00A74176" w:rsidTr="00A74176">
        <w:trPr>
          <w:trHeight w:val="300"/>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29-Aug-12</w:t>
            </w:r>
          </w:p>
        </w:tc>
        <w:tc>
          <w:tcPr>
            <w:tcW w:w="959"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82.94</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0.72%</w:t>
            </w:r>
          </w:p>
        </w:tc>
        <w:tc>
          <w:tcPr>
            <w:tcW w:w="974"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3.42</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3.40</w:t>
            </w:r>
          </w:p>
        </w:tc>
      </w:tr>
      <w:tr w:rsidR="00A74176" w:rsidRPr="00A74176" w:rsidTr="00A74176">
        <w:trPr>
          <w:trHeight w:val="300"/>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30-Aug-12</w:t>
            </w:r>
          </w:p>
        </w:tc>
        <w:tc>
          <w:tcPr>
            <w:tcW w:w="959"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81.83</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2.94%</w:t>
            </w:r>
          </w:p>
        </w:tc>
        <w:tc>
          <w:tcPr>
            <w:tcW w:w="974"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3.39</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3.30</w:t>
            </w:r>
          </w:p>
        </w:tc>
      </w:tr>
      <w:tr w:rsidR="00A74176" w:rsidRPr="00A74176" w:rsidTr="00A74176">
        <w:trPr>
          <w:trHeight w:val="300"/>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31-Aug-12</w:t>
            </w:r>
          </w:p>
        </w:tc>
        <w:tc>
          <w:tcPr>
            <w:tcW w:w="959"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81.93</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2.90%</w:t>
            </w:r>
          </w:p>
        </w:tc>
        <w:tc>
          <w:tcPr>
            <w:tcW w:w="974"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3.29</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3.20</w:t>
            </w:r>
          </w:p>
        </w:tc>
      </w:tr>
      <w:tr w:rsidR="00A74176" w:rsidRPr="00A74176" w:rsidTr="00A74176">
        <w:trPr>
          <w:trHeight w:val="300"/>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4-Sep-12</w:t>
            </w:r>
          </w:p>
        </w:tc>
        <w:tc>
          <w:tcPr>
            <w:tcW w:w="959"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83.50</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1.13%</w:t>
            </w:r>
          </w:p>
        </w:tc>
        <w:tc>
          <w:tcPr>
            <w:tcW w:w="974"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3.45</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3.41</w:t>
            </w:r>
          </w:p>
        </w:tc>
      </w:tr>
      <w:tr w:rsidR="00A74176" w:rsidRPr="00A74176" w:rsidTr="00A74176">
        <w:trPr>
          <w:trHeight w:val="300"/>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5-Sep-12</w:t>
            </w:r>
          </w:p>
        </w:tc>
        <w:tc>
          <w:tcPr>
            <w:tcW w:w="959"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83.10</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0.05%</w:t>
            </w:r>
          </w:p>
        </w:tc>
        <w:tc>
          <w:tcPr>
            <w:tcW w:w="974"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3.43</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3.43</w:t>
            </w:r>
          </w:p>
        </w:tc>
      </w:tr>
      <w:tr w:rsidR="00A74176" w:rsidRPr="00A74176" w:rsidTr="00A74176">
        <w:trPr>
          <w:trHeight w:val="300"/>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6-Sep-12</w:t>
            </w:r>
          </w:p>
        </w:tc>
        <w:tc>
          <w:tcPr>
            <w:tcW w:w="959"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81.39</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3.28%</w:t>
            </w:r>
          </w:p>
        </w:tc>
        <w:tc>
          <w:tcPr>
            <w:tcW w:w="974"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3.39</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3.28</w:t>
            </w:r>
          </w:p>
        </w:tc>
      </w:tr>
      <w:tr w:rsidR="00A74176" w:rsidRPr="00A74176" w:rsidTr="00A74176">
        <w:trPr>
          <w:trHeight w:val="300"/>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7-Sep-12</w:t>
            </w:r>
          </w:p>
        </w:tc>
        <w:tc>
          <w:tcPr>
            <w:tcW w:w="959"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80.10</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4.48%</w:t>
            </w:r>
          </w:p>
        </w:tc>
        <w:tc>
          <w:tcPr>
            <w:tcW w:w="974"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3.27</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3.12</w:t>
            </w:r>
          </w:p>
        </w:tc>
      </w:tr>
      <w:tr w:rsidR="00A74176" w:rsidRPr="00A74176" w:rsidTr="00A74176">
        <w:trPr>
          <w:trHeight w:val="300"/>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10-Sep-12</w:t>
            </w:r>
          </w:p>
        </w:tc>
        <w:tc>
          <w:tcPr>
            <w:tcW w:w="959"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81.86</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2.59%</w:t>
            </w:r>
          </w:p>
        </w:tc>
        <w:tc>
          <w:tcPr>
            <w:tcW w:w="974"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3.39</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3.30</w:t>
            </w:r>
          </w:p>
        </w:tc>
      </w:tr>
      <w:tr w:rsidR="00A74176" w:rsidRPr="00A74176" w:rsidTr="00A74176">
        <w:trPr>
          <w:trHeight w:val="300"/>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14-Sep-12</w:t>
            </w:r>
          </w:p>
        </w:tc>
        <w:tc>
          <w:tcPr>
            <w:tcW w:w="959"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94.74</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1.81%</w:t>
            </w:r>
          </w:p>
        </w:tc>
        <w:tc>
          <w:tcPr>
            <w:tcW w:w="974"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3.63</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3.56</w:t>
            </w:r>
          </w:p>
        </w:tc>
      </w:tr>
      <w:tr w:rsidR="00A74176" w:rsidRPr="00A74176" w:rsidTr="00A74176">
        <w:trPr>
          <w:trHeight w:val="300"/>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20-Sep-12</w:t>
            </w:r>
          </w:p>
        </w:tc>
        <w:tc>
          <w:tcPr>
            <w:tcW w:w="959"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80.42</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3.83%</w:t>
            </w:r>
          </w:p>
        </w:tc>
        <w:tc>
          <w:tcPr>
            <w:tcW w:w="974"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3.33</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3.21</w:t>
            </w:r>
          </w:p>
        </w:tc>
      </w:tr>
      <w:tr w:rsidR="00A74176" w:rsidRPr="00A74176" w:rsidTr="00A74176">
        <w:trPr>
          <w:trHeight w:val="300"/>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21-Sep-12</w:t>
            </w:r>
          </w:p>
        </w:tc>
        <w:tc>
          <w:tcPr>
            <w:tcW w:w="959"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80.45</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3.25%</w:t>
            </w:r>
          </w:p>
        </w:tc>
        <w:tc>
          <w:tcPr>
            <w:tcW w:w="974"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3.23</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3.12</w:t>
            </w:r>
          </w:p>
        </w:tc>
      </w:tr>
      <w:tr w:rsidR="00A74176" w:rsidRPr="00A74176" w:rsidTr="00A74176">
        <w:trPr>
          <w:trHeight w:val="300"/>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24-Sep-12</w:t>
            </w:r>
          </w:p>
        </w:tc>
        <w:tc>
          <w:tcPr>
            <w:tcW w:w="959"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80.12</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1.03%</w:t>
            </w:r>
          </w:p>
        </w:tc>
        <w:tc>
          <w:tcPr>
            <w:tcW w:w="974"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3.29</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color w:val="000000"/>
                <w:szCs w:val="20"/>
              </w:rPr>
            </w:pPr>
            <w:r w:rsidRPr="00A74176">
              <w:rPr>
                <w:rFonts w:ascii="Calibri" w:hAnsi="Calibri"/>
                <w:color w:val="000000"/>
                <w:szCs w:val="20"/>
              </w:rPr>
              <w:t>3.26</w:t>
            </w:r>
          </w:p>
        </w:tc>
      </w:tr>
      <w:tr w:rsidR="00A74176" w:rsidRPr="00A74176" w:rsidTr="00A74176">
        <w:trPr>
          <w:trHeight w:val="300"/>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b/>
                <w:bCs/>
                <w:szCs w:val="20"/>
              </w:rPr>
            </w:pPr>
            <w:r w:rsidRPr="00A74176">
              <w:rPr>
                <w:rFonts w:ascii="Calibri" w:hAnsi="Calibri"/>
                <w:b/>
                <w:bCs/>
                <w:szCs w:val="20"/>
              </w:rPr>
              <w:t>Average</w:t>
            </w:r>
          </w:p>
        </w:tc>
        <w:tc>
          <w:tcPr>
            <w:tcW w:w="959"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b/>
                <w:bCs/>
                <w:szCs w:val="20"/>
              </w:rPr>
            </w:pPr>
            <w:r w:rsidRPr="00A74176">
              <w:rPr>
                <w:rFonts w:ascii="Calibri" w:hAnsi="Calibri"/>
                <w:b/>
                <w:bCs/>
                <w:szCs w:val="20"/>
              </w:rPr>
              <w:t>82.59</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b/>
                <w:bCs/>
                <w:szCs w:val="20"/>
              </w:rPr>
            </w:pPr>
            <w:r w:rsidRPr="00A74176">
              <w:rPr>
                <w:rFonts w:ascii="Calibri" w:hAnsi="Calibri"/>
                <w:b/>
                <w:bCs/>
                <w:szCs w:val="20"/>
              </w:rPr>
              <w:t>2.11%</w:t>
            </w:r>
          </w:p>
        </w:tc>
        <w:tc>
          <w:tcPr>
            <w:tcW w:w="974"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b/>
                <w:bCs/>
                <w:szCs w:val="20"/>
              </w:rPr>
            </w:pPr>
            <w:r w:rsidRPr="00A74176">
              <w:rPr>
                <w:rFonts w:ascii="Calibri" w:hAnsi="Calibri"/>
                <w:b/>
                <w:bCs/>
                <w:szCs w:val="20"/>
              </w:rPr>
              <w:t>3.38</w:t>
            </w:r>
          </w:p>
        </w:tc>
        <w:tc>
          <w:tcPr>
            <w:tcW w:w="1017" w:type="pct"/>
            <w:tcBorders>
              <w:top w:val="nil"/>
              <w:left w:val="nil"/>
              <w:bottom w:val="single" w:sz="4" w:space="0" w:color="auto"/>
              <w:right w:val="single" w:sz="4" w:space="0" w:color="auto"/>
            </w:tcBorders>
            <w:shd w:val="clear" w:color="auto" w:fill="auto"/>
            <w:noWrap/>
            <w:vAlign w:val="center"/>
            <w:hideMark/>
          </w:tcPr>
          <w:p w:rsidR="00A74176" w:rsidRPr="00A74176" w:rsidRDefault="00A74176" w:rsidP="00A74176">
            <w:pPr>
              <w:jc w:val="center"/>
              <w:rPr>
                <w:rFonts w:ascii="Calibri" w:hAnsi="Calibri"/>
                <w:b/>
                <w:bCs/>
                <w:szCs w:val="20"/>
              </w:rPr>
            </w:pPr>
            <w:r w:rsidRPr="00A74176">
              <w:rPr>
                <w:rFonts w:ascii="Calibri" w:hAnsi="Calibri"/>
                <w:b/>
                <w:bCs/>
                <w:szCs w:val="20"/>
              </w:rPr>
              <w:t>3.31</w:t>
            </w:r>
          </w:p>
        </w:tc>
      </w:tr>
    </w:tbl>
    <w:p w:rsidR="004F5C8C" w:rsidRDefault="004F5C8C" w:rsidP="00694BA0">
      <w:pPr>
        <w:pStyle w:val="BodyText"/>
      </w:pPr>
    </w:p>
    <w:p w:rsidR="004F5C8C" w:rsidRDefault="00A74176" w:rsidP="00694BA0">
      <w:pPr>
        <w:pStyle w:val="BodyText"/>
      </w:pPr>
      <w:r>
        <w:t xml:space="preserve">When we look at the average precision across all of the hot non-event days the predicted load is within 2.11% of the actual load. The model is generally underestimating the actual load on hot days, which </w:t>
      </w:r>
      <w:r w:rsidR="00322F64">
        <w:t>is what we would expect considering that in general, models are most accurate at the mean and least accurate at the extremes.</w:t>
      </w:r>
      <w:r w:rsidR="009B3C99">
        <w:t xml:space="preserve"> This tendency to underestimate the load would make it difficult for the model to detect very small changes in usage in response to PTR events.  So while </w:t>
      </w:r>
      <w:r w:rsidR="00322F64">
        <w:t>this level of precision should allow us to pick up changes in usage resulting from a PTR event that are in the</w:t>
      </w:r>
      <w:r w:rsidR="009B3C99">
        <w:t xml:space="preserve"> 5% range,</w:t>
      </w:r>
      <w:r w:rsidR="00322F64">
        <w:t xml:space="preserve"> very small changes in usage are likely to be lost in the model variation and will be very hard to detect. </w:t>
      </w:r>
    </w:p>
    <w:p w:rsidR="00694BA0" w:rsidRDefault="00F44094" w:rsidP="00EB7E9B">
      <w:pPr>
        <w:pStyle w:val="BodyText"/>
      </w:pPr>
      <w:r>
        <w:t>We also used what is kno</w:t>
      </w:r>
      <w:r w:rsidR="009B3C99">
        <w:t xml:space="preserve">wn as a false experiment to determine if the model was </w:t>
      </w:r>
      <w:r>
        <w:t xml:space="preserve">picking up variation from other sources, such as weather, and assigning that variation to our event </w:t>
      </w:r>
      <w:r>
        <w:lastRenderedPageBreak/>
        <w:t>indicators. In this case, the event indicators themselves were rarely significant so we wanted to be sure that the false indicator variables we creat</w:t>
      </w:r>
      <w:r w:rsidR="00EB7E9B">
        <w:t>ed were also insignificant. To d</w:t>
      </w:r>
      <w:r>
        <w:t xml:space="preserve">o this we selected some similar non-event days and assigned them an event indicator, even though no event was actually called. Then we re-ran the model with these false events. We were able to confirm using this technique that both the false even indicators and the real event indicators were insignificant. </w:t>
      </w:r>
      <w:r w:rsidR="00EB7E9B">
        <w:t>The tells us that the model is doing a pretty good job of capturing changes in usage based on seasonal variation, and on weather</w:t>
      </w:r>
      <w:r w:rsidR="00F22CDD">
        <w:t>,</w:t>
      </w:r>
      <w:r w:rsidR="00EB7E9B">
        <w:t xml:space="preserve"> and that if participants were acting differently on PTR  event days</w:t>
      </w:r>
      <w:r w:rsidR="00DA5698">
        <w:t>,</w:t>
      </w:r>
      <w:r w:rsidR="009B3C99">
        <w:t xml:space="preserve"> and if those actions resulted in large enough changes in usage</w:t>
      </w:r>
      <w:r w:rsidR="00DA5698">
        <w:t>,</w:t>
      </w:r>
      <w:r w:rsidR="00EB7E9B">
        <w:t xml:space="preserve"> we should be able to pick up those changes in the model. </w:t>
      </w:r>
    </w:p>
    <w:p w:rsidR="004F7EAC" w:rsidRDefault="005316E6" w:rsidP="00B31605">
      <w:pPr>
        <w:pStyle w:val="Heading4"/>
      </w:pPr>
      <w:r>
        <w:t>Load Shape Analysis</w:t>
      </w:r>
    </w:p>
    <w:p w:rsidR="00F22CDD" w:rsidRDefault="00F22CDD" w:rsidP="00F22CDD">
      <w:pPr>
        <w:pStyle w:val="BodyText"/>
      </w:pPr>
      <w:r>
        <w:t>Because the estimates from the regression analysis were, for the most part, insignificant and not statistically different from zero, our next step was to compare load shapes for the different subgroups of customers on similar days. The goal of the load shape analysis was to provide confirmation that the regression results were consistent with the data, and th</w:t>
      </w:r>
      <w:r w:rsidR="00DA5698">
        <w:t>at our model was not flawed. This</w:t>
      </w:r>
      <w:r>
        <w:t xml:space="preserve"> is possible because the load shape analysis is not dependent on any assumed relationship between energy and other variables, and so is not sensitive to errors in the specification of those relationships in the model.  To create the load shapes we first compared the on-peak temperatures of PTR event days and non-PTR event days. Next we selected five weekdays with a similar average on-peak temperature to the five weekday PTR event days while ensuring that the days were as close as possible in time to the PTR event days. We also tried to approximate consecutive events by selecting similar temperature days that were also sequential if possible. For the two weekend events we used the average of the two hottest Saturdays, although there are no comparable days for the unusually hot September 15 Saturday event. </w:t>
      </w:r>
    </w:p>
    <w:p w:rsidR="00F22CDD" w:rsidRDefault="00F22CDD" w:rsidP="00F22CDD">
      <w:pPr>
        <w:pStyle w:val="BodyText"/>
      </w:pPr>
      <w:r w:rsidRPr="00790B88">
        <w:t>Table 2-4 shows the PTR</w:t>
      </w:r>
      <w:r>
        <w:t xml:space="preserve"> events and the matched days including the average on-peak temperature for each day. The idea is</w:t>
      </w:r>
      <w:r w:rsidR="00DA5698">
        <w:t xml:space="preserve"> not to match each day individually, but to create</w:t>
      </w:r>
      <w:r>
        <w:t xml:space="preserve"> a good match across all days in order to</w:t>
      </w:r>
      <w:r w:rsidR="00DA5698">
        <w:t xml:space="preserve"> compare average shapes on PTR e</w:t>
      </w:r>
      <w:r>
        <w:t>vent days and non-PTR days. These averages can then be used to determine if the load shapes indicate that any of the groups are changing their behavior in response to a PTR event. The temperature on the weekdays is very close, with only a 2 degree difference between PTR and non-PTR days. SDG&amp;E actually called PTR events on slightly cooler days, rather than on the hottest days of the summer. On the weekends the match is less close with a 4 degree difference between average PTR and non-PTR days, due to the very extreme temperature on September 15, 2012.</w:t>
      </w:r>
    </w:p>
    <w:p w:rsidR="00790B88" w:rsidRDefault="00790B88" w:rsidP="00790B88">
      <w:pPr>
        <w:pStyle w:val="TableCaption"/>
        <w:ind w:left="0" w:firstLine="0"/>
      </w:pPr>
      <w:bookmarkStart w:id="44" w:name="_Toc351364117"/>
      <w:r w:rsidRPr="005F25AF">
        <w:t xml:space="preserve">Table </w:t>
      </w:r>
      <w:r w:rsidR="00397D35" w:rsidRPr="005F25AF">
        <w:fldChar w:fldCharType="begin"/>
      </w:r>
      <w:r w:rsidRPr="005F25AF">
        <w:instrText xml:space="preserve"> STYLEREF  "Heading 1,Chap Num"  \* MERGEFORMAT </w:instrText>
      </w:r>
      <w:r w:rsidR="00397D35" w:rsidRPr="005F25AF">
        <w:fldChar w:fldCharType="end"/>
      </w:r>
      <w:fldSimple w:instr=" STYLEREF  &quot;Heading 1,Chap Num&quot; \n  \* MERGEFORMAT ">
        <w:r>
          <w:rPr>
            <w:noProof/>
          </w:rPr>
          <w:t>2</w:t>
        </w:r>
      </w:fldSimple>
      <w:r w:rsidRPr="005F25AF">
        <w:t>-</w:t>
      </w:r>
      <w:fldSimple w:instr=" SEQ Table\s 1 \* MERGEFORMAT ">
        <w:r>
          <w:rPr>
            <w:noProof/>
          </w:rPr>
          <w:t>4</w:t>
        </w:r>
      </w:fldSimple>
      <w:r w:rsidRPr="005F25AF">
        <w:tab/>
      </w:r>
      <w:r>
        <w:t>Average On-Peak Temperature on Comparison and PTR Event Days</w:t>
      </w:r>
      <w:bookmarkEnd w:id="44"/>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1414"/>
        <w:gridCol w:w="2997"/>
        <w:gridCol w:w="1546"/>
      </w:tblGrid>
      <w:tr w:rsidR="00790B88" w:rsidRPr="00790B88" w:rsidTr="00790B88">
        <w:trPr>
          <w:trHeight w:val="255"/>
        </w:trPr>
        <w:tc>
          <w:tcPr>
            <w:tcW w:w="2534" w:type="pct"/>
            <w:gridSpan w:val="2"/>
            <w:shd w:val="clear" w:color="000000" w:fill="1F497D"/>
            <w:noWrap/>
            <w:vAlign w:val="center"/>
            <w:hideMark/>
          </w:tcPr>
          <w:p w:rsidR="00790B88" w:rsidRPr="00790B88" w:rsidRDefault="00790B88" w:rsidP="00790B88">
            <w:pPr>
              <w:jc w:val="center"/>
              <w:rPr>
                <w:rFonts w:ascii="Calibri" w:hAnsi="Calibri"/>
                <w:b/>
                <w:bCs/>
                <w:color w:val="FFFFFF"/>
                <w:szCs w:val="20"/>
              </w:rPr>
            </w:pPr>
            <w:r w:rsidRPr="00790B88">
              <w:rPr>
                <w:rFonts w:ascii="Calibri" w:hAnsi="Calibri"/>
                <w:b/>
                <w:bCs/>
                <w:color w:val="FFFFFF"/>
                <w:szCs w:val="20"/>
              </w:rPr>
              <w:t>Comparison Days</w:t>
            </w:r>
          </w:p>
        </w:tc>
        <w:tc>
          <w:tcPr>
            <w:tcW w:w="2466" w:type="pct"/>
            <w:gridSpan w:val="2"/>
            <w:shd w:val="clear" w:color="000000" w:fill="1F497D"/>
            <w:noWrap/>
            <w:vAlign w:val="center"/>
            <w:hideMark/>
          </w:tcPr>
          <w:p w:rsidR="00790B88" w:rsidRPr="00790B88" w:rsidRDefault="00790B88" w:rsidP="00790B88">
            <w:pPr>
              <w:jc w:val="center"/>
              <w:rPr>
                <w:rFonts w:ascii="Calibri" w:hAnsi="Calibri"/>
                <w:b/>
                <w:bCs/>
                <w:color w:val="FFFFFF"/>
                <w:szCs w:val="20"/>
              </w:rPr>
            </w:pPr>
            <w:r w:rsidRPr="00790B88">
              <w:rPr>
                <w:rFonts w:ascii="Calibri" w:hAnsi="Calibri"/>
                <w:b/>
                <w:bCs/>
                <w:color w:val="FFFFFF"/>
                <w:szCs w:val="20"/>
              </w:rPr>
              <w:t>PTR Event Days</w:t>
            </w:r>
          </w:p>
        </w:tc>
      </w:tr>
      <w:tr w:rsidR="00790B88" w:rsidRPr="00790B88" w:rsidTr="00790B88">
        <w:trPr>
          <w:trHeight w:val="255"/>
        </w:trPr>
        <w:tc>
          <w:tcPr>
            <w:tcW w:w="1768" w:type="pct"/>
            <w:shd w:val="clear" w:color="auto" w:fill="003E74" w:themeFill="text2"/>
            <w:noWrap/>
            <w:vAlign w:val="center"/>
            <w:hideMark/>
          </w:tcPr>
          <w:p w:rsidR="00790B88" w:rsidRPr="00790B88" w:rsidRDefault="00790B88" w:rsidP="00790B88">
            <w:pPr>
              <w:jc w:val="center"/>
              <w:rPr>
                <w:rFonts w:ascii="Calibri" w:hAnsi="Calibri"/>
                <w:b/>
                <w:color w:val="FFFFFF" w:themeColor="background1"/>
                <w:szCs w:val="20"/>
              </w:rPr>
            </w:pPr>
            <w:r w:rsidRPr="00790B88">
              <w:rPr>
                <w:rFonts w:ascii="Calibri" w:hAnsi="Calibri"/>
                <w:b/>
                <w:color w:val="FFFFFF" w:themeColor="background1"/>
                <w:szCs w:val="20"/>
              </w:rPr>
              <w:t>Date</w:t>
            </w:r>
          </w:p>
        </w:tc>
        <w:tc>
          <w:tcPr>
            <w:tcW w:w="767" w:type="pct"/>
            <w:shd w:val="clear" w:color="auto" w:fill="003E74" w:themeFill="text2"/>
            <w:noWrap/>
            <w:vAlign w:val="center"/>
            <w:hideMark/>
          </w:tcPr>
          <w:p w:rsidR="00790B88" w:rsidRPr="00790B88" w:rsidRDefault="00790B88" w:rsidP="00790B88">
            <w:pPr>
              <w:jc w:val="center"/>
              <w:rPr>
                <w:rFonts w:ascii="Calibri" w:hAnsi="Calibri"/>
                <w:b/>
                <w:color w:val="FFFFFF" w:themeColor="background1"/>
                <w:szCs w:val="20"/>
              </w:rPr>
            </w:pPr>
            <w:r w:rsidRPr="00790B88">
              <w:rPr>
                <w:rFonts w:ascii="Calibri" w:hAnsi="Calibri"/>
                <w:b/>
                <w:color w:val="FFFFFF" w:themeColor="background1"/>
                <w:szCs w:val="20"/>
              </w:rPr>
              <w:t>CDH On-Peak</w:t>
            </w:r>
          </w:p>
        </w:tc>
        <w:tc>
          <w:tcPr>
            <w:tcW w:w="1626" w:type="pct"/>
            <w:shd w:val="clear" w:color="auto" w:fill="003E74" w:themeFill="text2"/>
            <w:noWrap/>
            <w:vAlign w:val="center"/>
            <w:hideMark/>
          </w:tcPr>
          <w:p w:rsidR="00790B88" w:rsidRPr="00790B88" w:rsidRDefault="00790B88" w:rsidP="00790B88">
            <w:pPr>
              <w:jc w:val="center"/>
              <w:rPr>
                <w:rFonts w:ascii="Calibri" w:hAnsi="Calibri"/>
                <w:b/>
                <w:color w:val="FFFFFF" w:themeColor="background1"/>
                <w:szCs w:val="20"/>
              </w:rPr>
            </w:pPr>
            <w:r w:rsidRPr="00790B88">
              <w:rPr>
                <w:rFonts w:ascii="Calibri" w:hAnsi="Calibri"/>
                <w:b/>
                <w:color w:val="FFFFFF" w:themeColor="background1"/>
                <w:szCs w:val="20"/>
              </w:rPr>
              <w:t>Date</w:t>
            </w:r>
          </w:p>
        </w:tc>
        <w:tc>
          <w:tcPr>
            <w:tcW w:w="840" w:type="pct"/>
            <w:shd w:val="clear" w:color="auto" w:fill="003E74" w:themeFill="text2"/>
            <w:noWrap/>
            <w:vAlign w:val="center"/>
            <w:hideMark/>
          </w:tcPr>
          <w:p w:rsidR="00790B88" w:rsidRPr="00790B88" w:rsidRDefault="00790B88" w:rsidP="00790B88">
            <w:pPr>
              <w:jc w:val="center"/>
              <w:rPr>
                <w:rFonts w:ascii="Calibri" w:hAnsi="Calibri"/>
                <w:b/>
                <w:color w:val="FFFFFF" w:themeColor="background1"/>
                <w:szCs w:val="20"/>
              </w:rPr>
            </w:pPr>
            <w:r w:rsidRPr="00790B88">
              <w:rPr>
                <w:rFonts w:ascii="Calibri" w:hAnsi="Calibri"/>
                <w:b/>
                <w:color w:val="FFFFFF" w:themeColor="background1"/>
                <w:szCs w:val="20"/>
              </w:rPr>
              <w:t>CDH On-Peak</w:t>
            </w:r>
          </w:p>
        </w:tc>
      </w:tr>
      <w:tr w:rsidR="00790B88" w:rsidRPr="00790B88" w:rsidTr="00790B88">
        <w:trPr>
          <w:trHeight w:val="255"/>
        </w:trPr>
        <w:tc>
          <w:tcPr>
            <w:tcW w:w="1768" w:type="pct"/>
            <w:shd w:val="clear" w:color="auto" w:fill="auto"/>
            <w:noWrap/>
            <w:vAlign w:val="center"/>
            <w:hideMark/>
          </w:tcPr>
          <w:p w:rsidR="00790B88" w:rsidRPr="00790B88" w:rsidRDefault="00790B88" w:rsidP="00790B88">
            <w:pPr>
              <w:jc w:val="center"/>
              <w:rPr>
                <w:rFonts w:ascii="Calibri" w:hAnsi="Calibri"/>
                <w:szCs w:val="20"/>
              </w:rPr>
            </w:pPr>
            <w:r w:rsidRPr="00790B88">
              <w:rPr>
                <w:rFonts w:ascii="Calibri" w:hAnsi="Calibri"/>
                <w:szCs w:val="20"/>
              </w:rPr>
              <w:t>23-Jul-12</w:t>
            </w:r>
          </w:p>
        </w:tc>
        <w:tc>
          <w:tcPr>
            <w:tcW w:w="767" w:type="pct"/>
            <w:shd w:val="clear" w:color="auto" w:fill="auto"/>
            <w:noWrap/>
            <w:vAlign w:val="center"/>
            <w:hideMark/>
          </w:tcPr>
          <w:p w:rsidR="00790B88" w:rsidRPr="00790B88" w:rsidRDefault="00790B88" w:rsidP="00790B88">
            <w:pPr>
              <w:jc w:val="center"/>
              <w:rPr>
                <w:rFonts w:ascii="Calibri" w:hAnsi="Calibri"/>
                <w:szCs w:val="20"/>
              </w:rPr>
            </w:pPr>
            <w:r>
              <w:rPr>
                <w:rFonts w:ascii="Calibri" w:hAnsi="Calibri"/>
                <w:szCs w:val="20"/>
              </w:rPr>
              <w:t>8</w:t>
            </w:r>
            <w:r w:rsidRPr="00790B88">
              <w:rPr>
                <w:rFonts w:ascii="Calibri" w:hAnsi="Calibri"/>
                <w:szCs w:val="20"/>
              </w:rPr>
              <w:t>3.3</w:t>
            </w:r>
          </w:p>
        </w:tc>
        <w:tc>
          <w:tcPr>
            <w:tcW w:w="1626" w:type="pct"/>
            <w:shd w:val="clear" w:color="auto" w:fill="auto"/>
            <w:noWrap/>
            <w:vAlign w:val="center"/>
            <w:hideMark/>
          </w:tcPr>
          <w:p w:rsidR="00790B88" w:rsidRPr="00790B88" w:rsidRDefault="00790B88" w:rsidP="00790B88">
            <w:pPr>
              <w:jc w:val="center"/>
              <w:rPr>
                <w:rFonts w:ascii="Calibri" w:hAnsi="Calibri"/>
                <w:szCs w:val="20"/>
              </w:rPr>
            </w:pPr>
            <w:r w:rsidRPr="00790B88">
              <w:rPr>
                <w:rFonts w:ascii="Calibri" w:hAnsi="Calibri"/>
                <w:szCs w:val="20"/>
              </w:rPr>
              <w:t>20-Jul-12</w:t>
            </w:r>
          </w:p>
        </w:tc>
        <w:tc>
          <w:tcPr>
            <w:tcW w:w="840" w:type="pct"/>
            <w:shd w:val="clear" w:color="auto" w:fill="auto"/>
            <w:noWrap/>
            <w:vAlign w:val="center"/>
            <w:hideMark/>
          </w:tcPr>
          <w:p w:rsidR="00790B88" w:rsidRPr="00790B88" w:rsidRDefault="00790B88" w:rsidP="00790B88">
            <w:pPr>
              <w:jc w:val="center"/>
              <w:rPr>
                <w:rFonts w:ascii="Calibri" w:hAnsi="Calibri"/>
                <w:szCs w:val="20"/>
              </w:rPr>
            </w:pPr>
            <w:r>
              <w:rPr>
                <w:rFonts w:ascii="Calibri" w:hAnsi="Calibri"/>
                <w:szCs w:val="20"/>
              </w:rPr>
              <w:t>8</w:t>
            </w:r>
            <w:r w:rsidRPr="00790B88">
              <w:rPr>
                <w:rFonts w:ascii="Calibri" w:hAnsi="Calibri"/>
                <w:szCs w:val="20"/>
              </w:rPr>
              <w:t>0.6</w:t>
            </w:r>
          </w:p>
        </w:tc>
      </w:tr>
      <w:tr w:rsidR="00790B88" w:rsidRPr="00790B88" w:rsidTr="00790B88">
        <w:trPr>
          <w:trHeight w:val="255"/>
        </w:trPr>
        <w:tc>
          <w:tcPr>
            <w:tcW w:w="1768" w:type="pct"/>
            <w:shd w:val="clear" w:color="auto" w:fill="auto"/>
            <w:noWrap/>
            <w:vAlign w:val="center"/>
            <w:hideMark/>
          </w:tcPr>
          <w:p w:rsidR="00790B88" w:rsidRPr="00790B88" w:rsidRDefault="00790B88" w:rsidP="00790B88">
            <w:pPr>
              <w:jc w:val="center"/>
              <w:rPr>
                <w:rFonts w:ascii="Calibri" w:hAnsi="Calibri"/>
                <w:szCs w:val="20"/>
              </w:rPr>
            </w:pPr>
            <w:r w:rsidRPr="00790B88">
              <w:rPr>
                <w:rFonts w:ascii="Calibri" w:hAnsi="Calibri"/>
                <w:szCs w:val="20"/>
              </w:rPr>
              <w:t>24-Jul-12</w:t>
            </w:r>
          </w:p>
        </w:tc>
        <w:tc>
          <w:tcPr>
            <w:tcW w:w="767" w:type="pct"/>
            <w:shd w:val="clear" w:color="auto" w:fill="auto"/>
            <w:noWrap/>
            <w:vAlign w:val="center"/>
            <w:hideMark/>
          </w:tcPr>
          <w:p w:rsidR="00790B88" w:rsidRPr="00790B88" w:rsidRDefault="00790B88" w:rsidP="00790B88">
            <w:pPr>
              <w:jc w:val="center"/>
              <w:rPr>
                <w:rFonts w:ascii="Calibri" w:hAnsi="Calibri"/>
                <w:szCs w:val="20"/>
              </w:rPr>
            </w:pPr>
            <w:r>
              <w:rPr>
                <w:rFonts w:ascii="Calibri" w:hAnsi="Calibri"/>
                <w:szCs w:val="20"/>
              </w:rPr>
              <w:t>8</w:t>
            </w:r>
            <w:r w:rsidRPr="00790B88">
              <w:rPr>
                <w:rFonts w:ascii="Calibri" w:hAnsi="Calibri"/>
                <w:szCs w:val="20"/>
              </w:rPr>
              <w:t>3.9</w:t>
            </w:r>
          </w:p>
        </w:tc>
        <w:tc>
          <w:tcPr>
            <w:tcW w:w="1626" w:type="pct"/>
            <w:shd w:val="clear" w:color="auto" w:fill="auto"/>
            <w:noWrap/>
            <w:vAlign w:val="center"/>
            <w:hideMark/>
          </w:tcPr>
          <w:p w:rsidR="00790B88" w:rsidRPr="00790B88" w:rsidRDefault="00790B88" w:rsidP="00790B88">
            <w:pPr>
              <w:jc w:val="center"/>
              <w:rPr>
                <w:rFonts w:ascii="Calibri" w:hAnsi="Calibri"/>
                <w:szCs w:val="20"/>
              </w:rPr>
            </w:pPr>
            <w:r w:rsidRPr="00790B88">
              <w:rPr>
                <w:rFonts w:ascii="Calibri" w:hAnsi="Calibri"/>
                <w:szCs w:val="20"/>
              </w:rPr>
              <w:t>9-Aug-12</w:t>
            </w:r>
          </w:p>
        </w:tc>
        <w:tc>
          <w:tcPr>
            <w:tcW w:w="840" w:type="pct"/>
            <w:shd w:val="clear" w:color="auto" w:fill="auto"/>
            <w:noWrap/>
            <w:vAlign w:val="center"/>
            <w:hideMark/>
          </w:tcPr>
          <w:p w:rsidR="00790B88" w:rsidRPr="00790B88" w:rsidRDefault="00790B88" w:rsidP="00790B88">
            <w:pPr>
              <w:jc w:val="center"/>
              <w:rPr>
                <w:rFonts w:ascii="Calibri" w:hAnsi="Calibri"/>
                <w:szCs w:val="20"/>
              </w:rPr>
            </w:pPr>
            <w:r>
              <w:rPr>
                <w:rFonts w:ascii="Calibri" w:hAnsi="Calibri"/>
                <w:szCs w:val="20"/>
              </w:rPr>
              <w:t>8</w:t>
            </w:r>
            <w:r w:rsidRPr="00790B88">
              <w:rPr>
                <w:rFonts w:ascii="Calibri" w:hAnsi="Calibri"/>
                <w:szCs w:val="20"/>
              </w:rPr>
              <w:t>2.5</w:t>
            </w:r>
          </w:p>
        </w:tc>
      </w:tr>
      <w:tr w:rsidR="00790B88" w:rsidRPr="00790B88" w:rsidTr="00790B88">
        <w:trPr>
          <w:trHeight w:val="255"/>
        </w:trPr>
        <w:tc>
          <w:tcPr>
            <w:tcW w:w="1768" w:type="pct"/>
            <w:shd w:val="clear" w:color="auto" w:fill="auto"/>
            <w:noWrap/>
            <w:vAlign w:val="center"/>
            <w:hideMark/>
          </w:tcPr>
          <w:p w:rsidR="00790B88" w:rsidRPr="00790B88" w:rsidRDefault="00790B88" w:rsidP="00790B88">
            <w:pPr>
              <w:jc w:val="center"/>
              <w:rPr>
                <w:rFonts w:ascii="Calibri" w:hAnsi="Calibri"/>
                <w:szCs w:val="20"/>
              </w:rPr>
            </w:pPr>
            <w:r w:rsidRPr="00790B88">
              <w:rPr>
                <w:rFonts w:ascii="Calibri" w:hAnsi="Calibri"/>
                <w:szCs w:val="20"/>
              </w:rPr>
              <w:t>8-Aug-12</w:t>
            </w:r>
          </w:p>
        </w:tc>
        <w:tc>
          <w:tcPr>
            <w:tcW w:w="767" w:type="pct"/>
            <w:shd w:val="clear" w:color="auto" w:fill="auto"/>
            <w:noWrap/>
            <w:vAlign w:val="center"/>
            <w:hideMark/>
          </w:tcPr>
          <w:p w:rsidR="00790B88" w:rsidRPr="00790B88" w:rsidRDefault="00790B88" w:rsidP="00790B88">
            <w:pPr>
              <w:jc w:val="center"/>
              <w:rPr>
                <w:rFonts w:ascii="Calibri" w:hAnsi="Calibri"/>
                <w:szCs w:val="20"/>
              </w:rPr>
            </w:pPr>
            <w:r>
              <w:rPr>
                <w:rFonts w:ascii="Calibri" w:hAnsi="Calibri"/>
                <w:szCs w:val="20"/>
              </w:rPr>
              <w:t>8</w:t>
            </w:r>
            <w:r w:rsidRPr="00790B88">
              <w:rPr>
                <w:rFonts w:ascii="Calibri" w:hAnsi="Calibri"/>
                <w:szCs w:val="20"/>
              </w:rPr>
              <w:t>5.0</w:t>
            </w:r>
          </w:p>
        </w:tc>
        <w:tc>
          <w:tcPr>
            <w:tcW w:w="1626" w:type="pct"/>
            <w:shd w:val="clear" w:color="auto" w:fill="auto"/>
            <w:noWrap/>
            <w:vAlign w:val="center"/>
            <w:hideMark/>
          </w:tcPr>
          <w:p w:rsidR="00790B88" w:rsidRPr="00790B88" w:rsidRDefault="00790B88" w:rsidP="00790B88">
            <w:pPr>
              <w:jc w:val="center"/>
              <w:rPr>
                <w:rFonts w:ascii="Calibri" w:hAnsi="Calibri"/>
                <w:szCs w:val="20"/>
              </w:rPr>
            </w:pPr>
            <w:r w:rsidRPr="00790B88">
              <w:rPr>
                <w:rFonts w:ascii="Calibri" w:hAnsi="Calibri"/>
                <w:szCs w:val="20"/>
              </w:rPr>
              <w:t>10-Aug-12</w:t>
            </w:r>
          </w:p>
        </w:tc>
        <w:tc>
          <w:tcPr>
            <w:tcW w:w="840" w:type="pct"/>
            <w:shd w:val="clear" w:color="auto" w:fill="auto"/>
            <w:noWrap/>
            <w:vAlign w:val="center"/>
            <w:hideMark/>
          </w:tcPr>
          <w:p w:rsidR="00790B88" w:rsidRPr="00790B88" w:rsidRDefault="00790B88" w:rsidP="00790B88">
            <w:pPr>
              <w:jc w:val="center"/>
              <w:rPr>
                <w:rFonts w:ascii="Calibri" w:hAnsi="Calibri"/>
                <w:szCs w:val="20"/>
              </w:rPr>
            </w:pPr>
            <w:r>
              <w:rPr>
                <w:rFonts w:ascii="Calibri" w:hAnsi="Calibri"/>
                <w:szCs w:val="20"/>
              </w:rPr>
              <w:t>8</w:t>
            </w:r>
            <w:r w:rsidRPr="00790B88">
              <w:rPr>
                <w:rFonts w:ascii="Calibri" w:hAnsi="Calibri"/>
                <w:szCs w:val="20"/>
              </w:rPr>
              <w:t>3.6</w:t>
            </w:r>
          </w:p>
        </w:tc>
      </w:tr>
      <w:tr w:rsidR="00790B88" w:rsidRPr="00790B88" w:rsidTr="00790B88">
        <w:trPr>
          <w:trHeight w:val="255"/>
        </w:trPr>
        <w:tc>
          <w:tcPr>
            <w:tcW w:w="1768" w:type="pct"/>
            <w:shd w:val="clear" w:color="auto" w:fill="auto"/>
            <w:noWrap/>
            <w:vAlign w:val="center"/>
            <w:hideMark/>
          </w:tcPr>
          <w:p w:rsidR="00790B88" w:rsidRPr="00790B88" w:rsidRDefault="00790B88" w:rsidP="00790B88">
            <w:pPr>
              <w:jc w:val="center"/>
              <w:rPr>
                <w:rFonts w:ascii="Calibri" w:hAnsi="Calibri"/>
                <w:szCs w:val="20"/>
              </w:rPr>
            </w:pPr>
            <w:r w:rsidRPr="00790B88">
              <w:rPr>
                <w:rFonts w:ascii="Calibri" w:hAnsi="Calibri"/>
                <w:szCs w:val="20"/>
              </w:rPr>
              <w:t>15-Aug-12</w:t>
            </w:r>
          </w:p>
        </w:tc>
        <w:tc>
          <w:tcPr>
            <w:tcW w:w="767" w:type="pct"/>
            <w:shd w:val="clear" w:color="auto" w:fill="auto"/>
            <w:noWrap/>
            <w:vAlign w:val="center"/>
            <w:hideMark/>
          </w:tcPr>
          <w:p w:rsidR="00790B88" w:rsidRPr="00790B88" w:rsidRDefault="00790B88" w:rsidP="00790B88">
            <w:pPr>
              <w:jc w:val="center"/>
              <w:rPr>
                <w:rFonts w:ascii="Calibri" w:hAnsi="Calibri"/>
                <w:szCs w:val="20"/>
              </w:rPr>
            </w:pPr>
            <w:r>
              <w:rPr>
                <w:rFonts w:ascii="Calibri" w:hAnsi="Calibri"/>
                <w:szCs w:val="20"/>
              </w:rPr>
              <w:t>8</w:t>
            </w:r>
            <w:r w:rsidRPr="00790B88">
              <w:rPr>
                <w:rFonts w:ascii="Calibri" w:hAnsi="Calibri"/>
                <w:szCs w:val="20"/>
              </w:rPr>
              <w:t>3.3</w:t>
            </w:r>
          </w:p>
        </w:tc>
        <w:tc>
          <w:tcPr>
            <w:tcW w:w="1626" w:type="pct"/>
            <w:shd w:val="clear" w:color="auto" w:fill="auto"/>
            <w:noWrap/>
            <w:vAlign w:val="center"/>
            <w:hideMark/>
          </w:tcPr>
          <w:p w:rsidR="00790B88" w:rsidRPr="00790B88" w:rsidRDefault="00790B88" w:rsidP="00790B88">
            <w:pPr>
              <w:jc w:val="center"/>
              <w:rPr>
                <w:rFonts w:ascii="Calibri" w:hAnsi="Calibri"/>
                <w:szCs w:val="20"/>
              </w:rPr>
            </w:pPr>
            <w:r w:rsidRPr="00790B88">
              <w:rPr>
                <w:rFonts w:ascii="Calibri" w:hAnsi="Calibri"/>
                <w:szCs w:val="20"/>
              </w:rPr>
              <w:t>14-Aug-12</w:t>
            </w:r>
          </w:p>
        </w:tc>
        <w:tc>
          <w:tcPr>
            <w:tcW w:w="840" w:type="pct"/>
            <w:shd w:val="clear" w:color="auto" w:fill="auto"/>
            <w:noWrap/>
            <w:vAlign w:val="center"/>
            <w:hideMark/>
          </w:tcPr>
          <w:p w:rsidR="00790B88" w:rsidRPr="00790B88" w:rsidRDefault="00790B88" w:rsidP="00790B88">
            <w:pPr>
              <w:jc w:val="center"/>
              <w:rPr>
                <w:rFonts w:ascii="Calibri" w:hAnsi="Calibri"/>
                <w:szCs w:val="20"/>
              </w:rPr>
            </w:pPr>
            <w:r>
              <w:rPr>
                <w:rFonts w:ascii="Calibri" w:hAnsi="Calibri"/>
                <w:szCs w:val="20"/>
              </w:rPr>
              <w:t>8</w:t>
            </w:r>
            <w:r w:rsidRPr="00790B88">
              <w:rPr>
                <w:rFonts w:ascii="Calibri" w:hAnsi="Calibri"/>
                <w:szCs w:val="20"/>
              </w:rPr>
              <w:t>3.4</w:t>
            </w:r>
          </w:p>
        </w:tc>
      </w:tr>
      <w:tr w:rsidR="00790B88" w:rsidRPr="00790B88" w:rsidTr="00790B88">
        <w:trPr>
          <w:trHeight w:val="255"/>
        </w:trPr>
        <w:tc>
          <w:tcPr>
            <w:tcW w:w="1768" w:type="pct"/>
            <w:shd w:val="clear" w:color="auto" w:fill="auto"/>
            <w:noWrap/>
            <w:vAlign w:val="center"/>
            <w:hideMark/>
          </w:tcPr>
          <w:p w:rsidR="00790B88" w:rsidRPr="00790B88" w:rsidRDefault="00790B88" w:rsidP="00790B88">
            <w:pPr>
              <w:jc w:val="center"/>
              <w:rPr>
                <w:rFonts w:ascii="Calibri" w:hAnsi="Calibri"/>
                <w:szCs w:val="20"/>
              </w:rPr>
            </w:pPr>
            <w:r w:rsidRPr="00790B88">
              <w:rPr>
                <w:rFonts w:ascii="Calibri" w:hAnsi="Calibri"/>
                <w:szCs w:val="20"/>
              </w:rPr>
              <w:t>20-Aug-12</w:t>
            </w:r>
          </w:p>
        </w:tc>
        <w:tc>
          <w:tcPr>
            <w:tcW w:w="767" w:type="pct"/>
            <w:shd w:val="clear" w:color="auto" w:fill="auto"/>
            <w:noWrap/>
            <w:vAlign w:val="center"/>
            <w:hideMark/>
          </w:tcPr>
          <w:p w:rsidR="00790B88" w:rsidRPr="00790B88" w:rsidRDefault="00790B88" w:rsidP="00790B88">
            <w:pPr>
              <w:jc w:val="center"/>
              <w:rPr>
                <w:rFonts w:ascii="Calibri" w:hAnsi="Calibri"/>
                <w:szCs w:val="20"/>
              </w:rPr>
            </w:pPr>
            <w:r>
              <w:rPr>
                <w:rFonts w:ascii="Calibri" w:hAnsi="Calibri"/>
                <w:szCs w:val="20"/>
              </w:rPr>
              <w:t>8</w:t>
            </w:r>
            <w:r w:rsidRPr="00790B88">
              <w:rPr>
                <w:rFonts w:ascii="Calibri" w:hAnsi="Calibri"/>
                <w:szCs w:val="20"/>
              </w:rPr>
              <w:t>3.0</w:t>
            </w:r>
          </w:p>
        </w:tc>
        <w:tc>
          <w:tcPr>
            <w:tcW w:w="1626" w:type="pct"/>
            <w:shd w:val="clear" w:color="auto" w:fill="auto"/>
            <w:noWrap/>
            <w:vAlign w:val="center"/>
            <w:hideMark/>
          </w:tcPr>
          <w:p w:rsidR="00790B88" w:rsidRPr="00790B88" w:rsidRDefault="00790B88" w:rsidP="00790B88">
            <w:pPr>
              <w:jc w:val="center"/>
              <w:rPr>
                <w:rFonts w:ascii="Calibri" w:hAnsi="Calibri"/>
                <w:szCs w:val="20"/>
              </w:rPr>
            </w:pPr>
            <w:r w:rsidRPr="00790B88">
              <w:rPr>
                <w:rFonts w:ascii="Calibri" w:hAnsi="Calibri"/>
                <w:szCs w:val="20"/>
              </w:rPr>
              <w:t>21-Aug-12</w:t>
            </w:r>
          </w:p>
        </w:tc>
        <w:tc>
          <w:tcPr>
            <w:tcW w:w="840" w:type="pct"/>
            <w:shd w:val="clear" w:color="auto" w:fill="auto"/>
            <w:noWrap/>
            <w:vAlign w:val="center"/>
            <w:hideMark/>
          </w:tcPr>
          <w:p w:rsidR="00790B88" w:rsidRPr="00790B88" w:rsidRDefault="00790B88" w:rsidP="00790B88">
            <w:pPr>
              <w:jc w:val="center"/>
              <w:rPr>
                <w:rFonts w:ascii="Calibri" w:hAnsi="Calibri"/>
                <w:szCs w:val="20"/>
              </w:rPr>
            </w:pPr>
            <w:r>
              <w:rPr>
                <w:rFonts w:ascii="Calibri" w:hAnsi="Calibri"/>
                <w:szCs w:val="20"/>
              </w:rPr>
              <w:t>7</w:t>
            </w:r>
            <w:r w:rsidRPr="00790B88">
              <w:rPr>
                <w:rFonts w:ascii="Calibri" w:hAnsi="Calibri"/>
                <w:szCs w:val="20"/>
              </w:rPr>
              <w:t>8.0</w:t>
            </w:r>
          </w:p>
        </w:tc>
      </w:tr>
      <w:tr w:rsidR="00790B88" w:rsidRPr="00790B88" w:rsidTr="00790B88">
        <w:trPr>
          <w:trHeight w:val="255"/>
        </w:trPr>
        <w:tc>
          <w:tcPr>
            <w:tcW w:w="1768" w:type="pct"/>
            <w:tcBorders>
              <w:bottom w:val="single" w:sz="4" w:space="0" w:color="auto"/>
            </w:tcBorders>
            <w:shd w:val="clear" w:color="auto" w:fill="auto"/>
            <w:noWrap/>
            <w:vAlign w:val="center"/>
            <w:hideMark/>
          </w:tcPr>
          <w:p w:rsidR="00790B88" w:rsidRPr="00790B88" w:rsidRDefault="00790B88" w:rsidP="00790B88">
            <w:pPr>
              <w:jc w:val="center"/>
              <w:rPr>
                <w:rFonts w:ascii="Calibri" w:hAnsi="Calibri"/>
                <w:szCs w:val="20"/>
              </w:rPr>
            </w:pPr>
            <w:r w:rsidRPr="00790B88">
              <w:rPr>
                <w:rFonts w:ascii="Calibri" w:hAnsi="Calibri"/>
                <w:szCs w:val="20"/>
              </w:rPr>
              <w:t xml:space="preserve">Average Weekday CDH </w:t>
            </w:r>
          </w:p>
        </w:tc>
        <w:tc>
          <w:tcPr>
            <w:tcW w:w="767" w:type="pct"/>
            <w:tcBorders>
              <w:bottom w:val="single" w:sz="4" w:space="0" w:color="auto"/>
            </w:tcBorders>
            <w:shd w:val="clear" w:color="auto" w:fill="auto"/>
            <w:noWrap/>
            <w:vAlign w:val="center"/>
            <w:hideMark/>
          </w:tcPr>
          <w:p w:rsidR="00790B88" w:rsidRPr="00790B88" w:rsidRDefault="00790B88" w:rsidP="00790B88">
            <w:pPr>
              <w:jc w:val="center"/>
              <w:rPr>
                <w:rFonts w:ascii="Calibri" w:hAnsi="Calibri"/>
                <w:szCs w:val="20"/>
              </w:rPr>
            </w:pPr>
            <w:r>
              <w:rPr>
                <w:rFonts w:ascii="Calibri" w:hAnsi="Calibri"/>
                <w:szCs w:val="20"/>
              </w:rPr>
              <w:t>8</w:t>
            </w:r>
            <w:r w:rsidRPr="00790B88">
              <w:rPr>
                <w:rFonts w:ascii="Calibri" w:hAnsi="Calibri"/>
                <w:szCs w:val="20"/>
              </w:rPr>
              <w:t>3.7</w:t>
            </w:r>
          </w:p>
        </w:tc>
        <w:tc>
          <w:tcPr>
            <w:tcW w:w="1626" w:type="pct"/>
            <w:tcBorders>
              <w:bottom w:val="single" w:sz="4" w:space="0" w:color="auto"/>
            </w:tcBorders>
            <w:shd w:val="clear" w:color="auto" w:fill="auto"/>
            <w:noWrap/>
            <w:vAlign w:val="center"/>
            <w:hideMark/>
          </w:tcPr>
          <w:p w:rsidR="00790B88" w:rsidRPr="00790B88" w:rsidRDefault="00790B88" w:rsidP="00790B88">
            <w:pPr>
              <w:jc w:val="center"/>
              <w:rPr>
                <w:rFonts w:ascii="Calibri" w:hAnsi="Calibri"/>
                <w:szCs w:val="20"/>
              </w:rPr>
            </w:pPr>
            <w:r w:rsidRPr="00790B88">
              <w:rPr>
                <w:rFonts w:ascii="Calibri" w:hAnsi="Calibri"/>
                <w:szCs w:val="20"/>
              </w:rPr>
              <w:t xml:space="preserve">Average Weekday CDH </w:t>
            </w:r>
          </w:p>
        </w:tc>
        <w:tc>
          <w:tcPr>
            <w:tcW w:w="840" w:type="pct"/>
            <w:tcBorders>
              <w:bottom w:val="single" w:sz="4" w:space="0" w:color="auto"/>
            </w:tcBorders>
            <w:shd w:val="clear" w:color="auto" w:fill="auto"/>
            <w:noWrap/>
            <w:vAlign w:val="center"/>
            <w:hideMark/>
          </w:tcPr>
          <w:p w:rsidR="00790B88" w:rsidRPr="00790B88" w:rsidRDefault="00790B88" w:rsidP="00790B88">
            <w:pPr>
              <w:jc w:val="center"/>
              <w:rPr>
                <w:rFonts w:ascii="Calibri" w:hAnsi="Calibri"/>
                <w:szCs w:val="20"/>
              </w:rPr>
            </w:pPr>
            <w:r>
              <w:rPr>
                <w:rFonts w:ascii="Calibri" w:hAnsi="Calibri"/>
                <w:szCs w:val="20"/>
              </w:rPr>
              <w:t>8</w:t>
            </w:r>
            <w:r w:rsidRPr="00790B88">
              <w:rPr>
                <w:rFonts w:ascii="Calibri" w:hAnsi="Calibri"/>
                <w:szCs w:val="20"/>
              </w:rPr>
              <w:t>1.6</w:t>
            </w:r>
          </w:p>
        </w:tc>
      </w:tr>
      <w:tr w:rsidR="00790B88" w:rsidRPr="00790B88" w:rsidTr="00790B88">
        <w:trPr>
          <w:trHeight w:val="135"/>
        </w:trPr>
        <w:tc>
          <w:tcPr>
            <w:tcW w:w="1768" w:type="pct"/>
            <w:tcBorders>
              <w:right w:val="nil"/>
            </w:tcBorders>
            <w:shd w:val="clear" w:color="auto" w:fill="auto"/>
            <w:noWrap/>
            <w:vAlign w:val="center"/>
            <w:hideMark/>
          </w:tcPr>
          <w:p w:rsidR="00790B88" w:rsidRPr="00790B88" w:rsidRDefault="00790B88" w:rsidP="00790B88">
            <w:pPr>
              <w:jc w:val="center"/>
              <w:rPr>
                <w:rFonts w:ascii="Calibri" w:hAnsi="Calibri"/>
                <w:szCs w:val="20"/>
              </w:rPr>
            </w:pPr>
            <w:r w:rsidRPr="00790B88">
              <w:rPr>
                <w:rFonts w:ascii="Calibri" w:hAnsi="Calibri"/>
                <w:szCs w:val="20"/>
              </w:rPr>
              <w:t> </w:t>
            </w:r>
          </w:p>
        </w:tc>
        <w:tc>
          <w:tcPr>
            <w:tcW w:w="767" w:type="pct"/>
            <w:tcBorders>
              <w:left w:val="nil"/>
              <w:right w:val="nil"/>
            </w:tcBorders>
            <w:shd w:val="clear" w:color="auto" w:fill="auto"/>
            <w:noWrap/>
            <w:vAlign w:val="center"/>
            <w:hideMark/>
          </w:tcPr>
          <w:p w:rsidR="00790B88" w:rsidRPr="00790B88" w:rsidRDefault="00790B88" w:rsidP="00790B88">
            <w:pPr>
              <w:jc w:val="center"/>
              <w:rPr>
                <w:rFonts w:ascii="Calibri" w:hAnsi="Calibri"/>
                <w:szCs w:val="20"/>
              </w:rPr>
            </w:pPr>
            <w:r w:rsidRPr="00790B88">
              <w:rPr>
                <w:rFonts w:ascii="Calibri" w:hAnsi="Calibri"/>
                <w:szCs w:val="20"/>
              </w:rPr>
              <w:t> </w:t>
            </w:r>
          </w:p>
        </w:tc>
        <w:tc>
          <w:tcPr>
            <w:tcW w:w="1626" w:type="pct"/>
            <w:tcBorders>
              <w:left w:val="nil"/>
              <w:right w:val="nil"/>
            </w:tcBorders>
            <w:shd w:val="clear" w:color="auto" w:fill="auto"/>
            <w:noWrap/>
            <w:vAlign w:val="center"/>
            <w:hideMark/>
          </w:tcPr>
          <w:p w:rsidR="00790B88" w:rsidRPr="00790B88" w:rsidRDefault="00790B88" w:rsidP="00790B88">
            <w:pPr>
              <w:jc w:val="center"/>
              <w:rPr>
                <w:rFonts w:ascii="Calibri" w:hAnsi="Calibri"/>
                <w:szCs w:val="20"/>
              </w:rPr>
            </w:pPr>
            <w:r w:rsidRPr="00790B88">
              <w:rPr>
                <w:rFonts w:ascii="Calibri" w:hAnsi="Calibri"/>
                <w:szCs w:val="20"/>
              </w:rPr>
              <w:t> </w:t>
            </w:r>
          </w:p>
        </w:tc>
        <w:tc>
          <w:tcPr>
            <w:tcW w:w="840" w:type="pct"/>
            <w:tcBorders>
              <w:left w:val="nil"/>
            </w:tcBorders>
            <w:shd w:val="clear" w:color="auto" w:fill="auto"/>
            <w:noWrap/>
            <w:vAlign w:val="center"/>
            <w:hideMark/>
          </w:tcPr>
          <w:p w:rsidR="00790B88" w:rsidRPr="00790B88" w:rsidRDefault="00790B88" w:rsidP="00790B88">
            <w:pPr>
              <w:jc w:val="center"/>
              <w:rPr>
                <w:rFonts w:ascii="Calibri" w:hAnsi="Calibri"/>
                <w:szCs w:val="20"/>
              </w:rPr>
            </w:pPr>
            <w:r w:rsidRPr="00790B88">
              <w:rPr>
                <w:rFonts w:ascii="Calibri" w:hAnsi="Calibri"/>
                <w:szCs w:val="20"/>
              </w:rPr>
              <w:t> </w:t>
            </w:r>
          </w:p>
        </w:tc>
      </w:tr>
      <w:tr w:rsidR="00790B88" w:rsidRPr="00790B88" w:rsidTr="00790B88">
        <w:trPr>
          <w:trHeight w:val="255"/>
        </w:trPr>
        <w:tc>
          <w:tcPr>
            <w:tcW w:w="1768" w:type="pct"/>
            <w:shd w:val="clear" w:color="auto" w:fill="auto"/>
            <w:noWrap/>
            <w:vAlign w:val="center"/>
            <w:hideMark/>
          </w:tcPr>
          <w:p w:rsidR="00790B88" w:rsidRPr="00790B88" w:rsidRDefault="00790B88" w:rsidP="00790B88">
            <w:pPr>
              <w:jc w:val="center"/>
              <w:rPr>
                <w:rFonts w:ascii="Calibri" w:hAnsi="Calibri"/>
                <w:szCs w:val="20"/>
              </w:rPr>
            </w:pPr>
            <w:r w:rsidRPr="00790B88">
              <w:rPr>
                <w:rFonts w:ascii="Calibri" w:hAnsi="Calibri"/>
                <w:szCs w:val="20"/>
              </w:rPr>
              <w:t>21-Jul-12</w:t>
            </w:r>
          </w:p>
        </w:tc>
        <w:tc>
          <w:tcPr>
            <w:tcW w:w="767" w:type="pct"/>
            <w:shd w:val="clear" w:color="auto" w:fill="auto"/>
            <w:noWrap/>
            <w:vAlign w:val="center"/>
            <w:hideMark/>
          </w:tcPr>
          <w:p w:rsidR="00790B88" w:rsidRPr="00790B88" w:rsidRDefault="00790B88" w:rsidP="00790B88">
            <w:pPr>
              <w:jc w:val="center"/>
              <w:rPr>
                <w:rFonts w:ascii="Calibri" w:hAnsi="Calibri"/>
                <w:szCs w:val="20"/>
              </w:rPr>
            </w:pPr>
            <w:r>
              <w:rPr>
                <w:rFonts w:ascii="Calibri" w:hAnsi="Calibri"/>
                <w:szCs w:val="20"/>
              </w:rPr>
              <w:t>8</w:t>
            </w:r>
            <w:r w:rsidRPr="00790B88">
              <w:rPr>
                <w:rFonts w:ascii="Calibri" w:hAnsi="Calibri"/>
                <w:szCs w:val="20"/>
              </w:rPr>
              <w:t>7.8</w:t>
            </w:r>
          </w:p>
        </w:tc>
        <w:tc>
          <w:tcPr>
            <w:tcW w:w="1626" w:type="pct"/>
            <w:shd w:val="clear" w:color="auto" w:fill="auto"/>
            <w:noWrap/>
            <w:vAlign w:val="center"/>
            <w:hideMark/>
          </w:tcPr>
          <w:p w:rsidR="00790B88" w:rsidRPr="00790B88" w:rsidRDefault="00790B88" w:rsidP="00790B88">
            <w:pPr>
              <w:jc w:val="center"/>
              <w:rPr>
                <w:rFonts w:ascii="Calibri" w:hAnsi="Calibri"/>
                <w:szCs w:val="20"/>
              </w:rPr>
            </w:pPr>
            <w:r w:rsidRPr="00790B88">
              <w:rPr>
                <w:rFonts w:ascii="Calibri" w:hAnsi="Calibri"/>
                <w:szCs w:val="20"/>
              </w:rPr>
              <w:t>11-Aug-12</w:t>
            </w:r>
          </w:p>
        </w:tc>
        <w:tc>
          <w:tcPr>
            <w:tcW w:w="840" w:type="pct"/>
            <w:shd w:val="clear" w:color="auto" w:fill="auto"/>
            <w:noWrap/>
            <w:vAlign w:val="center"/>
            <w:hideMark/>
          </w:tcPr>
          <w:p w:rsidR="00790B88" w:rsidRPr="00790B88" w:rsidRDefault="00790B88" w:rsidP="00790B88">
            <w:pPr>
              <w:jc w:val="center"/>
              <w:rPr>
                <w:rFonts w:ascii="Calibri" w:hAnsi="Calibri"/>
                <w:szCs w:val="20"/>
              </w:rPr>
            </w:pPr>
            <w:r>
              <w:rPr>
                <w:rFonts w:ascii="Calibri" w:hAnsi="Calibri"/>
                <w:szCs w:val="20"/>
              </w:rPr>
              <w:t>8</w:t>
            </w:r>
            <w:r w:rsidRPr="00790B88">
              <w:rPr>
                <w:rFonts w:ascii="Calibri" w:hAnsi="Calibri"/>
                <w:szCs w:val="20"/>
              </w:rPr>
              <w:t>4.2</w:t>
            </w:r>
          </w:p>
        </w:tc>
      </w:tr>
      <w:tr w:rsidR="00790B88" w:rsidRPr="00790B88" w:rsidTr="00790B88">
        <w:trPr>
          <w:trHeight w:val="255"/>
        </w:trPr>
        <w:tc>
          <w:tcPr>
            <w:tcW w:w="1768" w:type="pct"/>
            <w:shd w:val="clear" w:color="auto" w:fill="auto"/>
            <w:noWrap/>
            <w:vAlign w:val="center"/>
            <w:hideMark/>
          </w:tcPr>
          <w:p w:rsidR="00790B88" w:rsidRPr="00790B88" w:rsidRDefault="00790B88" w:rsidP="00790B88">
            <w:pPr>
              <w:jc w:val="center"/>
              <w:rPr>
                <w:rFonts w:ascii="Calibri" w:hAnsi="Calibri"/>
                <w:szCs w:val="20"/>
              </w:rPr>
            </w:pPr>
            <w:r w:rsidRPr="00790B88">
              <w:rPr>
                <w:rFonts w:ascii="Calibri" w:hAnsi="Calibri"/>
                <w:szCs w:val="20"/>
              </w:rPr>
              <w:t>18-Aug-12</w:t>
            </w:r>
          </w:p>
        </w:tc>
        <w:tc>
          <w:tcPr>
            <w:tcW w:w="767" w:type="pct"/>
            <w:shd w:val="clear" w:color="auto" w:fill="auto"/>
            <w:noWrap/>
            <w:vAlign w:val="center"/>
            <w:hideMark/>
          </w:tcPr>
          <w:p w:rsidR="00790B88" w:rsidRPr="00790B88" w:rsidRDefault="00790B88" w:rsidP="00790B88">
            <w:pPr>
              <w:jc w:val="center"/>
              <w:rPr>
                <w:rFonts w:ascii="Calibri" w:hAnsi="Calibri"/>
                <w:szCs w:val="20"/>
              </w:rPr>
            </w:pPr>
            <w:r>
              <w:rPr>
                <w:rFonts w:ascii="Calibri" w:hAnsi="Calibri"/>
                <w:szCs w:val="20"/>
              </w:rPr>
              <w:t>8</w:t>
            </w:r>
            <w:r w:rsidRPr="00790B88">
              <w:rPr>
                <w:rFonts w:ascii="Calibri" w:hAnsi="Calibri"/>
                <w:szCs w:val="20"/>
              </w:rPr>
              <w:t>6.0</w:t>
            </w:r>
          </w:p>
        </w:tc>
        <w:tc>
          <w:tcPr>
            <w:tcW w:w="1626" w:type="pct"/>
            <w:shd w:val="clear" w:color="auto" w:fill="auto"/>
            <w:noWrap/>
            <w:vAlign w:val="center"/>
            <w:hideMark/>
          </w:tcPr>
          <w:p w:rsidR="00790B88" w:rsidRPr="00790B88" w:rsidRDefault="00790B88" w:rsidP="00790B88">
            <w:pPr>
              <w:jc w:val="center"/>
              <w:rPr>
                <w:rFonts w:ascii="Calibri" w:hAnsi="Calibri"/>
                <w:szCs w:val="20"/>
              </w:rPr>
            </w:pPr>
            <w:r w:rsidRPr="00790B88">
              <w:rPr>
                <w:rFonts w:ascii="Calibri" w:hAnsi="Calibri"/>
                <w:szCs w:val="20"/>
              </w:rPr>
              <w:t>15-Sep-12</w:t>
            </w:r>
          </w:p>
        </w:tc>
        <w:tc>
          <w:tcPr>
            <w:tcW w:w="840" w:type="pct"/>
            <w:shd w:val="clear" w:color="auto" w:fill="auto"/>
            <w:noWrap/>
            <w:vAlign w:val="center"/>
            <w:hideMark/>
          </w:tcPr>
          <w:p w:rsidR="00790B88" w:rsidRPr="00790B88" w:rsidRDefault="00790B88" w:rsidP="00790B88">
            <w:pPr>
              <w:jc w:val="center"/>
              <w:rPr>
                <w:rFonts w:ascii="Calibri" w:hAnsi="Calibri"/>
                <w:szCs w:val="20"/>
              </w:rPr>
            </w:pPr>
            <w:r>
              <w:rPr>
                <w:rFonts w:ascii="Calibri" w:hAnsi="Calibri"/>
                <w:szCs w:val="20"/>
              </w:rPr>
              <w:t>9</w:t>
            </w:r>
            <w:r w:rsidRPr="00790B88">
              <w:rPr>
                <w:rFonts w:ascii="Calibri" w:hAnsi="Calibri"/>
                <w:szCs w:val="20"/>
              </w:rPr>
              <w:t>6.5</w:t>
            </w:r>
          </w:p>
        </w:tc>
      </w:tr>
      <w:tr w:rsidR="00790B88" w:rsidRPr="00790B88" w:rsidTr="00790B88">
        <w:trPr>
          <w:trHeight w:val="255"/>
        </w:trPr>
        <w:tc>
          <w:tcPr>
            <w:tcW w:w="1768" w:type="pct"/>
            <w:shd w:val="clear" w:color="auto" w:fill="auto"/>
            <w:noWrap/>
            <w:vAlign w:val="center"/>
            <w:hideMark/>
          </w:tcPr>
          <w:p w:rsidR="00790B88" w:rsidRPr="00790B88" w:rsidRDefault="00790B88" w:rsidP="00790B88">
            <w:pPr>
              <w:jc w:val="center"/>
              <w:rPr>
                <w:rFonts w:ascii="Calibri" w:hAnsi="Calibri"/>
                <w:szCs w:val="20"/>
              </w:rPr>
            </w:pPr>
            <w:r w:rsidRPr="00790B88">
              <w:rPr>
                <w:rFonts w:ascii="Calibri" w:hAnsi="Calibri"/>
                <w:szCs w:val="20"/>
              </w:rPr>
              <w:t xml:space="preserve">Average Weekend CDH </w:t>
            </w:r>
          </w:p>
        </w:tc>
        <w:tc>
          <w:tcPr>
            <w:tcW w:w="767" w:type="pct"/>
            <w:shd w:val="clear" w:color="auto" w:fill="auto"/>
            <w:noWrap/>
            <w:vAlign w:val="center"/>
            <w:hideMark/>
          </w:tcPr>
          <w:p w:rsidR="00790B88" w:rsidRPr="00790B88" w:rsidRDefault="00790B88" w:rsidP="00790B88">
            <w:pPr>
              <w:jc w:val="center"/>
              <w:rPr>
                <w:rFonts w:ascii="Calibri" w:hAnsi="Calibri"/>
                <w:szCs w:val="20"/>
              </w:rPr>
            </w:pPr>
            <w:r>
              <w:rPr>
                <w:rFonts w:ascii="Calibri" w:hAnsi="Calibri"/>
                <w:szCs w:val="20"/>
              </w:rPr>
              <w:t>8</w:t>
            </w:r>
            <w:r w:rsidRPr="00790B88">
              <w:rPr>
                <w:rFonts w:ascii="Calibri" w:hAnsi="Calibri"/>
                <w:szCs w:val="20"/>
              </w:rPr>
              <w:t>6.9</w:t>
            </w:r>
          </w:p>
        </w:tc>
        <w:tc>
          <w:tcPr>
            <w:tcW w:w="1626" w:type="pct"/>
            <w:shd w:val="clear" w:color="auto" w:fill="auto"/>
            <w:noWrap/>
            <w:vAlign w:val="center"/>
            <w:hideMark/>
          </w:tcPr>
          <w:p w:rsidR="00790B88" w:rsidRPr="00790B88" w:rsidRDefault="00790B88" w:rsidP="00790B88">
            <w:pPr>
              <w:jc w:val="center"/>
              <w:rPr>
                <w:rFonts w:ascii="Calibri" w:hAnsi="Calibri"/>
                <w:szCs w:val="20"/>
              </w:rPr>
            </w:pPr>
            <w:r w:rsidRPr="00790B88">
              <w:rPr>
                <w:rFonts w:ascii="Calibri" w:hAnsi="Calibri"/>
                <w:szCs w:val="20"/>
              </w:rPr>
              <w:t xml:space="preserve">Average Weekend CDH </w:t>
            </w:r>
          </w:p>
        </w:tc>
        <w:tc>
          <w:tcPr>
            <w:tcW w:w="840" w:type="pct"/>
            <w:shd w:val="clear" w:color="auto" w:fill="auto"/>
            <w:noWrap/>
            <w:vAlign w:val="center"/>
            <w:hideMark/>
          </w:tcPr>
          <w:p w:rsidR="00790B88" w:rsidRPr="00790B88" w:rsidRDefault="00790B88" w:rsidP="00790B88">
            <w:pPr>
              <w:jc w:val="center"/>
              <w:rPr>
                <w:rFonts w:ascii="Calibri" w:hAnsi="Calibri"/>
                <w:szCs w:val="20"/>
              </w:rPr>
            </w:pPr>
            <w:r>
              <w:rPr>
                <w:rFonts w:ascii="Calibri" w:hAnsi="Calibri"/>
                <w:szCs w:val="20"/>
              </w:rPr>
              <w:t>9</w:t>
            </w:r>
            <w:r w:rsidRPr="00790B88">
              <w:rPr>
                <w:rFonts w:ascii="Calibri" w:hAnsi="Calibri"/>
                <w:szCs w:val="20"/>
              </w:rPr>
              <w:t>0.3</w:t>
            </w:r>
          </w:p>
        </w:tc>
      </w:tr>
    </w:tbl>
    <w:p w:rsidR="005316E6" w:rsidRDefault="005316E6" w:rsidP="00B31605">
      <w:pPr>
        <w:pStyle w:val="Heading4"/>
      </w:pPr>
      <w:r w:rsidRPr="00B31605">
        <w:t>Matched Control Group Analysis</w:t>
      </w:r>
    </w:p>
    <w:p w:rsidR="007A7C3B" w:rsidRDefault="00DA5698" w:rsidP="00244B33">
      <w:pPr>
        <w:pStyle w:val="BodyText"/>
      </w:pPr>
      <w:r>
        <w:t>N</w:t>
      </w:r>
      <w:r w:rsidR="007A7C3B">
        <w:t xml:space="preserve">early all the </w:t>
      </w:r>
      <w:r>
        <w:t xml:space="preserve">regression-based model </w:t>
      </w:r>
      <w:r w:rsidR="007A7C3B">
        <w:t>estimates for the Opt-in Alert customers indicated a reduction in us</w:t>
      </w:r>
      <w:r>
        <w:t xml:space="preserve">age during PTR events, however </w:t>
      </w:r>
      <w:r w:rsidR="00F22CDD">
        <w:t xml:space="preserve">most </w:t>
      </w:r>
      <w:r w:rsidR="007A7C3B">
        <w:t>wer</w:t>
      </w:r>
      <w:r w:rsidR="00F22CDD">
        <w:t xml:space="preserve">e not statistically </w:t>
      </w:r>
      <w:r>
        <w:t>significant. T</w:t>
      </w:r>
      <w:r w:rsidR="00F22CDD">
        <w:t>herefore</w:t>
      </w:r>
      <w:r w:rsidR="007A7C3B">
        <w:t xml:space="preserve"> we decided to use a second analysis technique for </w:t>
      </w:r>
      <w:r w:rsidR="00F90F34">
        <w:t>the Opt-in Alert customers to attempt</w:t>
      </w:r>
      <w:r w:rsidR="00F22CDD">
        <w:t xml:space="preserve"> to </w:t>
      </w:r>
      <w:r w:rsidR="00F22CDD">
        <w:lastRenderedPageBreak/>
        <w:t>detect</w:t>
      </w:r>
      <w:r w:rsidR="007A7C3B">
        <w:t xml:space="preserve"> impacts on PTR event days. </w:t>
      </w:r>
      <w:r>
        <w:t>In addition to the load shape analysis we also performed a matched control group analysis for the Opt-in Alert customers.</w:t>
      </w:r>
    </w:p>
    <w:p w:rsidR="0036546E" w:rsidRDefault="007A7C3B" w:rsidP="00244B33">
      <w:pPr>
        <w:pStyle w:val="BodyText"/>
      </w:pPr>
      <w:r>
        <w:t>Based the results of both the regression analysis and the load shape analy</w:t>
      </w:r>
      <w:r w:rsidR="00F90F34">
        <w:t>sis w</w:t>
      </w:r>
      <w:r w:rsidR="00DA5698">
        <w:t>e were confident that the Non-n</w:t>
      </w:r>
      <w:r>
        <w:t xml:space="preserve">otified customers were not responding to PTR </w:t>
      </w:r>
      <w:r w:rsidR="00F90F34">
        <w:t>events;</w:t>
      </w:r>
      <w:r>
        <w:t xml:space="preserve"> therefore we selected our co</w:t>
      </w:r>
      <w:r w:rsidR="00F90F34">
        <w:t>ntro</w:t>
      </w:r>
      <w:r w:rsidR="00DA5698">
        <w:t>l group customers from the Non-n</w:t>
      </w:r>
      <w:r>
        <w:t xml:space="preserve">otified group.  We used a propensity score model to match our 341 Opt-in Alert customers with their closest non-notified match. </w:t>
      </w:r>
      <w:r w:rsidR="0036546E">
        <w:t xml:space="preserve">The propensity score </w:t>
      </w:r>
      <w:r w:rsidR="00F22CDD">
        <w:t xml:space="preserve">model is a </w:t>
      </w:r>
      <w:proofErr w:type="spellStart"/>
      <w:r w:rsidR="00F22CDD">
        <w:t>probit</w:t>
      </w:r>
      <w:proofErr w:type="spellEnd"/>
      <w:r w:rsidR="00F22CDD">
        <w:t xml:space="preserve"> model that is</w:t>
      </w:r>
      <w:r w:rsidR="0036546E">
        <w:t xml:space="preserve"> used to predict the probability that </w:t>
      </w:r>
      <w:r w:rsidR="00DA5698">
        <w:t>a participant would sign up for Opt-in Alerts. This probability is estimated for all the participants included in the model, both Non-notified and Opt-in Alert customers</w:t>
      </w:r>
      <w:r w:rsidR="003D6536">
        <w:t>.</w:t>
      </w:r>
      <w:r w:rsidR="00DA5698">
        <w:t xml:space="preserve"> </w:t>
      </w:r>
      <w:r w:rsidR="003D6536">
        <w:t>We can then match each Opt-in Alert</w:t>
      </w:r>
      <w:r w:rsidR="0036546E">
        <w:t xml:space="preserve"> customer </w:t>
      </w:r>
      <w:r w:rsidR="003D6536">
        <w:t xml:space="preserve">to the most similar Non-notified customer where the similarity between customers is determined by the similarity in the propensity score or probability of participation. In our case, because we want to compare daily usage on event days, the parameters of the model include average daily summer usage on non-event days. By using these specific parameters we make the probability of participation or the propensity score dependent on average daily usage and therefore are able to closely match each Opt-in Alert participant with a Non-notified participant based on their daily usage. </w:t>
      </w:r>
    </w:p>
    <w:p w:rsidR="00F22CDD" w:rsidRPr="00244B33" w:rsidRDefault="00F22CDD" w:rsidP="00F22CDD">
      <w:pPr>
        <w:pStyle w:val="BodyText"/>
      </w:pPr>
      <w:r>
        <w:t xml:space="preserve">After matching each Opt-in Alert customer to their closest non-notified match using the propensity score generated by the model, we used a difference-in-difference (DID) analysis to calculate the impact on each PTR event day.   A DID approach, in contrast to a simple difference, allows us to correct for pre-existing differences between the treatment group (Opt-in Alerts customers) and the control group. The impact is estimated in two steps. First we calculate the difference between the treatment group and the control group both on event days (the “treatment period”) and on non-event days (the “pre-treatment period”).  The pre-treatment difference captures the pre-existing differences between the two groups that </w:t>
      </w:r>
      <w:proofErr w:type="gramStart"/>
      <w:r>
        <w:t>is</w:t>
      </w:r>
      <w:proofErr w:type="gramEnd"/>
      <w:r>
        <w:t xml:space="preserve"> unrelated to the events.  Then we take the second difference, which is the treatment period difference less the pre-treatment difference.  This second difference gives an impact estimate that is corrected for any pre-existing differences between the two groups. </w:t>
      </w:r>
    </w:p>
    <w:p w:rsidR="000A3EC7" w:rsidRPr="00E9073F" w:rsidRDefault="000A3EC7" w:rsidP="003A12DC">
      <w:pPr>
        <w:pStyle w:val="Figure"/>
      </w:pPr>
    </w:p>
    <w:p w:rsidR="00E804CC" w:rsidRDefault="00E804CC" w:rsidP="006E439C">
      <w:pPr>
        <w:pStyle w:val="BodyText"/>
        <w:sectPr w:rsidR="00E804CC" w:rsidSect="008904A7">
          <w:headerReference w:type="even" r:id="rId19"/>
          <w:headerReference w:type="default" r:id="rId20"/>
          <w:footerReference w:type="default" r:id="rId21"/>
          <w:type w:val="oddPage"/>
          <w:pgSz w:w="12240" w:h="15840" w:code="1"/>
          <w:pgMar w:top="1152" w:right="1440" w:bottom="1152" w:left="1800" w:header="720" w:footer="720" w:gutter="0"/>
          <w:pgNumType w:start="1" w:chapStyle="1"/>
          <w:cols w:space="720"/>
          <w:titlePg/>
          <w:docGrid w:linePitch="231"/>
        </w:sectPr>
      </w:pPr>
    </w:p>
    <w:tbl>
      <w:tblPr>
        <w:tblW w:w="5000" w:type="pct"/>
        <w:tblBorders>
          <w:insideV w:val="single" w:sz="4" w:space="0" w:color="808080"/>
        </w:tblBorders>
        <w:tblCellMar>
          <w:left w:w="58" w:type="dxa"/>
          <w:right w:w="29" w:type="dxa"/>
        </w:tblCellMar>
        <w:tblLook w:val="0000"/>
      </w:tblPr>
      <w:tblGrid>
        <w:gridCol w:w="1297"/>
        <w:gridCol w:w="7790"/>
      </w:tblGrid>
      <w:tr w:rsidR="00E804CC" w:rsidRPr="000B169A" w:rsidTr="00D547DC">
        <w:trPr>
          <w:cantSplit/>
          <w:trHeight w:hRule="exact" w:val="288"/>
        </w:trPr>
        <w:tc>
          <w:tcPr>
            <w:tcW w:w="1297" w:type="dxa"/>
            <w:shd w:val="clear" w:color="auto" w:fill="auto"/>
            <w:vAlign w:val="center"/>
          </w:tcPr>
          <w:p w:rsidR="00E804CC" w:rsidRPr="007E5F2B" w:rsidRDefault="00E804CC" w:rsidP="00D547DC">
            <w:pPr>
              <w:pStyle w:val="Chapter"/>
              <w:framePr w:wrap="around"/>
            </w:pPr>
            <w:r w:rsidRPr="007E5F2B">
              <w:lastRenderedPageBreak/>
              <w:t>Chapter</w:t>
            </w:r>
          </w:p>
        </w:tc>
        <w:tc>
          <w:tcPr>
            <w:tcW w:w="7790" w:type="dxa"/>
            <w:shd w:val="clear" w:color="auto" w:fill="auto"/>
            <w:tcMar>
              <w:left w:w="173" w:type="dxa"/>
            </w:tcMar>
            <w:vAlign w:val="center"/>
          </w:tcPr>
          <w:p w:rsidR="00E804CC" w:rsidRPr="000B169A" w:rsidRDefault="00E804CC" w:rsidP="00D547DC">
            <w:pPr>
              <w:pStyle w:val="Heading1"/>
            </w:pPr>
          </w:p>
        </w:tc>
      </w:tr>
    </w:tbl>
    <w:p w:rsidR="009B3C99" w:rsidRDefault="009B3C99" w:rsidP="00E804CC">
      <w:pPr>
        <w:pStyle w:val="ChapterTitle"/>
      </w:pPr>
    </w:p>
    <w:p w:rsidR="00E804CC" w:rsidRDefault="004D6779" w:rsidP="00E804CC">
      <w:pPr>
        <w:pStyle w:val="ChapterTitle"/>
      </w:pPr>
      <w:bookmarkStart w:id="45" w:name="_Toc351363737"/>
      <w:r>
        <w:t>Impact Results</w:t>
      </w:r>
      <w:bookmarkEnd w:id="45"/>
    </w:p>
    <w:p w:rsidR="00F86E23" w:rsidRDefault="00FC4052" w:rsidP="00E20B04">
      <w:pPr>
        <w:pStyle w:val="BodyText"/>
      </w:pPr>
      <w:r>
        <w:t>This chapter presents the results of our analysis. The first section presents the impacts estimated from the hourly regression models. The second section p</w:t>
      </w:r>
      <w:r w:rsidR="00F44657">
        <w:t>resents the results of</w:t>
      </w:r>
      <w:r w:rsidR="00734B92">
        <w:t xml:space="preserve"> the load shape analysis, and t</w:t>
      </w:r>
      <w:r w:rsidR="00F44657">
        <w:t>he third section presents the match</w:t>
      </w:r>
      <w:r w:rsidR="00734B92">
        <w:t>ed control group results</w:t>
      </w:r>
      <w:r>
        <w:t xml:space="preserve"> </w:t>
      </w:r>
    </w:p>
    <w:p w:rsidR="00E20B04" w:rsidRDefault="00552665" w:rsidP="00F86E23">
      <w:pPr>
        <w:pStyle w:val="Heading2"/>
      </w:pPr>
      <w:bookmarkStart w:id="46" w:name="_Toc351363738"/>
      <w:r w:rsidRPr="00552665">
        <w:t>Regr</w:t>
      </w:r>
      <w:r>
        <w:t>e</w:t>
      </w:r>
      <w:r w:rsidRPr="00552665">
        <w:t>ssion Results</w:t>
      </w:r>
      <w:bookmarkEnd w:id="46"/>
    </w:p>
    <w:p w:rsidR="00A17BA1" w:rsidRDefault="00A17BA1" w:rsidP="00A17BA1">
      <w:pPr>
        <w:pStyle w:val="BodyText"/>
      </w:pPr>
      <w:r>
        <w:t>As mentioned above, the regression approach yielded very few statistically significant estimates for the two event</w:t>
      </w:r>
      <w:r w:rsidR="00F71452">
        <w:t>-</w:t>
      </w:r>
      <w:r>
        <w:t>related variables that we included in the model</w:t>
      </w:r>
      <w:r w:rsidR="00F71452">
        <w:t>s</w:t>
      </w:r>
      <w:r w:rsidR="00024AC7">
        <w:t>, see Equation 1 in chapter 2 above</w:t>
      </w:r>
      <w:r>
        <w:t>.</w:t>
      </w:r>
      <w:r w:rsidR="00F71452">
        <w:t xml:space="preserve"> In </w:t>
      </w:r>
      <w:r w:rsidR="00D804F6">
        <w:t xml:space="preserve">order to estimate the </w:t>
      </w:r>
      <w:r w:rsidR="00D804F6" w:rsidRPr="00D804F6">
        <w:rPr>
          <w:i/>
        </w:rPr>
        <w:t xml:space="preserve">ex-post </w:t>
      </w:r>
      <w:r w:rsidR="00734B92">
        <w:t xml:space="preserve">on-peak impacts of </w:t>
      </w:r>
      <w:r w:rsidR="00D804F6">
        <w:t>P</w:t>
      </w:r>
      <w:r w:rsidR="00734B92">
        <w:t>T</w:t>
      </w:r>
      <w:r w:rsidR="00D804F6">
        <w:t>R events</w:t>
      </w:r>
      <w:r w:rsidR="00F71452">
        <w:t xml:space="preserve"> we estimat</w:t>
      </w:r>
      <w:r w:rsidR="0007457C">
        <w:t>ed 7 hourly models, for two day-types (weekend and weekday) across</w:t>
      </w:r>
      <w:r w:rsidR="00F71452">
        <w:t xml:space="preserve"> three subgroups resulting in a total of 42 models and 84 parameters.</w:t>
      </w:r>
      <w:r>
        <w:t xml:space="preserve"> </w:t>
      </w:r>
      <w:r w:rsidR="001666A8">
        <w:t>Table 3</w:t>
      </w:r>
      <w:r w:rsidR="00F71452">
        <w:t xml:space="preserve">-1 below presents the event-related parameter estimates for </w:t>
      </w:r>
      <w:r w:rsidR="0007457C">
        <w:t xml:space="preserve">the </w:t>
      </w:r>
      <w:r w:rsidR="00F71452">
        <w:t xml:space="preserve">42 models </w:t>
      </w:r>
      <w:r w:rsidR="0007457C">
        <w:t xml:space="preserve">and two event-related parameters </w:t>
      </w:r>
      <w:r w:rsidR="00F71452">
        <w:t>that we estimated</w:t>
      </w:r>
      <w:r w:rsidR="00734B92">
        <w:t>;</w:t>
      </w:r>
      <w:r w:rsidR="0007457C">
        <w:t xml:space="preserve"> </w:t>
      </w:r>
      <m:oMath>
        <m:sSub>
          <m:sSubPr>
            <m:ctrlPr>
              <w:rPr>
                <w:rFonts w:ascii="Cambria Math" w:hAnsi="Cambria Math"/>
                <w:i/>
                <w:szCs w:val="20"/>
              </w:rPr>
            </m:ctrlPr>
          </m:sSubPr>
          <m:e>
            <m:r>
              <w:rPr>
                <w:rFonts w:ascii="Cambria Math" w:hAnsi="Cambria Math"/>
                <w:szCs w:val="20"/>
              </w:rPr>
              <m:t xml:space="preserve"> β</m:t>
            </m:r>
          </m:e>
          <m:sub>
            <m:r>
              <w:rPr>
                <w:rFonts w:ascii="Cambria Math" w:hAnsi="Cambria Math"/>
                <w:szCs w:val="20"/>
              </w:rPr>
              <m:t>4</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PTR</m:t>
            </m:r>
          </m:e>
          <m:sub>
            <m:r>
              <w:rPr>
                <w:rFonts w:ascii="Cambria Math" w:hAnsi="Cambria Math"/>
                <w:szCs w:val="20"/>
              </w:rPr>
              <m:t>it</m:t>
            </m:r>
          </m:sub>
        </m:sSub>
      </m:oMath>
      <w:r w:rsidR="0007457C">
        <w:rPr>
          <w:szCs w:val="20"/>
        </w:rPr>
        <w:t xml:space="preserve"> and</w:t>
      </w:r>
      <m:oMath>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β</m:t>
            </m:r>
          </m:e>
          <m:sub>
            <m:r>
              <w:rPr>
                <w:rFonts w:ascii="Cambria Math" w:hAnsi="Cambria Math"/>
                <w:szCs w:val="20"/>
              </w:rPr>
              <m:t>5</m:t>
            </m:r>
          </m:sub>
        </m:sSub>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PTR</m:t>
                </m:r>
              </m:e>
              <m:sub>
                <m:r>
                  <w:rPr>
                    <w:rFonts w:ascii="Cambria Math" w:hAnsi="Cambria Math"/>
                    <w:szCs w:val="20"/>
                  </w:rPr>
                  <m:t>it</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CDHop</m:t>
                </m:r>
              </m:e>
              <m:sub>
                <m:r>
                  <w:rPr>
                    <w:rFonts w:ascii="Cambria Math" w:hAnsi="Cambria Math"/>
                    <w:szCs w:val="20"/>
                  </w:rPr>
                  <m:t>it</m:t>
                </m:r>
              </m:sub>
            </m:sSub>
          </m:e>
        </m:d>
      </m:oMath>
      <w:r w:rsidR="0007457C">
        <w:rPr>
          <w:szCs w:val="20"/>
        </w:rPr>
        <w:t xml:space="preserve">. The two coefficient estimates are color coded by level of significance, with </w:t>
      </w:r>
      <w:r w:rsidR="00D804F6">
        <w:rPr>
          <w:szCs w:val="20"/>
        </w:rPr>
        <w:t>grey being insignificant,</w:t>
      </w:r>
      <w:r w:rsidR="0007457C">
        <w:rPr>
          <w:szCs w:val="20"/>
        </w:rPr>
        <w:t xml:space="preserve"> blue being significant at the 10% l</w:t>
      </w:r>
      <w:r w:rsidR="00D804F6">
        <w:rPr>
          <w:szCs w:val="20"/>
        </w:rPr>
        <w:t>evel,</w:t>
      </w:r>
      <w:r w:rsidR="0007457C">
        <w:rPr>
          <w:szCs w:val="20"/>
        </w:rPr>
        <w:t xml:space="preserve"> green be</w:t>
      </w:r>
      <w:r w:rsidR="00D804F6">
        <w:rPr>
          <w:szCs w:val="20"/>
        </w:rPr>
        <w:t>ing significant at the 5% level,</w:t>
      </w:r>
      <w:r w:rsidR="0007457C">
        <w:rPr>
          <w:szCs w:val="20"/>
        </w:rPr>
        <w:t xml:space="preserve"> and orange being significant at the 1% level.  </w:t>
      </w:r>
      <w:r w:rsidR="00F71452">
        <w:t>We present the estimates in this format in order to provide</w:t>
      </w:r>
      <w:r w:rsidR="00734B92">
        <w:t xml:space="preserve"> both context and perspective for</w:t>
      </w:r>
      <w:r w:rsidR="00F71452">
        <w:t xml:space="preserve"> the impact estimates generated based on these parameters later in this section.  </w:t>
      </w:r>
    </w:p>
    <w:p w:rsidR="00523469" w:rsidRDefault="0007457C" w:rsidP="00A17BA1">
      <w:pPr>
        <w:pStyle w:val="BodyText"/>
      </w:pPr>
      <w:r>
        <w:t xml:space="preserve">Overall only 16 of the 84 estimates are statistically significant at any level, 12 are significant at the 5% level, and only 2 are significant at the 1% level. Standard modeling procedures generally exclude any variables from the model that are not significant at the 5% level or better, and the higher the significance the more certain one can be that the parameter estimate is, in fact, different from zero. </w:t>
      </w:r>
      <w:r w:rsidR="00523469">
        <w:t>Looking at the table below</w:t>
      </w:r>
      <w:r w:rsidR="002754A9">
        <w:t>,</w:t>
      </w:r>
      <w:r w:rsidR="00523469">
        <w:t xml:space="preserve"> we can conclude that for the most part, except in a few cases</w:t>
      </w:r>
      <w:r w:rsidR="00F22CDD">
        <w:t>,</w:t>
      </w:r>
      <w:r w:rsidR="00523469">
        <w:t xml:space="preserve"> the parameter</w:t>
      </w:r>
      <w:r w:rsidR="00734B92">
        <w:t>s</w:t>
      </w:r>
      <w:r w:rsidR="00D804F6">
        <w:t xml:space="preserve"> that are being used to</w:t>
      </w:r>
      <w:r w:rsidR="00523469">
        <w:t xml:space="preserve"> estimate PTR event impacts are not statistically significantly different from zero, and that therefore based on the model, the best estimate of the impact on a PTR event day is in fact zero. </w:t>
      </w:r>
    </w:p>
    <w:p w:rsidR="00D804F6" w:rsidRDefault="00D804F6" w:rsidP="00A17BA1">
      <w:pPr>
        <w:pStyle w:val="BodyText"/>
      </w:pPr>
      <w:r>
        <w:t xml:space="preserve">It is interesting to note that the </w:t>
      </w:r>
      <w:r w:rsidR="003636FD">
        <w:t>My Account</w:t>
      </w:r>
      <w:r>
        <w:t xml:space="preserve"> subgroup actually has the most significant estimates, however when using those estimates to calculate the impact on PTR days, the impact is more often negative than positive, indicating an increase in usage on event days rather than a decrease. In the non-notified group none of the estimates are significant indicating that the non-notified customers are not taking any action on a PTR event day. Finally</w:t>
      </w:r>
      <w:r w:rsidR="00734B92">
        <w:t>,</w:t>
      </w:r>
      <w:r>
        <w:t xml:space="preserve"> the parameters for the Opt-in Alerts are for the most part insignificant, but impacts calculated from those parameters are consistently positive. This </w:t>
      </w:r>
      <w:r w:rsidR="00030D87">
        <w:t>led</w:t>
      </w:r>
      <w:r>
        <w:t xml:space="preserve"> us to suspect that Opt-in Alerts customers might be taking some action on PTR event days. </w:t>
      </w:r>
    </w:p>
    <w:p w:rsidR="00523469" w:rsidRDefault="00523469" w:rsidP="00A17BA1">
      <w:pPr>
        <w:pStyle w:val="BodyText"/>
      </w:pPr>
    </w:p>
    <w:p w:rsidR="00523469" w:rsidRDefault="00523469" w:rsidP="00A17BA1">
      <w:pPr>
        <w:pStyle w:val="BodyText"/>
      </w:pPr>
    </w:p>
    <w:p w:rsidR="00523469" w:rsidRDefault="00523469" w:rsidP="00A17BA1">
      <w:pPr>
        <w:pStyle w:val="BodyText"/>
      </w:pPr>
    </w:p>
    <w:p w:rsidR="00523469" w:rsidRDefault="00523469" w:rsidP="00A17BA1">
      <w:pPr>
        <w:pStyle w:val="BodyText"/>
      </w:pPr>
    </w:p>
    <w:p w:rsidR="00523469" w:rsidRDefault="00523469" w:rsidP="00A17BA1">
      <w:pPr>
        <w:pStyle w:val="BodyText"/>
      </w:pPr>
    </w:p>
    <w:p w:rsidR="00523469" w:rsidRDefault="00523469" w:rsidP="00A17BA1">
      <w:pPr>
        <w:pStyle w:val="BodyText"/>
      </w:pPr>
    </w:p>
    <w:p w:rsidR="00A17BA1" w:rsidRPr="00A17BA1" w:rsidRDefault="0007457C" w:rsidP="0007457C">
      <w:pPr>
        <w:pStyle w:val="TableCaption"/>
        <w:ind w:left="0" w:firstLine="0"/>
      </w:pPr>
      <w:bookmarkStart w:id="47" w:name="_Toc351364118"/>
      <w:r w:rsidRPr="005F25AF">
        <w:lastRenderedPageBreak/>
        <w:t xml:space="preserve">Table </w:t>
      </w:r>
      <w:r w:rsidR="00397D35" w:rsidRPr="005F25AF">
        <w:fldChar w:fldCharType="begin"/>
      </w:r>
      <w:r w:rsidRPr="005F25AF">
        <w:instrText xml:space="preserve"> STYLEREF  "Heading 1,Chap Num"  \* MERGEFORMAT </w:instrText>
      </w:r>
      <w:r w:rsidR="00397D35" w:rsidRPr="005F25AF">
        <w:fldChar w:fldCharType="end"/>
      </w:r>
      <w:fldSimple w:instr=" STYLEREF  &quot;Heading 1,Chap Num&quot; \n  \* MERGEFORMAT ">
        <w:r w:rsidR="001666A8">
          <w:rPr>
            <w:noProof/>
          </w:rPr>
          <w:t>3</w:t>
        </w:r>
      </w:fldSimple>
      <w:r w:rsidRPr="005F25AF">
        <w:t>-</w:t>
      </w:r>
      <w:fldSimple w:instr=" SEQ Table\s 1 \* MERGEFORMAT ">
        <w:r w:rsidR="001666A8">
          <w:rPr>
            <w:noProof/>
          </w:rPr>
          <w:t>1</w:t>
        </w:r>
      </w:fldSimple>
      <w:r w:rsidRPr="005F25AF">
        <w:tab/>
      </w:r>
      <w:r>
        <w:t>Significance of Event-Related Parameter Estimates</w:t>
      </w:r>
      <w:bookmarkEnd w:id="47"/>
      <w:r>
        <w:t xml:space="preserve"> </w:t>
      </w:r>
    </w:p>
    <w:tbl>
      <w:tblPr>
        <w:tblW w:w="5000" w:type="pct"/>
        <w:tblLook w:val="04A0"/>
      </w:tblPr>
      <w:tblGrid>
        <w:gridCol w:w="1728"/>
        <w:gridCol w:w="1475"/>
        <w:gridCol w:w="1495"/>
        <w:gridCol w:w="1530"/>
        <w:gridCol w:w="1558"/>
        <w:gridCol w:w="1430"/>
      </w:tblGrid>
      <w:tr w:rsidR="0007457C" w:rsidRPr="00A17BA1" w:rsidTr="00A17BA1">
        <w:trPr>
          <w:trHeight w:val="780"/>
        </w:trPr>
        <w:tc>
          <w:tcPr>
            <w:tcW w:w="938" w:type="pct"/>
            <w:tcBorders>
              <w:top w:val="single" w:sz="8" w:space="0" w:color="auto"/>
              <w:left w:val="single" w:sz="8" w:space="0" w:color="auto"/>
              <w:bottom w:val="single" w:sz="4" w:space="0" w:color="auto"/>
              <w:right w:val="single" w:sz="4" w:space="0" w:color="auto"/>
            </w:tcBorders>
            <w:shd w:val="clear" w:color="000000" w:fill="1F497D"/>
            <w:vAlign w:val="center"/>
            <w:hideMark/>
          </w:tcPr>
          <w:p w:rsidR="0007457C" w:rsidRPr="00A17BA1" w:rsidRDefault="0007457C" w:rsidP="00A17BA1">
            <w:pPr>
              <w:jc w:val="center"/>
              <w:rPr>
                <w:rFonts w:ascii="Calibri" w:hAnsi="Calibri"/>
                <w:b/>
                <w:bCs/>
                <w:color w:val="FFFFFF"/>
                <w:szCs w:val="20"/>
              </w:rPr>
            </w:pPr>
            <w:r>
              <w:rPr>
                <w:rFonts w:ascii="Calibri" w:hAnsi="Calibri"/>
                <w:b/>
                <w:bCs/>
                <w:color w:val="FFFFFF"/>
                <w:szCs w:val="20"/>
              </w:rPr>
              <w:t>Subgroup</w:t>
            </w:r>
          </w:p>
        </w:tc>
        <w:tc>
          <w:tcPr>
            <w:tcW w:w="800" w:type="pct"/>
            <w:tcBorders>
              <w:top w:val="single" w:sz="8" w:space="0" w:color="auto"/>
              <w:left w:val="nil"/>
              <w:bottom w:val="single" w:sz="4" w:space="0" w:color="auto"/>
              <w:right w:val="single" w:sz="4" w:space="0" w:color="auto"/>
            </w:tcBorders>
            <w:shd w:val="clear" w:color="000000" w:fill="1F497D"/>
            <w:vAlign w:val="center"/>
            <w:hideMark/>
          </w:tcPr>
          <w:p w:rsidR="0007457C" w:rsidRPr="00A17BA1" w:rsidRDefault="0007457C" w:rsidP="00A17BA1">
            <w:pPr>
              <w:jc w:val="center"/>
              <w:rPr>
                <w:rFonts w:ascii="Calibri" w:hAnsi="Calibri"/>
                <w:b/>
                <w:bCs/>
                <w:color w:val="FFFFFF"/>
                <w:szCs w:val="20"/>
              </w:rPr>
            </w:pPr>
            <w:r w:rsidRPr="00A17BA1">
              <w:rPr>
                <w:rFonts w:ascii="Calibri" w:hAnsi="Calibri"/>
                <w:b/>
                <w:bCs/>
                <w:color w:val="FFFFFF"/>
                <w:szCs w:val="20"/>
              </w:rPr>
              <w:t>Hour</w:t>
            </w:r>
          </w:p>
        </w:tc>
        <w:tc>
          <w:tcPr>
            <w:tcW w:w="811" w:type="pct"/>
            <w:tcBorders>
              <w:top w:val="single" w:sz="8" w:space="0" w:color="auto"/>
              <w:left w:val="nil"/>
              <w:bottom w:val="single" w:sz="4" w:space="0" w:color="auto"/>
              <w:right w:val="single" w:sz="4" w:space="0" w:color="auto"/>
            </w:tcBorders>
            <w:shd w:val="clear" w:color="000000" w:fill="1F497D"/>
            <w:vAlign w:val="center"/>
            <w:hideMark/>
          </w:tcPr>
          <w:p w:rsidR="0007457C" w:rsidRDefault="0007457C" w:rsidP="0007457C">
            <w:pPr>
              <w:jc w:val="center"/>
              <w:rPr>
                <w:rFonts w:ascii="Calibri" w:hAnsi="Calibri"/>
                <w:b/>
                <w:bCs/>
                <w:color w:val="FFFFFF"/>
                <w:szCs w:val="20"/>
              </w:rPr>
            </w:pPr>
            <w:r w:rsidRPr="00A17BA1">
              <w:rPr>
                <w:rFonts w:ascii="Calibri" w:hAnsi="Calibri"/>
                <w:b/>
                <w:bCs/>
                <w:color w:val="FFFFFF"/>
                <w:szCs w:val="20"/>
              </w:rPr>
              <w:t xml:space="preserve">Weekday </w:t>
            </w:r>
          </w:p>
          <w:p w:rsidR="0007457C" w:rsidRPr="00A17BA1" w:rsidRDefault="00397D35" w:rsidP="0007457C">
            <w:pPr>
              <w:jc w:val="center"/>
              <w:rPr>
                <w:rFonts w:ascii="Calibri" w:hAnsi="Calibri"/>
                <w:b/>
                <w:bCs/>
                <w:color w:val="FFFFFF" w:themeColor="background1"/>
                <w:szCs w:val="20"/>
              </w:rPr>
            </w:pPr>
            <m:oMathPara>
              <m:oMath>
                <m:sSub>
                  <m:sSubPr>
                    <m:ctrlPr>
                      <w:rPr>
                        <w:rFonts w:ascii="Cambria Math" w:hAnsi="Cambria Math"/>
                        <w:b/>
                        <w:i/>
                        <w:color w:val="FFFFFF" w:themeColor="background1"/>
                        <w:szCs w:val="20"/>
                      </w:rPr>
                    </m:ctrlPr>
                  </m:sSubPr>
                  <m:e>
                    <m:r>
                      <m:rPr>
                        <m:sty m:val="bi"/>
                      </m:rPr>
                      <w:rPr>
                        <w:rFonts w:ascii="Cambria Math" w:hAnsi="Cambria Math"/>
                        <w:color w:val="FFFFFF" w:themeColor="background1"/>
                        <w:szCs w:val="20"/>
                      </w:rPr>
                      <m:t xml:space="preserve"> β</m:t>
                    </m:r>
                  </m:e>
                  <m:sub>
                    <m:r>
                      <m:rPr>
                        <m:sty m:val="bi"/>
                      </m:rPr>
                      <w:rPr>
                        <w:rFonts w:ascii="Cambria Math" w:hAnsi="Cambria Math"/>
                        <w:color w:val="FFFFFF" w:themeColor="background1"/>
                        <w:szCs w:val="20"/>
                      </w:rPr>
                      <m:t>4</m:t>
                    </m:r>
                  </m:sub>
                </m:sSub>
              </m:oMath>
            </m:oMathPara>
          </w:p>
        </w:tc>
        <w:tc>
          <w:tcPr>
            <w:tcW w:w="830" w:type="pct"/>
            <w:tcBorders>
              <w:top w:val="single" w:sz="8" w:space="0" w:color="auto"/>
              <w:left w:val="nil"/>
              <w:bottom w:val="single" w:sz="4" w:space="0" w:color="auto"/>
              <w:right w:val="single" w:sz="4" w:space="0" w:color="auto"/>
            </w:tcBorders>
            <w:shd w:val="clear" w:color="000000" w:fill="1F497D"/>
            <w:vAlign w:val="center"/>
            <w:hideMark/>
          </w:tcPr>
          <w:p w:rsidR="0007457C" w:rsidRDefault="0007457C" w:rsidP="0007457C">
            <w:pPr>
              <w:jc w:val="center"/>
              <w:rPr>
                <w:rFonts w:ascii="Calibri" w:hAnsi="Calibri"/>
                <w:b/>
                <w:bCs/>
                <w:color w:val="FFFFFF"/>
                <w:szCs w:val="20"/>
              </w:rPr>
            </w:pPr>
            <w:r w:rsidRPr="00A17BA1">
              <w:rPr>
                <w:rFonts w:ascii="Calibri" w:hAnsi="Calibri"/>
                <w:b/>
                <w:bCs/>
                <w:color w:val="FFFFFF"/>
                <w:szCs w:val="20"/>
              </w:rPr>
              <w:t xml:space="preserve">Weekday </w:t>
            </w:r>
          </w:p>
          <w:p w:rsidR="0007457C" w:rsidRPr="00A17BA1" w:rsidRDefault="00397D35" w:rsidP="0007457C">
            <w:pPr>
              <w:jc w:val="center"/>
              <w:rPr>
                <w:rFonts w:ascii="Calibri" w:hAnsi="Calibri"/>
                <w:b/>
                <w:bCs/>
                <w:color w:val="FFFFFF" w:themeColor="background1"/>
                <w:szCs w:val="20"/>
              </w:rPr>
            </w:pPr>
            <m:oMathPara>
              <m:oMath>
                <m:sSub>
                  <m:sSubPr>
                    <m:ctrlPr>
                      <w:rPr>
                        <w:rFonts w:ascii="Cambria Math" w:hAnsi="Cambria Math"/>
                        <w:b/>
                        <w:i/>
                        <w:color w:val="FFFFFF" w:themeColor="background1"/>
                        <w:szCs w:val="20"/>
                      </w:rPr>
                    </m:ctrlPr>
                  </m:sSubPr>
                  <m:e>
                    <m:r>
                      <m:rPr>
                        <m:sty m:val="bi"/>
                      </m:rPr>
                      <w:rPr>
                        <w:rFonts w:ascii="Cambria Math" w:hAnsi="Cambria Math"/>
                        <w:color w:val="FFFFFF" w:themeColor="background1"/>
                        <w:szCs w:val="20"/>
                      </w:rPr>
                      <m:t>β</m:t>
                    </m:r>
                  </m:e>
                  <m:sub>
                    <m:r>
                      <m:rPr>
                        <m:sty m:val="bi"/>
                      </m:rPr>
                      <w:rPr>
                        <w:rFonts w:ascii="Cambria Math" w:hAnsi="Cambria Math"/>
                        <w:color w:val="FFFFFF" w:themeColor="background1"/>
                        <w:szCs w:val="20"/>
                      </w:rPr>
                      <m:t>5</m:t>
                    </m:r>
                  </m:sub>
                </m:sSub>
              </m:oMath>
            </m:oMathPara>
          </w:p>
        </w:tc>
        <w:tc>
          <w:tcPr>
            <w:tcW w:w="845" w:type="pct"/>
            <w:tcBorders>
              <w:top w:val="single" w:sz="8" w:space="0" w:color="auto"/>
              <w:left w:val="nil"/>
              <w:bottom w:val="single" w:sz="4" w:space="0" w:color="auto"/>
              <w:right w:val="single" w:sz="4" w:space="0" w:color="auto"/>
            </w:tcBorders>
            <w:shd w:val="clear" w:color="000000" w:fill="1F497D"/>
            <w:vAlign w:val="center"/>
            <w:hideMark/>
          </w:tcPr>
          <w:p w:rsidR="0007457C" w:rsidRDefault="0007457C" w:rsidP="00D804F6">
            <w:pPr>
              <w:jc w:val="center"/>
              <w:rPr>
                <w:rFonts w:ascii="Calibri" w:hAnsi="Calibri"/>
                <w:b/>
                <w:bCs/>
                <w:color w:val="FFFFFF"/>
                <w:szCs w:val="20"/>
              </w:rPr>
            </w:pPr>
            <w:r>
              <w:rPr>
                <w:rFonts w:ascii="Calibri" w:hAnsi="Calibri"/>
                <w:b/>
                <w:bCs/>
                <w:color w:val="FFFFFF"/>
                <w:szCs w:val="20"/>
              </w:rPr>
              <w:t>Weekend</w:t>
            </w:r>
            <w:r w:rsidRPr="00A17BA1">
              <w:rPr>
                <w:rFonts w:ascii="Calibri" w:hAnsi="Calibri"/>
                <w:b/>
                <w:bCs/>
                <w:color w:val="FFFFFF"/>
                <w:szCs w:val="20"/>
              </w:rPr>
              <w:t xml:space="preserve"> </w:t>
            </w:r>
          </w:p>
          <w:p w:rsidR="0007457C" w:rsidRPr="00A17BA1" w:rsidRDefault="00397D35" w:rsidP="00D804F6">
            <w:pPr>
              <w:jc w:val="center"/>
              <w:rPr>
                <w:rFonts w:ascii="Calibri" w:hAnsi="Calibri"/>
                <w:b/>
                <w:bCs/>
                <w:color w:val="FFFFFF" w:themeColor="background1"/>
                <w:szCs w:val="20"/>
              </w:rPr>
            </w:pPr>
            <m:oMathPara>
              <m:oMath>
                <m:sSub>
                  <m:sSubPr>
                    <m:ctrlPr>
                      <w:rPr>
                        <w:rFonts w:ascii="Cambria Math" w:hAnsi="Cambria Math"/>
                        <w:b/>
                        <w:i/>
                        <w:color w:val="FFFFFF" w:themeColor="background1"/>
                        <w:szCs w:val="20"/>
                      </w:rPr>
                    </m:ctrlPr>
                  </m:sSubPr>
                  <m:e>
                    <m:r>
                      <m:rPr>
                        <m:sty m:val="bi"/>
                      </m:rPr>
                      <w:rPr>
                        <w:rFonts w:ascii="Cambria Math" w:hAnsi="Cambria Math"/>
                        <w:color w:val="FFFFFF" w:themeColor="background1"/>
                        <w:szCs w:val="20"/>
                      </w:rPr>
                      <m:t xml:space="preserve"> β</m:t>
                    </m:r>
                  </m:e>
                  <m:sub>
                    <m:r>
                      <m:rPr>
                        <m:sty m:val="bi"/>
                      </m:rPr>
                      <w:rPr>
                        <w:rFonts w:ascii="Cambria Math" w:hAnsi="Cambria Math"/>
                        <w:color w:val="FFFFFF" w:themeColor="background1"/>
                        <w:szCs w:val="20"/>
                      </w:rPr>
                      <m:t>4</m:t>
                    </m:r>
                  </m:sub>
                </m:sSub>
              </m:oMath>
            </m:oMathPara>
          </w:p>
        </w:tc>
        <w:tc>
          <w:tcPr>
            <w:tcW w:w="776" w:type="pct"/>
            <w:tcBorders>
              <w:top w:val="single" w:sz="8" w:space="0" w:color="auto"/>
              <w:left w:val="nil"/>
              <w:bottom w:val="single" w:sz="4" w:space="0" w:color="auto"/>
              <w:right w:val="single" w:sz="4" w:space="0" w:color="auto"/>
            </w:tcBorders>
            <w:shd w:val="clear" w:color="000000" w:fill="1F497D"/>
            <w:vAlign w:val="center"/>
            <w:hideMark/>
          </w:tcPr>
          <w:p w:rsidR="0007457C" w:rsidRDefault="0007457C" w:rsidP="00D804F6">
            <w:pPr>
              <w:jc w:val="center"/>
              <w:rPr>
                <w:rFonts w:ascii="Calibri" w:hAnsi="Calibri"/>
                <w:b/>
                <w:bCs/>
                <w:color w:val="FFFFFF"/>
                <w:szCs w:val="20"/>
              </w:rPr>
            </w:pPr>
            <w:r>
              <w:rPr>
                <w:rFonts w:ascii="Calibri" w:hAnsi="Calibri"/>
                <w:b/>
                <w:bCs/>
                <w:color w:val="FFFFFF"/>
                <w:szCs w:val="20"/>
              </w:rPr>
              <w:t>Weekend</w:t>
            </w:r>
            <w:r w:rsidRPr="00A17BA1">
              <w:rPr>
                <w:rFonts w:ascii="Calibri" w:hAnsi="Calibri"/>
                <w:b/>
                <w:bCs/>
                <w:color w:val="FFFFFF"/>
                <w:szCs w:val="20"/>
              </w:rPr>
              <w:t xml:space="preserve"> </w:t>
            </w:r>
          </w:p>
          <w:p w:rsidR="0007457C" w:rsidRPr="00A17BA1" w:rsidRDefault="00397D35" w:rsidP="00D804F6">
            <w:pPr>
              <w:jc w:val="center"/>
              <w:rPr>
                <w:rFonts w:ascii="Calibri" w:hAnsi="Calibri"/>
                <w:b/>
                <w:bCs/>
                <w:color w:val="FFFFFF" w:themeColor="background1"/>
                <w:szCs w:val="20"/>
              </w:rPr>
            </w:pPr>
            <m:oMathPara>
              <m:oMath>
                <m:sSub>
                  <m:sSubPr>
                    <m:ctrlPr>
                      <w:rPr>
                        <w:rFonts w:ascii="Cambria Math" w:hAnsi="Cambria Math"/>
                        <w:b/>
                        <w:i/>
                        <w:color w:val="FFFFFF" w:themeColor="background1"/>
                        <w:szCs w:val="20"/>
                      </w:rPr>
                    </m:ctrlPr>
                  </m:sSubPr>
                  <m:e>
                    <m:r>
                      <m:rPr>
                        <m:sty m:val="bi"/>
                      </m:rPr>
                      <w:rPr>
                        <w:rFonts w:ascii="Cambria Math" w:hAnsi="Cambria Math"/>
                        <w:color w:val="FFFFFF" w:themeColor="background1"/>
                        <w:szCs w:val="20"/>
                      </w:rPr>
                      <m:t>β</m:t>
                    </m:r>
                  </m:e>
                  <m:sub>
                    <m:r>
                      <m:rPr>
                        <m:sty m:val="bi"/>
                      </m:rPr>
                      <w:rPr>
                        <w:rFonts w:ascii="Cambria Math" w:hAnsi="Cambria Math"/>
                        <w:color w:val="FFFFFF" w:themeColor="background1"/>
                        <w:szCs w:val="20"/>
                      </w:rPr>
                      <m:t>5</m:t>
                    </m:r>
                  </m:sub>
                </m:sSub>
              </m:oMath>
            </m:oMathPara>
          </w:p>
        </w:tc>
      </w:tr>
      <w:tr w:rsidR="00A17BA1" w:rsidRPr="00A17BA1" w:rsidTr="00A17BA1">
        <w:trPr>
          <w:trHeight w:val="300"/>
        </w:trPr>
        <w:tc>
          <w:tcPr>
            <w:tcW w:w="938" w:type="pct"/>
            <w:tcBorders>
              <w:top w:val="nil"/>
              <w:left w:val="single" w:sz="8" w:space="0" w:color="auto"/>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Opt-In Alerts</w:t>
            </w:r>
          </w:p>
        </w:tc>
        <w:tc>
          <w:tcPr>
            <w:tcW w:w="800" w:type="pct"/>
            <w:tcBorders>
              <w:top w:val="nil"/>
              <w:left w:val="nil"/>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12</w:t>
            </w:r>
          </w:p>
        </w:tc>
        <w:tc>
          <w:tcPr>
            <w:tcW w:w="811"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0.209</w:t>
            </w:r>
          </w:p>
        </w:tc>
        <w:tc>
          <w:tcPr>
            <w:tcW w:w="830" w:type="pct"/>
            <w:tcBorders>
              <w:top w:val="nil"/>
              <w:left w:val="nil"/>
              <w:bottom w:val="single" w:sz="4" w:space="0" w:color="auto"/>
              <w:right w:val="single" w:sz="4" w:space="0" w:color="auto"/>
            </w:tcBorders>
            <w:shd w:val="clear" w:color="000000" w:fill="C2D69A"/>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-0.029</w:t>
            </w:r>
          </w:p>
        </w:tc>
        <w:tc>
          <w:tcPr>
            <w:tcW w:w="845"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0.254</w:t>
            </w:r>
          </w:p>
        </w:tc>
        <w:tc>
          <w:tcPr>
            <w:tcW w:w="776" w:type="pct"/>
            <w:tcBorders>
              <w:top w:val="nil"/>
              <w:left w:val="nil"/>
              <w:bottom w:val="single" w:sz="4" w:space="0" w:color="auto"/>
              <w:right w:val="single" w:sz="4" w:space="0" w:color="auto"/>
            </w:tcBorders>
            <w:shd w:val="clear" w:color="000000" w:fill="C2D69A"/>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-0.019</w:t>
            </w:r>
          </w:p>
        </w:tc>
      </w:tr>
      <w:tr w:rsidR="00A17BA1" w:rsidRPr="00A17BA1" w:rsidTr="00A17BA1">
        <w:trPr>
          <w:trHeight w:val="300"/>
        </w:trPr>
        <w:tc>
          <w:tcPr>
            <w:tcW w:w="938" w:type="pct"/>
            <w:tcBorders>
              <w:top w:val="nil"/>
              <w:left w:val="single" w:sz="8" w:space="0" w:color="auto"/>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00" w:type="pct"/>
            <w:tcBorders>
              <w:top w:val="nil"/>
              <w:left w:val="nil"/>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13</w:t>
            </w:r>
          </w:p>
        </w:tc>
        <w:tc>
          <w:tcPr>
            <w:tcW w:w="811"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0.147</w:t>
            </w:r>
          </w:p>
        </w:tc>
        <w:tc>
          <w:tcPr>
            <w:tcW w:w="830"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-0.022</w:t>
            </w:r>
          </w:p>
        </w:tc>
        <w:tc>
          <w:tcPr>
            <w:tcW w:w="845"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0.148</w:t>
            </w:r>
          </w:p>
        </w:tc>
        <w:tc>
          <w:tcPr>
            <w:tcW w:w="776"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-0.008</w:t>
            </w:r>
          </w:p>
        </w:tc>
      </w:tr>
      <w:tr w:rsidR="00A17BA1" w:rsidRPr="00A17BA1" w:rsidTr="00A17BA1">
        <w:trPr>
          <w:trHeight w:val="315"/>
        </w:trPr>
        <w:tc>
          <w:tcPr>
            <w:tcW w:w="938" w:type="pct"/>
            <w:tcBorders>
              <w:top w:val="nil"/>
              <w:left w:val="single" w:sz="8" w:space="0" w:color="auto"/>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00" w:type="pct"/>
            <w:tcBorders>
              <w:top w:val="nil"/>
              <w:left w:val="nil"/>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14</w:t>
            </w:r>
          </w:p>
        </w:tc>
        <w:tc>
          <w:tcPr>
            <w:tcW w:w="811"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0.205</w:t>
            </w:r>
          </w:p>
        </w:tc>
        <w:tc>
          <w:tcPr>
            <w:tcW w:w="830" w:type="pct"/>
            <w:tcBorders>
              <w:top w:val="nil"/>
              <w:left w:val="nil"/>
              <w:bottom w:val="single" w:sz="4" w:space="0" w:color="auto"/>
              <w:right w:val="single" w:sz="4" w:space="0" w:color="auto"/>
            </w:tcBorders>
            <w:shd w:val="clear" w:color="000000" w:fill="C2D69A"/>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-0.026</w:t>
            </w:r>
          </w:p>
        </w:tc>
        <w:tc>
          <w:tcPr>
            <w:tcW w:w="845"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0.191</w:t>
            </w:r>
          </w:p>
        </w:tc>
        <w:tc>
          <w:tcPr>
            <w:tcW w:w="776"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-0.011</w:t>
            </w:r>
          </w:p>
        </w:tc>
      </w:tr>
      <w:tr w:rsidR="00A17BA1" w:rsidRPr="00A17BA1" w:rsidTr="0007457C">
        <w:trPr>
          <w:trHeight w:val="315"/>
        </w:trPr>
        <w:tc>
          <w:tcPr>
            <w:tcW w:w="938" w:type="pct"/>
            <w:tcBorders>
              <w:top w:val="nil"/>
              <w:left w:val="single" w:sz="8" w:space="0" w:color="auto"/>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00" w:type="pct"/>
            <w:tcBorders>
              <w:top w:val="nil"/>
              <w:left w:val="nil"/>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15</w:t>
            </w:r>
          </w:p>
        </w:tc>
        <w:tc>
          <w:tcPr>
            <w:tcW w:w="811"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0.032</w:t>
            </w:r>
          </w:p>
        </w:tc>
        <w:tc>
          <w:tcPr>
            <w:tcW w:w="830"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-0.019</w:t>
            </w:r>
          </w:p>
        </w:tc>
        <w:tc>
          <w:tcPr>
            <w:tcW w:w="845"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0.019</w:t>
            </w:r>
          </w:p>
        </w:tc>
        <w:tc>
          <w:tcPr>
            <w:tcW w:w="776"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-0.005</w:t>
            </w:r>
          </w:p>
        </w:tc>
      </w:tr>
      <w:tr w:rsidR="00A17BA1" w:rsidRPr="00A17BA1" w:rsidTr="0007457C">
        <w:trPr>
          <w:trHeight w:val="300"/>
        </w:trPr>
        <w:tc>
          <w:tcPr>
            <w:tcW w:w="938" w:type="pct"/>
            <w:tcBorders>
              <w:top w:val="nil"/>
              <w:left w:val="single" w:sz="8" w:space="0" w:color="auto"/>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00" w:type="pct"/>
            <w:tcBorders>
              <w:top w:val="nil"/>
              <w:left w:val="nil"/>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16</w:t>
            </w:r>
          </w:p>
        </w:tc>
        <w:tc>
          <w:tcPr>
            <w:tcW w:w="811" w:type="pct"/>
            <w:tcBorders>
              <w:top w:val="single" w:sz="4" w:space="0" w:color="auto"/>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-0.112</w:t>
            </w:r>
          </w:p>
        </w:tc>
        <w:tc>
          <w:tcPr>
            <w:tcW w:w="830" w:type="pct"/>
            <w:tcBorders>
              <w:top w:val="single" w:sz="4" w:space="0" w:color="auto"/>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-0.001</w:t>
            </w:r>
          </w:p>
        </w:tc>
        <w:tc>
          <w:tcPr>
            <w:tcW w:w="845" w:type="pct"/>
            <w:tcBorders>
              <w:top w:val="single" w:sz="4" w:space="0" w:color="auto"/>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-0.054</w:t>
            </w:r>
          </w:p>
        </w:tc>
        <w:tc>
          <w:tcPr>
            <w:tcW w:w="776" w:type="pct"/>
            <w:tcBorders>
              <w:top w:val="single" w:sz="4" w:space="0" w:color="auto"/>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0.006</w:t>
            </w:r>
          </w:p>
        </w:tc>
      </w:tr>
      <w:tr w:rsidR="0007457C" w:rsidRPr="00A17BA1" w:rsidTr="0007457C">
        <w:trPr>
          <w:trHeight w:val="300"/>
        </w:trPr>
        <w:tc>
          <w:tcPr>
            <w:tcW w:w="938" w:type="pct"/>
            <w:tcBorders>
              <w:top w:val="nil"/>
              <w:left w:val="single" w:sz="8" w:space="0" w:color="auto"/>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00" w:type="pct"/>
            <w:tcBorders>
              <w:top w:val="nil"/>
              <w:left w:val="nil"/>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17</w:t>
            </w:r>
          </w:p>
        </w:tc>
        <w:tc>
          <w:tcPr>
            <w:tcW w:w="811" w:type="pct"/>
            <w:tcBorders>
              <w:top w:val="single" w:sz="4" w:space="0" w:color="auto"/>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0.019</w:t>
            </w:r>
          </w:p>
        </w:tc>
        <w:tc>
          <w:tcPr>
            <w:tcW w:w="830" w:type="pct"/>
            <w:tcBorders>
              <w:top w:val="single" w:sz="4" w:space="0" w:color="auto"/>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-0.014</w:t>
            </w:r>
          </w:p>
        </w:tc>
        <w:tc>
          <w:tcPr>
            <w:tcW w:w="84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-0.016</w:t>
            </w:r>
          </w:p>
        </w:tc>
        <w:tc>
          <w:tcPr>
            <w:tcW w:w="776" w:type="pct"/>
            <w:tcBorders>
              <w:top w:val="single" w:sz="4" w:space="0" w:color="auto"/>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0.006</w:t>
            </w:r>
          </w:p>
        </w:tc>
      </w:tr>
      <w:tr w:rsidR="0007457C" w:rsidRPr="00A17BA1" w:rsidTr="0007457C">
        <w:trPr>
          <w:trHeight w:val="300"/>
        </w:trPr>
        <w:tc>
          <w:tcPr>
            <w:tcW w:w="938" w:type="pct"/>
            <w:tcBorders>
              <w:top w:val="nil"/>
              <w:left w:val="single" w:sz="8" w:space="0" w:color="auto"/>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00" w:type="pct"/>
            <w:tcBorders>
              <w:top w:val="nil"/>
              <w:left w:val="nil"/>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18</w:t>
            </w:r>
          </w:p>
        </w:tc>
        <w:tc>
          <w:tcPr>
            <w:tcW w:w="811" w:type="pct"/>
            <w:tcBorders>
              <w:top w:val="single" w:sz="4" w:space="0" w:color="auto"/>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0.154</w:t>
            </w:r>
          </w:p>
        </w:tc>
        <w:tc>
          <w:tcPr>
            <w:tcW w:w="830" w:type="pct"/>
            <w:tcBorders>
              <w:top w:val="single" w:sz="4" w:space="0" w:color="auto"/>
              <w:left w:val="single" w:sz="4" w:space="0" w:color="auto"/>
              <w:bottom w:val="single" w:sz="4" w:space="0" w:color="auto"/>
              <w:right w:val="single" w:sz="4" w:space="0" w:color="auto"/>
            </w:tcBorders>
            <w:shd w:val="clear" w:color="000000" w:fill="8EAEC8" w:themeFill="accent1" w:themeFillTint="99"/>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-0.025</w:t>
            </w:r>
          </w:p>
        </w:tc>
        <w:tc>
          <w:tcPr>
            <w:tcW w:w="84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0.118</w:t>
            </w:r>
          </w:p>
        </w:tc>
        <w:tc>
          <w:tcPr>
            <w:tcW w:w="776" w:type="pct"/>
            <w:tcBorders>
              <w:top w:val="single" w:sz="4" w:space="0" w:color="auto"/>
              <w:left w:val="single" w:sz="4" w:space="0" w:color="auto"/>
              <w:bottom w:val="single" w:sz="4" w:space="0" w:color="auto"/>
              <w:right w:val="single" w:sz="4" w:space="0" w:color="auto"/>
            </w:tcBorders>
            <w:shd w:val="clear" w:color="000000" w:fill="8EAEC8" w:themeFill="accent1" w:themeFillTint="99"/>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-0.012</w:t>
            </w:r>
          </w:p>
        </w:tc>
      </w:tr>
      <w:tr w:rsidR="00A17BA1" w:rsidRPr="00A17BA1" w:rsidTr="00A17BA1">
        <w:trPr>
          <w:trHeight w:val="300"/>
        </w:trPr>
        <w:tc>
          <w:tcPr>
            <w:tcW w:w="938" w:type="pct"/>
            <w:tcBorders>
              <w:top w:val="single" w:sz="4" w:space="0" w:color="auto"/>
              <w:left w:val="single" w:sz="4" w:space="0" w:color="auto"/>
              <w:bottom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00" w:type="pct"/>
            <w:tcBorders>
              <w:top w:val="single" w:sz="4" w:space="0" w:color="auto"/>
              <w:bottom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11" w:type="pct"/>
            <w:tcBorders>
              <w:top w:val="single" w:sz="4" w:space="0" w:color="auto"/>
              <w:bottom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30" w:type="pct"/>
            <w:tcBorders>
              <w:top w:val="single" w:sz="4" w:space="0" w:color="auto"/>
              <w:bottom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45" w:type="pct"/>
            <w:tcBorders>
              <w:top w:val="single" w:sz="4" w:space="0" w:color="auto"/>
              <w:bottom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776" w:type="pct"/>
            <w:tcBorders>
              <w:top w:val="single" w:sz="4" w:space="0" w:color="auto"/>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r>
      <w:tr w:rsidR="00A17BA1" w:rsidRPr="00A17BA1" w:rsidTr="00A17BA1">
        <w:trPr>
          <w:trHeight w:val="300"/>
        </w:trPr>
        <w:tc>
          <w:tcPr>
            <w:tcW w:w="938" w:type="pct"/>
            <w:tcBorders>
              <w:top w:val="nil"/>
              <w:left w:val="single" w:sz="8" w:space="0" w:color="auto"/>
              <w:bottom w:val="single" w:sz="4" w:space="0" w:color="auto"/>
              <w:right w:val="single" w:sz="4" w:space="0" w:color="auto"/>
            </w:tcBorders>
            <w:shd w:val="clear" w:color="auto" w:fill="auto"/>
            <w:noWrap/>
            <w:vAlign w:val="center"/>
            <w:hideMark/>
          </w:tcPr>
          <w:p w:rsidR="00A17BA1" w:rsidRPr="00A17BA1" w:rsidRDefault="001666A8" w:rsidP="00A17BA1">
            <w:pPr>
              <w:jc w:val="center"/>
              <w:rPr>
                <w:rFonts w:ascii="Calibri" w:hAnsi="Calibri"/>
                <w:color w:val="000000"/>
                <w:szCs w:val="20"/>
              </w:rPr>
            </w:pPr>
            <w:r>
              <w:rPr>
                <w:rFonts w:ascii="Calibri" w:hAnsi="Calibri"/>
                <w:color w:val="000000"/>
                <w:szCs w:val="20"/>
              </w:rPr>
              <w:t>Non</w:t>
            </w:r>
            <w:r w:rsidR="00A17BA1" w:rsidRPr="00A17BA1">
              <w:rPr>
                <w:rFonts w:ascii="Calibri" w:hAnsi="Calibri"/>
                <w:color w:val="000000"/>
                <w:szCs w:val="20"/>
              </w:rPr>
              <w:t>-Notified</w:t>
            </w:r>
          </w:p>
        </w:tc>
        <w:tc>
          <w:tcPr>
            <w:tcW w:w="800" w:type="pct"/>
            <w:tcBorders>
              <w:top w:val="nil"/>
              <w:left w:val="nil"/>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12</w:t>
            </w:r>
          </w:p>
        </w:tc>
        <w:tc>
          <w:tcPr>
            <w:tcW w:w="811"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0.020</w:t>
            </w:r>
          </w:p>
        </w:tc>
        <w:tc>
          <w:tcPr>
            <w:tcW w:w="830"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0.009</w:t>
            </w:r>
          </w:p>
        </w:tc>
        <w:tc>
          <w:tcPr>
            <w:tcW w:w="845"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0.091</w:t>
            </w:r>
          </w:p>
        </w:tc>
        <w:tc>
          <w:tcPr>
            <w:tcW w:w="776"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-0.002</w:t>
            </w:r>
          </w:p>
        </w:tc>
      </w:tr>
      <w:tr w:rsidR="00A17BA1" w:rsidRPr="00A17BA1" w:rsidTr="00A17BA1">
        <w:trPr>
          <w:trHeight w:val="300"/>
        </w:trPr>
        <w:tc>
          <w:tcPr>
            <w:tcW w:w="938" w:type="pct"/>
            <w:tcBorders>
              <w:top w:val="nil"/>
              <w:left w:val="single" w:sz="8" w:space="0" w:color="auto"/>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00" w:type="pct"/>
            <w:tcBorders>
              <w:top w:val="nil"/>
              <w:left w:val="nil"/>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13</w:t>
            </w:r>
          </w:p>
        </w:tc>
        <w:tc>
          <w:tcPr>
            <w:tcW w:w="811"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-0.025</w:t>
            </w:r>
          </w:p>
        </w:tc>
        <w:tc>
          <w:tcPr>
            <w:tcW w:w="830"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0.011</w:t>
            </w:r>
          </w:p>
        </w:tc>
        <w:tc>
          <w:tcPr>
            <w:tcW w:w="845"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0.042</w:t>
            </w:r>
          </w:p>
        </w:tc>
        <w:tc>
          <w:tcPr>
            <w:tcW w:w="776"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0.001</w:t>
            </w:r>
          </w:p>
        </w:tc>
      </w:tr>
      <w:tr w:rsidR="00A17BA1" w:rsidRPr="00A17BA1" w:rsidTr="00A17BA1">
        <w:trPr>
          <w:trHeight w:val="300"/>
        </w:trPr>
        <w:tc>
          <w:tcPr>
            <w:tcW w:w="938" w:type="pct"/>
            <w:tcBorders>
              <w:top w:val="nil"/>
              <w:left w:val="single" w:sz="8" w:space="0" w:color="auto"/>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00" w:type="pct"/>
            <w:tcBorders>
              <w:top w:val="nil"/>
              <w:left w:val="nil"/>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14</w:t>
            </w:r>
          </w:p>
        </w:tc>
        <w:tc>
          <w:tcPr>
            <w:tcW w:w="811"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-0.032</w:t>
            </w:r>
          </w:p>
        </w:tc>
        <w:tc>
          <w:tcPr>
            <w:tcW w:w="830"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0.013</w:t>
            </w:r>
          </w:p>
        </w:tc>
        <w:tc>
          <w:tcPr>
            <w:tcW w:w="845"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0.054</w:t>
            </w:r>
          </w:p>
        </w:tc>
        <w:tc>
          <w:tcPr>
            <w:tcW w:w="776"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0.000</w:t>
            </w:r>
          </w:p>
        </w:tc>
      </w:tr>
      <w:tr w:rsidR="00A17BA1" w:rsidRPr="00A17BA1" w:rsidTr="00A17BA1">
        <w:trPr>
          <w:trHeight w:val="300"/>
        </w:trPr>
        <w:tc>
          <w:tcPr>
            <w:tcW w:w="938" w:type="pct"/>
            <w:tcBorders>
              <w:top w:val="nil"/>
              <w:left w:val="single" w:sz="8" w:space="0" w:color="auto"/>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00" w:type="pct"/>
            <w:tcBorders>
              <w:top w:val="nil"/>
              <w:left w:val="nil"/>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15</w:t>
            </w:r>
          </w:p>
        </w:tc>
        <w:tc>
          <w:tcPr>
            <w:tcW w:w="811"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0.003</w:t>
            </w:r>
          </w:p>
        </w:tc>
        <w:tc>
          <w:tcPr>
            <w:tcW w:w="830"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0.007</w:t>
            </w:r>
          </w:p>
        </w:tc>
        <w:tc>
          <w:tcPr>
            <w:tcW w:w="845"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0.047</w:t>
            </w:r>
          </w:p>
        </w:tc>
        <w:tc>
          <w:tcPr>
            <w:tcW w:w="776"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0.000</w:t>
            </w:r>
          </w:p>
        </w:tc>
      </w:tr>
      <w:tr w:rsidR="00A17BA1" w:rsidRPr="00A17BA1" w:rsidTr="00A17BA1">
        <w:trPr>
          <w:trHeight w:val="315"/>
        </w:trPr>
        <w:tc>
          <w:tcPr>
            <w:tcW w:w="938" w:type="pct"/>
            <w:tcBorders>
              <w:top w:val="nil"/>
              <w:left w:val="single" w:sz="8" w:space="0" w:color="auto"/>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00" w:type="pct"/>
            <w:tcBorders>
              <w:top w:val="nil"/>
              <w:left w:val="nil"/>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16</w:t>
            </w:r>
          </w:p>
        </w:tc>
        <w:tc>
          <w:tcPr>
            <w:tcW w:w="811"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0.012</w:t>
            </w:r>
          </w:p>
        </w:tc>
        <w:tc>
          <w:tcPr>
            <w:tcW w:w="830"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0.002</w:t>
            </w:r>
          </w:p>
        </w:tc>
        <w:tc>
          <w:tcPr>
            <w:tcW w:w="845"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0.023</w:t>
            </w:r>
          </w:p>
        </w:tc>
        <w:tc>
          <w:tcPr>
            <w:tcW w:w="776"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0.000</w:t>
            </w:r>
          </w:p>
        </w:tc>
      </w:tr>
      <w:tr w:rsidR="00A17BA1" w:rsidRPr="00A17BA1" w:rsidTr="00A17BA1">
        <w:trPr>
          <w:trHeight w:val="315"/>
        </w:trPr>
        <w:tc>
          <w:tcPr>
            <w:tcW w:w="938" w:type="pct"/>
            <w:tcBorders>
              <w:top w:val="nil"/>
              <w:left w:val="single" w:sz="8" w:space="0" w:color="auto"/>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00" w:type="pct"/>
            <w:tcBorders>
              <w:top w:val="nil"/>
              <w:left w:val="nil"/>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17</w:t>
            </w:r>
          </w:p>
        </w:tc>
        <w:tc>
          <w:tcPr>
            <w:tcW w:w="811"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-0.031</w:t>
            </w:r>
          </w:p>
        </w:tc>
        <w:tc>
          <w:tcPr>
            <w:tcW w:w="830"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0.002</w:t>
            </w:r>
          </w:p>
        </w:tc>
        <w:tc>
          <w:tcPr>
            <w:tcW w:w="845"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-0.019</w:t>
            </w:r>
          </w:p>
        </w:tc>
        <w:tc>
          <w:tcPr>
            <w:tcW w:w="776"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0.003</w:t>
            </w:r>
          </w:p>
        </w:tc>
      </w:tr>
      <w:tr w:rsidR="00A17BA1" w:rsidRPr="00A17BA1" w:rsidTr="00A17BA1">
        <w:trPr>
          <w:trHeight w:val="300"/>
        </w:trPr>
        <w:tc>
          <w:tcPr>
            <w:tcW w:w="938" w:type="pct"/>
            <w:tcBorders>
              <w:top w:val="nil"/>
              <w:left w:val="single" w:sz="8" w:space="0" w:color="auto"/>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00" w:type="pct"/>
            <w:tcBorders>
              <w:top w:val="nil"/>
              <w:left w:val="nil"/>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18</w:t>
            </w:r>
          </w:p>
        </w:tc>
        <w:tc>
          <w:tcPr>
            <w:tcW w:w="811"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0.029</w:t>
            </w:r>
          </w:p>
        </w:tc>
        <w:tc>
          <w:tcPr>
            <w:tcW w:w="830"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-0.001</w:t>
            </w:r>
          </w:p>
        </w:tc>
        <w:tc>
          <w:tcPr>
            <w:tcW w:w="845"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0.069</w:t>
            </w:r>
          </w:p>
        </w:tc>
        <w:tc>
          <w:tcPr>
            <w:tcW w:w="776"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-0.005</w:t>
            </w:r>
          </w:p>
        </w:tc>
      </w:tr>
      <w:tr w:rsidR="00A17BA1" w:rsidRPr="00A17BA1" w:rsidTr="00A17BA1">
        <w:trPr>
          <w:trHeight w:val="300"/>
        </w:trPr>
        <w:tc>
          <w:tcPr>
            <w:tcW w:w="938" w:type="pct"/>
            <w:tcBorders>
              <w:top w:val="single" w:sz="4" w:space="0" w:color="auto"/>
              <w:left w:val="single" w:sz="4" w:space="0" w:color="auto"/>
              <w:bottom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00" w:type="pct"/>
            <w:tcBorders>
              <w:top w:val="single" w:sz="4" w:space="0" w:color="auto"/>
              <w:bottom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11" w:type="pct"/>
            <w:tcBorders>
              <w:top w:val="single" w:sz="4" w:space="0" w:color="auto"/>
              <w:bottom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30" w:type="pct"/>
            <w:tcBorders>
              <w:top w:val="single" w:sz="4" w:space="0" w:color="auto"/>
              <w:bottom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45" w:type="pct"/>
            <w:tcBorders>
              <w:top w:val="single" w:sz="4" w:space="0" w:color="auto"/>
              <w:bottom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776" w:type="pct"/>
            <w:tcBorders>
              <w:top w:val="single" w:sz="4" w:space="0" w:color="auto"/>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r>
      <w:tr w:rsidR="00A17BA1" w:rsidRPr="00A17BA1" w:rsidTr="0007457C">
        <w:trPr>
          <w:trHeight w:val="300"/>
        </w:trPr>
        <w:tc>
          <w:tcPr>
            <w:tcW w:w="93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17BA1" w:rsidRPr="00A17BA1" w:rsidRDefault="003636FD" w:rsidP="00A17BA1">
            <w:pPr>
              <w:jc w:val="center"/>
              <w:rPr>
                <w:rFonts w:ascii="Calibri" w:hAnsi="Calibri"/>
                <w:color w:val="000000"/>
                <w:szCs w:val="20"/>
              </w:rPr>
            </w:pPr>
            <w:r>
              <w:rPr>
                <w:rFonts w:ascii="Calibri" w:hAnsi="Calibri"/>
                <w:color w:val="000000"/>
                <w:szCs w:val="20"/>
              </w:rPr>
              <w:t>My Account</w:t>
            </w:r>
          </w:p>
        </w:tc>
        <w:tc>
          <w:tcPr>
            <w:tcW w:w="800" w:type="pct"/>
            <w:tcBorders>
              <w:top w:val="single" w:sz="4" w:space="0" w:color="auto"/>
              <w:left w:val="nil"/>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12</w:t>
            </w:r>
          </w:p>
        </w:tc>
        <w:tc>
          <w:tcPr>
            <w:tcW w:w="811" w:type="pct"/>
            <w:tcBorders>
              <w:top w:val="single" w:sz="4" w:space="0" w:color="auto"/>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-0.043</w:t>
            </w:r>
          </w:p>
        </w:tc>
        <w:tc>
          <w:tcPr>
            <w:tcW w:w="830" w:type="pct"/>
            <w:tcBorders>
              <w:top w:val="single" w:sz="4" w:space="0" w:color="auto"/>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0.010</w:t>
            </w:r>
          </w:p>
        </w:tc>
        <w:tc>
          <w:tcPr>
            <w:tcW w:w="845" w:type="pct"/>
            <w:tcBorders>
              <w:top w:val="single" w:sz="4" w:space="0" w:color="auto"/>
              <w:left w:val="nil"/>
              <w:bottom w:val="single" w:sz="4" w:space="0" w:color="auto"/>
              <w:right w:val="single" w:sz="4" w:space="0" w:color="auto"/>
            </w:tcBorders>
            <w:shd w:val="clear" w:color="000000" w:fill="C2D69A"/>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0.164</w:t>
            </w:r>
          </w:p>
        </w:tc>
        <w:tc>
          <w:tcPr>
            <w:tcW w:w="776" w:type="pct"/>
            <w:tcBorders>
              <w:top w:val="single" w:sz="4" w:space="0" w:color="auto"/>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-0.010</w:t>
            </w:r>
          </w:p>
        </w:tc>
      </w:tr>
      <w:tr w:rsidR="00A17BA1" w:rsidRPr="00A17BA1" w:rsidTr="0007457C">
        <w:trPr>
          <w:trHeight w:val="300"/>
        </w:trPr>
        <w:tc>
          <w:tcPr>
            <w:tcW w:w="938" w:type="pct"/>
            <w:tcBorders>
              <w:top w:val="nil"/>
              <w:left w:val="single" w:sz="8" w:space="0" w:color="auto"/>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00" w:type="pct"/>
            <w:tcBorders>
              <w:top w:val="nil"/>
              <w:left w:val="nil"/>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13</w:t>
            </w:r>
          </w:p>
        </w:tc>
        <w:tc>
          <w:tcPr>
            <w:tcW w:w="811"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-0.085</w:t>
            </w:r>
          </w:p>
        </w:tc>
        <w:tc>
          <w:tcPr>
            <w:tcW w:w="830" w:type="pct"/>
            <w:tcBorders>
              <w:top w:val="nil"/>
              <w:left w:val="nil"/>
              <w:bottom w:val="single" w:sz="4" w:space="0" w:color="auto"/>
              <w:right w:val="single" w:sz="4" w:space="0" w:color="auto"/>
            </w:tcBorders>
            <w:shd w:val="clear" w:color="000000" w:fill="FCD5B4"/>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0.015</w:t>
            </w:r>
          </w:p>
        </w:tc>
        <w:tc>
          <w:tcPr>
            <w:tcW w:w="845" w:type="pct"/>
            <w:tcBorders>
              <w:top w:val="single" w:sz="4" w:space="0" w:color="auto"/>
              <w:left w:val="nil"/>
              <w:bottom w:val="single" w:sz="4" w:space="0" w:color="auto"/>
              <w:right w:val="single" w:sz="4" w:space="0" w:color="auto"/>
            </w:tcBorders>
            <w:shd w:val="clear" w:color="000000" w:fill="8EAEC8" w:themeFill="accent1" w:themeFillTint="99"/>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0.131</w:t>
            </w:r>
          </w:p>
        </w:tc>
        <w:tc>
          <w:tcPr>
            <w:tcW w:w="776"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-0.008</w:t>
            </w:r>
          </w:p>
        </w:tc>
      </w:tr>
      <w:tr w:rsidR="00A17BA1" w:rsidRPr="00A17BA1" w:rsidTr="0007457C">
        <w:trPr>
          <w:trHeight w:val="300"/>
        </w:trPr>
        <w:tc>
          <w:tcPr>
            <w:tcW w:w="938" w:type="pct"/>
            <w:tcBorders>
              <w:top w:val="nil"/>
              <w:left w:val="single" w:sz="8" w:space="0" w:color="auto"/>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00" w:type="pct"/>
            <w:tcBorders>
              <w:top w:val="nil"/>
              <w:left w:val="nil"/>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14</w:t>
            </w:r>
          </w:p>
        </w:tc>
        <w:tc>
          <w:tcPr>
            <w:tcW w:w="811"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-0.060</w:t>
            </w:r>
          </w:p>
        </w:tc>
        <w:tc>
          <w:tcPr>
            <w:tcW w:w="830" w:type="pct"/>
            <w:tcBorders>
              <w:top w:val="nil"/>
              <w:left w:val="nil"/>
              <w:bottom w:val="single" w:sz="4" w:space="0" w:color="auto"/>
              <w:right w:val="single" w:sz="4" w:space="0" w:color="auto"/>
            </w:tcBorders>
            <w:shd w:val="clear" w:color="000000" w:fill="FCD5B4"/>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0.012</w:t>
            </w:r>
          </w:p>
        </w:tc>
        <w:tc>
          <w:tcPr>
            <w:tcW w:w="845" w:type="pct"/>
            <w:tcBorders>
              <w:top w:val="nil"/>
              <w:left w:val="nil"/>
              <w:bottom w:val="single" w:sz="4" w:space="0" w:color="auto"/>
              <w:right w:val="single" w:sz="4" w:space="0" w:color="auto"/>
            </w:tcBorders>
            <w:shd w:val="clear" w:color="000000" w:fill="C2D69A"/>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0.148</w:t>
            </w:r>
          </w:p>
        </w:tc>
        <w:tc>
          <w:tcPr>
            <w:tcW w:w="776"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-0.008</w:t>
            </w:r>
          </w:p>
        </w:tc>
      </w:tr>
      <w:tr w:rsidR="00A17BA1" w:rsidRPr="00A17BA1" w:rsidTr="0007457C">
        <w:trPr>
          <w:trHeight w:val="300"/>
        </w:trPr>
        <w:tc>
          <w:tcPr>
            <w:tcW w:w="938" w:type="pct"/>
            <w:tcBorders>
              <w:top w:val="nil"/>
              <w:left w:val="single" w:sz="8" w:space="0" w:color="auto"/>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00" w:type="pct"/>
            <w:tcBorders>
              <w:top w:val="nil"/>
              <w:left w:val="nil"/>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15</w:t>
            </w:r>
          </w:p>
        </w:tc>
        <w:tc>
          <w:tcPr>
            <w:tcW w:w="811"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-0.100</w:t>
            </w:r>
          </w:p>
        </w:tc>
        <w:tc>
          <w:tcPr>
            <w:tcW w:w="830" w:type="pct"/>
            <w:tcBorders>
              <w:top w:val="single" w:sz="4" w:space="0" w:color="auto"/>
              <w:left w:val="nil"/>
              <w:bottom w:val="single" w:sz="4" w:space="0" w:color="auto"/>
              <w:right w:val="single" w:sz="4" w:space="0" w:color="auto"/>
            </w:tcBorders>
            <w:shd w:val="clear" w:color="000000" w:fill="8EAEC8" w:themeFill="accent1" w:themeFillTint="99"/>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0.020</w:t>
            </w:r>
          </w:p>
        </w:tc>
        <w:tc>
          <w:tcPr>
            <w:tcW w:w="845"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0.114</w:t>
            </w:r>
          </w:p>
        </w:tc>
        <w:tc>
          <w:tcPr>
            <w:tcW w:w="776"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-0.001</w:t>
            </w:r>
          </w:p>
        </w:tc>
      </w:tr>
      <w:tr w:rsidR="00A17BA1" w:rsidRPr="00A17BA1" w:rsidTr="00A17BA1">
        <w:trPr>
          <w:trHeight w:val="300"/>
        </w:trPr>
        <w:tc>
          <w:tcPr>
            <w:tcW w:w="938" w:type="pct"/>
            <w:tcBorders>
              <w:top w:val="nil"/>
              <w:left w:val="single" w:sz="8" w:space="0" w:color="auto"/>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00" w:type="pct"/>
            <w:tcBorders>
              <w:top w:val="nil"/>
              <w:left w:val="nil"/>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16</w:t>
            </w:r>
          </w:p>
        </w:tc>
        <w:tc>
          <w:tcPr>
            <w:tcW w:w="811" w:type="pct"/>
            <w:tcBorders>
              <w:top w:val="nil"/>
              <w:left w:val="nil"/>
              <w:bottom w:val="single" w:sz="4" w:space="0" w:color="auto"/>
              <w:right w:val="single" w:sz="4" w:space="0" w:color="auto"/>
            </w:tcBorders>
            <w:shd w:val="clear" w:color="000000" w:fill="C2D69A"/>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-0.171</w:t>
            </w:r>
          </w:p>
        </w:tc>
        <w:tc>
          <w:tcPr>
            <w:tcW w:w="830" w:type="pct"/>
            <w:tcBorders>
              <w:top w:val="nil"/>
              <w:left w:val="nil"/>
              <w:bottom w:val="single" w:sz="4" w:space="0" w:color="auto"/>
              <w:right w:val="single" w:sz="4" w:space="0" w:color="auto"/>
            </w:tcBorders>
            <w:shd w:val="clear" w:color="000000" w:fill="C2D69A"/>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0.024</w:t>
            </w:r>
          </w:p>
        </w:tc>
        <w:tc>
          <w:tcPr>
            <w:tcW w:w="845"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0.035</w:t>
            </w:r>
          </w:p>
        </w:tc>
        <w:tc>
          <w:tcPr>
            <w:tcW w:w="776"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0.002</w:t>
            </w:r>
          </w:p>
        </w:tc>
      </w:tr>
      <w:tr w:rsidR="00A17BA1" w:rsidRPr="00A17BA1" w:rsidTr="00A17BA1">
        <w:trPr>
          <w:trHeight w:val="300"/>
        </w:trPr>
        <w:tc>
          <w:tcPr>
            <w:tcW w:w="938" w:type="pct"/>
            <w:tcBorders>
              <w:top w:val="nil"/>
              <w:left w:val="single" w:sz="8" w:space="0" w:color="auto"/>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00" w:type="pct"/>
            <w:tcBorders>
              <w:top w:val="nil"/>
              <w:left w:val="nil"/>
              <w:bottom w:val="single" w:sz="4"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17</w:t>
            </w:r>
          </w:p>
        </w:tc>
        <w:tc>
          <w:tcPr>
            <w:tcW w:w="811" w:type="pct"/>
            <w:tcBorders>
              <w:top w:val="nil"/>
              <w:left w:val="nil"/>
              <w:bottom w:val="single" w:sz="4" w:space="0" w:color="auto"/>
              <w:right w:val="single" w:sz="4" w:space="0" w:color="auto"/>
            </w:tcBorders>
            <w:shd w:val="clear" w:color="000000" w:fill="C2D69A"/>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-0.269</w:t>
            </w:r>
          </w:p>
        </w:tc>
        <w:tc>
          <w:tcPr>
            <w:tcW w:w="830" w:type="pct"/>
            <w:tcBorders>
              <w:top w:val="nil"/>
              <w:left w:val="nil"/>
              <w:bottom w:val="single" w:sz="4" w:space="0" w:color="auto"/>
              <w:right w:val="single" w:sz="4" w:space="0" w:color="auto"/>
            </w:tcBorders>
            <w:shd w:val="clear" w:color="000000" w:fill="C2D69A"/>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0.022</w:t>
            </w:r>
          </w:p>
        </w:tc>
        <w:tc>
          <w:tcPr>
            <w:tcW w:w="845"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-0.110</w:t>
            </w:r>
          </w:p>
        </w:tc>
        <w:tc>
          <w:tcPr>
            <w:tcW w:w="776" w:type="pct"/>
            <w:tcBorders>
              <w:top w:val="nil"/>
              <w:left w:val="nil"/>
              <w:bottom w:val="single" w:sz="4"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0.010</w:t>
            </w:r>
          </w:p>
        </w:tc>
      </w:tr>
      <w:tr w:rsidR="00A17BA1" w:rsidRPr="00A17BA1" w:rsidTr="00A17BA1">
        <w:trPr>
          <w:trHeight w:val="315"/>
        </w:trPr>
        <w:tc>
          <w:tcPr>
            <w:tcW w:w="938" w:type="pct"/>
            <w:tcBorders>
              <w:top w:val="nil"/>
              <w:left w:val="single" w:sz="8" w:space="0" w:color="auto"/>
              <w:bottom w:val="single" w:sz="8"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p>
        </w:tc>
        <w:tc>
          <w:tcPr>
            <w:tcW w:w="800" w:type="pct"/>
            <w:tcBorders>
              <w:top w:val="nil"/>
              <w:left w:val="nil"/>
              <w:bottom w:val="single" w:sz="8" w:space="0" w:color="auto"/>
              <w:right w:val="single" w:sz="4" w:space="0" w:color="auto"/>
            </w:tcBorders>
            <w:shd w:val="clear" w:color="auto" w:fill="auto"/>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18</w:t>
            </w:r>
          </w:p>
        </w:tc>
        <w:tc>
          <w:tcPr>
            <w:tcW w:w="811" w:type="pct"/>
            <w:tcBorders>
              <w:top w:val="nil"/>
              <w:left w:val="nil"/>
              <w:bottom w:val="single" w:sz="8" w:space="0" w:color="auto"/>
              <w:right w:val="single" w:sz="4" w:space="0" w:color="auto"/>
            </w:tcBorders>
            <w:shd w:val="clear" w:color="000000" w:fill="C2D69A"/>
            <w:noWrap/>
            <w:vAlign w:val="center"/>
            <w:hideMark/>
          </w:tcPr>
          <w:p w:rsidR="00A17BA1" w:rsidRPr="00A17BA1" w:rsidRDefault="00A17BA1" w:rsidP="00A17BA1">
            <w:pPr>
              <w:jc w:val="center"/>
              <w:rPr>
                <w:rFonts w:ascii="Calibri" w:hAnsi="Calibri"/>
                <w:color w:val="000000"/>
                <w:szCs w:val="20"/>
              </w:rPr>
            </w:pPr>
            <w:r w:rsidRPr="00A17BA1">
              <w:rPr>
                <w:rFonts w:ascii="Calibri" w:hAnsi="Calibri"/>
                <w:color w:val="000000"/>
                <w:szCs w:val="20"/>
              </w:rPr>
              <w:t>-0.202</w:t>
            </w:r>
          </w:p>
        </w:tc>
        <w:tc>
          <w:tcPr>
            <w:tcW w:w="830" w:type="pct"/>
            <w:tcBorders>
              <w:top w:val="nil"/>
              <w:left w:val="nil"/>
              <w:bottom w:val="single" w:sz="8"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0.017</w:t>
            </w:r>
          </w:p>
        </w:tc>
        <w:tc>
          <w:tcPr>
            <w:tcW w:w="845" w:type="pct"/>
            <w:tcBorders>
              <w:top w:val="nil"/>
              <w:left w:val="nil"/>
              <w:bottom w:val="single" w:sz="8"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-0.060</w:t>
            </w:r>
          </w:p>
        </w:tc>
        <w:tc>
          <w:tcPr>
            <w:tcW w:w="776" w:type="pct"/>
            <w:tcBorders>
              <w:top w:val="nil"/>
              <w:left w:val="nil"/>
              <w:bottom w:val="single" w:sz="8" w:space="0" w:color="auto"/>
              <w:right w:val="single" w:sz="4" w:space="0" w:color="auto"/>
            </w:tcBorders>
            <w:shd w:val="clear" w:color="000000" w:fill="BFBFBF"/>
            <w:noWrap/>
            <w:vAlign w:val="center"/>
            <w:hideMark/>
          </w:tcPr>
          <w:p w:rsidR="00A17BA1" w:rsidRPr="00A17BA1" w:rsidRDefault="00A17BA1" w:rsidP="00A17BA1">
            <w:pPr>
              <w:jc w:val="center"/>
              <w:rPr>
                <w:rFonts w:ascii="Calibri" w:hAnsi="Calibri"/>
                <w:color w:val="404040"/>
                <w:szCs w:val="20"/>
              </w:rPr>
            </w:pPr>
            <w:r w:rsidRPr="00A17BA1">
              <w:rPr>
                <w:rFonts w:ascii="Calibri" w:hAnsi="Calibri"/>
                <w:color w:val="404040"/>
                <w:szCs w:val="20"/>
              </w:rPr>
              <w:t>0.004</w:t>
            </w:r>
          </w:p>
        </w:tc>
      </w:tr>
    </w:tbl>
    <w:p w:rsidR="00D804F6" w:rsidRDefault="00D804F6" w:rsidP="00D804F6">
      <w:pPr>
        <w:pStyle w:val="BodyText"/>
      </w:pPr>
    </w:p>
    <w:p w:rsidR="00D804F6" w:rsidRDefault="00D804F6" w:rsidP="00D804F6">
      <w:pPr>
        <w:pStyle w:val="BodyText"/>
      </w:pPr>
      <w:r>
        <w:t>While the parameter estimates of these models would not normal</w:t>
      </w:r>
      <w:r w:rsidR="00030D87">
        <w:t>ly be used to calculate impacts</w:t>
      </w:r>
      <w:r>
        <w:t xml:space="preserve"> due to their insignificance, in order to comply with CPUC reporting requirements we have included impact tables for each PTR event by subgroup in the remainder of the section. We have also included the 90% confidence intervals for each impact. If the confidence interval includes</w:t>
      </w:r>
      <w:r w:rsidR="00030D87">
        <w:t xml:space="preserve"> zero, then the impact is</w:t>
      </w:r>
      <w:r>
        <w:t xml:space="preserve"> assumed to be zero. </w:t>
      </w:r>
    </w:p>
    <w:p w:rsidR="00153CC0" w:rsidRDefault="001666A8" w:rsidP="00D804F6">
      <w:pPr>
        <w:pStyle w:val="BodyText"/>
      </w:pPr>
      <w:r>
        <w:t>Table 3</w:t>
      </w:r>
      <w:r w:rsidR="00D804F6">
        <w:t>-2</w:t>
      </w:r>
      <w:r w:rsidR="00153CC0">
        <w:t xml:space="preserve"> presents the average impact for each event day for the Opt-in Alert customers. Three of the four impacts are statistically significant indicating a slight decrease in load of between 3</w:t>
      </w:r>
      <w:r w:rsidR="00FF0D86">
        <w:t xml:space="preserve">% and </w:t>
      </w:r>
      <w:r w:rsidR="00153CC0">
        <w:t xml:space="preserve">4% on August 9, August 10, and August 14. </w:t>
      </w:r>
      <w:r w:rsidR="001D4087">
        <w:t xml:space="preserve">In addition, all but one of the impact estimates are positive with confidence intervals that are closer to zero on the negative side than the positive side. </w:t>
      </w:r>
      <w:r w:rsidR="00153CC0">
        <w:t xml:space="preserve">These results, while not completely consistent, </w:t>
      </w:r>
      <w:r w:rsidR="001D4087">
        <w:t xml:space="preserve">do </w:t>
      </w:r>
      <w:r w:rsidR="00153CC0">
        <w:t>indicate that Opt-in Alert customers may b</w:t>
      </w:r>
      <w:r w:rsidR="001D4087">
        <w:t>e responding to the PTR events.</w:t>
      </w:r>
    </w:p>
    <w:p w:rsidR="00153CC0" w:rsidRDefault="00153CC0" w:rsidP="00D804F6">
      <w:pPr>
        <w:pStyle w:val="BodyText"/>
      </w:pPr>
    </w:p>
    <w:p w:rsidR="00153CC0" w:rsidRDefault="00153CC0" w:rsidP="00D804F6">
      <w:pPr>
        <w:pStyle w:val="BodyText"/>
      </w:pPr>
    </w:p>
    <w:p w:rsidR="00153CC0" w:rsidRDefault="00153CC0" w:rsidP="00D804F6">
      <w:pPr>
        <w:pStyle w:val="BodyText"/>
      </w:pPr>
    </w:p>
    <w:p w:rsidR="00153CC0" w:rsidRDefault="00153CC0" w:rsidP="00D804F6">
      <w:pPr>
        <w:pStyle w:val="BodyText"/>
      </w:pPr>
    </w:p>
    <w:p w:rsidR="00D804F6" w:rsidRDefault="00D804F6" w:rsidP="00D804F6">
      <w:pPr>
        <w:pStyle w:val="BodyText"/>
      </w:pPr>
    </w:p>
    <w:p w:rsidR="001666A8" w:rsidRDefault="001666A8" w:rsidP="001666A8">
      <w:pPr>
        <w:pStyle w:val="TableCaption"/>
        <w:ind w:left="0" w:firstLine="0"/>
      </w:pPr>
      <w:bookmarkStart w:id="48" w:name="_Toc351364119"/>
      <w:r w:rsidRPr="005F25AF">
        <w:lastRenderedPageBreak/>
        <w:t xml:space="preserve">Table </w:t>
      </w:r>
      <w:r w:rsidR="00397D35" w:rsidRPr="005F25AF">
        <w:fldChar w:fldCharType="begin"/>
      </w:r>
      <w:r w:rsidRPr="005F25AF">
        <w:instrText xml:space="preserve"> STYLEREF  "Heading 1,Chap Num"  \* MERGEFORMAT </w:instrText>
      </w:r>
      <w:r w:rsidR="00397D35" w:rsidRPr="005F25AF">
        <w:fldChar w:fldCharType="end"/>
      </w:r>
      <w:fldSimple w:instr=" STYLEREF  &quot;Heading 1,Chap Num&quot; \n  \* MERGEFORMAT ">
        <w:r>
          <w:rPr>
            <w:noProof/>
          </w:rPr>
          <w:t>3</w:t>
        </w:r>
      </w:fldSimple>
      <w:r w:rsidRPr="005F25AF">
        <w:t>-</w:t>
      </w:r>
      <w:fldSimple w:instr=" SEQ Table\s 1 \* MERGEFORMAT ">
        <w:r>
          <w:rPr>
            <w:noProof/>
          </w:rPr>
          <w:t>2</w:t>
        </w:r>
      </w:fldSimple>
      <w:r w:rsidRPr="005F25AF">
        <w:tab/>
      </w:r>
      <w:r w:rsidR="00153CC0">
        <w:t>Opt-in Alert</w:t>
      </w:r>
      <w:r>
        <w:t xml:space="preserve"> Customers: Load Impact Estimates</w:t>
      </w:r>
      <w:bookmarkEnd w:id="48"/>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990"/>
        <w:gridCol w:w="1167"/>
        <w:gridCol w:w="1349"/>
        <w:gridCol w:w="1351"/>
        <w:gridCol w:w="1441"/>
        <w:gridCol w:w="1082"/>
        <w:gridCol w:w="914"/>
      </w:tblGrid>
      <w:tr w:rsidR="001666A8" w:rsidRPr="009E3390" w:rsidTr="009E3390">
        <w:trPr>
          <w:trHeight w:val="300"/>
        </w:trPr>
        <w:tc>
          <w:tcPr>
            <w:tcW w:w="500" w:type="pct"/>
            <w:shd w:val="clear" w:color="000000" w:fill="1F497D"/>
            <w:noWrap/>
            <w:vAlign w:val="center"/>
            <w:hideMark/>
          </w:tcPr>
          <w:p w:rsidR="001666A8" w:rsidRPr="009E3390" w:rsidRDefault="001666A8" w:rsidP="009E3390">
            <w:pPr>
              <w:jc w:val="center"/>
              <w:rPr>
                <w:rFonts w:ascii="Calibri" w:hAnsi="Calibri"/>
                <w:b/>
                <w:bCs/>
                <w:color w:val="FFFFFF"/>
                <w:szCs w:val="20"/>
              </w:rPr>
            </w:pPr>
            <w:r w:rsidRPr="009E3390">
              <w:rPr>
                <w:rFonts w:ascii="Calibri" w:hAnsi="Calibri"/>
                <w:b/>
                <w:bCs/>
                <w:color w:val="FFFFFF"/>
                <w:szCs w:val="20"/>
              </w:rPr>
              <w:t>Event Date</w:t>
            </w:r>
          </w:p>
        </w:tc>
        <w:tc>
          <w:tcPr>
            <w:tcW w:w="537" w:type="pct"/>
            <w:shd w:val="clear" w:color="000000" w:fill="1F497D"/>
            <w:noWrap/>
            <w:vAlign w:val="center"/>
            <w:hideMark/>
          </w:tcPr>
          <w:p w:rsidR="001666A8" w:rsidRPr="009E3390" w:rsidRDefault="001666A8" w:rsidP="009E3390">
            <w:pPr>
              <w:jc w:val="center"/>
              <w:rPr>
                <w:rFonts w:ascii="Calibri" w:hAnsi="Calibri"/>
                <w:b/>
                <w:bCs/>
                <w:color w:val="FFFFFF"/>
                <w:szCs w:val="20"/>
              </w:rPr>
            </w:pPr>
            <w:r w:rsidRPr="009E3390">
              <w:rPr>
                <w:rFonts w:ascii="Calibri" w:hAnsi="Calibri"/>
                <w:b/>
                <w:bCs/>
                <w:color w:val="FFFFFF"/>
                <w:szCs w:val="20"/>
              </w:rPr>
              <w:t>Accounts</w:t>
            </w:r>
          </w:p>
        </w:tc>
        <w:tc>
          <w:tcPr>
            <w:tcW w:w="633" w:type="pct"/>
            <w:shd w:val="clear" w:color="000000" w:fill="1F497D"/>
            <w:noWrap/>
            <w:vAlign w:val="center"/>
            <w:hideMark/>
          </w:tcPr>
          <w:p w:rsidR="001666A8" w:rsidRPr="009E3390" w:rsidRDefault="001666A8" w:rsidP="009E3390">
            <w:pPr>
              <w:jc w:val="center"/>
              <w:rPr>
                <w:rFonts w:ascii="Calibri" w:hAnsi="Calibri"/>
                <w:b/>
                <w:bCs/>
                <w:color w:val="FFFFFF"/>
                <w:szCs w:val="20"/>
              </w:rPr>
            </w:pPr>
            <w:r w:rsidRPr="009E3390">
              <w:rPr>
                <w:rFonts w:ascii="Calibri" w:hAnsi="Calibri"/>
                <w:b/>
                <w:bCs/>
                <w:color w:val="FFFFFF"/>
                <w:szCs w:val="20"/>
              </w:rPr>
              <w:t>% Load Reduction</w:t>
            </w:r>
          </w:p>
        </w:tc>
        <w:tc>
          <w:tcPr>
            <w:tcW w:w="732" w:type="pct"/>
            <w:shd w:val="clear" w:color="000000" w:fill="1F497D"/>
            <w:noWrap/>
            <w:vAlign w:val="center"/>
            <w:hideMark/>
          </w:tcPr>
          <w:p w:rsidR="001666A8" w:rsidRPr="009E3390" w:rsidRDefault="001666A8" w:rsidP="009E3390">
            <w:pPr>
              <w:jc w:val="center"/>
              <w:rPr>
                <w:rFonts w:ascii="Calibri" w:hAnsi="Calibri"/>
                <w:b/>
                <w:bCs/>
                <w:color w:val="FFFFFF"/>
                <w:szCs w:val="20"/>
              </w:rPr>
            </w:pPr>
            <w:r w:rsidRPr="009E3390">
              <w:rPr>
                <w:rFonts w:ascii="Calibri" w:hAnsi="Calibri"/>
                <w:b/>
                <w:bCs/>
                <w:color w:val="FFFFFF"/>
                <w:szCs w:val="20"/>
              </w:rPr>
              <w:t>Aggregate Reference Load (MW)</w:t>
            </w:r>
          </w:p>
        </w:tc>
        <w:tc>
          <w:tcPr>
            <w:tcW w:w="733" w:type="pct"/>
            <w:shd w:val="clear" w:color="000000" w:fill="1F497D"/>
            <w:noWrap/>
            <w:vAlign w:val="center"/>
            <w:hideMark/>
          </w:tcPr>
          <w:p w:rsidR="001666A8" w:rsidRPr="009E3390" w:rsidRDefault="001666A8" w:rsidP="009E3390">
            <w:pPr>
              <w:jc w:val="center"/>
              <w:rPr>
                <w:rFonts w:ascii="Calibri" w:hAnsi="Calibri"/>
                <w:b/>
                <w:bCs/>
                <w:color w:val="FFFFFF"/>
                <w:szCs w:val="20"/>
              </w:rPr>
            </w:pPr>
            <w:r w:rsidRPr="009E3390">
              <w:rPr>
                <w:rFonts w:ascii="Calibri" w:hAnsi="Calibri"/>
                <w:b/>
                <w:bCs/>
                <w:color w:val="FFFFFF"/>
                <w:szCs w:val="20"/>
              </w:rPr>
              <w:t>Aggregate Load Impact (MW)</w:t>
            </w:r>
          </w:p>
        </w:tc>
        <w:tc>
          <w:tcPr>
            <w:tcW w:w="782" w:type="pct"/>
            <w:shd w:val="clear" w:color="000000" w:fill="1F497D"/>
            <w:noWrap/>
            <w:vAlign w:val="center"/>
            <w:hideMark/>
          </w:tcPr>
          <w:p w:rsidR="001666A8" w:rsidRPr="009E3390" w:rsidRDefault="001666A8" w:rsidP="009E3390">
            <w:pPr>
              <w:jc w:val="center"/>
              <w:rPr>
                <w:rFonts w:ascii="Calibri" w:hAnsi="Calibri"/>
                <w:b/>
                <w:bCs/>
                <w:color w:val="FFFFFF"/>
                <w:szCs w:val="20"/>
              </w:rPr>
            </w:pPr>
            <w:r w:rsidRPr="009E3390">
              <w:rPr>
                <w:rFonts w:ascii="Calibri" w:hAnsi="Calibri"/>
                <w:b/>
                <w:bCs/>
                <w:color w:val="FFFFFF"/>
                <w:szCs w:val="20"/>
              </w:rPr>
              <w:t>Average Temp. During Event</w:t>
            </w:r>
          </w:p>
        </w:tc>
        <w:tc>
          <w:tcPr>
            <w:tcW w:w="587" w:type="pct"/>
            <w:shd w:val="clear" w:color="000000" w:fill="1F497D"/>
            <w:noWrap/>
            <w:vAlign w:val="center"/>
            <w:hideMark/>
          </w:tcPr>
          <w:p w:rsidR="001666A8" w:rsidRPr="009E3390" w:rsidRDefault="001666A8" w:rsidP="009E3390">
            <w:pPr>
              <w:jc w:val="center"/>
              <w:rPr>
                <w:rFonts w:ascii="Calibri" w:hAnsi="Calibri"/>
                <w:b/>
                <w:bCs/>
                <w:color w:val="FFFFFF"/>
                <w:szCs w:val="20"/>
              </w:rPr>
            </w:pPr>
            <w:r w:rsidRPr="009E3390">
              <w:rPr>
                <w:rFonts w:ascii="Calibri" w:hAnsi="Calibri"/>
                <w:b/>
                <w:bCs/>
                <w:color w:val="FFFFFF"/>
                <w:szCs w:val="20"/>
              </w:rPr>
              <w:t>90% CI</w:t>
            </w:r>
          </w:p>
        </w:tc>
        <w:tc>
          <w:tcPr>
            <w:tcW w:w="496" w:type="pct"/>
            <w:shd w:val="clear" w:color="000000" w:fill="1F497D"/>
            <w:noWrap/>
            <w:vAlign w:val="center"/>
            <w:hideMark/>
          </w:tcPr>
          <w:p w:rsidR="001666A8" w:rsidRPr="009E3390" w:rsidRDefault="001666A8" w:rsidP="009E3390">
            <w:pPr>
              <w:jc w:val="center"/>
              <w:rPr>
                <w:rFonts w:ascii="Calibri" w:hAnsi="Calibri"/>
                <w:b/>
                <w:bCs/>
                <w:color w:val="FFFFFF"/>
                <w:szCs w:val="20"/>
              </w:rPr>
            </w:pPr>
            <w:r w:rsidRPr="009E3390">
              <w:rPr>
                <w:rFonts w:ascii="Calibri" w:hAnsi="Calibri"/>
                <w:b/>
                <w:bCs/>
                <w:color w:val="FFFFFF"/>
                <w:szCs w:val="20"/>
              </w:rPr>
              <w:t>10% CI</w:t>
            </w:r>
          </w:p>
        </w:tc>
      </w:tr>
      <w:tr w:rsidR="001666A8" w:rsidRPr="009E3390" w:rsidTr="009E3390">
        <w:trPr>
          <w:trHeight w:val="300"/>
        </w:trPr>
        <w:tc>
          <w:tcPr>
            <w:tcW w:w="500"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20-Jul</w:t>
            </w:r>
          </w:p>
        </w:tc>
        <w:tc>
          <w:tcPr>
            <w:tcW w:w="537"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274</w:t>
            </w:r>
          </w:p>
        </w:tc>
        <w:tc>
          <w:tcPr>
            <w:tcW w:w="633" w:type="pct"/>
            <w:tcBorders>
              <w:bottom w:val="single" w:sz="4" w:space="0" w:color="auto"/>
            </w:tcBorders>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2.7%</w:t>
            </w:r>
          </w:p>
        </w:tc>
        <w:tc>
          <w:tcPr>
            <w:tcW w:w="73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1.0</w:t>
            </w:r>
          </w:p>
        </w:tc>
        <w:tc>
          <w:tcPr>
            <w:tcW w:w="733"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0.027</w:t>
            </w:r>
          </w:p>
        </w:tc>
        <w:tc>
          <w:tcPr>
            <w:tcW w:w="78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79.8</w:t>
            </w:r>
          </w:p>
        </w:tc>
        <w:tc>
          <w:tcPr>
            <w:tcW w:w="587"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-0.006</w:t>
            </w:r>
          </w:p>
        </w:tc>
        <w:tc>
          <w:tcPr>
            <w:tcW w:w="496"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0.059</w:t>
            </w:r>
          </w:p>
        </w:tc>
      </w:tr>
      <w:tr w:rsidR="001666A8" w:rsidRPr="009E3390" w:rsidTr="009E3390">
        <w:trPr>
          <w:trHeight w:val="300"/>
        </w:trPr>
        <w:tc>
          <w:tcPr>
            <w:tcW w:w="500"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9-Aug</w:t>
            </w:r>
          </w:p>
        </w:tc>
        <w:tc>
          <w:tcPr>
            <w:tcW w:w="537"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315</w:t>
            </w:r>
          </w:p>
        </w:tc>
        <w:tc>
          <w:tcPr>
            <w:tcW w:w="633" w:type="pct"/>
            <w:tcBorders>
              <w:bottom w:val="single" w:sz="4" w:space="0" w:color="auto"/>
            </w:tcBorders>
            <w:shd w:val="clear" w:color="auto" w:fill="D9E3EC" w:themeFill="accent1" w:themeFillTint="33"/>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3.1%</w:t>
            </w:r>
          </w:p>
        </w:tc>
        <w:tc>
          <w:tcPr>
            <w:tcW w:w="73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1.4</w:t>
            </w:r>
          </w:p>
        </w:tc>
        <w:tc>
          <w:tcPr>
            <w:tcW w:w="733" w:type="pct"/>
            <w:shd w:val="clear" w:color="000000" w:fill="DBE5F1"/>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0.040</w:t>
            </w:r>
          </w:p>
        </w:tc>
        <w:tc>
          <w:tcPr>
            <w:tcW w:w="78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81.3</w:t>
            </w:r>
          </w:p>
        </w:tc>
        <w:tc>
          <w:tcPr>
            <w:tcW w:w="587" w:type="pct"/>
            <w:shd w:val="clear" w:color="000000" w:fill="DBE5F1"/>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0.001</w:t>
            </w:r>
          </w:p>
        </w:tc>
        <w:tc>
          <w:tcPr>
            <w:tcW w:w="496" w:type="pct"/>
            <w:shd w:val="clear" w:color="000000" w:fill="DBE5F1"/>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0.080</w:t>
            </w:r>
          </w:p>
        </w:tc>
      </w:tr>
      <w:tr w:rsidR="001666A8" w:rsidRPr="009E3390" w:rsidTr="009E3390">
        <w:trPr>
          <w:trHeight w:val="300"/>
        </w:trPr>
        <w:tc>
          <w:tcPr>
            <w:tcW w:w="500"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10-Aug</w:t>
            </w:r>
          </w:p>
        </w:tc>
        <w:tc>
          <w:tcPr>
            <w:tcW w:w="537"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330</w:t>
            </w:r>
          </w:p>
        </w:tc>
        <w:tc>
          <w:tcPr>
            <w:tcW w:w="633" w:type="pct"/>
            <w:tcBorders>
              <w:top w:val="single" w:sz="4" w:space="0" w:color="auto"/>
            </w:tcBorders>
            <w:shd w:val="clear" w:color="auto" w:fill="D9E3EC" w:themeFill="accent1" w:themeFillTint="33"/>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3.8%</w:t>
            </w:r>
          </w:p>
        </w:tc>
        <w:tc>
          <w:tcPr>
            <w:tcW w:w="73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1.4</w:t>
            </w:r>
          </w:p>
        </w:tc>
        <w:tc>
          <w:tcPr>
            <w:tcW w:w="733" w:type="pct"/>
            <w:shd w:val="clear" w:color="000000" w:fill="DBE5F1"/>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0.050</w:t>
            </w:r>
          </w:p>
        </w:tc>
        <w:tc>
          <w:tcPr>
            <w:tcW w:w="78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82.5</w:t>
            </w:r>
          </w:p>
        </w:tc>
        <w:tc>
          <w:tcPr>
            <w:tcW w:w="587" w:type="pct"/>
            <w:shd w:val="clear" w:color="000000" w:fill="DBE5F1"/>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0.005</w:t>
            </w:r>
          </w:p>
        </w:tc>
        <w:tc>
          <w:tcPr>
            <w:tcW w:w="496" w:type="pct"/>
            <w:shd w:val="clear" w:color="000000" w:fill="DBE5F1"/>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0.095</w:t>
            </w:r>
          </w:p>
        </w:tc>
      </w:tr>
      <w:tr w:rsidR="001666A8" w:rsidRPr="009E3390" w:rsidTr="009E3390">
        <w:trPr>
          <w:trHeight w:val="300"/>
        </w:trPr>
        <w:tc>
          <w:tcPr>
            <w:tcW w:w="500"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11-Aug</w:t>
            </w:r>
          </w:p>
        </w:tc>
        <w:tc>
          <w:tcPr>
            <w:tcW w:w="537"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332</w:t>
            </w:r>
          </w:p>
        </w:tc>
        <w:tc>
          <w:tcPr>
            <w:tcW w:w="633" w:type="pct"/>
            <w:tcBorders>
              <w:bottom w:val="single" w:sz="4" w:space="0" w:color="auto"/>
            </w:tcBorders>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-0.4%</w:t>
            </w:r>
          </w:p>
        </w:tc>
        <w:tc>
          <w:tcPr>
            <w:tcW w:w="73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0.9</w:t>
            </w:r>
          </w:p>
        </w:tc>
        <w:tc>
          <w:tcPr>
            <w:tcW w:w="733"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-0.004</w:t>
            </w:r>
          </w:p>
        </w:tc>
        <w:tc>
          <w:tcPr>
            <w:tcW w:w="78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83.5</w:t>
            </w:r>
          </w:p>
        </w:tc>
        <w:tc>
          <w:tcPr>
            <w:tcW w:w="587"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-0.044</w:t>
            </w:r>
          </w:p>
        </w:tc>
        <w:tc>
          <w:tcPr>
            <w:tcW w:w="496"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0.037</w:t>
            </w:r>
          </w:p>
        </w:tc>
      </w:tr>
      <w:tr w:rsidR="001666A8" w:rsidRPr="009E3390" w:rsidTr="009E3390">
        <w:trPr>
          <w:trHeight w:val="300"/>
        </w:trPr>
        <w:tc>
          <w:tcPr>
            <w:tcW w:w="500"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14-Aug</w:t>
            </w:r>
          </w:p>
        </w:tc>
        <w:tc>
          <w:tcPr>
            <w:tcW w:w="537"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337</w:t>
            </w:r>
          </w:p>
        </w:tc>
        <w:tc>
          <w:tcPr>
            <w:tcW w:w="633" w:type="pct"/>
            <w:shd w:val="clear" w:color="auto" w:fill="D9E3EC" w:themeFill="accent1" w:themeFillTint="33"/>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3.4%</w:t>
            </w:r>
          </w:p>
        </w:tc>
        <w:tc>
          <w:tcPr>
            <w:tcW w:w="73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1.5</w:t>
            </w:r>
          </w:p>
        </w:tc>
        <w:tc>
          <w:tcPr>
            <w:tcW w:w="733" w:type="pct"/>
            <w:shd w:val="clear" w:color="000000" w:fill="DBE5F1"/>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0.050</w:t>
            </w:r>
          </w:p>
        </w:tc>
        <w:tc>
          <w:tcPr>
            <w:tcW w:w="78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82.3</w:t>
            </w:r>
          </w:p>
        </w:tc>
        <w:tc>
          <w:tcPr>
            <w:tcW w:w="587" w:type="pct"/>
            <w:shd w:val="clear" w:color="000000" w:fill="DBE5F1"/>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0.005</w:t>
            </w:r>
          </w:p>
        </w:tc>
        <w:tc>
          <w:tcPr>
            <w:tcW w:w="496" w:type="pct"/>
            <w:shd w:val="clear" w:color="000000" w:fill="DBE5F1"/>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0.094</w:t>
            </w:r>
          </w:p>
        </w:tc>
      </w:tr>
      <w:tr w:rsidR="001666A8" w:rsidRPr="009E3390" w:rsidTr="009E3390">
        <w:trPr>
          <w:trHeight w:val="300"/>
        </w:trPr>
        <w:tc>
          <w:tcPr>
            <w:tcW w:w="500"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21-Aug</w:t>
            </w:r>
          </w:p>
        </w:tc>
        <w:tc>
          <w:tcPr>
            <w:tcW w:w="537"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339</w:t>
            </w:r>
          </w:p>
        </w:tc>
        <w:tc>
          <w:tcPr>
            <w:tcW w:w="633"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1.4%</w:t>
            </w:r>
          </w:p>
        </w:tc>
        <w:tc>
          <w:tcPr>
            <w:tcW w:w="73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1.3</w:t>
            </w:r>
          </w:p>
        </w:tc>
        <w:tc>
          <w:tcPr>
            <w:tcW w:w="733"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0.018</w:t>
            </w:r>
          </w:p>
        </w:tc>
        <w:tc>
          <w:tcPr>
            <w:tcW w:w="78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77.5</w:t>
            </w:r>
          </w:p>
        </w:tc>
        <w:tc>
          <w:tcPr>
            <w:tcW w:w="587"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-0.024</w:t>
            </w:r>
          </w:p>
        </w:tc>
        <w:tc>
          <w:tcPr>
            <w:tcW w:w="496"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0.059</w:t>
            </w:r>
          </w:p>
        </w:tc>
      </w:tr>
      <w:tr w:rsidR="001666A8" w:rsidRPr="009E3390" w:rsidTr="009E3390">
        <w:trPr>
          <w:trHeight w:val="300"/>
        </w:trPr>
        <w:tc>
          <w:tcPr>
            <w:tcW w:w="500"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15-Sep</w:t>
            </w:r>
          </w:p>
        </w:tc>
        <w:tc>
          <w:tcPr>
            <w:tcW w:w="537"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339</w:t>
            </w:r>
          </w:p>
        </w:tc>
        <w:tc>
          <w:tcPr>
            <w:tcW w:w="633"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2.5%</w:t>
            </w:r>
          </w:p>
        </w:tc>
        <w:tc>
          <w:tcPr>
            <w:tcW w:w="73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1.0</w:t>
            </w:r>
          </w:p>
        </w:tc>
        <w:tc>
          <w:tcPr>
            <w:tcW w:w="733"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0.024</w:t>
            </w:r>
          </w:p>
        </w:tc>
        <w:tc>
          <w:tcPr>
            <w:tcW w:w="78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96.4</w:t>
            </w:r>
          </w:p>
        </w:tc>
        <w:tc>
          <w:tcPr>
            <w:tcW w:w="587"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-0.058</w:t>
            </w:r>
          </w:p>
        </w:tc>
        <w:tc>
          <w:tcPr>
            <w:tcW w:w="496"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0.106</w:t>
            </w:r>
          </w:p>
        </w:tc>
      </w:tr>
      <w:tr w:rsidR="009E3390" w:rsidRPr="009E3390" w:rsidTr="009E3390">
        <w:trPr>
          <w:trHeight w:val="300"/>
        </w:trPr>
        <w:tc>
          <w:tcPr>
            <w:tcW w:w="500" w:type="pct"/>
            <w:shd w:val="clear" w:color="auto" w:fill="auto"/>
            <w:noWrap/>
            <w:vAlign w:val="center"/>
            <w:hideMark/>
          </w:tcPr>
          <w:p w:rsidR="009E3390" w:rsidRPr="009E3390" w:rsidRDefault="009E3390" w:rsidP="009E3390">
            <w:pPr>
              <w:jc w:val="center"/>
              <w:rPr>
                <w:rFonts w:ascii="Calibri" w:hAnsi="Calibri"/>
                <w:b/>
                <w:bCs/>
                <w:color w:val="000000"/>
                <w:szCs w:val="20"/>
              </w:rPr>
            </w:pPr>
            <w:r w:rsidRPr="009E3390">
              <w:rPr>
                <w:rFonts w:ascii="Calibri" w:hAnsi="Calibri"/>
                <w:b/>
                <w:bCs/>
                <w:color w:val="000000"/>
                <w:szCs w:val="20"/>
              </w:rPr>
              <w:t>Average</w:t>
            </w:r>
          </w:p>
        </w:tc>
        <w:tc>
          <w:tcPr>
            <w:tcW w:w="537" w:type="pct"/>
            <w:shd w:val="clear" w:color="auto" w:fill="auto"/>
            <w:noWrap/>
            <w:vAlign w:val="center"/>
            <w:hideMark/>
          </w:tcPr>
          <w:p w:rsidR="009E3390" w:rsidRPr="009E3390" w:rsidRDefault="009E3390" w:rsidP="009E3390">
            <w:pPr>
              <w:jc w:val="center"/>
              <w:rPr>
                <w:rFonts w:ascii="Calibri" w:hAnsi="Calibri"/>
                <w:b/>
                <w:bCs/>
                <w:color w:val="000000"/>
                <w:szCs w:val="20"/>
              </w:rPr>
            </w:pPr>
            <w:r w:rsidRPr="009E3390">
              <w:rPr>
                <w:rFonts w:ascii="Calibri" w:hAnsi="Calibri"/>
                <w:b/>
                <w:bCs/>
                <w:color w:val="000000"/>
                <w:szCs w:val="20"/>
              </w:rPr>
              <w:t>324</w:t>
            </w:r>
          </w:p>
        </w:tc>
        <w:tc>
          <w:tcPr>
            <w:tcW w:w="633" w:type="pct"/>
            <w:shd w:val="clear" w:color="auto" w:fill="auto"/>
            <w:noWrap/>
            <w:vAlign w:val="center"/>
            <w:hideMark/>
          </w:tcPr>
          <w:p w:rsidR="009E3390" w:rsidRPr="009E3390" w:rsidRDefault="009E3390" w:rsidP="009E3390">
            <w:pPr>
              <w:jc w:val="center"/>
              <w:rPr>
                <w:rFonts w:ascii="Calibri" w:hAnsi="Calibri"/>
                <w:b/>
                <w:bCs/>
                <w:color w:val="000000"/>
                <w:szCs w:val="20"/>
              </w:rPr>
            </w:pPr>
            <w:r w:rsidRPr="009E3390">
              <w:rPr>
                <w:rFonts w:ascii="Calibri" w:hAnsi="Calibri"/>
                <w:b/>
                <w:bCs/>
                <w:color w:val="000000"/>
                <w:szCs w:val="20"/>
              </w:rPr>
              <w:t>2.5%</w:t>
            </w:r>
          </w:p>
        </w:tc>
        <w:tc>
          <w:tcPr>
            <w:tcW w:w="732" w:type="pct"/>
            <w:shd w:val="clear" w:color="auto" w:fill="auto"/>
            <w:noWrap/>
            <w:vAlign w:val="center"/>
            <w:hideMark/>
          </w:tcPr>
          <w:p w:rsidR="009E3390" w:rsidRPr="009E3390" w:rsidRDefault="009E3390" w:rsidP="009E3390">
            <w:pPr>
              <w:jc w:val="center"/>
              <w:rPr>
                <w:rFonts w:ascii="Calibri" w:hAnsi="Calibri"/>
                <w:b/>
                <w:bCs/>
                <w:color w:val="000000"/>
                <w:szCs w:val="20"/>
              </w:rPr>
            </w:pPr>
            <w:r w:rsidRPr="009E3390">
              <w:rPr>
                <w:rFonts w:ascii="Calibri" w:hAnsi="Calibri"/>
                <w:b/>
                <w:bCs/>
                <w:color w:val="000000"/>
                <w:szCs w:val="20"/>
              </w:rPr>
              <w:t>1.2</w:t>
            </w:r>
          </w:p>
        </w:tc>
        <w:tc>
          <w:tcPr>
            <w:tcW w:w="733" w:type="pct"/>
            <w:shd w:val="clear" w:color="auto" w:fill="auto"/>
            <w:noWrap/>
            <w:vAlign w:val="center"/>
            <w:hideMark/>
          </w:tcPr>
          <w:p w:rsidR="009E3390" w:rsidRPr="009E3390" w:rsidRDefault="009E3390" w:rsidP="009E3390">
            <w:pPr>
              <w:jc w:val="center"/>
              <w:rPr>
                <w:rFonts w:ascii="Calibri" w:hAnsi="Calibri" w:cs="Arial"/>
                <w:b/>
                <w:bCs/>
                <w:szCs w:val="20"/>
              </w:rPr>
            </w:pPr>
            <w:r w:rsidRPr="009E3390">
              <w:rPr>
                <w:rFonts w:ascii="Calibri" w:hAnsi="Calibri" w:cs="Arial"/>
                <w:b/>
                <w:bCs/>
                <w:szCs w:val="20"/>
              </w:rPr>
              <w:t>0.029</w:t>
            </w:r>
          </w:p>
        </w:tc>
        <w:tc>
          <w:tcPr>
            <w:tcW w:w="782" w:type="pct"/>
            <w:shd w:val="clear" w:color="auto" w:fill="auto"/>
            <w:noWrap/>
            <w:vAlign w:val="center"/>
            <w:hideMark/>
          </w:tcPr>
          <w:p w:rsidR="009E3390" w:rsidRPr="009E3390" w:rsidRDefault="009E3390" w:rsidP="009E3390">
            <w:pPr>
              <w:jc w:val="center"/>
              <w:rPr>
                <w:rFonts w:ascii="Calibri" w:hAnsi="Calibri"/>
                <w:b/>
                <w:bCs/>
                <w:color w:val="000000"/>
                <w:szCs w:val="20"/>
              </w:rPr>
            </w:pPr>
            <w:r w:rsidRPr="009E3390">
              <w:rPr>
                <w:rFonts w:ascii="Calibri" w:hAnsi="Calibri"/>
                <w:b/>
                <w:bCs/>
                <w:color w:val="000000"/>
                <w:szCs w:val="20"/>
              </w:rPr>
              <w:t>83.3</w:t>
            </w:r>
          </w:p>
        </w:tc>
        <w:tc>
          <w:tcPr>
            <w:tcW w:w="587" w:type="pct"/>
            <w:shd w:val="clear" w:color="auto" w:fill="auto"/>
            <w:noWrap/>
            <w:vAlign w:val="center"/>
            <w:hideMark/>
          </w:tcPr>
          <w:p w:rsidR="009E3390" w:rsidRPr="009E3390" w:rsidRDefault="009E3390" w:rsidP="009E3390">
            <w:pPr>
              <w:jc w:val="center"/>
              <w:rPr>
                <w:rFonts w:ascii="Calibri" w:hAnsi="Calibri" w:cs="Arial"/>
                <w:b/>
                <w:bCs/>
                <w:szCs w:val="20"/>
              </w:rPr>
            </w:pPr>
            <w:r w:rsidRPr="009E3390">
              <w:rPr>
                <w:rFonts w:ascii="Calibri" w:hAnsi="Calibri" w:cs="Arial"/>
                <w:b/>
                <w:bCs/>
                <w:szCs w:val="20"/>
              </w:rPr>
              <w:t>-0.019</w:t>
            </w:r>
          </w:p>
        </w:tc>
        <w:tc>
          <w:tcPr>
            <w:tcW w:w="496" w:type="pct"/>
            <w:shd w:val="clear" w:color="auto" w:fill="auto"/>
            <w:noWrap/>
            <w:vAlign w:val="center"/>
            <w:hideMark/>
          </w:tcPr>
          <w:p w:rsidR="009E3390" w:rsidRPr="009E3390" w:rsidRDefault="009E3390" w:rsidP="009E3390">
            <w:pPr>
              <w:jc w:val="center"/>
              <w:rPr>
                <w:rFonts w:ascii="Calibri" w:hAnsi="Calibri" w:cs="Arial"/>
                <w:b/>
                <w:bCs/>
                <w:szCs w:val="20"/>
              </w:rPr>
            </w:pPr>
            <w:r w:rsidRPr="009E3390">
              <w:rPr>
                <w:rFonts w:ascii="Calibri" w:hAnsi="Calibri" w:cs="Arial"/>
                <w:b/>
                <w:bCs/>
                <w:szCs w:val="20"/>
              </w:rPr>
              <w:t>0.077</w:t>
            </w:r>
          </w:p>
        </w:tc>
      </w:tr>
    </w:tbl>
    <w:p w:rsidR="001666A8" w:rsidRDefault="001666A8" w:rsidP="00D804F6">
      <w:pPr>
        <w:pStyle w:val="BodyText"/>
      </w:pPr>
    </w:p>
    <w:p w:rsidR="00153CC0" w:rsidRDefault="00153CC0" w:rsidP="00D804F6">
      <w:pPr>
        <w:pStyle w:val="BodyText"/>
      </w:pPr>
      <w:r>
        <w:t xml:space="preserve">Table 3-3 presents the average impacts on each PTR event day for those customers who were not officially notified of an event. None of the impacts in Table </w:t>
      </w:r>
      <w:r w:rsidR="00734B92">
        <w:t>3-3 are statistically different</w:t>
      </w:r>
      <w:r>
        <w:t xml:space="preserve"> from zero</w:t>
      </w:r>
      <w:r w:rsidR="00734B92">
        <w:t>. T</w:t>
      </w:r>
      <w:r>
        <w:t>h</w:t>
      </w:r>
      <w:r w:rsidR="00734B92">
        <w:t>erefore these results indicate</w:t>
      </w:r>
      <w:r w:rsidR="00FF0D86">
        <w:t xml:space="preserve"> that Non-n</w:t>
      </w:r>
      <w:r>
        <w:t xml:space="preserve">otified customers are not responding to PTR events. </w:t>
      </w:r>
    </w:p>
    <w:p w:rsidR="001666A8" w:rsidRDefault="001666A8" w:rsidP="001666A8">
      <w:pPr>
        <w:pStyle w:val="TableCaption"/>
        <w:ind w:left="0" w:firstLine="0"/>
      </w:pPr>
      <w:bookmarkStart w:id="49" w:name="_Toc351364120"/>
      <w:r w:rsidRPr="005F25AF">
        <w:t xml:space="preserve">Table </w:t>
      </w:r>
      <w:r w:rsidR="00397D35" w:rsidRPr="005F25AF">
        <w:fldChar w:fldCharType="begin"/>
      </w:r>
      <w:r w:rsidRPr="005F25AF">
        <w:instrText xml:space="preserve"> STYLEREF  "Heading 1,Chap Num"  \* MERGEFORMAT </w:instrText>
      </w:r>
      <w:r w:rsidR="00397D35" w:rsidRPr="005F25AF">
        <w:fldChar w:fldCharType="end"/>
      </w:r>
      <w:fldSimple w:instr=" STYLEREF  &quot;Heading 1,Chap Num&quot; \n  \* MERGEFORMAT ">
        <w:r>
          <w:rPr>
            <w:noProof/>
          </w:rPr>
          <w:t>3</w:t>
        </w:r>
      </w:fldSimple>
      <w:r w:rsidRPr="005F25AF">
        <w:t>-</w:t>
      </w:r>
      <w:fldSimple w:instr=" SEQ Table\s 1 \* MERGEFORMAT ">
        <w:r>
          <w:rPr>
            <w:noProof/>
          </w:rPr>
          <w:t>3</w:t>
        </w:r>
      </w:fldSimple>
      <w:r w:rsidRPr="005F25AF">
        <w:tab/>
      </w:r>
      <w:r>
        <w:t>Non-Notified Customers: Load Impact Estimates</w:t>
      </w:r>
      <w:bookmarkEnd w:id="49"/>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
        <w:gridCol w:w="990"/>
        <w:gridCol w:w="1170"/>
        <w:gridCol w:w="1349"/>
        <w:gridCol w:w="1349"/>
        <w:gridCol w:w="1440"/>
        <w:gridCol w:w="1080"/>
        <w:gridCol w:w="918"/>
      </w:tblGrid>
      <w:tr w:rsidR="001666A8" w:rsidRPr="009E3390" w:rsidTr="009E3390">
        <w:trPr>
          <w:trHeight w:val="300"/>
        </w:trPr>
        <w:tc>
          <w:tcPr>
            <w:tcW w:w="499" w:type="pct"/>
            <w:shd w:val="clear" w:color="000000" w:fill="1F497D"/>
            <w:noWrap/>
            <w:vAlign w:val="center"/>
            <w:hideMark/>
          </w:tcPr>
          <w:p w:rsidR="001666A8" w:rsidRPr="009E3390" w:rsidRDefault="001666A8" w:rsidP="009E3390">
            <w:pPr>
              <w:jc w:val="center"/>
              <w:rPr>
                <w:rFonts w:ascii="Calibri" w:hAnsi="Calibri"/>
                <w:b/>
                <w:color w:val="FFFFFF"/>
                <w:szCs w:val="20"/>
              </w:rPr>
            </w:pPr>
            <w:r w:rsidRPr="009E3390">
              <w:rPr>
                <w:rFonts w:ascii="Calibri" w:hAnsi="Calibri"/>
                <w:b/>
                <w:color w:val="FFFFFF"/>
                <w:szCs w:val="20"/>
              </w:rPr>
              <w:t>Event Date</w:t>
            </w:r>
          </w:p>
        </w:tc>
        <w:tc>
          <w:tcPr>
            <w:tcW w:w="537" w:type="pct"/>
            <w:shd w:val="clear" w:color="000000" w:fill="1F497D"/>
            <w:noWrap/>
            <w:vAlign w:val="center"/>
            <w:hideMark/>
          </w:tcPr>
          <w:p w:rsidR="001666A8" w:rsidRPr="009E3390" w:rsidRDefault="001666A8" w:rsidP="009E3390">
            <w:pPr>
              <w:jc w:val="center"/>
              <w:rPr>
                <w:rFonts w:ascii="Calibri" w:hAnsi="Calibri"/>
                <w:b/>
                <w:color w:val="FFFFFF"/>
                <w:szCs w:val="20"/>
              </w:rPr>
            </w:pPr>
            <w:r w:rsidRPr="009E3390">
              <w:rPr>
                <w:rFonts w:ascii="Calibri" w:hAnsi="Calibri"/>
                <w:b/>
                <w:color w:val="FFFFFF"/>
                <w:szCs w:val="20"/>
              </w:rPr>
              <w:t>Accounts</w:t>
            </w:r>
          </w:p>
        </w:tc>
        <w:tc>
          <w:tcPr>
            <w:tcW w:w="635" w:type="pct"/>
            <w:shd w:val="clear" w:color="000000" w:fill="1F497D"/>
            <w:noWrap/>
            <w:vAlign w:val="center"/>
            <w:hideMark/>
          </w:tcPr>
          <w:p w:rsidR="001666A8" w:rsidRPr="009E3390" w:rsidRDefault="001666A8" w:rsidP="009E3390">
            <w:pPr>
              <w:jc w:val="center"/>
              <w:rPr>
                <w:rFonts w:ascii="Calibri" w:hAnsi="Calibri"/>
                <w:b/>
                <w:color w:val="FFFFFF"/>
                <w:szCs w:val="20"/>
              </w:rPr>
            </w:pPr>
            <w:r w:rsidRPr="009E3390">
              <w:rPr>
                <w:rFonts w:ascii="Calibri" w:hAnsi="Calibri"/>
                <w:b/>
                <w:color w:val="FFFFFF"/>
                <w:szCs w:val="20"/>
              </w:rPr>
              <w:t>% Load Reduction</w:t>
            </w:r>
          </w:p>
        </w:tc>
        <w:tc>
          <w:tcPr>
            <w:tcW w:w="732" w:type="pct"/>
            <w:shd w:val="clear" w:color="000000" w:fill="1F497D"/>
            <w:noWrap/>
            <w:vAlign w:val="center"/>
            <w:hideMark/>
          </w:tcPr>
          <w:p w:rsidR="001666A8" w:rsidRPr="009E3390" w:rsidRDefault="001666A8" w:rsidP="009E3390">
            <w:pPr>
              <w:jc w:val="center"/>
              <w:rPr>
                <w:rFonts w:ascii="Calibri" w:hAnsi="Calibri"/>
                <w:b/>
                <w:color w:val="FFFFFF"/>
                <w:szCs w:val="20"/>
              </w:rPr>
            </w:pPr>
            <w:r w:rsidRPr="009E3390">
              <w:rPr>
                <w:rFonts w:ascii="Calibri" w:hAnsi="Calibri"/>
                <w:b/>
                <w:color w:val="FFFFFF"/>
                <w:szCs w:val="20"/>
              </w:rPr>
              <w:t>Aggregate Reference Load (MW)</w:t>
            </w:r>
          </w:p>
        </w:tc>
        <w:tc>
          <w:tcPr>
            <w:tcW w:w="732" w:type="pct"/>
            <w:shd w:val="clear" w:color="000000" w:fill="1F497D"/>
            <w:noWrap/>
            <w:vAlign w:val="center"/>
            <w:hideMark/>
          </w:tcPr>
          <w:p w:rsidR="001666A8" w:rsidRPr="009E3390" w:rsidRDefault="001666A8" w:rsidP="009E3390">
            <w:pPr>
              <w:jc w:val="center"/>
              <w:rPr>
                <w:rFonts w:ascii="Calibri" w:hAnsi="Calibri"/>
                <w:b/>
                <w:color w:val="FFFFFF"/>
                <w:szCs w:val="20"/>
              </w:rPr>
            </w:pPr>
            <w:r w:rsidRPr="009E3390">
              <w:rPr>
                <w:rFonts w:ascii="Calibri" w:hAnsi="Calibri"/>
                <w:b/>
                <w:color w:val="FFFFFF"/>
                <w:szCs w:val="20"/>
              </w:rPr>
              <w:t>Aggregate Load Impact (MW)</w:t>
            </w:r>
          </w:p>
        </w:tc>
        <w:tc>
          <w:tcPr>
            <w:tcW w:w="781" w:type="pct"/>
            <w:shd w:val="clear" w:color="000000" w:fill="1F497D"/>
            <w:noWrap/>
            <w:vAlign w:val="center"/>
            <w:hideMark/>
          </w:tcPr>
          <w:p w:rsidR="001666A8" w:rsidRPr="009E3390" w:rsidRDefault="001666A8" w:rsidP="009E3390">
            <w:pPr>
              <w:jc w:val="center"/>
              <w:rPr>
                <w:rFonts w:ascii="Calibri" w:hAnsi="Calibri"/>
                <w:b/>
                <w:color w:val="FFFFFF"/>
                <w:szCs w:val="20"/>
              </w:rPr>
            </w:pPr>
            <w:r w:rsidRPr="009E3390">
              <w:rPr>
                <w:rFonts w:ascii="Calibri" w:hAnsi="Calibri"/>
                <w:b/>
                <w:color w:val="FFFFFF"/>
                <w:szCs w:val="20"/>
              </w:rPr>
              <w:t>Average Temp. During Event</w:t>
            </w:r>
          </w:p>
        </w:tc>
        <w:tc>
          <w:tcPr>
            <w:tcW w:w="586" w:type="pct"/>
            <w:shd w:val="clear" w:color="000000" w:fill="1F497D"/>
            <w:noWrap/>
            <w:vAlign w:val="center"/>
            <w:hideMark/>
          </w:tcPr>
          <w:p w:rsidR="001666A8" w:rsidRPr="009E3390" w:rsidRDefault="001666A8" w:rsidP="009E3390">
            <w:pPr>
              <w:jc w:val="center"/>
              <w:rPr>
                <w:rFonts w:ascii="Calibri" w:hAnsi="Calibri"/>
                <w:b/>
                <w:color w:val="FFFFFF"/>
                <w:szCs w:val="20"/>
              </w:rPr>
            </w:pPr>
            <w:r w:rsidRPr="009E3390">
              <w:rPr>
                <w:rFonts w:ascii="Calibri" w:hAnsi="Calibri"/>
                <w:b/>
                <w:color w:val="FFFFFF"/>
                <w:szCs w:val="20"/>
              </w:rPr>
              <w:t>90% CI</w:t>
            </w:r>
          </w:p>
        </w:tc>
        <w:tc>
          <w:tcPr>
            <w:tcW w:w="498" w:type="pct"/>
            <w:shd w:val="clear" w:color="000000" w:fill="1F497D"/>
            <w:noWrap/>
            <w:vAlign w:val="center"/>
            <w:hideMark/>
          </w:tcPr>
          <w:p w:rsidR="001666A8" w:rsidRPr="009E3390" w:rsidRDefault="001666A8" w:rsidP="009E3390">
            <w:pPr>
              <w:jc w:val="center"/>
              <w:rPr>
                <w:rFonts w:ascii="Calibri" w:hAnsi="Calibri"/>
                <w:b/>
                <w:color w:val="FFFFFF"/>
                <w:szCs w:val="20"/>
              </w:rPr>
            </w:pPr>
            <w:r w:rsidRPr="009E3390">
              <w:rPr>
                <w:rFonts w:ascii="Calibri" w:hAnsi="Calibri"/>
                <w:b/>
                <w:color w:val="FFFFFF"/>
                <w:szCs w:val="20"/>
              </w:rPr>
              <w:t>10% CI</w:t>
            </w:r>
          </w:p>
        </w:tc>
      </w:tr>
      <w:tr w:rsidR="001666A8" w:rsidRPr="009E3390" w:rsidTr="009E3390">
        <w:trPr>
          <w:trHeight w:val="300"/>
        </w:trPr>
        <w:tc>
          <w:tcPr>
            <w:tcW w:w="499"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20-Jul</w:t>
            </w:r>
          </w:p>
        </w:tc>
        <w:tc>
          <w:tcPr>
            <w:tcW w:w="537"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71,642</w:t>
            </w:r>
          </w:p>
        </w:tc>
        <w:tc>
          <w:tcPr>
            <w:tcW w:w="635"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-1.3%</w:t>
            </w:r>
          </w:p>
        </w:tc>
        <w:tc>
          <w:tcPr>
            <w:tcW w:w="73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293.2</w:t>
            </w:r>
          </w:p>
        </w:tc>
        <w:tc>
          <w:tcPr>
            <w:tcW w:w="732" w:type="pct"/>
            <w:shd w:val="clear" w:color="auto" w:fill="auto"/>
            <w:noWrap/>
            <w:vAlign w:val="center"/>
            <w:hideMark/>
          </w:tcPr>
          <w:p w:rsidR="001666A8" w:rsidRPr="009E3390" w:rsidRDefault="001666A8" w:rsidP="009E3390">
            <w:pPr>
              <w:jc w:val="center"/>
              <w:rPr>
                <w:rFonts w:ascii="Calibri" w:hAnsi="Calibri" w:cs="Arial"/>
                <w:szCs w:val="20"/>
              </w:rPr>
            </w:pPr>
            <w:r w:rsidRPr="009E3390">
              <w:rPr>
                <w:rFonts w:ascii="Calibri" w:hAnsi="Calibri" w:cs="Arial"/>
                <w:szCs w:val="20"/>
              </w:rPr>
              <w:t>-4.0</w:t>
            </w:r>
          </w:p>
        </w:tc>
        <w:tc>
          <w:tcPr>
            <w:tcW w:w="781"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81.1</w:t>
            </w:r>
          </w:p>
        </w:tc>
        <w:tc>
          <w:tcPr>
            <w:tcW w:w="586" w:type="pct"/>
            <w:shd w:val="clear" w:color="auto" w:fill="auto"/>
            <w:noWrap/>
            <w:vAlign w:val="center"/>
            <w:hideMark/>
          </w:tcPr>
          <w:p w:rsidR="001666A8" w:rsidRPr="009E3390" w:rsidRDefault="001666A8" w:rsidP="009E3390">
            <w:pPr>
              <w:jc w:val="center"/>
              <w:rPr>
                <w:rFonts w:ascii="Calibri" w:hAnsi="Calibri" w:cs="Arial"/>
                <w:szCs w:val="20"/>
              </w:rPr>
            </w:pPr>
            <w:r w:rsidRPr="009E3390">
              <w:rPr>
                <w:rFonts w:ascii="Calibri" w:hAnsi="Calibri" w:cs="Arial"/>
                <w:szCs w:val="20"/>
              </w:rPr>
              <w:t>-8.5</w:t>
            </w:r>
          </w:p>
        </w:tc>
        <w:tc>
          <w:tcPr>
            <w:tcW w:w="498" w:type="pct"/>
            <w:shd w:val="clear" w:color="auto" w:fill="auto"/>
            <w:noWrap/>
            <w:vAlign w:val="center"/>
            <w:hideMark/>
          </w:tcPr>
          <w:p w:rsidR="001666A8" w:rsidRPr="009E3390" w:rsidRDefault="001666A8" w:rsidP="009E3390">
            <w:pPr>
              <w:jc w:val="center"/>
              <w:rPr>
                <w:rFonts w:ascii="Calibri" w:hAnsi="Calibri" w:cs="Arial"/>
                <w:szCs w:val="20"/>
              </w:rPr>
            </w:pPr>
            <w:r w:rsidRPr="009E3390">
              <w:rPr>
                <w:rFonts w:ascii="Calibri" w:hAnsi="Calibri" w:cs="Arial"/>
                <w:szCs w:val="20"/>
              </w:rPr>
              <w:t>0.5</w:t>
            </w:r>
          </w:p>
        </w:tc>
      </w:tr>
      <w:tr w:rsidR="001666A8" w:rsidRPr="009E3390" w:rsidTr="009E3390">
        <w:trPr>
          <w:trHeight w:val="300"/>
        </w:trPr>
        <w:tc>
          <w:tcPr>
            <w:tcW w:w="499"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9-Aug</w:t>
            </w:r>
          </w:p>
        </w:tc>
        <w:tc>
          <w:tcPr>
            <w:tcW w:w="537"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71,712</w:t>
            </w:r>
          </w:p>
        </w:tc>
        <w:tc>
          <w:tcPr>
            <w:tcW w:w="635"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-1.4%</w:t>
            </w:r>
          </w:p>
        </w:tc>
        <w:tc>
          <w:tcPr>
            <w:tcW w:w="73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324.7</w:t>
            </w:r>
          </w:p>
        </w:tc>
        <w:tc>
          <w:tcPr>
            <w:tcW w:w="732" w:type="pct"/>
            <w:shd w:val="clear" w:color="auto" w:fill="auto"/>
            <w:noWrap/>
            <w:vAlign w:val="center"/>
            <w:hideMark/>
          </w:tcPr>
          <w:p w:rsidR="001666A8" w:rsidRPr="009E3390" w:rsidRDefault="001666A8" w:rsidP="009E3390">
            <w:pPr>
              <w:jc w:val="center"/>
              <w:rPr>
                <w:rFonts w:ascii="Calibri" w:hAnsi="Calibri" w:cs="Arial"/>
                <w:szCs w:val="20"/>
              </w:rPr>
            </w:pPr>
            <w:r w:rsidRPr="009E3390">
              <w:rPr>
                <w:rFonts w:ascii="Calibri" w:hAnsi="Calibri" w:cs="Arial"/>
                <w:szCs w:val="20"/>
              </w:rPr>
              <w:t>-4.7</w:t>
            </w:r>
          </w:p>
        </w:tc>
        <w:tc>
          <w:tcPr>
            <w:tcW w:w="781"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83.1</w:t>
            </w:r>
          </w:p>
        </w:tc>
        <w:tc>
          <w:tcPr>
            <w:tcW w:w="586" w:type="pct"/>
            <w:shd w:val="clear" w:color="auto" w:fill="auto"/>
            <w:noWrap/>
            <w:vAlign w:val="center"/>
            <w:hideMark/>
          </w:tcPr>
          <w:p w:rsidR="001666A8" w:rsidRPr="009E3390" w:rsidRDefault="001666A8" w:rsidP="009E3390">
            <w:pPr>
              <w:jc w:val="center"/>
              <w:rPr>
                <w:rFonts w:ascii="Calibri" w:hAnsi="Calibri" w:cs="Arial"/>
                <w:szCs w:val="20"/>
              </w:rPr>
            </w:pPr>
            <w:r w:rsidRPr="009E3390">
              <w:rPr>
                <w:rFonts w:ascii="Calibri" w:hAnsi="Calibri" w:cs="Arial"/>
                <w:szCs w:val="20"/>
              </w:rPr>
              <w:t>-9.6</w:t>
            </w:r>
          </w:p>
        </w:tc>
        <w:tc>
          <w:tcPr>
            <w:tcW w:w="498" w:type="pct"/>
            <w:shd w:val="clear" w:color="auto" w:fill="auto"/>
            <w:noWrap/>
            <w:vAlign w:val="center"/>
            <w:hideMark/>
          </w:tcPr>
          <w:p w:rsidR="001666A8" w:rsidRPr="009E3390" w:rsidRDefault="001666A8" w:rsidP="009E3390">
            <w:pPr>
              <w:jc w:val="center"/>
              <w:rPr>
                <w:rFonts w:ascii="Calibri" w:hAnsi="Calibri" w:cs="Arial"/>
                <w:szCs w:val="20"/>
              </w:rPr>
            </w:pPr>
            <w:r w:rsidRPr="009E3390">
              <w:rPr>
                <w:rFonts w:ascii="Calibri" w:hAnsi="Calibri" w:cs="Arial"/>
                <w:szCs w:val="20"/>
              </w:rPr>
              <w:t>0.2</w:t>
            </w:r>
          </w:p>
        </w:tc>
      </w:tr>
      <w:tr w:rsidR="001666A8" w:rsidRPr="009E3390" w:rsidTr="009E3390">
        <w:trPr>
          <w:trHeight w:val="300"/>
        </w:trPr>
        <w:tc>
          <w:tcPr>
            <w:tcW w:w="499"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10-Aug</w:t>
            </w:r>
          </w:p>
        </w:tc>
        <w:tc>
          <w:tcPr>
            <w:tcW w:w="537"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71,682</w:t>
            </w:r>
          </w:p>
        </w:tc>
        <w:tc>
          <w:tcPr>
            <w:tcW w:w="635"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-1.6%</w:t>
            </w:r>
          </w:p>
        </w:tc>
        <w:tc>
          <w:tcPr>
            <w:tcW w:w="73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316.4</w:t>
            </w:r>
          </w:p>
        </w:tc>
        <w:tc>
          <w:tcPr>
            <w:tcW w:w="732" w:type="pct"/>
            <w:shd w:val="clear" w:color="auto" w:fill="auto"/>
            <w:noWrap/>
            <w:vAlign w:val="center"/>
            <w:hideMark/>
          </w:tcPr>
          <w:p w:rsidR="001666A8" w:rsidRPr="009E3390" w:rsidRDefault="001666A8" w:rsidP="009E3390">
            <w:pPr>
              <w:jc w:val="center"/>
              <w:rPr>
                <w:rFonts w:ascii="Calibri" w:hAnsi="Calibri" w:cs="Arial"/>
                <w:szCs w:val="20"/>
              </w:rPr>
            </w:pPr>
            <w:r w:rsidRPr="009E3390">
              <w:rPr>
                <w:rFonts w:ascii="Calibri" w:hAnsi="Calibri" w:cs="Arial"/>
                <w:szCs w:val="20"/>
              </w:rPr>
              <w:t>-5.2</w:t>
            </w:r>
          </w:p>
        </w:tc>
        <w:tc>
          <w:tcPr>
            <w:tcW w:w="781"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84.2</w:t>
            </w:r>
          </w:p>
        </w:tc>
        <w:tc>
          <w:tcPr>
            <w:tcW w:w="586" w:type="pct"/>
            <w:shd w:val="clear" w:color="auto" w:fill="auto"/>
            <w:noWrap/>
            <w:vAlign w:val="center"/>
            <w:hideMark/>
          </w:tcPr>
          <w:p w:rsidR="001666A8" w:rsidRPr="009E3390" w:rsidRDefault="001666A8" w:rsidP="009E3390">
            <w:pPr>
              <w:jc w:val="center"/>
              <w:rPr>
                <w:rFonts w:ascii="Calibri" w:hAnsi="Calibri" w:cs="Arial"/>
                <w:szCs w:val="20"/>
              </w:rPr>
            </w:pPr>
            <w:r w:rsidRPr="009E3390">
              <w:rPr>
                <w:rFonts w:ascii="Calibri" w:hAnsi="Calibri" w:cs="Arial"/>
                <w:szCs w:val="20"/>
              </w:rPr>
              <w:t>-10.6</w:t>
            </w:r>
          </w:p>
        </w:tc>
        <w:tc>
          <w:tcPr>
            <w:tcW w:w="498" w:type="pct"/>
            <w:shd w:val="clear" w:color="auto" w:fill="auto"/>
            <w:noWrap/>
            <w:vAlign w:val="center"/>
            <w:hideMark/>
          </w:tcPr>
          <w:p w:rsidR="001666A8" w:rsidRPr="009E3390" w:rsidRDefault="001666A8" w:rsidP="009E3390">
            <w:pPr>
              <w:jc w:val="center"/>
              <w:rPr>
                <w:rFonts w:ascii="Calibri" w:hAnsi="Calibri" w:cs="Arial"/>
                <w:szCs w:val="20"/>
              </w:rPr>
            </w:pPr>
            <w:r w:rsidRPr="009E3390">
              <w:rPr>
                <w:rFonts w:ascii="Calibri" w:hAnsi="Calibri" w:cs="Arial"/>
                <w:szCs w:val="20"/>
              </w:rPr>
              <w:t>0.2</w:t>
            </w:r>
          </w:p>
        </w:tc>
      </w:tr>
      <w:tr w:rsidR="001666A8" w:rsidRPr="009E3390" w:rsidTr="009E3390">
        <w:trPr>
          <w:trHeight w:val="300"/>
        </w:trPr>
        <w:tc>
          <w:tcPr>
            <w:tcW w:w="499"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11-Aug</w:t>
            </w:r>
          </w:p>
        </w:tc>
        <w:tc>
          <w:tcPr>
            <w:tcW w:w="537"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71,406</w:t>
            </w:r>
          </w:p>
        </w:tc>
        <w:tc>
          <w:tcPr>
            <w:tcW w:w="635"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-1.1%</w:t>
            </w:r>
          </w:p>
        </w:tc>
        <w:tc>
          <w:tcPr>
            <w:tcW w:w="73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239.4</w:t>
            </w:r>
          </w:p>
        </w:tc>
        <w:tc>
          <w:tcPr>
            <w:tcW w:w="732" w:type="pct"/>
            <w:shd w:val="clear" w:color="auto" w:fill="auto"/>
            <w:noWrap/>
            <w:vAlign w:val="center"/>
            <w:hideMark/>
          </w:tcPr>
          <w:p w:rsidR="001666A8" w:rsidRPr="009E3390" w:rsidRDefault="001666A8" w:rsidP="009E3390">
            <w:pPr>
              <w:jc w:val="center"/>
              <w:rPr>
                <w:rFonts w:ascii="Calibri" w:hAnsi="Calibri" w:cs="Arial"/>
                <w:szCs w:val="20"/>
              </w:rPr>
            </w:pPr>
            <w:r w:rsidRPr="009E3390">
              <w:rPr>
                <w:rFonts w:ascii="Calibri" w:hAnsi="Calibri" w:cs="Arial"/>
                <w:szCs w:val="20"/>
              </w:rPr>
              <w:t>-2.6</w:t>
            </w:r>
          </w:p>
        </w:tc>
        <w:tc>
          <w:tcPr>
            <w:tcW w:w="781"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84.5</w:t>
            </w:r>
          </w:p>
        </w:tc>
        <w:tc>
          <w:tcPr>
            <w:tcW w:w="586" w:type="pct"/>
            <w:shd w:val="clear" w:color="auto" w:fill="auto"/>
            <w:noWrap/>
            <w:vAlign w:val="center"/>
            <w:hideMark/>
          </w:tcPr>
          <w:p w:rsidR="001666A8" w:rsidRPr="009E3390" w:rsidRDefault="001666A8" w:rsidP="009E3390">
            <w:pPr>
              <w:jc w:val="center"/>
              <w:rPr>
                <w:rFonts w:ascii="Calibri" w:hAnsi="Calibri" w:cs="Arial"/>
                <w:szCs w:val="20"/>
              </w:rPr>
            </w:pPr>
            <w:r w:rsidRPr="009E3390">
              <w:rPr>
                <w:rFonts w:ascii="Calibri" w:hAnsi="Calibri" w:cs="Arial"/>
                <w:szCs w:val="20"/>
              </w:rPr>
              <w:t>-7.1</w:t>
            </w:r>
          </w:p>
        </w:tc>
        <w:tc>
          <w:tcPr>
            <w:tcW w:w="498" w:type="pct"/>
            <w:shd w:val="clear" w:color="auto" w:fill="auto"/>
            <w:noWrap/>
            <w:vAlign w:val="center"/>
            <w:hideMark/>
          </w:tcPr>
          <w:p w:rsidR="001666A8" w:rsidRPr="009E3390" w:rsidRDefault="001666A8" w:rsidP="009E3390">
            <w:pPr>
              <w:jc w:val="center"/>
              <w:rPr>
                <w:rFonts w:ascii="Calibri" w:hAnsi="Calibri" w:cs="Arial"/>
                <w:szCs w:val="20"/>
              </w:rPr>
            </w:pPr>
            <w:r w:rsidRPr="009E3390">
              <w:rPr>
                <w:rFonts w:ascii="Calibri" w:hAnsi="Calibri" w:cs="Arial"/>
                <w:szCs w:val="20"/>
              </w:rPr>
              <w:t>1.8</w:t>
            </w:r>
          </w:p>
        </w:tc>
      </w:tr>
      <w:tr w:rsidR="001666A8" w:rsidRPr="009E3390" w:rsidTr="009E3390">
        <w:trPr>
          <w:trHeight w:val="300"/>
        </w:trPr>
        <w:tc>
          <w:tcPr>
            <w:tcW w:w="499"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14-Aug</w:t>
            </w:r>
          </w:p>
        </w:tc>
        <w:tc>
          <w:tcPr>
            <w:tcW w:w="537"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71,690</w:t>
            </w:r>
          </w:p>
        </w:tc>
        <w:tc>
          <w:tcPr>
            <w:tcW w:w="635"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-1.5%</w:t>
            </w:r>
          </w:p>
        </w:tc>
        <w:tc>
          <w:tcPr>
            <w:tcW w:w="73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328.9</w:t>
            </w:r>
          </w:p>
        </w:tc>
        <w:tc>
          <w:tcPr>
            <w:tcW w:w="732" w:type="pct"/>
            <w:shd w:val="clear" w:color="auto" w:fill="auto"/>
            <w:noWrap/>
            <w:vAlign w:val="center"/>
            <w:hideMark/>
          </w:tcPr>
          <w:p w:rsidR="001666A8" w:rsidRPr="009E3390" w:rsidRDefault="001666A8" w:rsidP="009E3390">
            <w:pPr>
              <w:jc w:val="center"/>
              <w:rPr>
                <w:rFonts w:ascii="Calibri" w:hAnsi="Calibri" w:cs="Arial"/>
                <w:szCs w:val="20"/>
              </w:rPr>
            </w:pPr>
            <w:r w:rsidRPr="009E3390">
              <w:rPr>
                <w:rFonts w:ascii="Calibri" w:hAnsi="Calibri" w:cs="Arial"/>
                <w:szCs w:val="20"/>
              </w:rPr>
              <w:t>-5.1</w:t>
            </w:r>
          </w:p>
        </w:tc>
        <w:tc>
          <w:tcPr>
            <w:tcW w:w="781"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83.9</w:t>
            </w:r>
          </w:p>
        </w:tc>
        <w:tc>
          <w:tcPr>
            <w:tcW w:w="586" w:type="pct"/>
            <w:shd w:val="clear" w:color="auto" w:fill="auto"/>
            <w:noWrap/>
            <w:vAlign w:val="center"/>
            <w:hideMark/>
          </w:tcPr>
          <w:p w:rsidR="001666A8" w:rsidRPr="009E3390" w:rsidRDefault="001666A8" w:rsidP="009E3390">
            <w:pPr>
              <w:jc w:val="center"/>
              <w:rPr>
                <w:rFonts w:ascii="Calibri" w:hAnsi="Calibri" w:cs="Arial"/>
                <w:szCs w:val="20"/>
              </w:rPr>
            </w:pPr>
            <w:r w:rsidRPr="009E3390">
              <w:rPr>
                <w:rFonts w:ascii="Calibri" w:hAnsi="Calibri" w:cs="Arial"/>
                <w:szCs w:val="20"/>
              </w:rPr>
              <w:t>-10.4</w:t>
            </w:r>
          </w:p>
        </w:tc>
        <w:tc>
          <w:tcPr>
            <w:tcW w:w="498" w:type="pct"/>
            <w:shd w:val="clear" w:color="auto" w:fill="auto"/>
            <w:noWrap/>
            <w:vAlign w:val="center"/>
            <w:hideMark/>
          </w:tcPr>
          <w:p w:rsidR="001666A8" w:rsidRPr="009E3390" w:rsidRDefault="001666A8" w:rsidP="009E3390">
            <w:pPr>
              <w:jc w:val="center"/>
              <w:rPr>
                <w:rFonts w:ascii="Calibri" w:hAnsi="Calibri" w:cs="Arial"/>
                <w:szCs w:val="20"/>
              </w:rPr>
            </w:pPr>
            <w:r w:rsidRPr="009E3390">
              <w:rPr>
                <w:rFonts w:ascii="Calibri" w:hAnsi="Calibri" w:cs="Arial"/>
                <w:szCs w:val="20"/>
              </w:rPr>
              <w:t>0.2</w:t>
            </w:r>
          </w:p>
        </w:tc>
      </w:tr>
      <w:tr w:rsidR="001666A8" w:rsidRPr="009E3390" w:rsidTr="009E3390">
        <w:trPr>
          <w:trHeight w:val="300"/>
        </w:trPr>
        <w:tc>
          <w:tcPr>
            <w:tcW w:w="499"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21-Aug</w:t>
            </w:r>
          </w:p>
        </w:tc>
        <w:tc>
          <w:tcPr>
            <w:tcW w:w="537"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71,741</w:t>
            </w:r>
          </w:p>
        </w:tc>
        <w:tc>
          <w:tcPr>
            <w:tcW w:w="635"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-1.0%</w:t>
            </w:r>
          </w:p>
        </w:tc>
        <w:tc>
          <w:tcPr>
            <w:tcW w:w="73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307.3</w:t>
            </w:r>
          </w:p>
        </w:tc>
        <w:tc>
          <w:tcPr>
            <w:tcW w:w="732" w:type="pct"/>
            <w:shd w:val="clear" w:color="auto" w:fill="auto"/>
            <w:noWrap/>
            <w:vAlign w:val="center"/>
            <w:hideMark/>
          </w:tcPr>
          <w:p w:rsidR="001666A8" w:rsidRPr="009E3390" w:rsidRDefault="001666A8" w:rsidP="009E3390">
            <w:pPr>
              <w:jc w:val="center"/>
              <w:rPr>
                <w:rFonts w:ascii="Calibri" w:hAnsi="Calibri" w:cs="Arial"/>
                <w:szCs w:val="20"/>
              </w:rPr>
            </w:pPr>
            <w:r w:rsidRPr="009E3390">
              <w:rPr>
                <w:rFonts w:ascii="Calibri" w:hAnsi="Calibri" w:cs="Arial"/>
                <w:szCs w:val="20"/>
              </w:rPr>
              <w:t>-3.0</w:t>
            </w:r>
          </w:p>
        </w:tc>
        <w:tc>
          <w:tcPr>
            <w:tcW w:w="781"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78.3</w:t>
            </w:r>
          </w:p>
        </w:tc>
        <w:tc>
          <w:tcPr>
            <w:tcW w:w="586" w:type="pct"/>
            <w:shd w:val="clear" w:color="auto" w:fill="auto"/>
            <w:noWrap/>
            <w:vAlign w:val="center"/>
            <w:hideMark/>
          </w:tcPr>
          <w:p w:rsidR="001666A8" w:rsidRPr="009E3390" w:rsidRDefault="001666A8" w:rsidP="009E3390">
            <w:pPr>
              <w:jc w:val="center"/>
              <w:rPr>
                <w:rFonts w:ascii="Calibri" w:hAnsi="Calibri" w:cs="Arial"/>
                <w:szCs w:val="20"/>
              </w:rPr>
            </w:pPr>
            <w:r w:rsidRPr="009E3390">
              <w:rPr>
                <w:rFonts w:ascii="Calibri" w:hAnsi="Calibri" w:cs="Arial"/>
                <w:szCs w:val="20"/>
              </w:rPr>
              <w:t>-7.8</w:t>
            </w:r>
          </w:p>
        </w:tc>
        <w:tc>
          <w:tcPr>
            <w:tcW w:w="498" w:type="pct"/>
            <w:shd w:val="clear" w:color="auto" w:fill="auto"/>
            <w:noWrap/>
            <w:vAlign w:val="center"/>
            <w:hideMark/>
          </w:tcPr>
          <w:p w:rsidR="001666A8" w:rsidRPr="009E3390" w:rsidRDefault="001666A8" w:rsidP="009E3390">
            <w:pPr>
              <w:jc w:val="center"/>
              <w:rPr>
                <w:rFonts w:ascii="Calibri" w:hAnsi="Calibri" w:cs="Arial"/>
                <w:szCs w:val="20"/>
              </w:rPr>
            </w:pPr>
            <w:r w:rsidRPr="009E3390">
              <w:rPr>
                <w:rFonts w:ascii="Calibri" w:hAnsi="Calibri" w:cs="Arial"/>
                <w:szCs w:val="20"/>
              </w:rPr>
              <w:t>1.7</w:t>
            </w:r>
          </w:p>
        </w:tc>
      </w:tr>
      <w:tr w:rsidR="001666A8" w:rsidRPr="009E3390" w:rsidTr="009E3390">
        <w:trPr>
          <w:trHeight w:val="300"/>
        </w:trPr>
        <w:tc>
          <w:tcPr>
            <w:tcW w:w="499"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15-Sep</w:t>
            </w:r>
          </w:p>
        </w:tc>
        <w:tc>
          <w:tcPr>
            <w:tcW w:w="537"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71,302</w:t>
            </w:r>
          </w:p>
        </w:tc>
        <w:tc>
          <w:tcPr>
            <w:tcW w:w="635"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-0.9%</w:t>
            </w:r>
          </w:p>
        </w:tc>
        <w:tc>
          <w:tcPr>
            <w:tcW w:w="73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242.9</w:t>
            </w:r>
          </w:p>
        </w:tc>
        <w:tc>
          <w:tcPr>
            <w:tcW w:w="732" w:type="pct"/>
            <w:shd w:val="clear" w:color="auto" w:fill="auto"/>
            <w:noWrap/>
            <w:vAlign w:val="center"/>
            <w:hideMark/>
          </w:tcPr>
          <w:p w:rsidR="001666A8" w:rsidRPr="009E3390" w:rsidRDefault="001666A8" w:rsidP="009E3390">
            <w:pPr>
              <w:jc w:val="center"/>
              <w:rPr>
                <w:rFonts w:ascii="Calibri" w:hAnsi="Calibri" w:cs="Arial"/>
                <w:szCs w:val="20"/>
              </w:rPr>
            </w:pPr>
            <w:r w:rsidRPr="009E3390">
              <w:rPr>
                <w:rFonts w:ascii="Calibri" w:hAnsi="Calibri" w:cs="Arial"/>
                <w:szCs w:val="20"/>
              </w:rPr>
              <w:t>-2.2</w:t>
            </w:r>
          </w:p>
        </w:tc>
        <w:tc>
          <w:tcPr>
            <w:tcW w:w="781"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96.5</w:t>
            </w:r>
          </w:p>
        </w:tc>
        <w:tc>
          <w:tcPr>
            <w:tcW w:w="586" w:type="pct"/>
            <w:shd w:val="clear" w:color="auto" w:fill="auto"/>
            <w:noWrap/>
            <w:vAlign w:val="center"/>
            <w:hideMark/>
          </w:tcPr>
          <w:p w:rsidR="001666A8" w:rsidRPr="009E3390" w:rsidRDefault="001666A8" w:rsidP="009E3390">
            <w:pPr>
              <w:jc w:val="center"/>
              <w:rPr>
                <w:rFonts w:ascii="Calibri" w:hAnsi="Calibri" w:cs="Arial"/>
                <w:szCs w:val="20"/>
              </w:rPr>
            </w:pPr>
            <w:r w:rsidRPr="009E3390">
              <w:rPr>
                <w:rFonts w:ascii="Calibri" w:hAnsi="Calibri" w:cs="Arial"/>
                <w:szCs w:val="20"/>
              </w:rPr>
              <w:t>-11.1</w:t>
            </w:r>
          </w:p>
        </w:tc>
        <w:tc>
          <w:tcPr>
            <w:tcW w:w="498" w:type="pct"/>
            <w:shd w:val="clear" w:color="auto" w:fill="auto"/>
            <w:noWrap/>
            <w:vAlign w:val="center"/>
            <w:hideMark/>
          </w:tcPr>
          <w:p w:rsidR="001666A8" w:rsidRPr="009E3390" w:rsidRDefault="001666A8" w:rsidP="009E3390">
            <w:pPr>
              <w:jc w:val="center"/>
              <w:rPr>
                <w:rFonts w:ascii="Calibri" w:hAnsi="Calibri" w:cs="Arial"/>
                <w:szCs w:val="20"/>
              </w:rPr>
            </w:pPr>
            <w:r w:rsidRPr="009E3390">
              <w:rPr>
                <w:rFonts w:ascii="Calibri" w:hAnsi="Calibri" w:cs="Arial"/>
                <w:szCs w:val="20"/>
              </w:rPr>
              <w:t>6.8</w:t>
            </w:r>
          </w:p>
        </w:tc>
      </w:tr>
      <w:tr w:rsidR="009E3390" w:rsidRPr="009E3390" w:rsidTr="009E3390">
        <w:trPr>
          <w:trHeight w:val="300"/>
        </w:trPr>
        <w:tc>
          <w:tcPr>
            <w:tcW w:w="499" w:type="pct"/>
            <w:shd w:val="clear" w:color="auto" w:fill="auto"/>
            <w:noWrap/>
            <w:vAlign w:val="center"/>
            <w:hideMark/>
          </w:tcPr>
          <w:p w:rsidR="009E3390" w:rsidRPr="009E3390" w:rsidRDefault="009E3390" w:rsidP="009E3390">
            <w:pPr>
              <w:jc w:val="center"/>
              <w:rPr>
                <w:rFonts w:ascii="Calibri" w:hAnsi="Calibri"/>
                <w:b/>
                <w:bCs/>
                <w:color w:val="000000"/>
                <w:szCs w:val="20"/>
              </w:rPr>
            </w:pPr>
            <w:r w:rsidRPr="009E3390">
              <w:rPr>
                <w:rFonts w:ascii="Calibri" w:hAnsi="Calibri"/>
                <w:b/>
                <w:bCs/>
                <w:color w:val="000000"/>
                <w:szCs w:val="20"/>
              </w:rPr>
              <w:t>Average</w:t>
            </w:r>
          </w:p>
        </w:tc>
        <w:tc>
          <w:tcPr>
            <w:tcW w:w="537" w:type="pct"/>
            <w:shd w:val="clear" w:color="auto" w:fill="auto"/>
            <w:noWrap/>
            <w:vAlign w:val="center"/>
            <w:hideMark/>
          </w:tcPr>
          <w:p w:rsidR="009E3390" w:rsidRPr="009E3390" w:rsidRDefault="009E3390" w:rsidP="009E3390">
            <w:pPr>
              <w:jc w:val="center"/>
              <w:rPr>
                <w:rFonts w:ascii="Calibri" w:hAnsi="Calibri"/>
                <w:b/>
                <w:bCs/>
                <w:color w:val="000000"/>
                <w:szCs w:val="20"/>
              </w:rPr>
            </w:pPr>
            <w:r w:rsidRPr="009E3390">
              <w:rPr>
                <w:rFonts w:ascii="Calibri" w:hAnsi="Calibri"/>
                <w:b/>
                <w:bCs/>
                <w:color w:val="000000"/>
                <w:szCs w:val="20"/>
              </w:rPr>
              <w:t>71,596</w:t>
            </w:r>
          </w:p>
        </w:tc>
        <w:tc>
          <w:tcPr>
            <w:tcW w:w="635" w:type="pct"/>
            <w:shd w:val="clear" w:color="auto" w:fill="auto"/>
            <w:noWrap/>
            <w:vAlign w:val="center"/>
            <w:hideMark/>
          </w:tcPr>
          <w:p w:rsidR="009E3390" w:rsidRPr="009E3390" w:rsidRDefault="009E3390" w:rsidP="009E3390">
            <w:pPr>
              <w:jc w:val="center"/>
              <w:rPr>
                <w:rFonts w:ascii="Calibri" w:hAnsi="Calibri"/>
                <w:b/>
                <w:bCs/>
                <w:color w:val="000000"/>
                <w:szCs w:val="20"/>
              </w:rPr>
            </w:pPr>
            <w:r w:rsidRPr="009E3390">
              <w:rPr>
                <w:rFonts w:ascii="Calibri" w:hAnsi="Calibri"/>
                <w:b/>
                <w:bCs/>
                <w:color w:val="000000"/>
                <w:szCs w:val="20"/>
              </w:rPr>
              <w:t>-1.3%</w:t>
            </w:r>
          </w:p>
        </w:tc>
        <w:tc>
          <w:tcPr>
            <w:tcW w:w="732" w:type="pct"/>
            <w:shd w:val="clear" w:color="auto" w:fill="auto"/>
            <w:noWrap/>
            <w:vAlign w:val="center"/>
            <w:hideMark/>
          </w:tcPr>
          <w:p w:rsidR="009E3390" w:rsidRPr="009E3390" w:rsidRDefault="009E3390" w:rsidP="009E3390">
            <w:pPr>
              <w:jc w:val="center"/>
              <w:rPr>
                <w:rFonts w:ascii="Calibri" w:hAnsi="Calibri"/>
                <w:b/>
                <w:bCs/>
                <w:color w:val="000000"/>
                <w:szCs w:val="20"/>
              </w:rPr>
            </w:pPr>
            <w:r w:rsidRPr="009E3390">
              <w:rPr>
                <w:rFonts w:ascii="Calibri" w:hAnsi="Calibri"/>
                <w:b/>
                <w:bCs/>
                <w:color w:val="000000"/>
                <w:szCs w:val="20"/>
              </w:rPr>
              <w:t>293.2</w:t>
            </w:r>
          </w:p>
        </w:tc>
        <w:tc>
          <w:tcPr>
            <w:tcW w:w="732" w:type="pct"/>
            <w:shd w:val="clear" w:color="auto" w:fill="auto"/>
            <w:noWrap/>
            <w:vAlign w:val="center"/>
            <w:hideMark/>
          </w:tcPr>
          <w:p w:rsidR="009E3390" w:rsidRPr="009E3390" w:rsidRDefault="009E3390" w:rsidP="009E3390">
            <w:pPr>
              <w:jc w:val="center"/>
              <w:rPr>
                <w:rFonts w:ascii="Calibri" w:hAnsi="Calibri" w:cs="Arial"/>
                <w:b/>
                <w:bCs/>
                <w:szCs w:val="20"/>
              </w:rPr>
            </w:pPr>
            <w:r w:rsidRPr="009E3390">
              <w:rPr>
                <w:rFonts w:ascii="Calibri" w:hAnsi="Calibri" w:cs="Arial"/>
                <w:b/>
                <w:bCs/>
                <w:szCs w:val="20"/>
              </w:rPr>
              <w:t>-3.8</w:t>
            </w:r>
          </w:p>
        </w:tc>
        <w:tc>
          <w:tcPr>
            <w:tcW w:w="781" w:type="pct"/>
            <w:shd w:val="clear" w:color="auto" w:fill="auto"/>
            <w:noWrap/>
            <w:vAlign w:val="center"/>
            <w:hideMark/>
          </w:tcPr>
          <w:p w:rsidR="009E3390" w:rsidRPr="009E3390" w:rsidRDefault="009E3390" w:rsidP="009E3390">
            <w:pPr>
              <w:jc w:val="center"/>
              <w:rPr>
                <w:rFonts w:ascii="Calibri" w:hAnsi="Calibri"/>
                <w:b/>
                <w:bCs/>
                <w:color w:val="000000"/>
                <w:szCs w:val="20"/>
              </w:rPr>
            </w:pPr>
            <w:r w:rsidRPr="009E3390">
              <w:rPr>
                <w:rFonts w:ascii="Calibri" w:hAnsi="Calibri"/>
                <w:b/>
                <w:bCs/>
                <w:color w:val="000000"/>
                <w:szCs w:val="20"/>
              </w:rPr>
              <w:t>84.5</w:t>
            </w:r>
          </w:p>
        </w:tc>
        <w:tc>
          <w:tcPr>
            <w:tcW w:w="586" w:type="pct"/>
            <w:shd w:val="clear" w:color="auto" w:fill="auto"/>
            <w:noWrap/>
            <w:vAlign w:val="center"/>
            <w:hideMark/>
          </w:tcPr>
          <w:p w:rsidR="009E3390" w:rsidRPr="009E3390" w:rsidRDefault="009E3390" w:rsidP="009E3390">
            <w:pPr>
              <w:jc w:val="center"/>
              <w:rPr>
                <w:rFonts w:ascii="Calibri" w:hAnsi="Calibri" w:cs="Arial"/>
                <w:b/>
                <w:bCs/>
                <w:szCs w:val="20"/>
              </w:rPr>
            </w:pPr>
            <w:r w:rsidRPr="009E3390">
              <w:rPr>
                <w:rFonts w:ascii="Calibri" w:hAnsi="Calibri" w:cs="Arial"/>
                <w:b/>
                <w:bCs/>
                <w:szCs w:val="20"/>
              </w:rPr>
              <w:t>-9.5</w:t>
            </w:r>
          </w:p>
        </w:tc>
        <w:tc>
          <w:tcPr>
            <w:tcW w:w="498" w:type="pct"/>
            <w:shd w:val="clear" w:color="auto" w:fill="auto"/>
            <w:noWrap/>
            <w:vAlign w:val="center"/>
            <w:hideMark/>
          </w:tcPr>
          <w:p w:rsidR="009E3390" w:rsidRPr="009E3390" w:rsidRDefault="009E3390" w:rsidP="009E3390">
            <w:pPr>
              <w:jc w:val="center"/>
              <w:rPr>
                <w:rFonts w:ascii="Calibri" w:hAnsi="Calibri" w:cs="Arial"/>
                <w:b/>
                <w:bCs/>
                <w:szCs w:val="20"/>
              </w:rPr>
            </w:pPr>
            <w:r w:rsidRPr="009E3390">
              <w:rPr>
                <w:rFonts w:ascii="Calibri" w:hAnsi="Calibri" w:cs="Arial"/>
                <w:b/>
                <w:bCs/>
                <w:szCs w:val="20"/>
              </w:rPr>
              <w:t>1.8</w:t>
            </w:r>
          </w:p>
        </w:tc>
      </w:tr>
    </w:tbl>
    <w:p w:rsidR="001666A8" w:rsidRDefault="001666A8" w:rsidP="00D804F6">
      <w:pPr>
        <w:pStyle w:val="BodyText"/>
      </w:pPr>
    </w:p>
    <w:p w:rsidR="00153CC0" w:rsidRDefault="00153CC0" w:rsidP="00D804F6">
      <w:pPr>
        <w:pStyle w:val="BodyText"/>
      </w:pPr>
      <w:r>
        <w:t xml:space="preserve">Table 3-4 presents the average impacts on each PTR event day for those customers who received automated notifications </w:t>
      </w:r>
      <w:r w:rsidR="00A73770">
        <w:t xml:space="preserve">as a result of being enrolled in </w:t>
      </w:r>
      <w:r w:rsidR="003636FD">
        <w:t>My Account</w:t>
      </w:r>
      <w:r w:rsidR="00A73770">
        <w:t xml:space="preserve">. There are two event day with statistically significant impacts, however, these impacts indicate an increase rather than a decrease in load on PTR event days. </w:t>
      </w:r>
    </w:p>
    <w:p w:rsidR="001D4087" w:rsidRDefault="001D4087" w:rsidP="00D804F6">
      <w:pPr>
        <w:pStyle w:val="BodyText"/>
      </w:pPr>
    </w:p>
    <w:p w:rsidR="001D4087" w:rsidRDefault="001D4087" w:rsidP="00D804F6">
      <w:pPr>
        <w:pStyle w:val="BodyText"/>
      </w:pPr>
    </w:p>
    <w:p w:rsidR="001D4087" w:rsidRDefault="001D4087" w:rsidP="00D804F6">
      <w:pPr>
        <w:pStyle w:val="BodyText"/>
      </w:pPr>
    </w:p>
    <w:p w:rsidR="001D4087" w:rsidRDefault="001D4087" w:rsidP="00D804F6">
      <w:pPr>
        <w:pStyle w:val="BodyText"/>
      </w:pPr>
    </w:p>
    <w:p w:rsidR="001D4087" w:rsidRDefault="001D4087" w:rsidP="00D804F6">
      <w:pPr>
        <w:pStyle w:val="BodyText"/>
      </w:pPr>
    </w:p>
    <w:p w:rsidR="001D4087" w:rsidRDefault="001D4087" w:rsidP="00D804F6">
      <w:pPr>
        <w:pStyle w:val="BodyText"/>
      </w:pPr>
    </w:p>
    <w:p w:rsidR="001D4087" w:rsidRDefault="001D4087" w:rsidP="00D804F6">
      <w:pPr>
        <w:pStyle w:val="BodyText"/>
      </w:pPr>
    </w:p>
    <w:p w:rsidR="001D4087" w:rsidRDefault="001D4087" w:rsidP="00D804F6">
      <w:pPr>
        <w:pStyle w:val="BodyText"/>
      </w:pPr>
    </w:p>
    <w:p w:rsidR="001666A8" w:rsidRDefault="001666A8" w:rsidP="001666A8">
      <w:pPr>
        <w:pStyle w:val="TableCaption"/>
        <w:ind w:left="0" w:firstLine="0"/>
      </w:pPr>
      <w:bookmarkStart w:id="50" w:name="_Toc351364121"/>
      <w:r w:rsidRPr="005F25AF">
        <w:lastRenderedPageBreak/>
        <w:t xml:space="preserve">Table </w:t>
      </w:r>
      <w:r w:rsidR="00397D35" w:rsidRPr="005F25AF">
        <w:fldChar w:fldCharType="begin"/>
      </w:r>
      <w:r w:rsidRPr="005F25AF">
        <w:instrText xml:space="preserve"> STYLEREF  "Heading 1,Chap Num"  \* MERGEFORMAT </w:instrText>
      </w:r>
      <w:r w:rsidR="00397D35" w:rsidRPr="005F25AF">
        <w:fldChar w:fldCharType="end"/>
      </w:r>
      <w:fldSimple w:instr=" STYLEREF  &quot;Heading 1,Chap Num&quot; \n  \* MERGEFORMAT ">
        <w:r>
          <w:rPr>
            <w:noProof/>
          </w:rPr>
          <w:t>3</w:t>
        </w:r>
      </w:fldSimple>
      <w:r w:rsidRPr="005F25AF">
        <w:t>-</w:t>
      </w:r>
      <w:fldSimple w:instr=" SEQ Table\s 1 \* MERGEFORMAT ">
        <w:r>
          <w:rPr>
            <w:noProof/>
          </w:rPr>
          <w:t>4</w:t>
        </w:r>
      </w:fldSimple>
      <w:r w:rsidRPr="005F25AF">
        <w:tab/>
      </w:r>
      <w:r w:rsidR="003636FD">
        <w:t>My Account</w:t>
      </w:r>
      <w:r>
        <w:t xml:space="preserve"> Customers: Load Impact Estimates</w:t>
      </w:r>
      <w:bookmarkEnd w:id="50"/>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
        <w:gridCol w:w="992"/>
        <w:gridCol w:w="1169"/>
        <w:gridCol w:w="1349"/>
        <w:gridCol w:w="1351"/>
        <w:gridCol w:w="1440"/>
        <w:gridCol w:w="1080"/>
        <w:gridCol w:w="918"/>
      </w:tblGrid>
      <w:tr w:rsidR="001666A8" w:rsidRPr="009E3390" w:rsidTr="009E3390">
        <w:trPr>
          <w:trHeight w:val="300"/>
        </w:trPr>
        <w:tc>
          <w:tcPr>
            <w:tcW w:w="498" w:type="pct"/>
            <w:shd w:val="clear" w:color="000000" w:fill="1F497D"/>
            <w:noWrap/>
            <w:vAlign w:val="center"/>
            <w:hideMark/>
          </w:tcPr>
          <w:p w:rsidR="001666A8" w:rsidRPr="009E3390" w:rsidRDefault="001666A8" w:rsidP="009E3390">
            <w:pPr>
              <w:jc w:val="center"/>
              <w:rPr>
                <w:rFonts w:ascii="Calibri" w:hAnsi="Calibri"/>
                <w:b/>
                <w:bCs/>
                <w:color w:val="FFFFFF"/>
                <w:szCs w:val="20"/>
              </w:rPr>
            </w:pPr>
            <w:r w:rsidRPr="009E3390">
              <w:rPr>
                <w:rFonts w:ascii="Calibri" w:hAnsi="Calibri"/>
                <w:b/>
                <w:bCs/>
                <w:color w:val="FFFFFF"/>
                <w:szCs w:val="20"/>
              </w:rPr>
              <w:t>Event Date</w:t>
            </w:r>
          </w:p>
        </w:tc>
        <w:tc>
          <w:tcPr>
            <w:tcW w:w="538" w:type="pct"/>
            <w:shd w:val="clear" w:color="000000" w:fill="1F497D"/>
            <w:noWrap/>
            <w:vAlign w:val="center"/>
            <w:hideMark/>
          </w:tcPr>
          <w:p w:rsidR="001666A8" w:rsidRPr="009E3390" w:rsidRDefault="001666A8" w:rsidP="009E3390">
            <w:pPr>
              <w:jc w:val="center"/>
              <w:rPr>
                <w:rFonts w:ascii="Calibri" w:hAnsi="Calibri"/>
                <w:b/>
                <w:bCs/>
                <w:color w:val="FFFFFF"/>
                <w:szCs w:val="20"/>
              </w:rPr>
            </w:pPr>
            <w:r w:rsidRPr="009E3390">
              <w:rPr>
                <w:rFonts w:ascii="Calibri" w:hAnsi="Calibri"/>
                <w:b/>
                <w:bCs/>
                <w:color w:val="FFFFFF"/>
                <w:szCs w:val="20"/>
              </w:rPr>
              <w:t>Accounts</w:t>
            </w:r>
          </w:p>
        </w:tc>
        <w:tc>
          <w:tcPr>
            <w:tcW w:w="634" w:type="pct"/>
            <w:shd w:val="clear" w:color="000000" w:fill="1F497D"/>
            <w:noWrap/>
            <w:vAlign w:val="center"/>
            <w:hideMark/>
          </w:tcPr>
          <w:p w:rsidR="001666A8" w:rsidRPr="009E3390" w:rsidRDefault="001666A8" w:rsidP="009E3390">
            <w:pPr>
              <w:jc w:val="center"/>
              <w:rPr>
                <w:rFonts w:ascii="Calibri" w:hAnsi="Calibri"/>
                <w:b/>
                <w:bCs/>
                <w:color w:val="FFFFFF"/>
                <w:szCs w:val="20"/>
              </w:rPr>
            </w:pPr>
            <w:r w:rsidRPr="009E3390">
              <w:rPr>
                <w:rFonts w:ascii="Calibri" w:hAnsi="Calibri"/>
                <w:b/>
                <w:bCs/>
                <w:color w:val="FFFFFF"/>
                <w:szCs w:val="20"/>
              </w:rPr>
              <w:t>% Load Reduction</w:t>
            </w:r>
          </w:p>
        </w:tc>
        <w:tc>
          <w:tcPr>
            <w:tcW w:w="732" w:type="pct"/>
            <w:shd w:val="clear" w:color="000000" w:fill="1F497D"/>
            <w:noWrap/>
            <w:vAlign w:val="center"/>
            <w:hideMark/>
          </w:tcPr>
          <w:p w:rsidR="001666A8" w:rsidRPr="009E3390" w:rsidRDefault="001666A8" w:rsidP="009E3390">
            <w:pPr>
              <w:jc w:val="center"/>
              <w:rPr>
                <w:rFonts w:ascii="Calibri" w:hAnsi="Calibri"/>
                <w:b/>
                <w:bCs/>
                <w:color w:val="FFFFFF"/>
                <w:szCs w:val="20"/>
              </w:rPr>
            </w:pPr>
            <w:r w:rsidRPr="009E3390">
              <w:rPr>
                <w:rFonts w:ascii="Calibri" w:hAnsi="Calibri"/>
                <w:b/>
                <w:bCs/>
                <w:color w:val="FFFFFF"/>
                <w:szCs w:val="20"/>
              </w:rPr>
              <w:t>Aggregate Reference Load (MW)</w:t>
            </w:r>
          </w:p>
        </w:tc>
        <w:tc>
          <w:tcPr>
            <w:tcW w:w="733" w:type="pct"/>
            <w:shd w:val="clear" w:color="000000" w:fill="1F497D"/>
            <w:noWrap/>
            <w:vAlign w:val="center"/>
            <w:hideMark/>
          </w:tcPr>
          <w:p w:rsidR="001666A8" w:rsidRPr="009E3390" w:rsidRDefault="001666A8" w:rsidP="009E3390">
            <w:pPr>
              <w:jc w:val="center"/>
              <w:rPr>
                <w:rFonts w:ascii="Calibri" w:hAnsi="Calibri"/>
                <w:b/>
                <w:bCs/>
                <w:color w:val="FFFFFF"/>
                <w:szCs w:val="20"/>
              </w:rPr>
            </w:pPr>
            <w:r w:rsidRPr="009E3390">
              <w:rPr>
                <w:rFonts w:ascii="Calibri" w:hAnsi="Calibri"/>
                <w:b/>
                <w:bCs/>
                <w:color w:val="FFFFFF"/>
                <w:szCs w:val="20"/>
              </w:rPr>
              <w:t>Aggregate Load Impact (MW)</w:t>
            </w:r>
          </w:p>
        </w:tc>
        <w:tc>
          <w:tcPr>
            <w:tcW w:w="781" w:type="pct"/>
            <w:shd w:val="clear" w:color="000000" w:fill="1F497D"/>
            <w:noWrap/>
            <w:vAlign w:val="center"/>
            <w:hideMark/>
          </w:tcPr>
          <w:p w:rsidR="001666A8" w:rsidRPr="009E3390" w:rsidRDefault="001666A8" w:rsidP="009E3390">
            <w:pPr>
              <w:jc w:val="center"/>
              <w:rPr>
                <w:rFonts w:ascii="Calibri" w:hAnsi="Calibri"/>
                <w:b/>
                <w:bCs/>
                <w:color w:val="FFFFFF"/>
                <w:szCs w:val="20"/>
              </w:rPr>
            </w:pPr>
            <w:r w:rsidRPr="009E3390">
              <w:rPr>
                <w:rFonts w:ascii="Calibri" w:hAnsi="Calibri"/>
                <w:b/>
                <w:bCs/>
                <w:color w:val="FFFFFF"/>
                <w:szCs w:val="20"/>
              </w:rPr>
              <w:t>Average Temp. During Event</w:t>
            </w:r>
          </w:p>
        </w:tc>
        <w:tc>
          <w:tcPr>
            <w:tcW w:w="586" w:type="pct"/>
            <w:shd w:val="clear" w:color="000000" w:fill="1F497D"/>
            <w:noWrap/>
            <w:vAlign w:val="center"/>
            <w:hideMark/>
          </w:tcPr>
          <w:p w:rsidR="001666A8" w:rsidRPr="009E3390" w:rsidRDefault="001666A8" w:rsidP="009E3390">
            <w:pPr>
              <w:jc w:val="center"/>
              <w:rPr>
                <w:rFonts w:ascii="Calibri" w:hAnsi="Calibri"/>
                <w:b/>
                <w:bCs/>
                <w:color w:val="FFFFFF"/>
                <w:szCs w:val="20"/>
              </w:rPr>
            </w:pPr>
            <w:r w:rsidRPr="009E3390">
              <w:rPr>
                <w:rFonts w:ascii="Calibri" w:hAnsi="Calibri"/>
                <w:b/>
                <w:bCs/>
                <w:color w:val="FFFFFF"/>
                <w:szCs w:val="20"/>
              </w:rPr>
              <w:t>90% CI</w:t>
            </w:r>
          </w:p>
        </w:tc>
        <w:tc>
          <w:tcPr>
            <w:tcW w:w="498" w:type="pct"/>
            <w:shd w:val="clear" w:color="000000" w:fill="1F497D"/>
            <w:noWrap/>
            <w:vAlign w:val="center"/>
            <w:hideMark/>
          </w:tcPr>
          <w:p w:rsidR="001666A8" w:rsidRPr="009E3390" w:rsidRDefault="001666A8" w:rsidP="009E3390">
            <w:pPr>
              <w:jc w:val="center"/>
              <w:rPr>
                <w:rFonts w:ascii="Calibri" w:hAnsi="Calibri"/>
                <w:b/>
                <w:bCs/>
                <w:color w:val="FFFFFF"/>
                <w:szCs w:val="20"/>
              </w:rPr>
            </w:pPr>
            <w:r w:rsidRPr="009E3390">
              <w:rPr>
                <w:rFonts w:ascii="Calibri" w:hAnsi="Calibri"/>
                <w:b/>
                <w:bCs/>
                <w:color w:val="FFFFFF"/>
                <w:szCs w:val="20"/>
              </w:rPr>
              <w:t>10% CI</w:t>
            </w:r>
          </w:p>
        </w:tc>
      </w:tr>
      <w:tr w:rsidR="001666A8" w:rsidRPr="009E3390" w:rsidTr="009E3390">
        <w:trPr>
          <w:trHeight w:val="300"/>
        </w:trPr>
        <w:tc>
          <w:tcPr>
            <w:tcW w:w="498"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20-Jul</w:t>
            </w:r>
          </w:p>
        </w:tc>
        <w:tc>
          <w:tcPr>
            <w:tcW w:w="538"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34,891</w:t>
            </w:r>
          </w:p>
        </w:tc>
        <w:tc>
          <w:tcPr>
            <w:tcW w:w="634"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-0.7%</w:t>
            </w:r>
          </w:p>
        </w:tc>
        <w:tc>
          <w:tcPr>
            <w:tcW w:w="73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176.1</w:t>
            </w:r>
          </w:p>
        </w:tc>
        <w:tc>
          <w:tcPr>
            <w:tcW w:w="733"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-1.2</w:t>
            </w:r>
          </w:p>
        </w:tc>
        <w:tc>
          <w:tcPr>
            <w:tcW w:w="781"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81.0</w:t>
            </w:r>
          </w:p>
        </w:tc>
        <w:tc>
          <w:tcPr>
            <w:tcW w:w="586"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-3.1</w:t>
            </w:r>
          </w:p>
        </w:tc>
        <w:tc>
          <w:tcPr>
            <w:tcW w:w="498"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0.6</w:t>
            </w:r>
          </w:p>
        </w:tc>
      </w:tr>
      <w:tr w:rsidR="001666A8" w:rsidRPr="009E3390" w:rsidTr="009E3390">
        <w:trPr>
          <w:trHeight w:val="300"/>
        </w:trPr>
        <w:tc>
          <w:tcPr>
            <w:tcW w:w="498"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9-Aug</w:t>
            </w:r>
          </w:p>
        </w:tc>
        <w:tc>
          <w:tcPr>
            <w:tcW w:w="538"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34,948</w:t>
            </w:r>
          </w:p>
        </w:tc>
        <w:tc>
          <w:tcPr>
            <w:tcW w:w="634"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-1.1%</w:t>
            </w:r>
          </w:p>
        </w:tc>
        <w:tc>
          <w:tcPr>
            <w:tcW w:w="73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190.0</w:t>
            </w:r>
          </w:p>
        </w:tc>
        <w:tc>
          <w:tcPr>
            <w:tcW w:w="733"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-2.1</w:t>
            </w:r>
          </w:p>
        </w:tc>
        <w:tc>
          <w:tcPr>
            <w:tcW w:w="781"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83.0</w:t>
            </w:r>
          </w:p>
        </w:tc>
        <w:tc>
          <w:tcPr>
            <w:tcW w:w="586"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-4.3</w:t>
            </w:r>
          </w:p>
        </w:tc>
        <w:tc>
          <w:tcPr>
            <w:tcW w:w="498"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0.0</w:t>
            </w:r>
          </w:p>
        </w:tc>
      </w:tr>
      <w:tr w:rsidR="001666A8" w:rsidRPr="009E3390" w:rsidTr="009E3390">
        <w:trPr>
          <w:trHeight w:val="300"/>
        </w:trPr>
        <w:tc>
          <w:tcPr>
            <w:tcW w:w="498"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10-Aug</w:t>
            </w:r>
          </w:p>
        </w:tc>
        <w:tc>
          <w:tcPr>
            <w:tcW w:w="538"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34,940</w:t>
            </w:r>
          </w:p>
        </w:tc>
        <w:tc>
          <w:tcPr>
            <w:tcW w:w="634" w:type="pct"/>
            <w:shd w:val="clear" w:color="auto" w:fill="D9E3EC" w:themeFill="accent1" w:themeFillTint="33"/>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-1.5%</w:t>
            </w:r>
          </w:p>
        </w:tc>
        <w:tc>
          <w:tcPr>
            <w:tcW w:w="73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190.1</w:t>
            </w:r>
          </w:p>
        </w:tc>
        <w:tc>
          <w:tcPr>
            <w:tcW w:w="733" w:type="pct"/>
            <w:shd w:val="clear" w:color="000000" w:fill="DBE5F1"/>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-2.9</w:t>
            </w:r>
          </w:p>
        </w:tc>
        <w:tc>
          <w:tcPr>
            <w:tcW w:w="781"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84.2</w:t>
            </w:r>
          </w:p>
        </w:tc>
        <w:tc>
          <w:tcPr>
            <w:tcW w:w="586" w:type="pct"/>
            <w:shd w:val="clear" w:color="000000" w:fill="DBE5F1"/>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-5.3</w:t>
            </w:r>
          </w:p>
        </w:tc>
        <w:tc>
          <w:tcPr>
            <w:tcW w:w="498" w:type="pct"/>
            <w:shd w:val="clear" w:color="000000" w:fill="DBE5F1"/>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-0.4</w:t>
            </w:r>
          </w:p>
        </w:tc>
      </w:tr>
      <w:tr w:rsidR="001666A8" w:rsidRPr="009E3390" w:rsidTr="009E3390">
        <w:trPr>
          <w:trHeight w:val="300"/>
        </w:trPr>
        <w:tc>
          <w:tcPr>
            <w:tcW w:w="498"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11-Aug</w:t>
            </w:r>
          </w:p>
        </w:tc>
        <w:tc>
          <w:tcPr>
            <w:tcW w:w="538"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34,807</w:t>
            </w:r>
          </w:p>
        </w:tc>
        <w:tc>
          <w:tcPr>
            <w:tcW w:w="634"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-0.9%</w:t>
            </w:r>
          </w:p>
        </w:tc>
        <w:tc>
          <w:tcPr>
            <w:tcW w:w="73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145.5</w:t>
            </w:r>
          </w:p>
        </w:tc>
        <w:tc>
          <w:tcPr>
            <w:tcW w:w="733"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-1.3</w:t>
            </w:r>
          </w:p>
        </w:tc>
        <w:tc>
          <w:tcPr>
            <w:tcW w:w="781"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84.6</w:t>
            </w:r>
          </w:p>
        </w:tc>
        <w:tc>
          <w:tcPr>
            <w:tcW w:w="586"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-3.2</w:t>
            </w:r>
          </w:p>
        </w:tc>
        <w:tc>
          <w:tcPr>
            <w:tcW w:w="498"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0.5</w:t>
            </w:r>
          </w:p>
        </w:tc>
      </w:tr>
      <w:tr w:rsidR="001666A8" w:rsidRPr="009E3390" w:rsidTr="009E3390">
        <w:trPr>
          <w:trHeight w:val="300"/>
        </w:trPr>
        <w:tc>
          <w:tcPr>
            <w:tcW w:w="498"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14-Aug</w:t>
            </w:r>
          </w:p>
        </w:tc>
        <w:tc>
          <w:tcPr>
            <w:tcW w:w="538"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34,919</w:t>
            </w:r>
          </w:p>
        </w:tc>
        <w:tc>
          <w:tcPr>
            <w:tcW w:w="634" w:type="pct"/>
            <w:shd w:val="clear" w:color="auto" w:fill="D9E3EC" w:themeFill="accent1" w:themeFillTint="33"/>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-1.4%</w:t>
            </w:r>
          </w:p>
        </w:tc>
        <w:tc>
          <w:tcPr>
            <w:tcW w:w="73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197.6</w:t>
            </w:r>
          </w:p>
        </w:tc>
        <w:tc>
          <w:tcPr>
            <w:tcW w:w="733" w:type="pct"/>
            <w:shd w:val="clear" w:color="000000" w:fill="DBE5F1"/>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-2.7</w:t>
            </w:r>
          </w:p>
        </w:tc>
        <w:tc>
          <w:tcPr>
            <w:tcW w:w="781"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83.9</w:t>
            </w:r>
          </w:p>
        </w:tc>
        <w:tc>
          <w:tcPr>
            <w:tcW w:w="586" w:type="pct"/>
            <w:shd w:val="clear" w:color="000000" w:fill="DBE5F1"/>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-5.1</w:t>
            </w:r>
          </w:p>
        </w:tc>
        <w:tc>
          <w:tcPr>
            <w:tcW w:w="498" w:type="pct"/>
            <w:shd w:val="clear" w:color="000000" w:fill="DBE5F1"/>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-0.3</w:t>
            </w:r>
          </w:p>
        </w:tc>
      </w:tr>
      <w:tr w:rsidR="001666A8" w:rsidRPr="009E3390" w:rsidTr="009E3390">
        <w:trPr>
          <w:trHeight w:val="300"/>
        </w:trPr>
        <w:tc>
          <w:tcPr>
            <w:tcW w:w="498"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21-Aug</w:t>
            </w:r>
          </w:p>
        </w:tc>
        <w:tc>
          <w:tcPr>
            <w:tcW w:w="538"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34,957</w:t>
            </w:r>
          </w:p>
        </w:tc>
        <w:tc>
          <w:tcPr>
            <w:tcW w:w="634"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0.1%</w:t>
            </w:r>
          </w:p>
        </w:tc>
        <w:tc>
          <w:tcPr>
            <w:tcW w:w="73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183.0</w:t>
            </w:r>
          </w:p>
        </w:tc>
        <w:tc>
          <w:tcPr>
            <w:tcW w:w="733"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0.2</w:t>
            </w:r>
          </w:p>
        </w:tc>
        <w:tc>
          <w:tcPr>
            <w:tcW w:w="781"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78.3</w:t>
            </w:r>
          </w:p>
        </w:tc>
        <w:tc>
          <w:tcPr>
            <w:tcW w:w="586"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-1.8</w:t>
            </w:r>
          </w:p>
        </w:tc>
        <w:tc>
          <w:tcPr>
            <w:tcW w:w="498"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2.1</w:t>
            </w:r>
          </w:p>
        </w:tc>
      </w:tr>
      <w:tr w:rsidR="001666A8" w:rsidRPr="009E3390" w:rsidTr="009E3390">
        <w:trPr>
          <w:trHeight w:val="300"/>
        </w:trPr>
        <w:tc>
          <w:tcPr>
            <w:tcW w:w="498"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15-Sep</w:t>
            </w:r>
          </w:p>
        </w:tc>
        <w:tc>
          <w:tcPr>
            <w:tcW w:w="538"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34,747</w:t>
            </w:r>
          </w:p>
        </w:tc>
        <w:tc>
          <w:tcPr>
            <w:tcW w:w="634"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-0.4%</w:t>
            </w:r>
          </w:p>
        </w:tc>
        <w:tc>
          <w:tcPr>
            <w:tcW w:w="732"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150.3</w:t>
            </w:r>
          </w:p>
        </w:tc>
        <w:tc>
          <w:tcPr>
            <w:tcW w:w="733"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-0.6</w:t>
            </w:r>
          </w:p>
        </w:tc>
        <w:tc>
          <w:tcPr>
            <w:tcW w:w="781"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96.7</w:t>
            </w:r>
          </w:p>
        </w:tc>
        <w:tc>
          <w:tcPr>
            <w:tcW w:w="586"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-5.8</w:t>
            </w:r>
          </w:p>
        </w:tc>
        <w:tc>
          <w:tcPr>
            <w:tcW w:w="498" w:type="pct"/>
            <w:shd w:val="clear" w:color="auto" w:fill="auto"/>
            <w:noWrap/>
            <w:vAlign w:val="center"/>
            <w:hideMark/>
          </w:tcPr>
          <w:p w:rsidR="001666A8" w:rsidRPr="009E3390" w:rsidRDefault="001666A8" w:rsidP="009E3390">
            <w:pPr>
              <w:jc w:val="center"/>
              <w:rPr>
                <w:rFonts w:ascii="Calibri" w:hAnsi="Calibri"/>
                <w:color w:val="000000"/>
                <w:szCs w:val="20"/>
              </w:rPr>
            </w:pPr>
            <w:r w:rsidRPr="009E3390">
              <w:rPr>
                <w:rFonts w:ascii="Calibri" w:hAnsi="Calibri"/>
                <w:color w:val="000000"/>
                <w:szCs w:val="20"/>
              </w:rPr>
              <w:t>4.6</w:t>
            </w:r>
          </w:p>
        </w:tc>
      </w:tr>
      <w:tr w:rsidR="009E3390" w:rsidRPr="009E3390" w:rsidTr="009E3390">
        <w:trPr>
          <w:trHeight w:val="300"/>
        </w:trPr>
        <w:tc>
          <w:tcPr>
            <w:tcW w:w="498" w:type="pct"/>
            <w:shd w:val="clear" w:color="auto" w:fill="auto"/>
            <w:noWrap/>
            <w:vAlign w:val="center"/>
            <w:hideMark/>
          </w:tcPr>
          <w:p w:rsidR="009E3390" w:rsidRPr="009E3390" w:rsidRDefault="009E3390" w:rsidP="009E3390">
            <w:pPr>
              <w:jc w:val="center"/>
              <w:rPr>
                <w:rFonts w:ascii="Calibri" w:hAnsi="Calibri"/>
                <w:b/>
                <w:bCs/>
                <w:color w:val="000000"/>
                <w:szCs w:val="20"/>
              </w:rPr>
            </w:pPr>
            <w:r w:rsidRPr="009E3390">
              <w:rPr>
                <w:rFonts w:ascii="Calibri" w:hAnsi="Calibri"/>
                <w:b/>
                <w:bCs/>
                <w:color w:val="000000"/>
                <w:szCs w:val="20"/>
              </w:rPr>
              <w:t>Average</w:t>
            </w:r>
          </w:p>
        </w:tc>
        <w:tc>
          <w:tcPr>
            <w:tcW w:w="538" w:type="pct"/>
            <w:shd w:val="clear" w:color="auto" w:fill="auto"/>
            <w:noWrap/>
            <w:vAlign w:val="center"/>
            <w:hideMark/>
          </w:tcPr>
          <w:p w:rsidR="009E3390" w:rsidRPr="009E3390" w:rsidRDefault="009E3390" w:rsidP="009E3390">
            <w:pPr>
              <w:jc w:val="center"/>
              <w:rPr>
                <w:rFonts w:ascii="Calibri" w:hAnsi="Calibri"/>
                <w:b/>
                <w:bCs/>
                <w:color w:val="000000"/>
                <w:szCs w:val="20"/>
              </w:rPr>
            </w:pPr>
            <w:r w:rsidRPr="009E3390">
              <w:rPr>
                <w:rFonts w:ascii="Calibri" w:hAnsi="Calibri"/>
                <w:b/>
                <w:bCs/>
                <w:color w:val="000000"/>
                <w:szCs w:val="20"/>
              </w:rPr>
              <w:t>34,887</w:t>
            </w:r>
          </w:p>
        </w:tc>
        <w:tc>
          <w:tcPr>
            <w:tcW w:w="634" w:type="pct"/>
            <w:shd w:val="clear" w:color="auto" w:fill="auto"/>
            <w:noWrap/>
            <w:vAlign w:val="center"/>
            <w:hideMark/>
          </w:tcPr>
          <w:p w:rsidR="009E3390" w:rsidRPr="009E3390" w:rsidRDefault="009E3390" w:rsidP="009E3390">
            <w:pPr>
              <w:jc w:val="center"/>
              <w:rPr>
                <w:rFonts w:ascii="Calibri" w:hAnsi="Calibri"/>
                <w:b/>
                <w:bCs/>
                <w:color w:val="000000"/>
                <w:szCs w:val="20"/>
              </w:rPr>
            </w:pPr>
            <w:r w:rsidRPr="009E3390">
              <w:rPr>
                <w:rFonts w:ascii="Calibri" w:hAnsi="Calibri"/>
                <w:b/>
                <w:bCs/>
                <w:color w:val="000000"/>
                <w:szCs w:val="20"/>
              </w:rPr>
              <w:t>-0.9%</w:t>
            </w:r>
          </w:p>
        </w:tc>
        <w:tc>
          <w:tcPr>
            <w:tcW w:w="732" w:type="pct"/>
            <w:shd w:val="clear" w:color="auto" w:fill="auto"/>
            <w:noWrap/>
            <w:vAlign w:val="center"/>
            <w:hideMark/>
          </w:tcPr>
          <w:p w:rsidR="009E3390" w:rsidRPr="009E3390" w:rsidRDefault="009E3390" w:rsidP="009E3390">
            <w:pPr>
              <w:jc w:val="center"/>
              <w:rPr>
                <w:rFonts w:ascii="Calibri" w:hAnsi="Calibri"/>
                <w:b/>
                <w:bCs/>
                <w:color w:val="000000"/>
                <w:szCs w:val="20"/>
              </w:rPr>
            </w:pPr>
            <w:r w:rsidRPr="009E3390">
              <w:rPr>
                <w:rFonts w:ascii="Calibri" w:hAnsi="Calibri"/>
                <w:b/>
                <w:bCs/>
                <w:color w:val="000000"/>
                <w:szCs w:val="20"/>
              </w:rPr>
              <w:t>176.1</w:t>
            </w:r>
          </w:p>
        </w:tc>
        <w:tc>
          <w:tcPr>
            <w:tcW w:w="733" w:type="pct"/>
            <w:shd w:val="clear" w:color="auto" w:fill="auto"/>
            <w:noWrap/>
            <w:vAlign w:val="center"/>
            <w:hideMark/>
          </w:tcPr>
          <w:p w:rsidR="009E3390" w:rsidRPr="009E3390" w:rsidRDefault="009E3390" w:rsidP="009E3390">
            <w:pPr>
              <w:jc w:val="center"/>
              <w:rPr>
                <w:rFonts w:ascii="Calibri" w:hAnsi="Calibri" w:cs="Arial"/>
                <w:b/>
                <w:bCs/>
                <w:szCs w:val="20"/>
              </w:rPr>
            </w:pPr>
            <w:r w:rsidRPr="009E3390">
              <w:rPr>
                <w:rFonts w:ascii="Calibri" w:hAnsi="Calibri" w:cs="Arial"/>
                <w:b/>
                <w:bCs/>
                <w:szCs w:val="20"/>
              </w:rPr>
              <w:t>-1.5</w:t>
            </w:r>
          </w:p>
        </w:tc>
        <w:tc>
          <w:tcPr>
            <w:tcW w:w="781" w:type="pct"/>
            <w:shd w:val="clear" w:color="auto" w:fill="auto"/>
            <w:noWrap/>
            <w:vAlign w:val="center"/>
            <w:hideMark/>
          </w:tcPr>
          <w:p w:rsidR="009E3390" w:rsidRPr="009E3390" w:rsidRDefault="009E3390" w:rsidP="009E3390">
            <w:pPr>
              <w:jc w:val="center"/>
              <w:rPr>
                <w:rFonts w:ascii="Calibri" w:hAnsi="Calibri"/>
                <w:b/>
                <w:bCs/>
                <w:color w:val="000000"/>
                <w:szCs w:val="20"/>
              </w:rPr>
            </w:pPr>
            <w:r w:rsidRPr="009E3390">
              <w:rPr>
                <w:rFonts w:ascii="Calibri" w:hAnsi="Calibri"/>
                <w:b/>
                <w:bCs/>
                <w:color w:val="000000"/>
                <w:szCs w:val="20"/>
              </w:rPr>
              <w:t>84.5</w:t>
            </w:r>
          </w:p>
        </w:tc>
        <w:tc>
          <w:tcPr>
            <w:tcW w:w="586" w:type="pct"/>
            <w:shd w:val="clear" w:color="auto" w:fill="auto"/>
            <w:noWrap/>
            <w:vAlign w:val="center"/>
            <w:hideMark/>
          </w:tcPr>
          <w:p w:rsidR="009E3390" w:rsidRPr="009E3390" w:rsidRDefault="009E3390" w:rsidP="009E3390">
            <w:pPr>
              <w:jc w:val="center"/>
              <w:rPr>
                <w:rFonts w:ascii="Calibri" w:hAnsi="Calibri" w:cs="Arial"/>
                <w:b/>
                <w:bCs/>
                <w:szCs w:val="20"/>
              </w:rPr>
            </w:pPr>
            <w:r w:rsidRPr="009E3390">
              <w:rPr>
                <w:rFonts w:ascii="Calibri" w:hAnsi="Calibri" w:cs="Arial"/>
                <w:b/>
                <w:bCs/>
                <w:szCs w:val="20"/>
              </w:rPr>
              <w:t>-4.3</w:t>
            </w:r>
          </w:p>
        </w:tc>
        <w:tc>
          <w:tcPr>
            <w:tcW w:w="498" w:type="pct"/>
            <w:shd w:val="clear" w:color="auto" w:fill="auto"/>
            <w:noWrap/>
            <w:vAlign w:val="center"/>
            <w:hideMark/>
          </w:tcPr>
          <w:p w:rsidR="009E3390" w:rsidRPr="009E3390" w:rsidRDefault="009E3390" w:rsidP="009E3390">
            <w:pPr>
              <w:jc w:val="center"/>
              <w:rPr>
                <w:rFonts w:ascii="Calibri" w:hAnsi="Calibri" w:cs="Arial"/>
                <w:b/>
                <w:bCs/>
                <w:szCs w:val="20"/>
              </w:rPr>
            </w:pPr>
            <w:r w:rsidRPr="009E3390">
              <w:rPr>
                <w:rFonts w:ascii="Calibri" w:hAnsi="Calibri" w:cs="Arial"/>
                <w:b/>
                <w:bCs/>
                <w:szCs w:val="20"/>
              </w:rPr>
              <w:t>1.2</w:t>
            </w:r>
          </w:p>
        </w:tc>
      </w:tr>
    </w:tbl>
    <w:p w:rsidR="001666A8" w:rsidRDefault="001666A8" w:rsidP="00D804F6">
      <w:pPr>
        <w:pStyle w:val="BodyText"/>
      </w:pPr>
    </w:p>
    <w:p w:rsidR="00A73770" w:rsidRPr="00D804F6" w:rsidRDefault="00A73770" w:rsidP="00D804F6">
      <w:pPr>
        <w:pStyle w:val="BodyText"/>
      </w:pPr>
      <w:r>
        <w:t>Overall, when considering all of the impacts, and the insignificance of the parameter estimates, there is very little evidence to support any actions being taken by small commercial customers in response to PTR events, except perhaps in the Opt-in Alert subgroup. Because the r</w:t>
      </w:r>
      <w:r w:rsidR="00734B92">
        <w:t xml:space="preserve">egression analysis was somewhat </w:t>
      </w:r>
      <w:r>
        <w:t xml:space="preserve">inconclusive, especially for the </w:t>
      </w:r>
      <w:r w:rsidR="003636FD">
        <w:t>My Account</w:t>
      </w:r>
      <w:r>
        <w:t xml:space="preserve"> and the Opt-in Alerts participants, we used two alternative methods to analyze participant usage on PTR event days. The results of the additional analyses are presented in the following two sections. </w:t>
      </w:r>
    </w:p>
    <w:p w:rsidR="005316E6" w:rsidRDefault="00552665" w:rsidP="00552665">
      <w:pPr>
        <w:pStyle w:val="Heading2"/>
      </w:pPr>
      <w:bookmarkStart w:id="51" w:name="_Toc351363739"/>
      <w:r>
        <w:t>Load Shape Analysis</w:t>
      </w:r>
      <w:bookmarkEnd w:id="51"/>
    </w:p>
    <w:p w:rsidR="009538C8" w:rsidRDefault="00573288" w:rsidP="00A015A5">
      <w:pPr>
        <w:pStyle w:val="BodyText"/>
      </w:pPr>
      <w:r>
        <w:t>The load shape analysis allows us to</w:t>
      </w:r>
      <w:r w:rsidR="00942CB9">
        <w:t xml:space="preserve"> look at the data in a </w:t>
      </w:r>
      <w:r>
        <w:t>different way in order to visually confirm and verify the regression results. We can do this by comparing eve</w:t>
      </w:r>
      <w:r w:rsidR="009538C8">
        <w:t>nt days and</w:t>
      </w:r>
      <w:r>
        <w:t xml:space="preserve"> similar non-even</w:t>
      </w:r>
      <w:r w:rsidR="009538C8">
        <w:t>t days within each subgroup. We can then examine the load shapes looking</w:t>
      </w:r>
      <w:r>
        <w:t xml:space="preserve"> for differences in load</w:t>
      </w:r>
      <w:r w:rsidR="00942CB9">
        <w:t xml:space="preserve"> that look like event day load reduction</w:t>
      </w:r>
      <w:r>
        <w:t>.</w:t>
      </w:r>
      <w:r w:rsidR="00942CB9">
        <w:t xml:space="preserve"> While this is not a statistically rigorous technique, it can provide very useful information about what participants are doing</w:t>
      </w:r>
      <w:r w:rsidR="009538C8">
        <w:t xml:space="preserve"> on event days, and may identify problems in the </w:t>
      </w:r>
      <w:r w:rsidR="00735EF7">
        <w:t xml:space="preserve">regression </w:t>
      </w:r>
      <w:r w:rsidR="009538C8">
        <w:t xml:space="preserve">analysis. </w:t>
      </w:r>
      <w:r w:rsidR="00942CB9">
        <w:t xml:space="preserve"> </w:t>
      </w:r>
    </w:p>
    <w:p w:rsidR="00FA630D" w:rsidRDefault="00A015A5" w:rsidP="00A015A5">
      <w:pPr>
        <w:pStyle w:val="BodyText"/>
      </w:pPr>
      <w:r>
        <w:t xml:space="preserve">The following figures (Figure 3-1 through Figure 3-6) show average event and non-event load shapes (the solid lines) along with average hourly temperatures (the dashed lines) </w:t>
      </w:r>
      <w:r w:rsidR="009538C8">
        <w:t xml:space="preserve">for Non-notified, </w:t>
      </w:r>
      <w:r w:rsidR="003636FD">
        <w:t>My Account</w:t>
      </w:r>
      <w:r w:rsidR="009538C8">
        <w:t>, and Opt-in A</w:t>
      </w:r>
      <w:r>
        <w:t>lerts customers.</w:t>
      </w:r>
      <w:r w:rsidRPr="00A015A5">
        <w:t xml:space="preserve"> </w:t>
      </w:r>
      <w:r>
        <w:t xml:space="preserve">Across class types, </w:t>
      </w:r>
      <w:r w:rsidR="009538C8">
        <w:t>because weekday events tended to be a bit cooler than surrounding days</w:t>
      </w:r>
      <w:r w:rsidR="00735EF7">
        <w:t>,</w:t>
      </w:r>
      <w:r w:rsidR="009538C8">
        <w:t xml:space="preserve"> the non-event weekday usage is actually higher than the weekday event usage. </w:t>
      </w:r>
      <w:r w:rsidR="00FA630D">
        <w:t xml:space="preserve">Interestingly even though the </w:t>
      </w:r>
      <w:r w:rsidR="009538C8">
        <w:t>two weekend events included the hottest day of the year, the weeken</w:t>
      </w:r>
      <w:r w:rsidR="00FA630D">
        <w:t>d event usage tends to be lower</w:t>
      </w:r>
      <w:r w:rsidR="009538C8">
        <w:t xml:space="preserve"> than the non-event usage. However, irrespective of the weather related differences, </w:t>
      </w:r>
      <w:r w:rsidR="00FA630D">
        <w:t xml:space="preserve">in each of the figures below for the Non-notified and the </w:t>
      </w:r>
      <w:r w:rsidR="003636FD">
        <w:t>My Account</w:t>
      </w:r>
      <w:r w:rsidR="00FA630D">
        <w:t xml:space="preserve"> participants, </w:t>
      </w:r>
      <w:r w:rsidR="009538C8">
        <w:t>the event and non-event day shapes are ver</w:t>
      </w:r>
      <w:r w:rsidR="00FA630D">
        <w:t>y similar and do not display any</w:t>
      </w:r>
      <w:r w:rsidR="009538C8">
        <w:t xml:space="preserve"> of the characte</w:t>
      </w:r>
      <w:r w:rsidR="00FA630D">
        <w:t>ristics we would expect to see i</w:t>
      </w:r>
      <w:r w:rsidR="009538C8">
        <w:t xml:space="preserve">f </w:t>
      </w:r>
      <w:r w:rsidR="00FA630D">
        <w:t xml:space="preserve">the </w:t>
      </w:r>
      <w:r w:rsidR="009538C8">
        <w:t xml:space="preserve">participants </w:t>
      </w:r>
      <w:r w:rsidR="00FA630D">
        <w:t xml:space="preserve">were </w:t>
      </w:r>
      <w:r w:rsidR="009538C8">
        <w:t xml:space="preserve">responding to an event. </w:t>
      </w:r>
      <w:r w:rsidR="00FA630D">
        <w:t>Again, the Opt-in Alert</w:t>
      </w:r>
      <w:r w:rsidR="00735EF7">
        <w:t xml:space="preserve"> participants do have some</w:t>
      </w:r>
      <w:r w:rsidR="00FA630D">
        <w:t xml:space="preserve"> differences in their load shapes that could indicate a small response on some event days. </w:t>
      </w:r>
    </w:p>
    <w:p w:rsidR="00A015A5" w:rsidRDefault="00A015A5" w:rsidP="00A015A5">
      <w:pPr>
        <w:pStyle w:val="TableFigureCaption"/>
      </w:pPr>
      <w:bookmarkStart w:id="52" w:name="_Toc351363747"/>
      <w:bookmarkStart w:id="53" w:name="_Toc350779779"/>
      <w:r w:rsidRPr="007B20DE">
        <w:lastRenderedPageBreak/>
        <w:t xml:space="preserve">Figure </w:t>
      </w:r>
      <w:fldSimple w:instr=" STYLEREF  &quot;Heading 1,Chap Num&quot; \n  \* MERGEFORMAT ">
        <w:r>
          <w:rPr>
            <w:noProof/>
          </w:rPr>
          <w:t>3</w:t>
        </w:r>
      </w:fldSimple>
      <w:r w:rsidRPr="007B20DE">
        <w:t>-</w:t>
      </w:r>
      <w:fldSimple w:instr=" SEQ Figure\s 1 \* MERGEFORMAT ">
        <w:r>
          <w:rPr>
            <w:noProof/>
          </w:rPr>
          <w:t>1</w:t>
        </w:r>
      </w:fldSimple>
      <w:r w:rsidR="00756835">
        <w:tab/>
      </w:r>
      <w:r>
        <w:t>Non-Notified</w:t>
      </w:r>
      <w:r w:rsidR="00756835">
        <w:t>:</w:t>
      </w:r>
      <w:r>
        <w:t xml:space="preserve"> Weekday Load Shapes and Temperature</w:t>
      </w:r>
      <w:bookmarkEnd w:id="52"/>
      <w:r>
        <w:t xml:space="preserve"> </w:t>
      </w:r>
      <w:bookmarkEnd w:id="53"/>
    </w:p>
    <w:p w:rsidR="005316E6" w:rsidRDefault="00A015A5" w:rsidP="005316E6">
      <w:pPr>
        <w:pStyle w:val="BodyText"/>
      </w:pPr>
      <w:r w:rsidRPr="00A015A5">
        <w:rPr>
          <w:noProof/>
        </w:rPr>
        <w:drawing>
          <wp:inline distT="0" distB="0" distL="0" distR="0">
            <wp:extent cx="4572000" cy="2838450"/>
            <wp:effectExtent l="19050" t="0" r="19050"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015A5" w:rsidRDefault="00A015A5" w:rsidP="00A015A5">
      <w:pPr>
        <w:pStyle w:val="TableFigureCaption"/>
      </w:pPr>
      <w:bookmarkStart w:id="54" w:name="_Toc350779780"/>
      <w:bookmarkStart w:id="55" w:name="_Toc351363748"/>
      <w:r w:rsidRPr="007B20DE">
        <w:t xml:space="preserve">Figure </w:t>
      </w:r>
      <w:fldSimple w:instr=" STYLEREF  &quot;Heading 1,Chap Num&quot; \n  \* MERGEFORMAT ">
        <w:r>
          <w:rPr>
            <w:noProof/>
          </w:rPr>
          <w:t>3</w:t>
        </w:r>
      </w:fldSimple>
      <w:r w:rsidRPr="007B20DE">
        <w:t>-</w:t>
      </w:r>
      <w:fldSimple w:instr=" SEQ Figure\s 1 \* MERGEFORMAT ">
        <w:r>
          <w:rPr>
            <w:noProof/>
          </w:rPr>
          <w:t>2</w:t>
        </w:r>
      </w:fldSimple>
      <w:r w:rsidR="00756835">
        <w:tab/>
      </w:r>
      <w:r>
        <w:t>Non-Notified</w:t>
      </w:r>
      <w:r w:rsidR="00756835">
        <w:t>:</w:t>
      </w:r>
      <w:r>
        <w:t xml:space="preserve"> Weekend Load Shapes and Temperature</w:t>
      </w:r>
      <w:bookmarkEnd w:id="54"/>
      <w:bookmarkEnd w:id="55"/>
    </w:p>
    <w:p w:rsidR="009538C8" w:rsidRDefault="00A015A5" w:rsidP="005316E6">
      <w:pPr>
        <w:pStyle w:val="BodyText"/>
      </w:pPr>
      <w:r w:rsidRPr="00A015A5">
        <w:rPr>
          <w:noProof/>
        </w:rPr>
        <w:drawing>
          <wp:inline distT="0" distB="0" distL="0" distR="0">
            <wp:extent cx="4543425" cy="2790825"/>
            <wp:effectExtent l="19050" t="0" r="9525" b="0"/>
            <wp:docPr id="1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538C8" w:rsidRDefault="009538C8" w:rsidP="009538C8">
      <w:pPr>
        <w:pStyle w:val="TableFigureCaption"/>
        <w:ind w:left="0" w:firstLine="0"/>
      </w:pPr>
      <w:bookmarkStart w:id="56" w:name="_Toc351363749"/>
      <w:bookmarkStart w:id="57" w:name="_Toc350779781"/>
      <w:r w:rsidRPr="007B20DE">
        <w:lastRenderedPageBreak/>
        <w:t xml:space="preserve">Figure </w:t>
      </w:r>
      <w:fldSimple w:instr=" STYLEREF  &quot;Heading 1,Chap Num&quot; \n  \* MERGEFORMAT ">
        <w:r>
          <w:rPr>
            <w:noProof/>
          </w:rPr>
          <w:t>3</w:t>
        </w:r>
      </w:fldSimple>
      <w:r w:rsidRPr="007B20DE">
        <w:t>-</w:t>
      </w:r>
      <w:fldSimple w:instr=" SEQ Figure\s 1 \* MERGEFORMAT ">
        <w:r>
          <w:rPr>
            <w:noProof/>
          </w:rPr>
          <w:t>3</w:t>
        </w:r>
      </w:fldSimple>
      <w:r>
        <w:tab/>
        <w:t>My Account: Weekday Load Shapes and Temperature</w:t>
      </w:r>
      <w:bookmarkEnd w:id="56"/>
      <w:r>
        <w:t xml:space="preserve"> </w:t>
      </w:r>
      <w:bookmarkEnd w:id="57"/>
    </w:p>
    <w:p w:rsidR="00FF0D86" w:rsidRDefault="009538C8" w:rsidP="00FF0D86">
      <w:pPr>
        <w:pStyle w:val="BodyText"/>
      </w:pPr>
      <w:r w:rsidRPr="009538C8">
        <w:rPr>
          <w:noProof/>
        </w:rPr>
        <w:drawing>
          <wp:inline distT="0" distB="0" distL="0" distR="0">
            <wp:extent cx="4543425" cy="2581275"/>
            <wp:effectExtent l="19050" t="0" r="9525" b="0"/>
            <wp:docPr id="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bookmarkStart w:id="58" w:name="_Toc351363750"/>
      <w:bookmarkStart w:id="59" w:name="_Toc350779782"/>
    </w:p>
    <w:p w:rsidR="00FF0D86" w:rsidRDefault="00FF0D86" w:rsidP="00FF0D86">
      <w:pPr>
        <w:pStyle w:val="BodyText"/>
        <w:rPr>
          <w:b/>
          <w:i/>
        </w:rPr>
      </w:pPr>
    </w:p>
    <w:p w:rsidR="00A015A5" w:rsidRPr="00FF0D86" w:rsidRDefault="00A015A5" w:rsidP="00FF0D86">
      <w:pPr>
        <w:pStyle w:val="BodyText"/>
        <w:rPr>
          <w:b/>
          <w:i/>
        </w:rPr>
      </w:pPr>
      <w:r w:rsidRPr="00FF0D86">
        <w:rPr>
          <w:b/>
          <w:i/>
        </w:rPr>
        <w:t xml:space="preserve">Figure </w:t>
      </w:r>
      <w:fldSimple w:instr=" STYLEREF  &quot;Heading 1,Chap Num&quot; \n  \* MERGEFORMAT ">
        <w:r w:rsidRPr="00FF0D86">
          <w:rPr>
            <w:b/>
            <w:i/>
            <w:noProof/>
          </w:rPr>
          <w:t>3</w:t>
        </w:r>
      </w:fldSimple>
      <w:r w:rsidRPr="00FF0D86">
        <w:rPr>
          <w:b/>
          <w:i/>
        </w:rPr>
        <w:t>-</w:t>
      </w:r>
      <w:fldSimple w:instr=" SEQ Figure\s 1 \* MERGEFORMAT ">
        <w:r w:rsidRPr="00FF0D86">
          <w:rPr>
            <w:b/>
            <w:i/>
            <w:noProof/>
          </w:rPr>
          <w:t>4</w:t>
        </w:r>
      </w:fldSimple>
      <w:r w:rsidR="00756835" w:rsidRPr="00FF0D86">
        <w:rPr>
          <w:b/>
          <w:i/>
        </w:rPr>
        <w:tab/>
      </w:r>
      <w:r w:rsidRPr="00FF0D86">
        <w:rPr>
          <w:b/>
          <w:i/>
        </w:rPr>
        <w:t>My Account</w:t>
      </w:r>
      <w:r w:rsidR="00756835" w:rsidRPr="00FF0D86">
        <w:rPr>
          <w:b/>
          <w:i/>
        </w:rPr>
        <w:t>:</w:t>
      </w:r>
      <w:r w:rsidRPr="00FF0D86">
        <w:rPr>
          <w:b/>
          <w:i/>
        </w:rPr>
        <w:t xml:space="preserve"> Weekend Load Shapes and Temperature</w:t>
      </w:r>
      <w:bookmarkEnd w:id="58"/>
      <w:r w:rsidRPr="00FF0D86">
        <w:rPr>
          <w:b/>
          <w:i/>
        </w:rPr>
        <w:t xml:space="preserve"> </w:t>
      </w:r>
      <w:bookmarkEnd w:id="59"/>
    </w:p>
    <w:p w:rsidR="00FF0D86" w:rsidRDefault="00FF0D86" w:rsidP="00FF0D86">
      <w:pPr>
        <w:pStyle w:val="BodyText"/>
      </w:pPr>
      <w:r w:rsidRPr="00FF0D86">
        <w:rPr>
          <w:noProof/>
        </w:rPr>
        <w:drawing>
          <wp:inline distT="0" distB="0" distL="0" distR="0">
            <wp:extent cx="4543425" cy="2514600"/>
            <wp:effectExtent l="19050" t="0" r="9525" b="0"/>
            <wp:docPr id="1"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56835" w:rsidRDefault="00756835" w:rsidP="00093EFA">
      <w:pPr>
        <w:pStyle w:val="TableFigureCaption"/>
        <w:ind w:left="0" w:firstLine="0"/>
        <w:contextualSpacing/>
      </w:pPr>
      <w:bookmarkStart w:id="60" w:name="_Toc350779783"/>
      <w:bookmarkStart w:id="61" w:name="_Toc351363751"/>
      <w:r w:rsidRPr="007B20DE">
        <w:lastRenderedPageBreak/>
        <w:t xml:space="preserve">Figure </w:t>
      </w:r>
      <w:fldSimple w:instr=" STYLEREF  &quot;Heading 1,Chap Num&quot; \n  \* MERGEFORMAT ">
        <w:r>
          <w:rPr>
            <w:noProof/>
          </w:rPr>
          <w:t>3</w:t>
        </w:r>
      </w:fldSimple>
      <w:r w:rsidRPr="007B20DE">
        <w:t>-</w:t>
      </w:r>
      <w:fldSimple w:instr=" SEQ Figure\s 1 \* MERGEFORMAT ">
        <w:r>
          <w:rPr>
            <w:noProof/>
          </w:rPr>
          <w:t>5</w:t>
        </w:r>
      </w:fldSimple>
      <w:r>
        <w:tab/>
        <w:t>Opt-In Alerts: Weekday Load Shapes and Temperature</w:t>
      </w:r>
      <w:bookmarkEnd w:id="60"/>
      <w:bookmarkEnd w:id="61"/>
    </w:p>
    <w:p w:rsidR="00A015A5" w:rsidRDefault="00756835" w:rsidP="00093EFA">
      <w:pPr>
        <w:pStyle w:val="Heading2"/>
        <w:contextualSpacing/>
      </w:pPr>
      <w:r w:rsidRPr="00756835">
        <w:rPr>
          <w:noProof/>
        </w:rPr>
        <w:drawing>
          <wp:inline distT="0" distB="0" distL="0" distR="0">
            <wp:extent cx="4552950" cy="2886075"/>
            <wp:effectExtent l="19050" t="0" r="19050" b="0"/>
            <wp:docPr id="3"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93EFA" w:rsidRDefault="00093EFA" w:rsidP="00093EFA">
      <w:pPr>
        <w:pStyle w:val="TableFigureCaption"/>
        <w:ind w:left="0" w:firstLine="0"/>
      </w:pPr>
      <w:bookmarkStart w:id="62" w:name="_Toc350779784"/>
    </w:p>
    <w:p w:rsidR="00756835" w:rsidRDefault="00756835" w:rsidP="00093EFA">
      <w:pPr>
        <w:pStyle w:val="TableFigureCaption"/>
        <w:ind w:left="0" w:firstLine="0"/>
        <w:contextualSpacing/>
      </w:pPr>
      <w:bookmarkStart w:id="63" w:name="_Toc351363752"/>
      <w:r w:rsidRPr="007B20DE">
        <w:t xml:space="preserve">Figure </w:t>
      </w:r>
      <w:fldSimple w:instr=" STYLEREF  &quot;Heading 1,Chap Num&quot; \n  \* MERGEFORMAT ">
        <w:r>
          <w:rPr>
            <w:noProof/>
          </w:rPr>
          <w:t>3</w:t>
        </w:r>
      </w:fldSimple>
      <w:r w:rsidRPr="007B20DE">
        <w:t>-</w:t>
      </w:r>
      <w:fldSimple w:instr=" SEQ Figure\s 1 \* MERGEFORMAT ">
        <w:r>
          <w:rPr>
            <w:noProof/>
          </w:rPr>
          <w:t>6</w:t>
        </w:r>
      </w:fldSimple>
      <w:r>
        <w:tab/>
        <w:t>Opt-In Alerts: Weekday Load Shapes and Temperature</w:t>
      </w:r>
      <w:bookmarkEnd w:id="63"/>
      <w:r>
        <w:t xml:space="preserve"> </w:t>
      </w:r>
      <w:bookmarkEnd w:id="62"/>
    </w:p>
    <w:p w:rsidR="00A015A5" w:rsidRDefault="00756835" w:rsidP="00093EFA">
      <w:pPr>
        <w:pStyle w:val="Heading2"/>
        <w:contextualSpacing/>
      </w:pPr>
      <w:r w:rsidRPr="00756835">
        <w:rPr>
          <w:noProof/>
        </w:rPr>
        <w:drawing>
          <wp:inline distT="0" distB="0" distL="0" distR="0">
            <wp:extent cx="4552950" cy="2638425"/>
            <wp:effectExtent l="19050" t="0" r="19050" b="0"/>
            <wp:docPr id="2"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56835" w:rsidRDefault="00756835" w:rsidP="00093EFA">
      <w:pPr>
        <w:pStyle w:val="BodyText"/>
        <w:spacing w:line="360" w:lineRule="auto"/>
        <w:contextualSpacing/>
      </w:pPr>
    </w:p>
    <w:p w:rsidR="00FA630D" w:rsidRDefault="00093EFA" w:rsidP="00756835">
      <w:pPr>
        <w:pStyle w:val="BodyText"/>
      </w:pPr>
      <w:r>
        <w:t xml:space="preserve">Overall, the load shape analysis confirms the regression results. Among the Non-notified and </w:t>
      </w:r>
      <w:r w:rsidR="003636FD">
        <w:t>My Account</w:t>
      </w:r>
      <w:r>
        <w:t xml:space="preserve"> customers, there is no evidence to support a response to PTR events, but among the Opt-in Alert customers the results are again somewhat inconclusive. In both the weekday and weekend shapes there are some differences during the on-peak period</w:t>
      </w:r>
      <w:r w:rsidR="00735EF7">
        <w:t xml:space="preserve"> that</w:t>
      </w:r>
      <w:r>
        <w:t xml:space="preserve"> may be the result of customers responding to PTR events, however because the group of customers is smaller (only 341) it is also more sensitive to variation in load among </w:t>
      </w:r>
      <w:r w:rsidR="00FF0D86">
        <w:t>individual</w:t>
      </w:r>
      <w:r>
        <w:t xml:space="preserve"> participants.  </w:t>
      </w:r>
      <w:r w:rsidR="00FA630D">
        <w:t xml:space="preserve"> </w:t>
      </w:r>
    </w:p>
    <w:p w:rsidR="00FA630D" w:rsidRPr="00756835" w:rsidRDefault="00093EFA" w:rsidP="00756835">
      <w:pPr>
        <w:pStyle w:val="BodyText"/>
      </w:pPr>
      <w:r>
        <w:t>In order to more closely examine the Opt-in Alert participants</w:t>
      </w:r>
      <w:r w:rsidR="00735EF7">
        <w:t>,</w:t>
      </w:r>
      <w:r>
        <w:t xml:space="preserve"> and in an effort to definitively identify savings if they existed, we also</w:t>
      </w:r>
      <w:r w:rsidR="00176850">
        <w:t xml:space="preserve"> created </w:t>
      </w:r>
      <w:r>
        <w:t>a matched control group</w:t>
      </w:r>
      <w:r w:rsidR="00176850">
        <w:t xml:space="preserve"> for the Opt-in Alerts group and performed a</w:t>
      </w:r>
      <w:r w:rsidR="00FF0D86">
        <w:t xml:space="preserve"> difference in </w:t>
      </w:r>
      <w:r>
        <w:t>difference</w:t>
      </w:r>
      <w:r w:rsidR="00FF0D86">
        <w:t xml:space="preserve"> (DID)</w:t>
      </w:r>
      <w:r>
        <w:t xml:space="preserve"> analysis.  </w:t>
      </w:r>
    </w:p>
    <w:p w:rsidR="00552665" w:rsidRDefault="00552665" w:rsidP="00552665">
      <w:pPr>
        <w:pStyle w:val="Heading2"/>
      </w:pPr>
      <w:bookmarkStart w:id="64" w:name="_Toc351363740"/>
      <w:r>
        <w:lastRenderedPageBreak/>
        <w:t>Matched Control Group Analysis</w:t>
      </w:r>
      <w:bookmarkEnd w:id="64"/>
    </w:p>
    <w:p w:rsidR="00552665" w:rsidRDefault="004617E8" w:rsidP="00552665">
      <w:pPr>
        <w:pStyle w:val="BodyText"/>
      </w:pPr>
      <w:r>
        <w:t>This section presents the results of the matched co</w:t>
      </w:r>
      <w:r w:rsidR="00216B60">
        <w:t>ntrol group analysis for the 341</w:t>
      </w:r>
      <w:r>
        <w:t xml:space="preserve"> Opt-in Alert </w:t>
      </w:r>
      <w:r w:rsidR="003E7A58">
        <w:t>customers. Figure 3-7</w:t>
      </w:r>
      <w:r w:rsidR="004F612E">
        <w:t xml:space="preserve"> shows a comparison of the Opt-in Alert participants with the matched control group on an average non-event day in 2012. </w:t>
      </w:r>
    </w:p>
    <w:p w:rsidR="004F612E" w:rsidRDefault="004F612E" w:rsidP="004F612E">
      <w:pPr>
        <w:pStyle w:val="TableFigureCaption"/>
      </w:pPr>
      <w:bookmarkStart w:id="65" w:name="_Ref329781991"/>
      <w:bookmarkStart w:id="66" w:name="_Toc343767402"/>
      <w:bookmarkStart w:id="67" w:name="_Toc351363753"/>
      <w:r w:rsidRPr="007B20DE">
        <w:t xml:space="preserve">Figure </w:t>
      </w:r>
      <w:fldSimple w:instr=" STYLEREF  &quot;Heading 1,Chap Num&quot; \n  \* MERGEFORMAT ">
        <w:r w:rsidR="00176850">
          <w:rPr>
            <w:noProof/>
          </w:rPr>
          <w:t>3</w:t>
        </w:r>
      </w:fldSimple>
      <w:r w:rsidRPr="007B20DE">
        <w:t>-</w:t>
      </w:r>
      <w:fldSimple w:instr=" SEQ Figure\s 1 \* MERGEFORMAT ">
        <w:r w:rsidR="00176850">
          <w:rPr>
            <w:noProof/>
          </w:rPr>
          <w:t>7</w:t>
        </w:r>
      </w:fldSimple>
      <w:bookmarkEnd w:id="65"/>
      <w:r>
        <w:tab/>
      </w:r>
      <w:bookmarkEnd w:id="66"/>
      <w:r>
        <w:t xml:space="preserve">Opt-in </w:t>
      </w:r>
      <w:proofErr w:type="gramStart"/>
      <w:r>
        <w:t>Alert</w:t>
      </w:r>
      <w:proofErr w:type="gramEnd"/>
      <w:r>
        <w:t xml:space="preserve"> vs. </w:t>
      </w:r>
      <w:r w:rsidR="00FF0D86">
        <w:t xml:space="preserve">Unadjusted </w:t>
      </w:r>
      <w:r>
        <w:t>Matched Control: 2012 Non-Event Days</w:t>
      </w:r>
      <w:bookmarkEnd w:id="67"/>
      <w:r>
        <w:t xml:space="preserve"> </w:t>
      </w:r>
    </w:p>
    <w:p w:rsidR="004F612E" w:rsidRPr="00552665" w:rsidRDefault="004F612E" w:rsidP="00552665">
      <w:pPr>
        <w:pStyle w:val="BodyText"/>
      </w:pPr>
      <w:r w:rsidRPr="004F612E">
        <w:rPr>
          <w:noProof/>
        </w:rPr>
        <w:drawing>
          <wp:inline distT="0" distB="0" distL="0" distR="0">
            <wp:extent cx="4562475" cy="2590800"/>
            <wp:effectExtent l="19050" t="0" r="9525"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316E6" w:rsidRDefault="005316E6" w:rsidP="005316E6">
      <w:pPr>
        <w:pStyle w:val="BodyText"/>
      </w:pPr>
    </w:p>
    <w:p w:rsidR="005316E6" w:rsidRDefault="004F612E" w:rsidP="005316E6">
      <w:pPr>
        <w:pStyle w:val="BodyText"/>
      </w:pPr>
      <w:r>
        <w:t xml:space="preserve">After creating the matched </w:t>
      </w:r>
      <w:r w:rsidR="00887833">
        <w:t xml:space="preserve">control </w:t>
      </w:r>
      <w:r>
        <w:t xml:space="preserve">group, we compared the two groups on each event day to determine if there were any statistically significant reductions in load among the Opt-in Alert customers. When we look at the quality of the match in Figure 3-1 above the two groups are the most similar during the on-peak period, but have some more significant differences during the off-peak period. The advantage of using a DID approach to compare the two groups is that we are able to adjust the control group load by subtracting out pre-existing differences in the two groups </w:t>
      </w:r>
      <w:r w:rsidR="00735EF7">
        <w:t>to provide a better estimate of what participants would have done</w:t>
      </w:r>
      <w:r>
        <w:t xml:space="preserve"> on each event day.</w:t>
      </w:r>
    </w:p>
    <w:p w:rsidR="00C075B2" w:rsidRDefault="003E7A58" w:rsidP="005316E6">
      <w:pPr>
        <w:pStyle w:val="BodyText"/>
      </w:pPr>
      <w:r>
        <w:t>Figure 3-8 through Figure 3-14</w:t>
      </w:r>
      <w:r w:rsidR="00E22B77">
        <w:t xml:space="preserve"> presents both a comparison of the Opt-in Alert participants with the matched control </w:t>
      </w:r>
      <w:proofErr w:type="gramStart"/>
      <w:r w:rsidR="00E22B77">
        <w:t>group,</w:t>
      </w:r>
      <w:proofErr w:type="gramEnd"/>
      <w:r w:rsidR="00E22B77">
        <w:t xml:space="preserve"> and the savings shap</w:t>
      </w:r>
      <w:r w:rsidR="00735EF7">
        <w:t>e</w:t>
      </w:r>
      <w:r w:rsidR="00E22B77">
        <w:t xml:space="preserve"> on each PTR event day. </w:t>
      </w:r>
      <w:r w:rsidR="00887833">
        <w:t>On the left side of each figure is the average</w:t>
      </w:r>
      <w:r w:rsidR="00E22B77">
        <w:t xml:space="preserve"> load for each group</w:t>
      </w:r>
      <w:r w:rsidR="00887833">
        <w:t xml:space="preserve"> on each event day</w:t>
      </w:r>
      <w:r w:rsidR="00E22B77">
        <w:t xml:space="preserve">, with vertical </w:t>
      </w:r>
      <w:r w:rsidR="00EC2916">
        <w:t>lines indicating the 11-6 p</w:t>
      </w:r>
      <w:r w:rsidR="00735EF7">
        <w:t>.</w:t>
      </w:r>
      <w:r w:rsidR="00EC2916">
        <w:t>m</w:t>
      </w:r>
      <w:r w:rsidR="00735EF7">
        <w:t>.</w:t>
      </w:r>
      <w:r w:rsidR="00EC2916">
        <w:t xml:space="preserve"> event window and the 1-6 p</w:t>
      </w:r>
      <w:r w:rsidR="00735EF7">
        <w:t>.</w:t>
      </w:r>
      <w:r w:rsidR="00EC2916">
        <w:t>m</w:t>
      </w:r>
      <w:r w:rsidR="00735EF7">
        <w:t>.</w:t>
      </w:r>
      <w:r w:rsidR="00EC2916">
        <w:t xml:space="preserve"> event </w:t>
      </w:r>
      <w:proofErr w:type="gramStart"/>
      <w:r w:rsidR="00EC2916">
        <w:t>window</w:t>
      </w:r>
      <w:r w:rsidR="00887833">
        <w:t>.</w:t>
      </w:r>
      <w:proofErr w:type="gramEnd"/>
      <w:r w:rsidR="00EC2916">
        <w:t xml:space="preserve"> On the right side, we show the</w:t>
      </w:r>
      <w:r w:rsidR="00887833">
        <w:t xml:space="preserve"> savings shape, or the difference</w:t>
      </w:r>
      <w:r w:rsidR="00EC2916">
        <w:t xml:space="preserve"> between the two groups</w:t>
      </w:r>
      <w:r w:rsidR="00887833">
        <w:t>,</w:t>
      </w:r>
      <w:r w:rsidR="00EC2916">
        <w:t xml:space="preserve"> including the 90% confidence intervals. </w:t>
      </w:r>
    </w:p>
    <w:p w:rsidR="0001276C" w:rsidRDefault="0001276C" w:rsidP="00573288">
      <w:pPr>
        <w:pStyle w:val="TableFigureCaption"/>
        <w:ind w:left="0" w:firstLine="0"/>
      </w:pPr>
      <w:bookmarkStart w:id="68" w:name="_Toc351363754"/>
      <w:r w:rsidRPr="007B20DE">
        <w:lastRenderedPageBreak/>
        <w:t xml:space="preserve">Figure </w:t>
      </w:r>
      <w:fldSimple w:instr=" STYLEREF  &quot;Heading 1,Chap Num&quot; \n  \* MERGEFORMAT ">
        <w:r w:rsidR="00176850">
          <w:rPr>
            <w:noProof/>
          </w:rPr>
          <w:t>3</w:t>
        </w:r>
      </w:fldSimple>
      <w:r w:rsidRPr="007B20DE">
        <w:t>-</w:t>
      </w:r>
      <w:fldSimple w:instr=" SEQ Figure\s 1 \* MERGEFORMAT ">
        <w:r w:rsidR="00176850">
          <w:rPr>
            <w:noProof/>
          </w:rPr>
          <w:t>8</w:t>
        </w:r>
      </w:fldSimple>
      <w:r>
        <w:tab/>
        <w:t>Average Per-Customer Load and Impact – July 20, 2012</w:t>
      </w:r>
      <w:bookmarkEnd w:id="68"/>
      <w:r>
        <w:t xml:space="preserve">  </w:t>
      </w:r>
    </w:p>
    <w:p w:rsidR="001B3F94" w:rsidRDefault="00C075B2" w:rsidP="00FB6659">
      <w:pPr>
        <w:pStyle w:val="BodyText"/>
        <w:ind w:right="-180"/>
      </w:pPr>
      <w:r w:rsidRPr="00C075B2">
        <w:rPr>
          <w:noProof/>
        </w:rPr>
        <w:drawing>
          <wp:inline distT="0" distB="0" distL="0" distR="0">
            <wp:extent cx="2971800" cy="2552700"/>
            <wp:effectExtent l="19050" t="0" r="19050" b="0"/>
            <wp:docPr id="1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C075B2">
        <w:rPr>
          <w:noProof/>
        </w:rPr>
        <w:t xml:space="preserve"> </w:t>
      </w:r>
      <w:r w:rsidRPr="00C075B2">
        <w:rPr>
          <w:noProof/>
        </w:rPr>
        <w:drawing>
          <wp:inline distT="0" distB="0" distL="0" distR="0">
            <wp:extent cx="2714625" cy="2552700"/>
            <wp:effectExtent l="19050" t="0" r="9525" b="0"/>
            <wp:docPr id="1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F24C1" w:rsidRDefault="00FB6659" w:rsidP="005F24C1">
      <w:pPr>
        <w:pStyle w:val="TableFigureCaption"/>
      </w:pPr>
      <w:bookmarkStart w:id="69" w:name="_Toc351363755"/>
      <w:r w:rsidRPr="007B20DE">
        <w:t xml:space="preserve">Figure </w:t>
      </w:r>
      <w:fldSimple w:instr=" STYLEREF  &quot;Heading 1,Chap Num&quot; \n  \* MERGEFORMAT ">
        <w:r w:rsidR="00176850">
          <w:rPr>
            <w:noProof/>
          </w:rPr>
          <w:t>3</w:t>
        </w:r>
      </w:fldSimple>
      <w:r w:rsidRPr="007B20DE">
        <w:t>-</w:t>
      </w:r>
      <w:fldSimple w:instr=" SEQ Figure\s 1 \* MERGEFORMAT ">
        <w:r w:rsidR="00176850">
          <w:rPr>
            <w:noProof/>
          </w:rPr>
          <w:t>9</w:t>
        </w:r>
      </w:fldSimple>
      <w:r>
        <w:tab/>
        <w:t>Average Per-Customer Load and Impact – August 9, 2012</w:t>
      </w:r>
      <w:bookmarkEnd w:id="69"/>
      <w:r>
        <w:t xml:space="preserve">  </w:t>
      </w:r>
    </w:p>
    <w:p w:rsidR="001B3F94" w:rsidRDefault="00FB6659" w:rsidP="00FB6659">
      <w:pPr>
        <w:pStyle w:val="BodyText"/>
        <w:ind w:right="-270"/>
        <w:rPr>
          <w:noProof/>
        </w:rPr>
      </w:pPr>
      <w:r w:rsidRPr="00FB6659">
        <w:rPr>
          <w:noProof/>
        </w:rPr>
        <w:drawing>
          <wp:inline distT="0" distB="0" distL="0" distR="0">
            <wp:extent cx="2971800" cy="2619375"/>
            <wp:effectExtent l="19050" t="0" r="1905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FB6659">
        <w:rPr>
          <w:noProof/>
        </w:rPr>
        <w:t xml:space="preserve"> </w:t>
      </w:r>
      <w:r w:rsidRPr="00FB6659">
        <w:rPr>
          <w:noProof/>
        </w:rPr>
        <w:drawing>
          <wp:inline distT="0" distB="0" distL="0" distR="0">
            <wp:extent cx="2714625" cy="2619375"/>
            <wp:effectExtent l="19050" t="0" r="9525"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F24C1" w:rsidRDefault="005F24C1" w:rsidP="00FB6659">
      <w:pPr>
        <w:pStyle w:val="BodyText"/>
        <w:ind w:right="-270"/>
      </w:pPr>
    </w:p>
    <w:p w:rsidR="005F24C1" w:rsidRDefault="003E7A58" w:rsidP="005F24C1">
      <w:pPr>
        <w:pStyle w:val="BodyText"/>
        <w:ind w:right="-270"/>
      </w:pPr>
      <w:r>
        <w:t>Figures 3-8 and 3-9</w:t>
      </w:r>
      <w:r w:rsidR="00887833">
        <w:t xml:space="preserve"> show the load shapes and savings shapes for the July, 20 and August 9 event days. The July 20 event was </w:t>
      </w:r>
      <w:r w:rsidR="00735EF7">
        <w:t>the first event of the summer and a test event</w:t>
      </w:r>
      <w:r w:rsidR="00887833">
        <w:t xml:space="preserve">. While it does appear that there may be some on-peak reduction in the Opt-in Alert group, when we look at the confidence intervals, that reduction is not statistically different from zero. </w:t>
      </w:r>
      <w:r w:rsidR="005F24C1">
        <w:t>Again</w:t>
      </w:r>
      <w:r w:rsidR="00735EF7">
        <w:t>,</w:t>
      </w:r>
      <w:r w:rsidR="005F24C1">
        <w:t xml:space="preserve"> we see what might be a reduction in the later part of the event on August 9, but that difference is not significant. The large spike on August 9 was caused by one large customer shifting load earlier in the day. It is an important reminder that with a small group of customers, the actions of one or two large custom</w:t>
      </w:r>
      <w:r w:rsidR="00735EF7">
        <w:t xml:space="preserve">ers can move the average </w:t>
      </w:r>
      <w:r w:rsidR="005F24C1">
        <w:t xml:space="preserve">significantly. </w:t>
      </w:r>
    </w:p>
    <w:p w:rsidR="00360037" w:rsidRDefault="00360037" w:rsidP="005F24C1">
      <w:pPr>
        <w:pStyle w:val="TableFigureCaption"/>
        <w:spacing w:line="360" w:lineRule="auto"/>
        <w:contextualSpacing/>
      </w:pPr>
      <w:bookmarkStart w:id="70" w:name="_Toc351363756"/>
      <w:r w:rsidRPr="007B20DE">
        <w:lastRenderedPageBreak/>
        <w:t xml:space="preserve">Figure </w:t>
      </w:r>
      <w:fldSimple w:instr=" STYLEREF  &quot;Heading 1,Chap Num&quot; \n  \* MERGEFORMAT ">
        <w:r w:rsidR="00176850">
          <w:rPr>
            <w:noProof/>
          </w:rPr>
          <w:t>3</w:t>
        </w:r>
      </w:fldSimple>
      <w:r w:rsidRPr="007B20DE">
        <w:t>-</w:t>
      </w:r>
      <w:fldSimple w:instr=" SEQ Figure\s 1 \* MERGEFORMAT ">
        <w:r w:rsidR="00176850">
          <w:rPr>
            <w:noProof/>
          </w:rPr>
          <w:t>10</w:t>
        </w:r>
      </w:fldSimple>
      <w:r>
        <w:tab/>
        <w:t>Average Per-Customer Load and Impact – August 10, 2012</w:t>
      </w:r>
      <w:bookmarkEnd w:id="70"/>
      <w:r>
        <w:t xml:space="preserve">  </w:t>
      </w:r>
    </w:p>
    <w:p w:rsidR="00360037" w:rsidRDefault="00360037" w:rsidP="005F24C1">
      <w:pPr>
        <w:pStyle w:val="TableFigureCaption"/>
        <w:spacing w:line="360" w:lineRule="auto"/>
        <w:ind w:left="0" w:right="-360" w:firstLine="0"/>
        <w:contextualSpacing/>
      </w:pPr>
      <w:r w:rsidRPr="00360037">
        <w:rPr>
          <w:noProof/>
        </w:rPr>
        <w:drawing>
          <wp:inline distT="0" distB="0" distL="0" distR="0">
            <wp:extent cx="2971800" cy="2514600"/>
            <wp:effectExtent l="19050" t="0" r="1905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273259" w:rsidRPr="00273259">
        <w:rPr>
          <w:noProof/>
        </w:rPr>
        <w:t xml:space="preserve"> </w:t>
      </w:r>
      <w:r w:rsidR="00273259" w:rsidRPr="00273259">
        <w:rPr>
          <w:noProof/>
        </w:rPr>
        <w:drawing>
          <wp:inline distT="0" distB="0" distL="0" distR="0">
            <wp:extent cx="2714625" cy="2514600"/>
            <wp:effectExtent l="19050" t="0" r="9525"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F24C1" w:rsidRDefault="005F24C1" w:rsidP="005F24C1">
      <w:pPr>
        <w:pStyle w:val="TableFigureCaption"/>
        <w:spacing w:line="360" w:lineRule="auto"/>
        <w:contextualSpacing/>
      </w:pPr>
    </w:p>
    <w:p w:rsidR="002F3C02" w:rsidRDefault="002F3C02" w:rsidP="005F24C1">
      <w:pPr>
        <w:pStyle w:val="TableFigureCaption"/>
        <w:spacing w:line="360" w:lineRule="auto"/>
        <w:contextualSpacing/>
      </w:pPr>
      <w:bookmarkStart w:id="71" w:name="_Toc351363757"/>
      <w:r w:rsidRPr="007B20DE">
        <w:t xml:space="preserve">Figure </w:t>
      </w:r>
      <w:fldSimple w:instr=" STYLEREF  &quot;Heading 1,Chap Num&quot; \n  \* MERGEFORMAT ">
        <w:r w:rsidR="00176850">
          <w:rPr>
            <w:noProof/>
          </w:rPr>
          <w:t>3</w:t>
        </w:r>
      </w:fldSimple>
      <w:r w:rsidRPr="007B20DE">
        <w:t>-</w:t>
      </w:r>
      <w:fldSimple w:instr=" SEQ Figure\s 1 \* MERGEFORMAT ">
        <w:r w:rsidR="00176850">
          <w:rPr>
            <w:noProof/>
          </w:rPr>
          <w:t>11</w:t>
        </w:r>
      </w:fldSimple>
      <w:r>
        <w:tab/>
        <w:t>Average Per-Customer Load and Impact – A</w:t>
      </w:r>
      <w:r w:rsidR="0080672F">
        <w:t>ugust 11</w:t>
      </w:r>
      <w:r>
        <w:t>, 2012</w:t>
      </w:r>
      <w:bookmarkEnd w:id="71"/>
      <w:r>
        <w:t xml:space="preserve">  </w:t>
      </w:r>
    </w:p>
    <w:p w:rsidR="00360037" w:rsidRDefault="002F3C02" w:rsidP="005F24C1">
      <w:pPr>
        <w:pStyle w:val="TableFigureCaption"/>
        <w:spacing w:line="360" w:lineRule="auto"/>
        <w:ind w:right="-270"/>
        <w:contextualSpacing/>
      </w:pPr>
      <w:r w:rsidRPr="002F3C02">
        <w:rPr>
          <w:noProof/>
        </w:rPr>
        <w:drawing>
          <wp:inline distT="0" distB="0" distL="0" distR="0">
            <wp:extent cx="2971800" cy="2638425"/>
            <wp:effectExtent l="19050" t="0" r="1905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2F3C02">
        <w:rPr>
          <w:noProof/>
        </w:rPr>
        <w:t xml:space="preserve"> </w:t>
      </w:r>
      <w:r w:rsidRPr="002F3C02">
        <w:rPr>
          <w:noProof/>
        </w:rPr>
        <w:drawing>
          <wp:inline distT="0" distB="0" distL="0" distR="0">
            <wp:extent cx="2714625" cy="2647950"/>
            <wp:effectExtent l="19050" t="0" r="9525"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0672F" w:rsidRDefault="0080672F" w:rsidP="005F24C1">
      <w:pPr>
        <w:pStyle w:val="BodyText"/>
        <w:rPr>
          <w:b/>
          <w:i/>
          <w:spacing w:val="0"/>
          <w:sz w:val="18"/>
          <w:szCs w:val="16"/>
        </w:rPr>
      </w:pPr>
    </w:p>
    <w:p w:rsidR="005F24C1" w:rsidRDefault="003E7A58" w:rsidP="005F24C1">
      <w:pPr>
        <w:pStyle w:val="BodyText"/>
      </w:pPr>
      <w:r>
        <w:t>Figure 3-10 and Figure 3-11</w:t>
      </w:r>
      <w:r w:rsidR="005F24C1">
        <w:t xml:space="preserve"> show the</w:t>
      </w:r>
      <w:r w:rsidR="005F24C1" w:rsidRPr="005F24C1">
        <w:t xml:space="preserve"> </w:t>
      </w:r>
      <w:r w:rsidR="005F24C1">
        <w:t>show the load shapes and savings shapes for the August 10 and August 11 event days.  On both</w:t>
      </w:r>
      <w:r w:rsidR="00735EF7">
        <w:t xml:space="preserve"> of these days the Opt-in Alert</w:t>
      </w:r>
      <w:r w:rsidR="005F24C1">
        <w:t xml:space="preserve"> customer </w:t>
      </w:r>
      <w:r w:rsidR="00735EF7">
        <w:t xml:space="preserve">load </w:t>
      </w:r>
      <w:r w:rsidR="005F24C1">
        <w:t xml:space="preserve">and </w:t>
      </w:r>
      <w:r w:rsidR="00735EF7">
        <w:t>the</w:t>
      </w:r>
      <w:r w:rsidR="005F24C1">
        <w:t xml:space="preserve"> control group</w:t>
      </w:r>
      <w:r w:rsidR="00735EF7">
        <w:t xml:space="preserve"> load</w:t>
      </w:r>
      <w:r w:rsidR="005F24C1">
        <w:t xml:space="preserve"> are very close to each other with no notable deviations in usage during the on-peak period. The marked difference between the two shapes is a result of August 10 being a weekday and August 11 being a Saturday. </w:t>
      </w:r>
    </w:p>
    <w:p w:rsidR="0080672F" w:rsidRDefault="0080672F" w:rsidP="005F24C1">
      <w:pPr>
        <w:pStyle w:val="TableFigureCaption"/>
        <w:spacing w:line="360" w:lineRule="auto"/>
        <w:contextualSpacing/>
      </w:pPr>
      <w:bookmarkStart w:id="72" w:name="_Toc351363758"/>
      <w:r w:rsidRPr="007B20DE">
        <w:lastRenderedPageBreak/>
        <w:t xml:space="preserve">Figure </w:t>
      </w:r>
      <w:fldSimple w:instr=" STYLEREF  &quot;Heading 1,Chap Num&quot; \n  \* MERGEFORMAT ">
        <w:r w:rsidR="00176850">
          <w:rPr>
            <w:noProof/>
          </w:rPr>
          <w:t>3</w:t>
        </w:r>
      </w:fldSimple>
      <w:r w:rsidRPr="007B20DE">
        <w:t>-</w:t>
      </w:r>
      <w:fldSimple w:instr=" SEQ Figure\s 1 \* MERGEFORMAT ">
        <w:r w:rsidR="00176850">
          <w:rPr>
            <w:noProof/>
          </w:rPr>
          <w:t>12</w:t>
        </w:r>
      </w:fldSimple>
      <w:r>
        <w:tab/>
        <w:t>Average Per-Customer Load and Impact – August 14, 2012</w:t>
      </w:r>
      <w:bookmarkEnd w:id="72"/>
      <w:r>
        <w:t xml:space="preserve">  </w:t>
      </w:r>
    </w:p>
    <w:p w:rsidR="0080672F" w:rsidRDefault="0080672F" w:rsidP="005F24C1">
      <w:pPr>
        <w:pStyle w:val="TableFigureCaption"/>
        <w:spacing w:line="360" w:lineRule="auto"/>
        <w:ind w:right="-360"/>
        <w:contextualSpacing/>
      </w:pPr>
      <w:r w:rsidRPr="0080672F">
        <w:rPr>
          <w:noProof/>
        </w:rPr>
        <w:drawing>
          <wp:inline distT="0" distB="0" distL="0" distR="0">
            <wp:extent cx="2971800" cy="2514600"/>
            <wp:effectExtent l="19050" t="0" r="1905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80672F">
        <w:rPr>
          <w:noProof/>
        </w:rPr>
        <w:t xml:space="preserve"> </w:t>
      </w:r>
      <w:r w:rsidRPr="0080672F">
        <w:rPr>
          <w:noProof/>
        </w:rPr>
        <w:drawing>
          <wp:inline distT="0" distB="0" distL="0" distR="0">
            <wp:extent cx="2714625" cy="2511425"/>
            <wp:effectExtent l="19050" t="0" r="9525" b="317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0327CA" w:rsidRDefault="000327CA" w:rsidP="0080672F">
      <w:pPr>
        <w:pStyle w:val="TableFigureCaption"/>
      </w:pPr>
    </w:p>
    <w:p w:rsidR="0080672F" w:rsidRDefault="0080672F" w:rsidP="005F24C1">
      <w:pPr>
        <w:pStyle w:val="TableFigureCaption"/>
        <w:spacing w:line="360" w:lineRule="auto"/>
        <w:contextualSpacing/>
      </w:pPr>
      <w:bookmarkStart w:id="73" w:name="_Toc351363759"/>
      <w:r w:rsidRPr="007B20DE">
        <w:t xml:space="preserve">Figure </w:t>
      </w:r>
      <w:fldSimple w:instr=" STYLEREF  &quot;Heading 1,Chap Num&quot; \n  \* MERGEFORMAT ">
        <w:r w:rsidR="00176850">
          <w:rPr>
            <w:noProof/>
          </w:rPr>
          <w:t>3</w:t>
        </w:r>
      </w:fldSimple>
      <w:r w:rsidRPr="007B20DE">
        <w:t>-</w:t>
      </w:r>
      <w:fldSimple w:instr=" SEQ Figure\s 1 \* MERGEFORMAT ">
        <w:r w:rsidR="00176850">
          <w:rPr>
            <w:noProof/>
          </w:rPr>
          <w:t>13</w:t>
        </w:r>
      </w:fldSimple>
      <w:r>
        <w:tab/>
        <w:t>Average Per-Customer Load and Impact – August 21, 2012</w:t>
      </w:r>
      <w:bookmarkEnd w:id="73"/>
      <w:r>
        <w:t xml:space="preserve">  </w:t>
      </w:r>
    </w:p>
    <w:p w:rsidR="005F24C1" w:rsidRDefault="00392ADE" w:rsidP="008F73E4">
      <w:pPr>
        <w:pStyle w:val="TableFigureCaption"/>
        <w:spacing w:line="360" w:lineRule="auto"/>
        <w:ind w:right="-270"/>
        <w:contextualSpacing/>
      </w:pPr>
      <w:r w:rsidRPr="00392ADE">
        <w:rPr>
          <w:noProof/>
        </w:rPr>
        <w:drawing>
          <wp:inline distT="0" distB="0" distL="0" distR="0">
            <wp:extent cx="2966357" cy="2588821"/>
            <wp:effectExtent l="19050" t="0" r="24493" b="1979"/>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Pr="00392ADE">
        <w:rPr>
          <w:noProof/>
        </w:rPr>
        <w:t xml:space="preserve"> </w:t>
      </w:r>
      <w:r w:rsidRPr="00392ADE">
        <w:rPr>
          <w:noProof/>
        </w:rPr>
        <w:drawing>
          <wp:inline distT="0" distB="0" distL="0" distR="0">
            <wp:extent cx="2714625" cy="2588821"/>
            <wp:effectExtent l="19050" t="0" r="9525" b="1979"/>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F73E4" w:rsidRDefault="008F73E4" w:rsidP="008F73E4">
      <w:pPr>
        <w:pStyle w:val="BodyText"/>
      </w:pPr>
    </w:p>
    <w:p w:rsidR="007747A7" w:rsidRDefault="003E7A58" w:rsidP="007747A7">
      <w:pPr>
        <w:pStyle w:val="BodyText"/>
      </w:pPr>
      <w:r>
        <w:t>Figure 3-12, Figure 3-13</w:t>
      </w:r>
      <w:r w:rsidR="00C520C9">
        <w:t>,</w:t>
      </w:r>
      <w:r w:rsidR="008F73E4">
        <w:t xml:space="preserve"> and Figure</w:t>
      </w:r>
      <w:r>
        <w:t xml:space="preserve"> 3-14</w:t>
      </w:r>
      <w:r w:rsidR="00C520C9">
        <w:t xml:space="preserve"> show the average daily load shapes and savings shapes for the events on August 14, August 21, and September 15. </w:t>
      </w:r>
      <w:r w:rsidR="008F73E4">
        <w:t xml:space="preserve"> </w:t>
      </w:r>
      <w:r w:rsidR="007747A7">
        <w:t>In all three figures</w:t>
      </w:r>
      <w:r w:rsidR="00634646">
        <w:t xml:space="preserve"> the</w:t>
      </w:r>
      <w:r w:rsidR="007747A7">
        <w:t xml:space="preserve"> Opt-in Alert customer</w:t>
      </w:r>
      <w:r w:rsidR="00634646">
        <w:t xml:space="preserve"> load and the</w:t>
      </w:r>
      <w:r w:rsidR="007747A7">
        <w:t xml:space="preserve"> control group </w:t>
      </w:r>
      <w:r w:rsidR="00634646">
        <w:t xml:space="preserve">load </w:t>
      </w:r>
      <w:r w:rsidR="007747A7">
        <w:t>are very close to each other with no notable deviations in usage during the on-peak period. The average on-peak load on August 21 was about 0.5 kW lower than the load on August 9, 10, and 14 events because it was quite a bit cooler</w:t>
      </w:r>
      <w:r w:rsidR="00735EF7">
        <w:t xml:space="preserve"> on that day, an average of 78</w:t>
      </w:r>
      <w:r w:rsidR="00735EF7">
        <w:rPr>
          <w:rFonts w:cs="Tahoma"/>
        </w:rPr>
        <w:t>º</w:t>
      </w:r>
      <w:r w:rsidR="00735EF7">
        <w:t>F vs. temperatures ranging from 81</w:t>
      </w:r>
      <w:r w:rsidR="00735EF7">
        <w:rPr>
          <w:rFonts w:cs="Tahoma"/>
        </w:rPr>
        <w:t>º</w:t>
      </w:r>
      <w:r w:rsidR="00735EF7">
        <w:t>F to 83</w:t>
      </w:r>
      <w:r w:rsidR="00735EF7">
        <w:rPr>
          <w:rFonts w:cs="Tahoma"/>
        </w:rPr>
        <w:t>º</w:t>
      </w:r>
      <w:r w:rsidR="00735EF7">
        <w:t>F during the other events</w:t>
      </w:r>
      <w:r w:rsidR="007747A7">
        <w:t xml:space="preserve">. The September 15 event occurred </w:t>
      </w:r>
      <w:r w:rsidR="00735EF7">
        <w:t>on an isolated and extremely hot</w:t>
      </w:r>
      <w:r w:rsidR="007747A7">
        <w:t xml:space="preserve"> Saturday</w:t>
      </w:r>
      <w:r w:rsidR="00735EF7">
        <w:t xml:space="preserve"> (95</w:t>
      </w:r>
      <w:r w:rsidR="00735EF7">
        <w:rPr>
          <w:rFonts w:cs="Tahoma"/>
        </w:rPr>
        <w:t>º</w:t>
      </w:r>
      <w:r w:rsidR="00735EF7">
        <w:t>F)</w:t>
      </w:r>
      <w:r w:rsidR="007747A7">
        <w:t xml:space="preserve"> </w:t>
      </w:r>
      <w:r w:rsidR="00735EF7">
        <w:t>with no truly</w:t>
      </w:r>
      <w:r w:rsidR="007747A7">
        <w:t xml:space="preserve"> comparable days, however the adjusted control load still follows the Opt-in Alert load very closely with little deviation. </w:t>
      </w:r>
    </w:p>
    <w:p w:rsidR="005316E6" w:rsidRDefault="00C075B2" w:rsidP="007747A7">
      <w:pPr>
        <w:pStyle w:val="TableFigureCaption"/>
        <w:ind w:left="0" w:firstLine="0"/>
      </w:pPr>
      <w:bookmarkStart w:id="74" w:name="_Toc351363760"/>
      <w:r w:rsidRPr="007B20DE">
        <w:lastRenderedPageBreak/>
        <w:t xml:space="preserve">Figure </w:t>
      </w:r>
      <w:fldSimple w:instr=" STYLEREF  &quot;Heading 1,Chap Num&quot; \n  \* MERGEFORMAT ">
        <w:r w:rsidR="00176850">
          <w:rPr>
            <w:noProof/>
          </w:rPr>
          <w:t>3</w:t>
        </w:r>
      </w:fldSimple>
      <w:r w:rsidRPr="007B20DE">
        <w:t>-</w:t>
      </w:r>
      <w:fldSimple w:instr=" SEQ Figure\s 1 \* MERGEFORMAT ">
        <w:r w:rsidR="00176850">
          <w:rPr>
            <w:noProof/>
          </w:rPr>
          <w:t>14</w:t>
        </w:r>
      </w:fldSimple>
      <w:r>
        <w:tab/>
        <w:t>Average Per-Customer Load and Impact – September 15, 2012</w:t>
      </w:r>
      <w:bookmarkEnd w:id="74"/>
      <w:r>
        <w:t xml:space="preserve">  </w:t>
      </w:r>
    </w:p>
    <w:p w:rsidR="005316E6" w:rsidRDefault="00C075B2" w:rsidP="00C075B2">
      <w:pPr>
        <w:pStyle w:val="BodyText"/>
        <w:ind w:right="-540"/>
      </w:pPr>
      <w:r w:rsidRPr="00C075B2">
        <w:rPr>
          <w:noProof/>
        </w:rPr>
        <w:drawing>
          <wp:inline distT="0" distB="0" distL="0" distR="0">
            <wp:extent cx="2971800" cy="2657475"/>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Pr="00C075B2">
        <w:rPr>
          <w:noProof/>
        </w:rPr>
        <w:t xml:space="preserve"> </w:t>
      </w:r>
      <w:r w:rsidRPr="00C075B2">
        <w:rPr>
          <w:noProof/>
        </w:rPr>
        <w:drawing>
          <wp:inline distT="0" distB="0" distL="0" distR="0">
            <wp:extent cx="2714625" cy="2657475"/>
            <wp:effectExtent l="19050" t="0" r="9525" b="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316E6" w:rsidRDefault="005316E6" w:rsidP="005316E6">
      <w:pPr>
        <w:pStyle w:val="BodyText"/>
      </w:pPr>
    </w:p>
    <w:p w:rsidR="005316E6" w:rsidRDefault="005316E6" w:rsidP="005316E6">
      <w:pPr>
        <w:pStyle w:val="BodyText"/>
      </w:pPr>
    </w:p>
    <w:p w:rsidR="00C075B2" w:rsidRDefault="00C075B2" w:rsidP="005316E6">
      <w:pPr>
        <w:pStyle w:val="BodyText"/>
      </w:pPr>
    </w:p>
    <w:p w:rsidR="005316E6" w:rsidRDefault="005316E6" w:rsidP="005316E6">
      <w:pPr>
        <w:pStyle w:val="BodyText"/>
      </w:pPr>
    </w:p>
    <w:p w:rsidR="005316E6" w:rsidRDefault="005316E6" w:rsidP="005316E6">
      <w:pPr>
        <w:pStyle w:val="BodyText"/>
      </w:pPr>
    </w:p>
    <w:p w:rsidR="005316E6" w:rsidRDefault="005316E6" w:rsidP="005316E6">
      <w:pPr>
        <w:pStyle w:val="BodyText"/>
      </w:pPr>
    </w:p>
    <w:p w:rsidR="005316E6" w:rsidRDefault="005316E6" w:rsidP="005316E6">
      <w:pPr>
        <w:pStyle w:val="BodyText"/>
      </w:pPr>
    </w:p>
    <w:p w:rsidR="005316E6" w:rsidRDefault="005316E6" w:rsidP="005316E6">
      <w:pPr>
        <w:pStyle w:val="BodyText"/>
      </w:pPr>
    </w:p>
    <w:p w:rsidR="00573288" w:rsidRDefault="00573288" w:rsidP="005316E6">
      <w:pPr>
        <w:pStyle w:val="BodyText"/>
      </w:pPr>
    </w:p>
    <w:p w:rsidR="00573288" w:rsidRDefault="00573288" w:rsidP="005316E6">
      <w:pPr>
        <w:pStyle w:val="BodyText"/>
      </w:pPr>
    </w:p>
    <w:p w:rsidR="00573288" w:rsidRDefault="00573288" w:rsidP="005316E6">
      <w:pPr>
        <w:pStyle w:val="BodyText"/>
      </w:pPr>
    </w:p>
    <w:p w:rsidR="00573288" w:rsidRDefault="00573288" w:rsidP="005316E6">
      <w:pPr>
        <w:pStyle w:val="BodyText"/>
      </w:pPr>
    </w:p>
    <w:p w:rsidR="00573288" w:rsidRDefault="00573288" w:rsidP="005316E6">
      <w:pPr>
        <w:pStyle w:val="BodyText"/>
      </w:pPr>
    </w:p>
    <w:p w:rsidR="00573288" w:rsidRDefault="00573288" w:rsidP="005316E6">
      <w:pPr>
        <w:pStyle w:val="BodyText"/>
      </w:pPr>
    </w:p>
    <w:p w:rsidR="00573288" w:rsidRDefault="00573288" w:rsidP="005316E6">
      <w:pPr>
        <w:pStyle w:val="BodyText"/>
      </w:pPr>
    </w:p>
    <w:p w:rsidR="00573288" w:rsidRDefault="00573288" w:rsidP="005316E6">
      <w:pPr>
        <w:pStyle w:val="BodyText"/>
      </w:pPr>
    </w:p>
    <w:p w:rsidR="00573288" w:rsidRDefault="00573288" w:rsidP="005316E6">
      <w:pPr>
        <w:pStyle w:val="BodyText"/>
      </w:pPr>
    </w:p>
    <w:p w:rsidR="00573288" w:rsidRDefault="00573288" w:rsidP="005316E6">
      <w:pPr>
        <w:pStyle w:val="BodyText"/>
      </w:pPr>
    </w:p>
    <w:p w:rsidR="00573288" w:rsidRDefault="00573288" w:rsidP="005316E6">
      <w:pPr>
        <w:pStyle w:val="BodyText"/>
      </w:pPr>
    </w:p>
    <w:p w:rsidR="00573288" w:rsidRDefault="00573288" w:rsidP="005316E6">
      <w:pPr>
        <w:pStyle w:val="BodyText"/>
      </w:pPr>
    </w:p>
    <w:p w:rsidR="00573288" w:rsidRDefault="00573288" w:rsidP="005316E6">
      <w:pPr>
        <w:pStyle w:val="BodyText"/>
      </w:pPr>
    </w:p>
    <w:p w:rsidR="00573288" w:rsidRDefault="00573288" w:rsidP="005316E6">
      <w:pPr>
        <w:pStyle w:val="BodyText"/>
      </w:pPr>
    </w:p>
    <w:p w:rsidR="009B3C99" w:rsidRDefault="009B3C99" w:rsidP="005316E6">
      <w:pPr>
        <w:pStyle w:val="BodyText"/>
      </w:pPr>
    </w:p>
    <w:p w:rsidR="005316E6" w:rsidRDefault="005316E6" w:rsidP="005316E6">
      <w:pPr>
        <w:pStyle w:val="BodyText"/>
      </w:pPr>
    </w:p>
    <w:tbl>
      <w:tblPr>
        <w:tblpPr w:leftFromText="180" w:rightFromText="180" w:vertAnchor="text" w:tblpY="264"/>
        <w:tblW w:w="5000" w:type="pct"/>
        <w:tblBorders>
          <w:insideV w:val="single" w:sz="4" w:space="0" w:color="808080"/>
        </w:tblBorders>
        <w:tblCellMar>
          <w:left w:w="58" w:type="dxa"/>
          <w:right w:w="29" w:type="dxa"/>
        </w:tblCellMar>
        <w:tblLook w:val="0000"/>
      </w:tblPr>
      <w:tblGrid>
        <w:gridCol w:w="1297"/>
        <w:gridCol w:w="7790"/>
      </w:tblGrid>
      <w:tr w:rsidR="005316E6" w:rsidRPr="000B169A" w:rsidTr="001528AB">
        <w:trPr>
          <w:cantSplit/>
          <w:trHeight w:hRule="exact" w:val="288"/>
        </w:trPr>
        <w:tc>
          <w:tcPr>
            <w:tcW w:w="1297" w:type="dxa"/>
            <w:shd w:val="clear" w:color="auto" w:fill="auto"/>
            <w:vAlign w:val="center"/>
          </w:tcPr>
          <w:p w:rsidR="005316E6" w:rsidRPr="007E5F2B" w:rsidRDefault="005316E6" w:rsidP="001528AB">
            <w:pPr>
              <w:pStyle w:val="Chapter"/>
              <w:framePr w:hSpace="0" w:wrap="auto" w:vAnchor="margin" w:hAnchor="text" w:yAlign="inline"/>
            </w:pPr>
            <w:r w:rsidRPr="007E5F2B">
              <w:lastRenderedPageBreak/>
              <w:t>Chapter</w:t>
            </w:r>
          </w:p>
        </w:tc>
        <w:tc>
          <w:tcPr>
            <w:tcW w:w="7790" w:type="dxa"/>
            <w:shd w:val="clear" w:color="auto" w:fill="auto"/>
            <w:tcMar>
              <w:left w:w="173" w:type="dxa"/>
            </w:tcMar>
            <w:vAlign w:val="center"/>
          </w:tcPr>
          <w:p w:rsidR="005316E6" w:rsidRPr="000B169A" w:rsidRDefault="005316E6" w:rsidP="001528AB">
            <w:pPr>
              <w:pStyle w:val="Heading1"/>
            </w:pPr>
            <w:bookmarkStart w:id="75" w:name="_Toc319670879"/>
            <w:bookmarkStart w:id="76" w:name="_Toc319671882"/>
            <w:bookmarkStart w:id="77" w:name="_Toc319671982"/>
            <w:bookmarkStart w:id="78" w:name="_Toc319673040"/>
            <w:bookmarkStart w:id="79" w:name="_Toc319674548"/>
            <w:bookmarkEnd w:id="75"/>
            <w:bookmarkEnd w:id="76"/>
            <w:bookmarkEnd w:id="77"/>
            <w:bookmarkEnd w:id="78"/>
            <w:bookmarkEnd w:id="79"/>
          </w:p>
        </w:tc>
      </w:tr>
    </w:tbl>
    <w:p w:rsidR="005316E6" w:rsidRDefault="005316E6" w:rsidP="005316E6">
      <w:pPr>
        <w:pStyle w:val="BodyText"/>
      </w:pPr>
    </w:p>
    <w:p w:rsidR="005316E6" w:rsidRPr="005316E6" w:rsidRDefault="005316E6" w:rsidP="005316E6">
      <w:pPr>
        <w:pStyle w:val="BodyText"/>
      </w:pPr>
    </w:p>
    <w:p w:rsidR="00A015A5" w:rsidRDefault="00A015A5" w:rsidP="00D031CB">
      <w:pPr>
        <w:pStyle w:val="ChapterTitle"/>
      </w:pPr>
    </w:p>
    <w:p w:rsidR="009359A4" w:rsidRDefault="009B3C99" w:rsidP="00D031CB">
      <w:pPr>
        <w:pStyle w:val="ChapterTitle"/>
      </w:pPr>
      <w:bookmarkStart w:id="80" w:name="_Toc351363741"/>
      <w:r>
        <w:t>Customer Specific Reference Level Statistics</w:t>
      </w:r>
      <w:bookmarkEnd w:id="80"/>
    </w:p>
    <w:p w:rsidR="00775256" w:rsidRDefault="009B3C99" w:rsidP="00775256">
      <w:pPr>
        <w:pStyle w:val="BodyText"/>
      </w:pPr>
      <w:r>
        <w:t>This chapter presents several statistics related to the Customer Specific Reference Level (CRL)</w:t>
      </w:r>
      <w:r w:rsidR="00775256">
        <w:t>.</w:t>
      </w:r>
      <w:r w:rsidR="00E23DD6">
        <w:t xml:space="preserve"> In contrast to the impact section of the report, the statistics presented below include the Summer Saver participants in both the savings and rebate calculations.</w:t>
      </w:r>
      <w:r>
        <w:t xml:space="preserve"> It does not include an assessment of the validity or accuracy of the CRL, or an assessment of alternate CRL methods. </w:t>
      </w:r>
    </w:p>
    <w:p w:rsidR="00775256" w:rsidRPr="00775256" w:rsidRDefault="009B3C99" w:rsidP="00775256">
      <w:pPr>
        <w:pStyle w:val="Heading2"/>
      </w:pPr>
      <w:bookmarkStart w:id="81" w:name="_Toc351363742"/>
      <w:r>
        <w:t>CRL Based Load Reduction and Bill Credits</w:t>
      </w:r>
      <w:bookmarkEnd w:id="81"/>
      <w:r>
        <w:t xml:space="preserve"> </w:t>
      </w:r>
    </w:p>
    <w:p w:rsidR="003E73B1" w:rsidRDefault="00646295" w:rsidP="009B3C99">
      <w:pPr>
        <w:pStyle w:val="BodyText"/>
      </w:pPr>
      <w:r>
        <w:t>We calculated the following statistics based on the CRL:</w:t>
      </w:r>
    </w:p>
    <w:p w:rsidR="00646295" w:rsidRDefault="00646295" w:rsidP="00C25C32">
      <w:pPr>
        <w:pStyle w:val="BodyText"/>
        <w:numPr>
          <w:ilvl w:val="0"/>
          <w:numId w:val="24"/>
        </w:numPr>
      </w:pPr>
      <w:r w:rsidRPr="00681F0C">
        <w:t>The number of customers who used less than their  CRL for each event</w:t>
      </w:r>
    </w:p>
    <w:p w:rsidR="00646295" w:rsidRDefault="00646295" w:rsidP="00C25C32">
      <w:pPr>
        <w:pStyle w:val="BodyText"/>
        <w:numPr>
          <w:ilvl w:val="0"/>
          <w:numId w:val="24"/>
        </w:numPr>
      </w:pPr>
      <w:r w:rsidRPr="00681F0C">
        <w:t>The total load reduction according the CRL including all customers by event.</w:t>
      </w:r>
    </w:p>
    <w:p w:rsidR="00646295" w:rsidRPr="0031750F" w:rsidRDefault="00646295" w:rsidP="00C25C32">
      <w:pPr>
        <w:pStyle w:val="BodyText"/>
        <w:numPr>
          <w:ilvl w:val="0"/>
          <w:numId w:val="24"/>
        </w:numPr>
      </w:pPr>
      <w:r w:rsidRPr="00681F0C">
        <w:t>The total load reduction by event according to the CRL including only customers using less t</w:t>
      </w:r>
      <w:r>
        <w:t xml:space="preserve">han their CRL.  </w:t>
      </w:r>
    </w:p>
    <w:p w:rsidR="00646295" w:rsidRDefault="00646295" w:rsidP="00C25C32">
      <w:pPr>
        <w:pStyle w:val="BodyText"/>
        <w:numPr>
          <w:ilvl w:val="0"/>
          <w:numId w:val="24"/>
        </w:numPr>
      </w:pPr>
      <w:r w:rsidRPr="00681F0C">
        <w:t xml:space="preserve">Total bill credits paid by event. </w:t>
      </w:r>
    </w:p>
    <w:p w:rsidR="00646295" w:rsidRPr="00681F0C" w:rsidRDefault="00646295" w:rsidP="00C25C32">
      <w:pPr>
        <w:pStyle w:val="BodyText"/>
        <w:numPr>
          <w:ilvl w:val="0"/>
          <w:numId w:val="24"/>
        </w:numPr>
      </w:pPr>
      <w:r w:rsidRPr="00681F0C">
        <w:t>Dollars per MW paid out according to the total load reduction  estimated by the CRL</w:t>
      </w:r>
    </w:p>
    <w:p w:rsidR="00646295" w:rsidRPr="00681F0C" w:rsidRDefault="00646295" w:rsidP="00C25C32">
      <w:pPr>
        <w:pStyle w:val="BodyText"/>
        <w:numPr>
          <w:ilvl w:val="0"/>
          <w:numId w:val="24"/>
        </w:numPr>
      </w:pPr>
      <w:r w:rsidRPr="00681F0C">
        <w:t>Dollar</w:t>
      </w:r>
      <w:r w:rsidR="00FF0D86">
        <w:t>s per MW paid out according to three separate load reduction scenarios</w:t>
      </w:r>
      <w:r w:rsidRPr="00681F0C">
        <w:t>.</w:t>
      </w:r>
    </w:p>
    <w:p w:rsidR="00646295" w:rsidRDefault="00646295" w:rsidP="009B3C99">
      <w:pPr>
        <w:pStyle w:val="BodyText"/>
      </w:pPr>
      <w:r>
        <w:t>Table 4-1 presents the number of customer</w:t>
      </w:r>
      <w:r w:rsidR="00F0775A">
        <w:t>s</w:t>
      </w:r>
      <w:r>
        <w:t xml:space="preserve"> who used less than their CRL, and the total number of customers who used more than their CRL, for each event. </w:t>
      </w:r>
    </w:p>
    <w:p w:rsidR="00646295" w:rsidRDefault="00646295" w:rsidP="00646295">
      <w:pPr>
        <w:pStyle w:val="TableCaption"/>
        <w:ind w:left="0" w:firstLine="0"/>
      </w:pPr>
      <w:bookmarkStart w:id="82" w:name="_Toc351364122"/>
      <w:r w:rsidRPr="005F25AF">
        <w:t xml:space="preserve">Table </w:t>
      </w:r>
      <w:r w:rsidR="00397D35" w:rsidRPr="005F25AF">
        <w:fldChar w:fldCharType="begin"/>
      </w:r>
      <w:r w:rsidRPr="005F25AF">
        <w:instrText xml:space="preserve"> STYLEREF  "Heading 1,Chap Num"  \* MERGEFORMAT </w:instrText>
      </w:r>
      <w:r w:rsidR="00397D35" w:rsidRPr="005F25AF">
        <w:fldChar w:fldCharType="end"/>
      </w:r>
      <w:fldSimple w:instr=" STYLEREF  &quot;Heading 1,Chap Num&quot; \n  \* MERGEFORMAT ">
        <w:r>
          <w:rPr>
            <w:noProof/>
          </w:rPr>
          <w:t>4</w:t>
        </w:r>
      </w:fldSimple>
      <w:r w:rsidRPr="005F25AF">
        <w:t>-</w:t>
      </w:r>
      <w:fldSimple w:instr=" SEQ Table\s 1 \* MERGEFORMAT ">
        <w:r>
          <w:rPr>
            <w:noProof/>
          </w:rPr>
          <w:t>1</w:t>
        </w:r>
      </w:fldSimple>
      <w:r w:rsidRPr="005F25AF">
        <w:tab/>
      </w:r>
      <w:r>
        <w:t>Number of Customers Using More or Less than their CRL by Event</w:t>
      </w:r>
      <w:bookmarkEnd w:id="82"/>
    </w:p>
    <w:tbl>
      <w:tblPr>
        <w:tblW w:w="5000" w:type="pct"/>
        <w:tblLook w:val="04A0"/>
      </w:tblPr>
      <w:tblGrid>
        <w:gridCol w:w="2515"/>
        <w:gridCol w:w="2125"/>
        <w:gridCol w:w="2265"/>
        <w:gridCol w:w="2311"/>
      </w:tblGrid>
      <w:tr w:rsidR="00646295" w:rsidRPr="00646295" w:rsidTr="00646295">
        <w:trPr>
          <w:trHeight w:val="300"/>
        </w:trPr>
        <w:tc>
          <w:tcPr>
            <w:tcW w:w="1364" w:type="pct"/>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646295" w:rsidRPr="00646295" w:rsidRDefault="00646295" w:rsidP="00646295">
            <w:pPr>
              <w:jc w:val="center"/>
              <w:rPr>
                <w:rFonts w:ascii="Calibri" w:hAnsi="Calibri"/>
                <w:b/>
                <w:bCs/>
                <w:color w:val="FFFFFF"/>
                <w:szCs w:val="20"/>
              </w:rPr>
            </w:pPr>
            <w:r w:rsidRPr="00646295">
              <w:rPr>
                <w:rFonts w:ascii="Calibri" w:hAnsi="Calibri"/>
                <w:b/>
                <w:bCs/>
                <w:color w:val="FFFFFF"/>
                <w:szCs w:val="20"/>
              </w:rPr>
              <w:t>Event Date</w:t>
            </w:r>
          </w:p>
        </w:tc>
        <w:tc>
          <w:tcPr>
            <w:tcW w:w="1153" w:type="pct"/>
            <w:tcBorders>
              <w:top w:val="single" w:sz="4" w:space="0" w:color="auto"/>
              <w:left w:val="nil"/>
              <w:bottom w:val="single" w:sz="4" w:space="0" w:color="auto"/>
              <w:right w:val="single" w:sz="4" w:space="0" w:color="auto"/>
            </w:tcBorders>
            <w:shd w:val="clear" w:color="000000" w:fill="1F497D"/>
            <w:noWrap/>
            <w:vAlign w:val="center"/>
            <w:hideMark/>
          </w:tcPr>
          <w:p w:rsidR="00646295" w:rsidRPr="00646295" w:rsidRDefault="00646295" w:rsidP="00646295">
            <w:pPr>
              <w:jc w:val="center"/>
              <w:rPr>
                <w:rFonts w:ascii="Calibri" w:hAnsi="Calibri"/>
                <w:b/>
                <w:bCs/>
                <w:color w:val="FFFFFF"/>
                <w:szCs w:val="20"/>
              </w:rPr>
            </w:pPr>
            <w:r w:rsidRPr="00646295">
              <w:rPr>
                <w:rFonts w:ascii="Calibri" w:hAnsi="Calibri"/>
                <w:b/>
                <w:bCs/>
                <w:color w:val="FFFFFF"/>
                <w:szCs w:val="20"/>
              </w:rPr>
              <w:t>Less than CR</w:t>
            </w:r>
            <w:r>
              <w:rPr>
                <w:rFonts w:ascii="Calibri" w:hAnsi="Calibri"/>
                <w:b/>
                <w:bCs/>
                <w:color w:val="FFFFFF"/>
                <w:szCs w:val="20"/>
              </w:rPr>
              <w:t>L</w:t>
            </w:r>
          </w:p>
        </w:tc>
        <w:tc>
          <w:tcPr>
            <w:tcW w:w="1229" w:type="pct"/>
            <w:tcBorders>
              <w:top w:val="single" w:sz="4" w:space="0" w:color="auto"/>
              <w:left w:val="nil"/>
              <w:bottom w:val="single" w:sz="4" w:space="0" w:color="auto"/>
              <w:right w:val="single" w:sz="4" w:space="0" w:color="auto"/>
            </w:tcBorders>
            <w:shd w:val="clear" w:color="000000" w:fill="1F497D"/>
            <w:noWrap/>
            <w:vAlign w:val="center"/>
            <w:hideMark/>
          </w:tcPr>
          <w:p w:rsidR="00646295" w:rsidRPr="00646295" w:rsidRDefault="00646295" w:rsidP="00646295">
            <w:pPr>
              <w:jc w:val="center"/>
              <w:rPr>
                <w:rFonts w:ascii="Calibri" w:hAnsi="Calibri"/>
                <w:b/>
                <w:bCs/>
                <w:color w:val="FFFFFF"/>
                <w:szCs w:val="20"/>
              </w:rPr>
            </w:pPr>
            <w:r w:rsidRPr="00646295">
              <w:rPr>
                <w:rFonts w:ascii="Calibri" w:hAnsi="Calibri"/>
                <w:b/>
                <w:bCs/>
                <w:color w:val="FFFFFF"/>
                <w:szCs w:val="20"/>
              </w:rPr>
              <w:t>More than CRL</w:t>
            </w:r>
          </w:p>
        </w:tc>
        <w:tc>
          <w:tcPr>
            <w:tcW w:w="1254" w:type="pct"/>
            <w:tcBorders>
              <w:top w:val="single" w:sz="4" w:space="0" w:color="auto"/>
              <w:left w:val="nil"/>
              <w:bottom w:val="single" w:sz="4" w:space="0" w:color="auto"/>
              <w:right w:val="single" w:sz="4" w:space="0" w:color="auto"/>
            </w:tcBorders>
            <w:shd w:val="clear" w:color="000000" w:fill="1F497D"/>
            <w:noWrap/>
            <w:vAlign w:val="center"/>
            <w:hideMark/>
          </w:tcPr>
          <w:p w:rsidR="00646295" w:rsidRPr="00646295" w:rsidRDefault="00646295" w:rsidP="00646295">
            <w:pPr>
              <w:jc w:val="center"/>
              <w:rPr>
                <w:rFonts w:ascii="Calibri" w:hAnsi="Calibri"/>
                <w:b/>
                <w:bCs/>
                <w:color w:val="FFFFFF"/>
                <w:szCs w:val="20"/>
              </w:rPr>
            </w:pPr>
            <w:r w:rsidRPr="00646295">
              <w:rPr>
                <w:rFonts w:ascii="Calibri" w:hAnsi="Calibri"/>
                <w:b/>
                <w:bCs/>
                <w:color w:val="FFFFFF"/>
                <w:szCs w:val="20"/>
              </w:rPr>
              <w:t>Total Participants</w:t>
            </w:r>
          </w:p>
        </w:tc>
      </w:tr>
      <w:tr w:rsidR="00646295" w:rsidRPr="00646295" w:rsidTr="00646295">
        <w:trPr>
          <w:trHeight w:val="300"/>
        </w:trPr>
        <w:tc>
          <w:tcPr>
            <w:tcW w:w="1364" w:type="pct"/>
            <w:tcBorders>
              <w:top w:val="nil"/>
              <w:left w:val="single" w:sz="4" w:space="0" w:color="auto"/>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07/20/12</w:t>
            </w:r>
          </w:p>
        </w:tc>
        <w:tc>
          <w:tcPr>
            <w:tcW w:w="1153" w:type="pct"/>
            <w:tcBorders>
              <w:top w:val="nil"/>
              <w:left w:val="nil"/>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35,488</w:t>
            </w:r>
          </w:p>
        </w:tc>
        <w:tc>
          <w:tcPr>
            <w:tcW w:w="1229" w:type="pct"/>
            <w:tcBorders>
              <w:top w:val="nil"/>
              <w:left w:val="nil"/>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75,236</w:t>
            </w:r>
          </w:p>
        </w:tc>
        <w:tc>
          <w:tcPr>
            <w:tcW w:w="1254" w:type="pct"/>
            <w:tcBorders>
              <w:top w:val="nil"/>
              <w:left w:val="nil"/>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110,724</w:t>
            </w:r>
          </w:p>
        </w:tc>
      </w:tr>
      <w:tr w:rsidR="00646295" w:rsidRPr="00646295" w:rsidTr="00646295">
        <w:trPr>
          <w:trHeight w:val="300"/>
        </w:trPr>
        <w:tc>
          <w:tcPr>
            <w:tcW w:w="1364" w:type="pct"/>
            <w:tcBorders>
              <w:top w:val="nil"/>
              <w:left w:val="single" w:sz="4" w:space="0" w:color="auto"/>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08/09/12</w:t>
            </w:r>
          </w:p>
        </w:tc>
        <w:tc>
          <w:tcPr>
            <w:tcW w:w="1153" w:type="pct"/>
            <w:tcBorders>
              <w:top w:val="nil"/>
              <w:left w:val="nil"/>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37,024</w:t>
            </w:r>
          </w:p>
        </w:tc>
        <w:tc>
          <w:tcPr>
            <w:tcW w:w="1229" w:type="pct"/>
            <w:tcBorders>
              <w:top w:val="nil"/>
              <w:left w:val="nil"/>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73,915</w:t>
            </w:r>
          </w:p>
        </w:tc>
        <w:tc>
          <w:tcPr>
            <w:tcW w:w="1254" w:type="pct"/>
            <w:tcBorders>
              <w:top w:val="nil"/>
              <w:left w:val="nil"/>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110,939</w:t>
            </w:r>
          </w:p>
        </w:tc>
      </w:tr>
      <w:tr w:rsidR="00646295" w:rsidRPr="00646295" w:rsidTr="00646295">
        <w:trPr>
          <w:trHeight w:val="300"/>
        </w:trPr>
        <w:tc>
          <w:tcPr>
            <w:tcW w:w="1364" w:type="pct"/>
            <w:tcBorders>
              <w:top w:val="nil"/>
              <w:left w:val="single" w:sz="4" w:space="0" w:color="auto"/>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08/10/12</w:t>
            </w:r>
          </w:p>
        </w:tc>
        <w:tc>
          <w:tcPr>
            <w:tcW w:w="1153" w:type="pct"/>
            <w:tcBorders>
              <w:top w:val="nil"/>
              <w:left w:val="nil"/>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38,555</w:t>
            </w:r>
          </w:p>
        </w:tc>
        <w:tc>
          <w:tcPr>
            <w:tcW w:w="1229" w:type="pct"/>
            <w:tcBorders>
              <w:top w:val="nil"/>
              <w:left w:val="nil"/>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72,360</w:t>
            </w:r>
          </w:p>
        </w:tc>
        <w:tc>
          <w:tcPr>
            <w:tcW w:w="1254" w:type="pct"/>
            <w:tcBorders>
              <w:top w:val="nil"/>
              <w:left w:val="nil"/>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110,915</w:t>
            </w:r>
          </w:p>
        </w:tc>
      </w:tr>
      <w:tr w:rsidR="00646295" w:rsidRPr="00646295" w:rsidTr="00646295">
        <w:trPr>
          <w:trHeight w:val="300"/>
        </w:trPr>
        <w:tc>
          <w:tcPr>
            <w:tcW w:w="1364" w:type="pct"/>
            <w:tcBorders>
              <w:top w:val="nil"/>
              <w:left w:val="single" w:sz="4" w:space="0" w:color="auto"/>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08/11/12</w:t>
            </w:r>
          </w:p>
        </w:tc>
        <w:tc>
          <w:tcPr>
            <w:tcW w:w="1153" w:type="pct"/>
            <w:tcBorders>
              <w:top w:val="nil"/>
              <w:left w:val="nil"/>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28,108</w:t>
            </w:r>
          </w:p>
        </w:tc>
        <w:tc>
          <w:tcPr>
            <w:tcW w:w="1229" w:type="pct"/>
            <w:tcBorders>
              <w:top w:val="nil"/>
              <w:left w:val="nil"/>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82,413</w:t>
            </w:r>
          </w:p>
        </w:tc>
        <w:tc>
          <w:tcPr>
            <w:tcW w:w="1254" w:type="pct"/>
            <w:tcBorders>
              <w:top w:val="nil"/>
              <w:left w:val="nil"/>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110,521</w:t>
            </w:r>
          </w:p>
        </w:tc>
      </w:tr>
      <w:tr w:rsidR="00646295" w:rsidRPr="00646295" w:rsidTr="00646295">
        <w:trPr>
          <w:trHeight w:val="300"/>
        </w:trPr>
        <w:tc>
          <w:tcPr>
            <w:tcW w:w="1364" w:type="pct"/>
            <w:tcBorders>
              <w:top w:val="nil"/>
              <w:left w:val="single" w:sz="4" w:space="0" w:color="auto"/>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08/14/12</w:t>
            </w:r>
          </w:p>
        </w:tc>
        <w:tc>
          <w:tcPr>
            <w:tcW w:w="1153" w:type="pct"/>
            <w:tcBorders>
              <w:top w:val="nil"/>
              <w:left w:val="nil"/>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37,517</w:t>
            </w:r>
          </w:p>
        </w:tc>
        <w:tc>
          <w:tcPr>
            <w:tcW w:w="1229" w:type="pct"/>
            <w:tcBorders>
              <w:top w:val="nil"/>
              <w:left w:val="nil"/>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73,402</w:t>
            </w:r>
          </w:p>
        </w:tc>
        <w:tc>
          <w:tcPr>
            <w:tcW w:w="1254" w:type="pct"/>
            <w:tcBorders>
              <w:top w:val="nil"/>
              <w:left w:val="nil"/>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110,919</w:t>
            </w:r>
          </w:p>
        </w:tc>
      </w:tr>
      <w:tr w:rsidR="00646295" w:rsidRPr="00646295" w:rsidTr="00646295">
        <w:trPr>
          <w:trHeight w:val="300"/>
        </w:trPr>
        <w:tc>
          <w:tcPr>
            <w:tcW w:w="1364" w:type="pct"/>
            <w:tcBorders>
              <w:top w:val="nil"/>
              <w:left w:val="single" w:sz="4" w:space="0" w:color="auto"/>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08/21/12</w:t>
            </w:r>
          </w:p>
        </w:tc>
        <w:tc>
          <w:tcPr>
            <w:tcW w:w="1153" w:type="pct"/>
            <w:tcBorders>
              <w:top w:val="nil"/>
              <w:left w:val="nil"/>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58,509</w:t>
            </w:r>
          </w:p>
        </w:tc>
        <w:tc>
          <w:tcPr>
            <w:tcW w:w="1229" w:type="pct"/>
            <w:tcBorders>
              <w:top w:val="nil"/>
              <w:left w:val="nil"/>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52,517</w:t>
            </w:r>
          </w:p>
        </w:tc>
        <w:tc>
          <w:tcPr>
            <w:tcW w:w="1254" w:type="pct"/>
            <w:tcBorders>
              <w:top w:val="nil"/>
              <w:left w:val="nil"/>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111,026</w:t>
            </w:r>
          </w:p>
        </w:tc>
      </w:tr>
      <w:tr w:rsidR="00646295" w:rsidRPr="00646295" w:rsidTr="00646295">
        <w:trPr>
          <w:trHeight w:val="300"/>
        </w:trPr>
        <w:tc>
          <w:tcPr>
            <w:tcW w:w="1364" w:type="pct"/>
            <w:tcBorders>
              <w:top w:val="nil"/>
              <w:left w:val="single" w:sz="4" w:space="0" w:color="auto"/>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09/15/12</w:t>
            </w:r>
          </w:p>
        </w:tc>
        <w:tc>
          <w:tcPr>
            <w:tcW w:w="1153" w:type="pct"/>
            <w:tcBorders>
              <w:top w:val="nil"/>
              <w:left w:val="nil"/>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31,158</w:t>
            </w:r>
          </w:p>
        </w:tc>
        <w:tc>
          <w:tcPr>
            <w:tcW w:w="1229" w:type="pct"/>
            <w:tcBorders>
              <w:top w:val="nil"/>
              <w:left w:val="nil"/>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79,196</w:t>
            </w:r>
          </w:p>
        </w:tc>
        <w:tc>
          <w:tcPr>
            <w:tcW w:w="1254" w:type="pct"/>
            <w:tcBorders>
              <w:top w:val="nil"/>
              <w:left w:val="nil"/>
              <w:bottom w:val="single" w:sz="4" w:space="0" w:color="auto"/>
              <w:right w:val="single" w:sz="4" w:space="0" w:color="auto"/>
            </w:tcBorders>
            <w:shd w:val="clear" w:color="auto" w:fill="auto"/>
            <w:noWrap/>
            <w:vAlign w:val="center"/>
            <w:hideMark/>
          </w:tcPr>
          <w:p w:rsidR="00646295" w:rsidRPr="00646295" w:rsidRDefault="00646295" w:rsidP="00646295">
            <w:pPr>
              <w:jc w:val="center"/>
              <w:rPr>
                <w:rFonts w:ascii="Calibri" w:hAnsi="Calibri"/>
                <w:color w:val="000000"/>
                <w:szCs w:val="20"/>
              </w:rPr>
            </w:pPr>
            <w:r w:rsidRPr="00646295">
              <w:rPr>
                <w:rFonts w:ascii="Calibri" w:hAnsi="Calibri"/>
                <w:color w:val="000000"/>
                <w:szCs w:val="20"/>
              </w:rPr>
              <w:t>110,354</w:t>
            </w:r>
          </w:p>
        </w:tc>
      </w:tr>
    </w:tbl>
    <w:p w:rsidR="00646295" w:rsidRDefault="00646295" w:rsidP="009B3C99">
      <w:pPr>
        <w:pStyle w:val="BodyText"/>
      </w:pPr>
    </w:p>
    <w:p w:rsidR="00646295" w:rsidRDefault="00646295" w:rsidP="009B3C99">
      <w:pPr>
        <w:pStyle w:val="BodyText"/>
      </w:pPr>
      <w:r>
        <w:t>The total percentage of customers using less than their CRL remains relatively constant</w:t>
      </w:r>
      <w:r w:rsidR="00AD5713">
        <w:t xml:space="preserve"> across events</w:t>
      </w:r>
      <w:r>
        <w:t xml:space="preserve"> ranging between 25% and 35% on all event </w:t>
      </w:r>
      <w:r w:rsidR="00AD5713">
        <w:t xml:space="preserve">days except for August 21, 2012. On that day </w:t>
      </w:r>
      <w:r w:rsidR="00634646">
        <w:t>the</w:t>
      </w:r>
      <w:r>
        <w:t xml:space="preserve"> percentage </w:t>
      </w:r>
      <w:r w:rsidR="00AD5713">
        <w:t xml:space="preserve">of customer using less than their CRL </w:t>
      </w:r>
      <w:r>
        <w:t>was significantly higher</w:t>
      </w:r>
      <w:r w:rsidR="00634646">
        <w:t>,</w:t>
      </w:r>
      <w:r>
        <w:t xml:space="preserve"> near 60%.</w:t>
      </w:r>
      <w:r w:rsidR="00AD5713">
        <w:t xml:space="preserve"> </w:t>
      </w:r>
    </w:p>
    <w:p w:rsidR="009E1553" w:rsidRDefault="008D631B" w:rsidP="009B3C99">
      <w:pPr>
        <w:pStyle w:val="BodyText"/>
      </w:pPr>
      <w:r>
        <w:t xml:space="preserve">Table </w:t>
      </w:r>
      <w:r w:rsidR="009E1553">
        <w:t xml:space="preserve">4-2 presents </w:t>
      </w:r>
      <w:r w:rsidR="0032654B">
        <w:t xml:space="preserve">both the total energy reduction in </w:t>
      </w:r>
      <w:proofErr w:type="spellStart"/>
      <w:r w:rsidR="0032654B">
        <w:t>MWh</w:t>
      </w:r>
      <w:proofErr w:type="spellEnd"/>
      <w:r w:rsidR="0032654B">
        <w:t xml:space="preserve"> and the average demand reduction in MW </w:t>
      </w:r>
      <w:r w:rsidR="00634646">
        <w:t xml:space="preserve">across the event period, </w:t>
      </w:r>
      <w:r w:rsidR="0032654B">
        <w:t xml:space="preserve">for all customers regardless of whether they used less than their </w:t>
      </w:r>
      <w:r w:rsidR="0032654B">
        <w:lastRenderedPageBreak/>
        <w:t>CRL. Table 4-3 presents the same statistics for only those customers that used less than their CRL.</w:t>
      </w:r>
    </w:p>
    <w:p w:rsidR="009E1553" w:rsidRDefault="009E1553" w:rsidP="009E1553">
      <w:pPr>
        <w:pStyle w:val="TableCaption"/>
        <w:ind w:left="0" w:firstLine="0"/>
      </w:pPr>
      <w:bookmarkStart w:id="83" w:name="_Toc351364123"/>
      <w:r w:rsidRPr="005F25AF">
        <w:t xml:space="preserve">Table </w:t>
      </w:r>
      <w:r w:rsidR="00397D35" w:rsidRPr="005F25AF">
        <w:fldChar w:fldCharType="begin"/>
      </w:r>
      <w:r w:rsidRPr="005F25AF">
        <w:instrText xml:space="preserve"> STYLEREF  "Heading 1,Chap Num"  \* MERGEFORMAT </w:instrText>
      </w:r>
      <w:r w:rsidR="00397D35" w:rsidRPr="005F25AF">
        <w:fldChar w:fldCharType="end"/>
      </w:r>
      <w:fldSimple w:instr=" STYLEREF  &quot;Heading 1,Chap Num&quot; \n  \* MERGEFORMAT ">
        <w:r>
          <w:rPr>
            <w:noProof/>
          </w:rPr>
          <w:t>4</w:t>
        </w:r>
      </w:fldSimple>
      <w:r w:rsidRPr="005F25AF">
        <w:t>-</w:t>
      </w:r>
      <w:fldSimple w:instr=" SEQ Table\s 1 \* MERGEFORMAT ">
        <w:r>
          <w:rPr>
            <w:noProof/>
          </w:rPr>
          <w:t>2</w:t>
        </w:r>
      </w:fldSimple>
      <w:r w:rsidRPr="005F25AF">
        <w:tab/>
      </w:r>
      <w:r>
        <w:t>L</w:t>
      </w:r>
      <w:r w:rsidR="005C0DBE">
        <w:t xml:space="preserve">oad Reduction </w:t>
      </w:r>
      <w:r>
        <w:t>by Event</w:t>
      </w:r>
      <w:r w:rsidR="005C0DBE">
        <w:t xml:space="preserve">: </w:t>
      </w:r>
      <w:r w:rsidR="0032654B">
        <w:t>All Customers</w:t>
      </w:r>
      <w:bookmarkEnd w:id="83"/>
    </w:p>
    <w:tbl>
      <w:tblPr>
        <w:tblW w:w="4495" w:type="pct"/>
        <w:tblLayout w:type="fixed"/>
        <w:tblLook w:val="04A0"/>
      </w:tblPr>
      <w:tblGrid>
        <w:gridCol w:w="2427"/>
        <w:gridCol w:w="2930"/>
        <w:gridCol w:w="2928"/>
      </w:tblGrid>
      <w:tr w:rsidR="005C0DBE" w:rsidRPr="00A5129D" w:rsidTr="005C0DBE">
        <w:trPr>
          <w:trHeight w:val="298"/>
        </w:trPr>
        <w:tc>
          <w:tcPr>
            <w:tcW w:w="1465" w:type="pct"/>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5C0DBE" w:rsidRPr="00A5129D" w:rsidRDefault="005C0DBE" w:rsidP="009E1553">
            <w:pPr>
              <w:jc w:val="center"/>
              <w:rPr>
                <w:rFonts w:ascii="Calibri" w:hAnsi="Calibri"/>
                <w:b/>
                <w:bCs/>
                <w:color w:val="FFFFFF"/>
                <w:szCs w:val="20"/>
              </w:rPr>
            </w:pPr>
            <w:r w:rsidRPr="00A5129D">
              <w:rPr>
                <w:rFonts w:ascii="Calibri" w:hAnsi="Calibri"/>
                <w:b/>
                <w:bCs/>
                <w:color w:val="FFFFFF"/>
                <w:szCs w:val="20"/>
              </w:rPr>
              <w:t>Event Date</w:t>
            </w:r>
          </w:p>
        </w:tc>
        <w:tc>
          <w:tcPr>
            <w:tcW w:w="1768" w:type="pct"/>
            <w:tcBorders>
              <w:top w:val="single" w:sz="4" w:space="0" w:color="auto"/>
              <w:left w:val="nil"/>
              <w:bottom w:val="single" w:sz="4" w:space="0" w:color="auto"/>
              <w:right w:val="single" w:sz="4" w:space="0" w:color="auto"/>
            </w:tcBorders>
            <w:shd w:val="clear" w:color="000000" w:fill="1F497D"/>
            <w:noWrap/>
            <w:vAlign w:val="center"/>
            <w:hideMark/>
          </w:tcPr>
          <w:p w:rsidR="005C0DBE" w:rsidRPr="00A5129D" w:rsidRDefault="005C0DBE" w:rsidP="009E1553">
            <w:pPr>
              <w:jc w:val="center"/>
              <w:rPr>
                <w:rFonts w:ascii="Calibri" w:hAnsi="Calibri"/>
                <w:b/>
                <w:bCs/>
                <w:color w:val="FFFFFF"/>
                <w:szCs w:val="20"/>
              </w:rPr>
            </w:pPr>
            <w:proofErr w:type="spellStart"/>
            <w:r w:rsidRPr="00A5129D">
              <w:rPr>
                <w:rFonts w:ascii="Calibri" w:hAnsi="Calibri"/>
                <w:b/>
                <w:bCs/>
                <w:color w:val="FFFFFF"/>
                <w:szCs w:val="20"/>
              </w:rPr>
              <w:t>MWh</w:t>
            </w:r>
            <w:proofErr w:type="spellEnd"/>
            <w:r w:rsidRPr="00A5129D">
              <w:rPr>
                <w:rFonts w:ascii="Calibri" w:hAnsi="Calibri"/>
                <w:b/>
                <w:bCs/>
                <w:color w:val="FFFFFF"/>
                <w:szCs w:val="20"/>
              </w:rPr>
              <w:t xml:space="preserve"> Reduction </w:t>
            </w:r>
          </w:p>
          <w:p w:rsidR="005C0DBE" w:rsidRPr="00A5129D" w:rsidRDefault="005C0DBE" w:rsidP="009E1553">
            <w:pPr>
              <w:jc w:val="center"/>
              <w:rPr>
                <w:rFonts w:ascii="Calibri" w:hAnsi="Calibri"/>
                <w:b/>
                <w:bCs/>
                <w:color w:val="FFFFFF"/>
                <w:szCs w:val="20"/>
              </w:rPr>
            </w:pPr>
            <w:r w:rsidRPr="00A5129D">
              <w:rPr>
                <w:rFonts w:ascii="Calibri" w:hAnsi="Calibri"/>
                <w:b/>
                <w:bCs/>
                <w:color w:val="FFFFFF"/>
                <w:szCs w:val="20"/>
              </w:rPr>
              <w:t>(Total Energy Reduced)</w:t>
            </w:r>
          </w:p>
        </w:tc>
        <w:tc>
          <w:tcPr>
            <w:tcW w:w="1767" w:type="pct"/>
            <w:tcBorders>
              <w:top w:val="single" w:sz="4" w:space="0" w:color="auto"/>
              <w:left w:val="nil"/>
              <w:bottom w:val="single" w:sz="4" w:space="0" w:color="auto"/>
              <w:right w:val="single" w:sz="4" w:space="0" w:color="auto"/>
            </w:tcBorders>
            <w:shd w:val="clear" w:color="000000" w:fill="1F497D"/>
            <w:noWrap/>
            <w:vAlign w:val="center"/>
            <w:hideMark/>
          </w:tcPr>
          <w:p w:rsidR="005C0DBE" w:rsidRPr="00A5129D" w:rsidRDefault="005C0DBE" w:rsidP="009E1553">
            <w:pPr>
              <w:jc w:val="center"/>
              <w:rPr>
                <w:rFonts w:ascii="Calibri" w:hAnsi="Calibri"/>
                <w:b/>
                <w:bCs/>
                <w:color w:val="FFFFFF"/>
                <w:szCs w:val="20"/>
              </w:rPr>
            </w:pPr>
            <w:r w:rsidRPr="00A5129D">
              <w:rPr>
                <w:rFonts w:ascii="Calibri" w:hAnsi="Calibri"/>
                <w:b/>
                <w:bCs/>
                <w:color w:val="FFFFFF"/>
                <w:szCs w:val="20"/>
              </w:rPr>
              <w:t>MW Impact</w:t>
            </w:r>
          </w:p>
          <w:p w:rsidR="005C0DBE" w:rsidRPr="00A5129D" w:rsidRDefault="005C0DBE" w:rsidP="009E1553">
            <w:pPr>
              <w:jc w:val="center"/>
              <w:rPr>
                <w:rFonts w:ascii="Calibri" w:hAnsi="Calibri"/>
                <w:b/>
                <w:bCs/>
                <w:color w:val="FFFFFF"/>
                <w:szCs w:val="20"/>
              </w:rPr>
            </w:pPr>
            <w:r w:rsidRPr="00A5129D">
              <w:rPr>
                <w:rFonts w:ascii="Calibri" w:hAnsi="Calibri"/>
                <w:b/>
                <w:bCs/>
                <w:color w:val="FFFFFF"/>
                <w:szCs w:val="20"/>
              </w:rPr>
              <w:t>(Average Demand Reduction)</w:t>
            </w:r>
          </w:p>
        </w:tc>
      </w:tr>
      <w:tr w:rsidR="005C0DBE" w:rsidRPr="00A5129D" w:rsidTr="005C0DBE">
        <w:trPr>
          <w:trHeight w:val="298"/>
        </w:trPr>
        <w:tc>
          <w:tcPr>
            <w:tcW w:w="1465" w:type="pct"/>
            <w:tcBorders>
              <w:top w:val="nil"/>
              <w:left w:val="single" w:sz="4" w:space="0" w:color="auto"/>
              <w:bottom w:val="single" w:sz="4" w:space="0" w:color="auto"/>
              <w:right w:val="single" w:sz="4" w:space="0" w:color="auto"/>
            </w:tcBorders>
            <w:shd w:val="clear" w:color="auto" w:fill="auto"/>
            <w:noWrap/>
            <w:vAlign w:val="center"/>
            <w:hideMark/>
          </w:tcPr>
          <w:p w:rsidR="005C0DBE" w:rsidRPr="00A5129D" w:rsidRDefault="005C0DBE" w:rsidP="009E1553">
            <w:pPr>
              <w:jc w:val="center"/>
              <w:rPr>
                <w:rFonts w:ascii="Calibri" w:hAnsi="Calibri"/>
                <w:color w:val="000000"/>
                <w:szCs w:val="20"/>
              </w:rPr>
            </w:pPr>
            <w:r w:rsidRPr="00A5129D">
              <w:rPr>
                <w:rFonts w:ascii="Calibri" w:hAnsi="Calibri"/>
                <w:color w:val="000000"/>
                <w:szCs w:val="20"/>
              </w:rPr>
              <w:t>07/20/12</w:t>
            </w:r>
          </w:p>
        </w:tc>
        <w:tc>
          <w:tcPr>
            <w:tcW w:w="1768" w:type="pct"/>
            <w:tcBorders>
              <w:top w:val="nil"/>
              <w:left w:val="nil"/>
              <w:bottom w:val="single" w:sz="4" w:space="0" w:color="auto"/>
              <w:right w:val="single" w:sz="4" w:space="0" w:color="auto"/>
            </w:tcBorders>
            <w:shd w:val="clear" w:color="auto" w:fill="auto"/>
            <w:noWrap/>
            <w:vAlign w:val="center"/>
            <w:hideMark/>
          </w:tcPr>
          <w:p w:rsidR="005C0DBE" w:rsidRPr="00A5129D" w:rsidRDefault="005C0DBE" w:rsidP="005C0DBE">
            <w:pPr>
              <w:jc w:val="center"/>
              <w:rPr>
                <w:rFonts w:ascii="Calibri" w:hAnsi="Calibri"/>
                <w:color w:val="000000"/>
                <w:szCs w:val="20"/>
              </w:rPr>
            </w:pPr>
            <w:r w:rsidRPr="00A5129D">
              <w:rPr>
                <w:rFonts w:ascii="Calibri" w:hAnsi="Calibri"/>
                <w:color w:val="000000"/>
                <w:szCs w:val="20"/>
              </w:rPr>
              <w:t>38.5</w:t>
            </w:r>
          </w:p>
        </w:tc>
        <w:tc>
          <w:tcPr>
            <w:tcW w:w="1767" w:type="pct"/>
            <w:tcBorders>
              <w:top w:val="nil"/>
              <w:left w:val="nil"/>
              <w:bottom w:val="single" w:sz="4" w:space="0" w:color="auto"/>
              <w:right w:val="single" w:sz="4" w:space="0" w:color="auto"/>
            </w:tcBorders>
            <w:shd w:val="clear" w:color="auto" w:fill="auto"/>
            <w:noWrap/>
            <w:vAlign w:val="center"/>
            <w:hideMark/>
          </w:tcPr>
          <w:p w:rsidR="005C0DBE" w:rsidRPr="00A5129D" w:rsidRDefault="005C0DBE" w:rsidP="005C0DBE">
            <w:pPr>
              <w:jc w:val="center"/>
              <w:rPr>
                <w:rFonts w:ascii="Calibri" w:hAnsi="Calibri"/>
                <w:color w:val="000000"/>
                <w:szCs w:val="20"/>
              </w:rPr>
            </w:pPr>
            <w:r w:rsidRPr="00A5129D">
              <w:rPr>
                <w:rFonts w:ascii="Calibri" w:hAnsi="Calibri"/>
                <w:color w:val="000000"/>
                <w:szCs w:val="20"/>
              </w:rPr>
              <w:t>5.5</w:t>
            </w:r>
          </w:p>
        </w:tc>
      </w:tr>
      <w:tr w:rsidR="005C0DBE" w:rsidRPr="00A5129D" w:rsidTr="005C0DBE">
        <w:trPr>
          <w:trHeight w:val="298"/>
        </w:trPr>
        <w:tc>
          <w:tcPr>
            <w:tcW w:w="1465" w:type="pct"/>
            <w:tcBorders>
              <w:top w:val="nil"/>
              <w:left w:val="single" w:sz="4" w:space="0" w:color="auto"/>
              <w:bottom w:val="single" w:sz="4" w:space="0" w:color="auto"/>
              <w:right w:val="single" w:sz="4" w:space="0" w:color="auto"/>
            </w:tcBorders>
            <w:shd w:val="clear" w:color="auto" w:fill="auto"/>
            <w:noWrap/>
            <w:vAlign w:val="center"/>
            <w:hideMark/>
          </w:tcPr>
          <w:p w:rsidR="005C0DBE" w:rsidRPr="00A5129D" w:rsidRDefault="005C0DBE" w:rsidP="009E1553">
            <w:pPr>
              <w:jc w:val="center"/>
              <w:rPr>
                <w:rFonts w:ascii="Calibri" w:hAnsi="Calibri"/>
                <w:color w:val="000000"/>
                <w:szCs w:val="20"/>
              </w:rPr>
            </w:pPr>
            <w:r w:rsidRPr="00A5129D">
              <w:rPr>
                <w:rFonts w:ascii="Calibri" w:hAnsi="Calibri"/>
                <w:color w:val="000000"/>
                <w:szCs w:val="20"/>
              </w:rPr>
              <w:t>08/09/12</w:t>
            </w:r>
          </w:p>
        </w:tc>
        <w:tc>
          <w:tcPr>
            <w:tcW w:w="1768" w:type="pct"/>
            <w:tcBorders>
              <w:top w:val="nil"/>
              <w:left w:val="nil"/>
              <w:bottom w:val="single" w:sz="4" w:space="0" w:color="auto"/>
              <w:right w:val="single" w:sz="4" w:space="0" w:color="auto"/>
            </w:tcBorders>
            <w:shd w:val="clear" w:color="auto" w:fill="auto"/>
            <w:noWrap/>
            <w:vAlign w:val="center"/>
            <w:hideMark/>
          </w:tcPr>
          <w:p w:rsidR="005C0DBE" w:rsidRPr="00A5129D" w:rsidRDefault="005C0DBE" w:rsidP="005C0DBE">
            <w:pPr>
              <w:jc w:val="center"/>
              <w:rPr>
                <w:rFonts w:ascii="Calibri" w:hAnsi="Calibri"/>
                <w:color w:val="000000"/>
                <w:szCs w:val="20"/>
              </w:rPr>
            </w:pPr>
            <w:r w:rsidRPr="00A5129D">
              <w:rPr>
                <w:rFonts w:ascii="Calibri" w:hAnsi="Calibri"/>
                <w:color w:val="000000"/>
                <w:szCs w:val="20"/>
              </w:rPr>
              <w:t>50.1</w:t>
            </w:r>
          </w:p>
        </w:tc>
        <w:tc>
          <w:tcPr>
            <w:tcW w:w="1767" w:type="pct"/>
            <w:tcBorders>
              <w:top w:val="nil"/>
              <w:left w:val="nil"/>
              <w:bottom w:val="single" w:sz="4" w:space="0" w:color="auto"/>
              <w:right w:val="single" w:sz="4" w:space="0" w:color="auto"/>
            </w:tcBorders>
            <w:shd w:val="clear" w:color="auto" w:fill="auto"/>
            <w:noWrap/>
            <w:vAlign w:val="center"/>
            <w:hideMark/>
          </w:tcPr>
          <w:p w:rsidR="005C0DBE" w:rsidRPr="00A5129D" w:rsidRDefault="005C0DBE" w:rsidP="005C0DBE">
            <w:pPr>
              <w:jc w:val="center"/>
              <w:rPr>
                <w:rFonts w:ascii="Calibri" w:hAnsi="Calibri"/>
                <w:color w:val="000000"/>
                <w:szCs w:val="20"/>
              </w:rPr>
            </w:pPr>
            <w:r w:rsidRPr="00A5129D">
              <w:rPr>
                <w:rFonts w:ascii="Calibri" w:hAnsi="Calibri"/>
                <w:color w:val="000000"/>
                <w:szCs w:val="20"/>
              </w:rPr>
              <w:t>7.2</w:t>
            </w:r>
          </w:p>
        </w:tc>
      </w:tr>
      <w:tr w:rsidR="005C0DBE" w:rsidRPr="00A5129D" w:rsidTr="005C0DBE">
        <w:trPr>
          <w:trHeight w:val="298"/>
        </w:trPr>
        <w:tc>
          <w:tcPr>
            <w:tcW w:w="1465" w:type="pct"/>
            <w:tcBorders>
              <w:top w:val="nil"/>
              <w:left w:val="single" w:sz="4" w:space="0" w:color="auto"/>
              <w:bottom w:val="single" w:sz="4" w:space="0" w:color="auto"/>
              <w:right w:val="single" w:sz="4" w:space="0" w:color="auto"/>
            </w:tcBorders>
            <w:shd w:val="clear" w:color="auto" w:fill="auto"/>
            <w:noWrap/>
            <w:vAlign w:val="center"/>
            <w:hideMark/>
          </w:tcPr>
          <w:p w:rsidR="005C0DBE" w:rsidRPr="00A5129D" w:rsidRDefault="005C0DBE" w:rsidP="009E1553">
            <w:pPr>
              <w:jc w:val="center"/>
              <w:rPr>
                <w:rFonts w:ascii="Calibri" w:hAnsi="Calibri"/>
                <w:color w:val="000000"/>
                <w:szCs w:val="20"/>
              </w:rPr>
            </w:pPr>
            <w:r w:rsidRPr="00A5129D">
              <w:rPr>
                <w:rFonts w:ascii="Calibri" w:hAnsi="Calibri"/>
                <w:color w:val="000000"/>
                <w:szCs w:val="20"/>
              </w:rPr>
              <w:t>08/10/12</w:t>
            </w:r>
          </w:p>
        </w:tc>
        <w:tc>
          <w:tcPr>
            <w:tcW w:w="1768" w:type="pct"/>
            <w:tcBorders>
              <w:top w:val="nil"/>
              <w:left w:val="nil"/>
              <w:bottom w:val="single" w:sz="4" w:space="0" w:color="auto"/>
              <w:right w:val="single" w:sz="4" w:space="0" w:color="auto"/>
            </w:tcBorders>
            <w:shd w:val="clear" w:color="auto" w:fill="auto"/>
            <w:noWrap/>
            <w:vAlign w:val="center"/>
            <w:hideMark/>
          </w:tcPr>
          <w:p w:rsidR="005C0DBE" w:rsidRPr="00A5129D" w:rsidRDefault="005C0DBE" w:rsidP="005C0DBE">
            <w:pPr>
              <w:jc w:val="center"/>
              <w:rPr>
                <w:rFonts w:ascii="Calibri" w:hAnsi="Calibri"/>
                <w:color w:val="000000"/>
                <w:szCs w:val="20"/>
              </w:rPr>
            </w:pPr>
            <w:r w:rsidRPr="00A5129D">
              <w:rPr>
                <w:rFonts w:ascii="Calibri" w:hAnsi="Calibri"/>
                <w:color w:val="000000"/>
                <w:szCs w:val="20"/>
              </w:rPr>
              <w:t>99.4</w:t>
            </w:r>
          </w:p>
        </w:tc>
        <w:tc>
          <w:tcPr>
            <w:tcW w:w="1767" w:type="pct"/>
            <w:tcBorders>
              <w:top w:val="nil"/>
              <w:left w:val="nil"/>
              <w:bottom w:val="single" w:sz="4" w:space="0" w:color="auto"/>
              <w:right w:val="single" w:sz="4" w:space="0" w:color="auto"/>
            </w:tcBorders>
            <w:shd w:val="clear" w:color="auto" w:fill="auto"/>
            <w:noWrap/>
            <w:vAlign w:val="center"/>
            <w:hideMark/>
          </w:tcPr>
          <w:p w:rsidR="005C0DBE" w:rsidRPr="00A5129D" w:rsidRDefault="005C0DBE" w:rsidP="005C0DBE">
            <w:pPr>
              <w:jc w:val="center"/>
              <w:rPr>
                <w:rFonts w:ascii="Calibri" w:hAnsi="Calibri"/>
                <w:color w:val="000000"/>
                <w:szCs w:val="20"/>
              </w:rPr>
            </w:pPr>
            <w:r w:rsidRPr="00A5129D">
              <w:rPr>
                <w:rFonts w:ascii="Calibri" w:hAnsi="Calibri"/>
                <w:color w:val="000000"/>
                <w:szCs w:val="20"/>
              </w:rPr>
              <w:t>14.2</w:t>
            </w:r>
          </w:p>
        </w:tc>
      </w:tr>
      <w:tr w:rsidR="005C0DBE" w:rsidRPr="00A5129D" w:rsidTr="005C0DBE">
        <w:trPr>
          <w:trHeight w:val="298"/>
        </w:trPr>
        <w:tc>
          <w:tcPr>
            <w:tcW w:w="1465" w:type="pct"/>
            <w:tcBorders>
              <w:top w:val="nil"/>
              <w:left w:val="single" w:sz="4" w:space="0" w:color="auto"/>
              <w:bottom w:val="single" w:sz="4" w:space="0" w:color="auto"/>
              <w:right w:val="single" w:sz="4" w:space="0" w:color="auto"/>
            </w:tcBorders>
            <w:shd w:val="clear" w:color="auto" w:fill="auto"/>
            <w:noWrap/>
            <w:vAlign w:val="center"/>
            <w:hideMark/>
          </w:tcPr>
          <w:p w:rsidR="005C0DBE" w:rsidRPr="00A5129D" w:rsidRDefault="005C0DBE" w:rsidP="009E1553">
            <w:pPr>
              <w:jc w:val="center"/>
              <w:rPr>
                <w:rFonts w:ascii="Calibri" w:hAnsi="Calibri"/>
                <w:color w:val="000000"/>
                <w:szCs w:val="20"/>
              </w:rPr>
            </w:pPr>
            <w:r w:rsidRPr="00A5129D">
              <w:rPr>
                <w:rFonts w:ascii="Calibri" w:hAnsi="Calibri"/>
                <w:color w:val="000000"/>
                <w:szCs w:val="20"/>
              </w:rPr>
              <w:t>08/11/12</w:t>
            </w:r>
          </w:p>
        </w:tc>
        <w:tc>
          <w:tcPr>
            <w:tcW w:w="1768" w:type="pct"/>
            <w:tcBorders>
              <w:top w:val="nil"/>
              <w:left w:val="nil"/>
              <w:bottom w:val="single" w:sz="4" w:space="0" w:color="auto"/>
              <w:right w:val="single" w:sz="4" w:space="0" w:color="auto"/>
            </w:tcBorders>
            <w:shd w:val="clear" w:color="auto" w:fill="auto"/>
            <w:noWrap/>
            <w:vAlign w:val="center"/>
            <w:hideMark/>
          </w:tcPr>
          <w:p w:rsidR="005C0DBE" w:rsidRPr="00A5129D" w:rsidRDefault="005C0DBE" w:rsidP="005C0DBE">
            <w:pPr>
              <w:jc w:val="center"/>
              <w:rPr>
                <w:rFonts w:ascii="Calibri" w:hAnsi="Calibri"/>
                <w:color w:val="000000"/>
                <w:szCs w:val="20"/>
              </w:rPr>
            </w:pPr>
            <w:r w:rsidRPr="00A5129D">
              <w:rPr>
                <w:rFonts w:ascii="Calibri" w:hAnsi="Calibri"/>
                <w:color w:val="000000"/>
                <w:szCs w:val="20"/>
              </w:rPr>
              <w:t>-157.4</w:t>
            </w:r>
          </w:p>
        </w:tc>
        <w:tc>
          <w:tcPr>
            <w:tcW w:w="1767" w:type="pct"/>
            <w:tcBorders>
              <w:top w:val="nil"/>
              <w:left w:val="nil"/>
              <w:bottom w:val="single" w:sz="4" w:space="0" w:color="auto"/>
              <w:right w:val="single" w:sz="4" w:space="0" w:color="auto"/>
            </w:tcBorders>
            <w:shd w:val="clear" w:color="auto" w:fill="auto"/>
            <w:noWrap/>
            <w:vAlign w:val="center"/>
            <w:hideMark/>
          </w:tcPr>
          <w:p w:rsidR="005C0DBE" w:rsidRPr="00A5129D" w:rsidRDefault="005C0DBE" w:rsidP="005C0DBE">
            <w:pPr>
              <w:jc w:val="center"/>
              <w:rPr>
                <w:rFonts w:ascii="Calibri" w:hAnsi="Calibri"/>
                <w:color w:val="000000"/>
                <w:szCs w:val="20"/>
              </w:rPr>
            </w:pPr>
            <w:r w:rsidRPr="00A5129D">
              <w:rPr>
                <w:rFonts w:ascii="Calibri" w:hAnsi="Calibri"/>
                <w:color w:val="000000"/>
                <w:szCs w:val="20"/>
              </w:rPr>
              <w:t>-22.5</w:t>
            </w:r>
          </w:p>
        </w:tc>
      </w:tr>
      <w:tr w:rsidR="005C0DBE" w:rsidRPr="00A5129D" w:rsidTr="005C0DBE">
        <w:trPr>
          <w:trHeight w:val="298"/>
        </w:trPr>
        <w:tc>
          <w:tcPr>
            <w:tcW w:w="1465" w:type="pct"/>
            <w:tcBorders>
              <w:top w:val="nil"/>
              <w:left w:val="single" w:sz="4" w:space="0" w:color="auto"/>
              <w:bottom w:val="single" w:sz="4" w:space="0" w:color="auto"/>
              <w:right w:val="single" w:sz="4" w:space="0" w:color="auto"/>
            </w:tcBorders>
            <w:shd w:val="clear" w:color="auto" w:fill="auto"/>
            <w:noWrap/>
            <w:vAlign w:val="center"/>
            <w:hideMark/>
          </w:tcPr>
          <w:p w:rsidR="005C0DBE" w:rsidRPr="00A5129D" w:rsidRDefault="005C0DBE" w:rsidP="009E1553">
            <w:pPr>
              <w:jc w:val="center"/>
              <w:rPr>
                <w:rFonts w:ascii="Calibri" w:hAnsi="Calibri"/>
                <w:color w:val="000000"/>
                <w:szCs w:val="20"/>
              </w:rPr>
            </w:pPr>
            <w:r w:rsidRPr="00A5129D">
              <w:rPr>
                <w:rFonts w:ascii="Calibri" w:hAnsi="Calibri"/>
                <w:color w:val="000000"/>
                <w:szCs w:val="20"/>
              </w:rPr>
              <w:t>08/14/12</w:t>
            </w:r>
          </w:p>
        </w:tc>
        <w:tc>
          <w:tcPr>
            <w:tcW w:w="1768" w:type="pct"/>
            <w:tcBorders>
              <w:top w:val="nil"/>
              <w:left w:val="nil"/>
              <w:bottom w:val="single" w:sz="4" w:space="0" w:color="auto"/>
              <w:right w:val="single" w:sz="4" w:space="0" w:color="auto"/>
            </w:tcBorders>
            <w:shd w:val="clear" w:color="auto" w:fill="auto"/>
            <w:noWrap/>
            <w:vAlign w:val="center"/>
            <w:hideMark/>
          </w:tcPr>
          <w:p w:rsidR="005C0DBE" w:rsidRPr="00A5129D" w:rsidRDefault="005C0DBE" w:rsidP="005C0DBE">
            <w:pPr>
              <w:jc w:val="center"/>
              <w:rPr>
                <w:rFonts w:ascii="Calibri" w:hAnsi="Calibri"/>
                <w:color w:val="000000"/>
                <w:szCs w:val="20"/>
              </w:rPr>
            </w:pPr>
            <w:r w:rsidRPr="00A5129D">
              <w:rPr>
                <w:rFonts w:ascii="Calibri" w:hAnsi="Calibri"/>
                <w:color w:val="000000"/>
                <w:szCs w:val="20"/>
              </w:rPr>
              <w:t>52.0</w:t>
            </w:r>
          </w:p>
        </w:tc>
        <w:tc>
          <w:tcPr>
            <w:tcW w:w="1767" w:type="pct"/>
            <w:tcBorders>
              <w:top w:val="nil"/>
              <w:left w:val="nil"/>
              <w:bottom w:val="single" w:sz="4" w:space="0" w:color="auto"/>
              <w:right w:val="single" w:sz="4" w:space="0" w:color="auto"/>
            </w:tcBorders>
            <w:shd w:val="clear" w:color="auto" w:fill="auto"/>
            <w:noWrap/>
            <w:vAlign w:val="center"/>
            <w:hideMark/>
          </w:tcPr>
          <w:p w:rsidR="005C0DBE" w:rsidRPr="00A5129D" w:rsidRDefault="005C0DBE" w:rsidP="005C0DBE">
            <w:pPr>
              <w:jc w:val="center"/>
              <w:rPr>
                <w:rFonts w:ascii="Calibri" w:hAnsi="Calibri"/>
                <w:color w:val="000000"/>
                <w:szCs w:val="20"/>
              </w:rPr>
            </w:pPr>
            <w:r w:rsidRPr="00A5129D">
              <w:rPr>
                <w:rFonts w:ascii="Calibri" w:hAnsi="Calibri"/>
                <w:color w:val="000000"/>
                <w:szCs w:val="20"/>
              </w:rPr>
              <w:t>7.4</w:t>
            </w:r>
          </w:p>
        </w:tc>
      </w:tr>
      <w:tr w:rsidR="005C0DBE" w:rsidRPr="00A5129D" w:rsidTr="005C0DBE">
        <w:trPr>
          <w:trHeight w:val="298"/>
        </w:trPr>
        <w:tc>
          <w:tcPr>
            <w:tcW w:w="1465" w:type="pct"/>
            <w:tcBorders>
              <w:top w:val="nil"/>
              <w:left w:val="single" w:sz="4" w:space="0" w:color="auto"/>
              <w:bottom w:val="single" w:sz="4" w:space="0" w:color="auto"/>
              <w:right w:val="single" w:sz="4" w:space="0" w:color="auto"/>
            </w:tcBorders>
            <w:shd w:val="clear" w:color="auto" w:fill="auto"/>
            <w:noWrap/>
            <w:vAlign w:val="center"/>
            <w:hideMark/>
          </w:tcPr>
          <w:p w:rsidR="005C0DBE" w:rsidRPr="00A5129D" w:rsidRDefault="005C0DBE" w:rsidP="009E1553">
            <w:pPr>
              <w:jc w:val="center"/>
              <w:rPr>
                <w:rFonts w:ascii="Calibri" w:hAnsi="Calibri"/>
                <w:color w:val="000000"/>
                <w:szCs w:val="20"/>
              </w:rPr>
            </w:pPr>
            <w:r w:rsidRPr="00A5129D">
              <w:rPr>
                <w:rFonts w:ascii="Calibri" w:hAnsi="Calibri"/>
                <w:color w:val="000000"/>
                <w:szCs w:val="20"/>
              </w:rPr>
              <w:t>08/21/12</w:t>
            </w:r>
          </w:p>
        </w:tc>
        <w:tc>
          <w:tcPr>
            <w:tcW w:w="1768" w:type="pct"/>
            <w:tcBorders>
              <w:top w:val="nil"/>
              <w:left w:val="nil"/>
              <w:bottom w:val="single" w:sz="4" w:space="0" w:color="auto"/>
              <w:right w:val="single" w:sz="4" w:space="0" w:color="auto"/>
            </w:tcBorders>
            <w:shd w:val="clear" w:color="auto" w:fill="auto"/>
            <w:noWrap/>
            <w:vAlign w:val="center"/>
            <w:hideMark/>
          </w:tcPr>
          <w:p w:rsidR="005C0DBE" w:rsidRPr="00A5129D" w:rsidRDefault="005C0DBE" w:rsidP="005C0DBE">
            <w:pPr>
              <w:jc w:val="center"/>
              <w:rPr>
                <w:rFonts w:ascii="Calibri" w:hAnsi="Calibri"/>
                <w:color w:val="000000"/>
                <w:szCs w:val="20"/>
              </w:rPr>
            </w:pPr>
            <w:r w:rsidRPr="00A5129D">
              <w:rPr>
                <w:rFonts w:ascii="Calibri" w:hAnsi="Calibri"/>
                <w:color w:val="000000"/>
                <w:szCs w:val="20"/>
              </w:rPr>
              <w:t>371.5</w:t>
            </w:r>
          </w:p>
        </w:tc>
        <w:tc>
          <w:tcPr>
            <w:tcW w:w="1767" w:type="pct"/>
            <w:tcBorders>
              <w:top w:val="nil"/>
              <w:left w:val="nil"/>
              <w:bottom w:val="single" w:sz="4" w:space="0" w:color="auto"/>
              <w:right w:val="single" w:sz="4" w:space="0" w:color="auto"/>
            </w:tcBorders>
            <w:shd w:val="clear" w:color="auto" w:fill="auto"/>
            <w:noWrap/>
            <w:vAlign w:val="center"/>
            <w:hideMark/>
          </w:tcPr>
          <w:p w:rsidR="005C0DBE" w:rsidRPr="00A5129D" w:rsidRDefault="005C0DBE" w:rsidP="005C0DBE">
            <w:pPr>
              <w:jc w:val="center"/>
              <w:rPr>
                <w:rFonts w:ascii="Calibri" w:hAnsi="Calibri"/>
                <w:color w:val="000000"/>
                <w:szCs w:val="20"/>
              </w:rPr>
            </w:pPr>
            <w:r w:rsidRPr="00A5129D">
              <w:rPr>
                <w:rFonts w:ascii="Calibri" w:hAnsi="Calibri"/>
                <w:color w:val="000000"/>
                <w:szCs w:val="20"/>
              </w:rPr>
              <w:t>53.1</w:t>
            </w:r>
          </w:p>
        </w:tc>
      </w:tr>
      <w:tr w:rsidR="005C0DBE" w:rsidRPr="00A5129D" w:rsidTr="005C0DBE">
        <w:trPr>
          <w:trHeight w:val="298"/>
        </w:trPr>
        <w:tc>
          <w:tcPr>
            <w:tcW w:w="1465" w:type="pct"/>
            <w:tcBorders>
              <w:top w:val="nil"/>
              <w:left w:val="single" w:sz="4" w:space="0" w:color="auto"/>
              <w:bottom w:val="single" w:sz="4" w:space="0" w:color="auto"/>
              <w:right w:val="single" w:sz="4" w:space="0" w:color="auto"/>
            </w:tcBorders>
            <w:shd w:val="clear" w:color="auto" w:fill="auto"/>
            <w:noWrap/>
            <w:vAlign w:val="center"/>
            <w:hideMark/>
          </w:tcPr>
          <w:p w:rsidR="005C0DBE" w:rsidRPr="00A5129D" w:rsidRDefault="005C0DBE" w:rsidP="009E1553">
            <w:pPr>
              <w:jc w:val="center"/>
              <w:rPr>
                <w:rFonts w:ascii="Calibri" w:hAnsi="Calibri"/>
                <w:color w:val="000000"/>
                <w:szCs w:val="20"/>
              </w:rPr>
            </w:pPr>
            <w:r w:rsidRPr="00A5129D">
              <w:rPr>
                <w:rFonts w:ascii="Calibri" w:hAnsi="Calibri"/>
                <w:color w:val="000000"/>
                <w:szCs w:val="20"/>
              </w:rPr>
              <w:t>09/15/12</w:t>
            </w:r>
          </w:p>
        </w:tc>
        <w:tc>
          <w:tcPr>
            <w:tcW w:w="1768" w:type="pct"/>
            <w:tcBorders>
              <w:top w:val="nil"/>
              <w:left w:val="nil"/>
              <w:bottom w:val="single" w:sz="4" w:space="0" w:color="auto"/>
              <w:right w:val="single" w:sz="4" w:space="0" w:color="auto"/>
            </w:tcBorders>
            <w:shd w:val="clear" w:color="auto" w:fill="auto"/>
            <w:noWrap/>
            <w:vAlign w:val="center"/>
            <w:hideMark/>
          </w:tcPr>
          <w:p w:rsidR="005C0DBE" w:rsidRPr="00A5129D" w:rsidRDefault="005C0DBE" w:rsidP="005C0DBE">
            <w:pPr>
              <w:jc w:val="center"/>
              <w:rPr>
                <w:rFonts w:ascii="Calibri" w:hAnsi="Calibri"/>
                <w:color w:val="000000"/>
                <w:szCs w:val="20"/>
              </w:rPr>
            </w:pPr>
            <w:r w:rsidRPr="00A5129D">
              <w:rPr>
                <w:rFonts w:ascii="Calibri" w:hAnsi="Calibri"/>
                <w:color w:val="000000"/>
                <w:szCs w:val="20"/>
              </w:rPr>
              <w:t>-82.4</w:t>
            </w:r>
          </w:p>
        </w:tc>
        <w:tc>
          <w:tcPr>
            <w:tcW w:w="1767" w:type="pct"/>
            <w:tcBorders>
              <w:top w:val="nil"/>
              <w:left w:val="nil"/>
              <w:bottom w:val="single" w:sz="4" w:space="0" w:color="auto"/>
              <w:right w:val="single" w:sz="4" w:space="0" w:color="auto"/>
            </w:tcBorders>
            <w:shd w:val="clear" w:color="auto" w:fill="auto"/>
            <w:noWrap/>
            <w:vAlign w:val="center"/>
            <w:hideMark/>
          </w:tcPr>
          <w:p w:rsidR="005C0DBE" w:rsidRPr="00A5129D" w:rsidRDefault="005C0DBE" w:rsidP="005C0DBE">
            <w:pPr>
              <w:jc w:val="center"/>
              <w:rPr>
                <w:rFonts w:ascii="Calibri" w:hAnsi="Calibri"/>
                <w:color w:val="000000"/>
                <w:szCs w:val="20"/>
              </w:rPr>
            </w:pPr>
            <w:r w:rsidRPr="00A5129D">
              <w:rPr>
                <w:rFonts w:ascii="Calibri" w:hAnsi="Calibri"/>
                <w:color w:val="000000"/>
                <w:szCs w:val="20"/>
              </w:rPr>
              <w:t>-11.8</w:t>
            </w:r>
          </w:p>
        </w:tc>
      </w:tr>
    </w:tbl>
    <w:p w:rsidR="009E1553" w:rsidRDefault="009E1553" w:rsidP="009B3C99">
      <w:pPr>
        <w:pStyle w:val="BodyText"/>
      </w:pPr>
    </w:p>
    <w:p w:rsidR="0032654B" w:rsidRDefault="0032654B" w:rsidP="009B3C99">
      <w:pPr>
        <w:pStyle w:val="BodyText"/>
      </w:pPr>
      <w:r>
        <w:t>For all customers, the event with the largest impact was the event on August 21, 2012 and the event with the lowest impacts were the two Saturday events</w:t>
      </w:r>
      <w:r w:rsidR="00634646">
        <w:t>,</w:t>
      </w:r>
      <w:r>
        <w:t xml:space="preserve"> which both showed net increases in load based on the CRL. </w:t>
      </w:r>
      <w:r w:rsidR="007747A7">
        <w:t xml:space="preserve">The August 21 event was called on a cool day that followed several consecutive warmer days; this likely caused the baseline to be too high for most participants resulting in additional PTR credits </w:t>
      </w:r>
      <w:r w:rsidR="00F0775A">
        <w:t xml:space="preserve">being paid </w:t>
      </w:r>
      <w:r w:rsidR="007747A7">
        <w:t xml:space="preserve">on that day for many customers. </w:t>
      </w:r>
      <w:r w:rsidR="00AD5713">
        <w:t xml:space="preserve">Conversely on both of the Saturday events on August 11 and September 15 fewer people used less than their CRL likely because the preceding Saturdays were cooler than the event Saturdays resulting in a baseline that may have been too low for many customers, which would make it more difficult to achieve a rebate.  </w:t>
      </w:r>
    </w:p>
    <w:p w:rsidR="0032654B" w:rsidRDefault="0032654B" w:rsidP="0032654B">
      <w:pPr>
        <w:pStyle w:val="TableCaption"/>
        <w:ind w:left="0" w:firstLine="0"/>
      </w:pPr>
      <w:bookmarkStart w:id="84" w:name="_Toc351364124"/>
      <w:r w:rsidRPr="005F25AF">
        <w:t xml:space="preserve">Table </w:t>
      </w:r>
      <w:r w:rsidR="00397D35" w:rsidRPr="005F25AF">
        <w:fldChar w:fldCharType="begin"/>
      </w:r>
      <w:r w:rsidRPr="005F25AF">
        <w:instrText xml:space="preserve"> STYLEREF  "Heading 1,Chap Num"  \* MERGEFORMAT </w:instrText>
      </w:r>
      <w:r w:rsidR="00397D35" w:rsidRPr="005F25AF">
        <w:fldChar w:fldCharType="end"/>
      </w:r>
      <w:fldSimple w:instr=" STYLEREF  &quot;Heading 1,Chap Num&quot; \n  \* MERGEFORMAT ">
        <w:r>
          <w:rPr>
            <w:noProof/>
          </w:rPr>
          <w:t>4</w:t>
        </w:r>
      </w:fldSimple>
      <w:r w:rsidRPr="005F25AF">
        <w:t>-</w:t>
      </w:r>
      <w:fldSimple w:instr=" SEQ Table\s 1 \* MERGEFORMAT ">
        <w:r>
          <w:rPr>
            <w:noProof/>
          </w:rPr>
          <w:t>3</w:t>
        </w:r>
      </w:fldSimple>
      <w:r w:rsidRPr="005F25AF">
        <w:tab/>
      </w:r>
      <w:r>
        <w:t>Load Reduction by Event: Customers using less than their CRL</w:t>
      </w:r>
      <w:bookmarkEnd w:id="84"/>
    </w:p>
    <w:tbl>
      <w:tblPr>
        <w:tblW w:w="4495" w:type="pct"/>
        <w:tblLayout w:type="fixed"/>
        <w:tblLook w:val="04A0"/>
      </w:tblPr>
      <w:tblGrid>
        <w:gridCol w:w="2427"/>
        <w:gridCol w:w="2930"/>
        <w:gridCol w:w="2928"/>
      </w:tblGrid>
      <w:tr w:rsidR="0032654B" w:rsidRPr="00A5129D" w:rsidTr="00D804F6">
        <w:trPr>
          <w:trHeight w:val="298"/>
        </w:trPr>
        <w:tc>
          <w:tcPr>
            <w:tcW w:w="1465" w:type="pct"/>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32654B" w:rsidRPr="00A5129D" w:rsidRDefault="0032654B" w:rsidP="00D804F6">
            <w:pPr>
              <w:jc w:val="center"/>
              <w:rPr>
                <w:rFonts w:ascii="Calibri" w:hAnsi="Calibri"/>
                <w:b/>
                <w:bCs/>
                <w:color w:val="FFFFFF"/>
                <w:szCs w:val="20"/>
              </w:rPr>
            </w:pPr>
            <w:r w:rsidRPr="00A5129D">
              <w:rPr>
                <w:rFonts w:ascii="Calibri" w:hAnsi="Calibri"/>
                <w:b/>
                <w:bCs/>
                <w:color w:val="FFFFFF"/>
                <w:szCs w:val="20"/>
              </w:rPr>
              <w:t>Event Date</w:t>
            </w:r>
          </w:p>
        </w:tc>
        <w:tc>
          <w:tcPr>
            <w:tcW w:w="1768" w:type="pct"/>
            <w:tcBorders>
              <w:top w:val="single" w:sz="4" w:space="0" w:color="auto"/>
              <w:left w:val="nil"/>
              <w:bottom w:val="single" w:sz="4" w:space="0" w:color="auto"/>
              <w:right w:val="single" w:sz="4" w:space="0" w:color="auto"/>
            </w:tcBorders>
            <w:shd w:val="clear" w:color="000000" w:fill="1F497D"/>
            <w:noWrap/>
            <w:vAlign w:val="center"/>
            <w:hideMark/>
          </w:tcPr>
          <w:p w:rsidR="0032654B" w:rsidRPr="00A5129D" w:rsidRDefault="0032654B" w:rsidP="00D804F6">
            <w:pPr>
              <w:jc w:val="center"/>
              <w:rPr>
                <w:rFonts w:ascii="Calibri" w:hAnsi="Calibri"/>
                <w:b/>
                <w:bCs/>
                <w:color w:val="FFFFFF"/>
                <w:szCs w:val="20"/>
              </w:rPr>
            </w:pPr>
            <w:proofErr w:type="spellStart"/>
            <w:r w:rsidRPr="00A5129D">
              <w:rPr>
                <w:rFonts w:ascii="Calibri" w:hAnsi="Calibri"/>
                <w:b/>
                <w:bCs/>
                <w:color w:val="FFFFFF"/>
                <w:szCs w:val="20"/>
              </w:rPr>
              <w:t>MWh</w:t>
            </w:r>
            <w:proofErr w:type="spellEnd"/>
            <w:r w:rsidRPr="00A5129D">
              <w:rPr>
                <w:rFonts w:ascii="Calibri" w:hAnsi="Calibri"/>
                <w:b/>
                <w:bCs/>
                <w:color w:val="FFFFFF"/>
                <w:szCs w:val="20"/>
              </w:rPr>
              <w:t xml:space="preserve"> Reduction </w:t>
            </w:r>
          </w:p>
          <w:p w:rsidR="0032654B" w:rsidRPr="00A5129D" w:rsidRDefault="0032654B" w:rsidP="00D804F6">
            <w:pPr>
              <w:jc w:val="center"/>
              <w:rPr>
                <w:rFonts w:ascii="Calibri" w:hAnsi="Calibri"/>
                <w:b/>
                <w:bCs/>
                <w:color w:val="FFFFFF"/>
                <w:szCs w:val="20"/>
              </w:rPr>
            </w:pPr>
            <w:r w:rsidRPr="00A5129D">
              <w:rPr>
                <w:rFonts w:ascii="Calibri" w:hAnsi="Calibri"/>
                <w:b/>
                <w:bCs/>
                <w:color w:val="FFFFFF"/>
                <w:szCs w:val="20"/>
              </w:rPr>
              <w:t>(Total Energy Reduced)</w:t>
            </w:r>
          </w:p>
        </w:tc>
        <w:tc>
          <w:tcPr>
            <w:tcW w:w="1767" w:type="pct"/>
            <w:tcBorders>
              <w:top w:val="single" w:sz="4" w:space="0" w:color="auto"/>
              <w:left w:val="nil"/>
              <w:bottom w:val="single" w:sz="4" w:space="0" w:color="auto"/>
              <w:right w:val="single" w:sz="4" w:space="0" w:color="auto"/>
            </w:tcBorders>
            <w:shd w:val="clear" w:color="000000" w:fill="1F497D"/>
            <w:noWrap/>
            <w:vAlign w:val="center"/>
            <w:hideMark/>
          </w:tcPr>
          <w:p w:rsidR="0032654B" w:rsidRPr="00A5129D" w:rsidRDefault="0032654B" w:rsidP="00D804F6">
            <w:pPr>
              <w:jc w:val="center"/>
              <w:rPr>
                <w:rFonts w:ascii="Calibri" w:hAnsi="Calibri"/>
                <w:b/>
                <w:bCs/>
                <w:color w:val="FFFFFF"/>
                <w:szCs w:val="20"/>
              </w:rPr>
            </w:pPr>
            <w:r w:rsidRPr="00A5129D">
              <w:rPr>
                <w:rFonts w:ascii="Calibri" w:hAnsi="Calibri"/>
                <w:b/>
                <w:bCs/>
                <w:color w:val="FFFFFF"/>
                <w:szCs w:val="20"/>
              </w:rPr>
              <w:t>MW Impact</w:t>
            </w:r>
          </w:p>
          <w:p w:rsidR="0032654B" w:rsidRPr="00A5129D" w:rsidRDefault="0032654B" w:rsidP="00D804F6">
            <w:pPr>
              <w:jc w:val="center"/>
              <w:rPr>
                <w:rFonts w:ascii="Calibri" w:hAnsi="Calibri"/>
                <w:b/>
                <w:bCs/>
                <w:color w:val="FFFFFF"/>
                <w:szCs w:val="20"/>
              </w:rPr>
            </w:pPr>
            <w:r w:rsidRPr="00A5129D">
              <w:rPr>
                <w:rFonts w:ascii="Calibri" w:hAnsi="Calibri"/>
                <w:b/>
                <w:bCs/>
                <w:color w:val="FFFFFF"/>
                <w:szCs w:val="20"/>
              </w:rPr>
              <w:t>(Average Demand Reduction)</w:t>
            </w:r>
          </w:p>
        </w:tc>
      </w:tr>
      <w:tr w:rsidR="0032654B" w:rsidRPr="00A5129D" w:rsidTr="0032654B">
        <w:trPr>
          <w:trHeight w:val="298"/>
        </w:trPr>
        <w:tc>
          <w:tcPr>
            <w:tcW w:w="1465" w:type="pct"/>
            <w:tcBorders>
              <w:top w:val="nil"/>
              <w:left w:val="single" w:sz="4" w:space="0" w:color="auto"/>
              <w:bottom w:val="single" w:sz="4" w:space="0" w:color="auto"/>
              <w:right w:val="single" w:sz="4" w:space="0" w:color="auto"/>
            </w:tcBorders>
            <w:shd w:val="clear" w:color="auto" w:fill="auto"/>
            <w:noWrap/>
            <w:vAlign w:val="center"/>
            <w:hideMark/>
          </w:tcPr>
          <w:p w:rsidR="0032654B" w:rsidRPr="00A5129D" w:rsidRDefault="0032654B" w:rsidP="00D804F6">
            <w:pPr>
              <w:jc w:val="center"/>
              <w:rPr>
                <w:rFonts w:ascii="Calibri" w:hAnsi="Calibri"/>
                <w:color w:val="000000"/>
                <w:szCs w:val="20"/>
              </w:rPr>
            </w:pPr>
            <w:r w:rsidRPr="00A5129D">
              <w:rPr>
                <w:rFonts w:ascii="Calibri" w:hAnsi="Calibri"/>
                <w:color w:val="000000"/>
                <w:szCs w:val="20"/>
              </w:rPr>
              <w:t>07/20/12</w:t>
            </w:r>
          </w:p>
        </w:tc>
        <w:tc>
          <w:tcPr>
            <w:tcW w:w="1768" w:type="pct"/>
            <w:tcBorders>
              <w:top w:val="nil"/>
              <w:left w:val="nil"/>
              <w:bottom w:val="single" w:sz="4" w:space="0" w:color="auto"/>
              <w:right w:val="single" w:sz="4" w:space="0" w:color="auto"/>
            </w:tcBorders>
            <w:shd w:val="clear" w:color="auto" w:fill="auto"/>
            <w:noWrap/>
            <w:vAlign w:val="center"/>
            <w:hideMark/>
          </w:tcPr>
          <w:p w:rsidR="0032654B" w:rsidRPr="00A5129D" w:rsidRDefault="0032654B" w:rsidP="0032654B">
            <w:pPr>
              <w:jc w:val="center"/>
              <w:rPr>
                <w:rFonts w:ascii="Calibri" w:hAnsi="Calibri"/>
                <w:color w:val="000000"/>
                <w:szCs w:val="20"/>
              </w:rPr>
            </w:pPr>
            <w:r w:rsidRPr="00A5129D">
              <w:rPr>
                <w:rFonts w:ascii="Calibri" w:hAnsi="Calibri"/>
                <w:color w:val="000000"/>
                <w:szCs w:val="20"/>
              </w:rPr>
              <w:t>216.0</w:t>
            </w:r>
          </w:p>
        </w:tc>
        <w:tc>
          <w:tcPr>
            <w:tcW w:w="1767" w:type="pct"/>
            <w:tcBorders>
              <w:top w:val="nil"/>
              <w:left w:val="nil"/>
              <w:bottom w:val="single" w:sz="4" w:space="0" w:color="auto"/>
              <w:right w:val="single" w:sz="4" w:space="0" w:color="auto"/>
            </w:tcBorders>
            <w:shd w:val="clear" w:color="auto" w:fill="auto"/>
            <w:noWrap/>
            <w:vAlign w:val="center"/>
            <w:hideMark/>
          </w:tcPr>
          <w:p w:rsidR="0032654B" w:rsidRPr="00A5129D" w:rsidRDefault="0032654B" w:rsidP="0032654B">
            <w:pPr>
              <w:jc w:val="center"/>
              <w:rPr>
                <w:rFonts w:ascii="Calibri" w:hAnsi="Calibri"/>
                <w:color w:val="000000"/>
                <w:szCs w:val="20"/>
              </w:rPr>
            </w:pPr>
            <w:r w:rsidRPr="00A5129D">
              <w:rPr>
                <w:rFonts w:ascii="Calibri" w:hAnsi="Calibri"/>
                <w:color w:val="000000"/>
                <w:szCs w:val="20"/>
              </w:rPr>
              <w:t>30.9</w:t>
            </w:r>
          </w:p>
        </w:tc>
      </w:tr>
      <w:tr w:rsidR="0032654B" w:rsidRPr="00A5129D" w:rsidTr="0032654B">
        <w:trPr>
          <w:trHeight w:val="298"/>
        </w:trPr>
        <w:tc>
          <w:tcPr>
            <w:tcW w:w="1465" w:type="pct"/>
            <w:tcBorders>
              <w:top w:val="nil"/>
              <w:left w:val="single" w:sz="4" w:space="0" w:color="auto"/>
              <w:bottom w:val="single" w:sz="4" w:space="0" w:color="auto"/>
              <w:right w:val="single" w:sz="4" w:space="0" w:color="auto"/>
            </w:tcBorders>
            <w:shd w:val="clear" w:color="auto" w:fill="auto"/>
            <w:noWrap/>
            <w:vAlign w:val="center"/>
            <w:hideMark/>
          </w:tcPr>
          <w:p w:rsidR="0032654B" w:rsidRPr="00A5129D" w:rsidRDefault="0032654B" w:rsidP="00D804F6">
            <w:pPr>
              <w:jc w:val="center"/>
              <w:rPr>
                <w:rFonts w:ascii="Calibri" w:hAnsi="Calibri"/>
                <w:color w:val="000000"/>
                <w:szCs w:val="20"/>
              </w:rPr>
            </w:pPr>
            <w:r w:rsidRPr="00A5129D">
              <w:rPr>
                <w:rFonts w:ascii="Calibri" w:hAnsi="Calibri"/>
                <w:color w:val="000000"/>
                <w:szCs w:val="20"/>
              </w:rPr>
              <w:t>08/09/12</w:t>
            </w:r>
          </w:p>
        </w:tc>
        <w:tc>
          <w:tcPr>
            <w:tcW w:w="1768" w:type="pct"/>
            <w:tcBorders>
              <w:top w:val="nil"/>
              <w:left w:val="nil"/>
              <w:bottom w:val="single" w:sz="4" w:space="0" w:color="auto"/>
              <w:right w:val="single" w:sz="4" w:space="0" w:color="auto"/>
            </w:tcBorders>
            <w:shd w:val="clear" w:color="auto" w:fill="auto"/>
            <w:noWrap/>
            <w:vAlign w:val="center"/>
            <w:hideMark/>
          </w:tcPr>
          <w:p w:rsidR="0032654B" w:rsidRPr="00A5129D" w:rsidRDefault="0032654B" w:rsidP="0032654B">
            <w:pPr>
              <w:jc w:val="center"/>
              <w:rPr>
                <w:rFonts w:ascii="Calibri" w:hAnsi="Calibri"/>
                <w:color w:val="000000"/>
                <w:szCs w:val="20"/>
              </w:rPr>
            </w:pPr>
            <w:r w:rsidRPr="00A5129D">
              <w:rPr>
                <w:rFonts w:ascii="Calibri" w:hAnsi="Calibri"/>
                <w:color w:val="000000"/>
                <w:szCs w:val="20"/>
              </w:rPr>
              <w:t>190.0</w:t>
            </w:r>
          </w:p>
        </w:tc>
        <w:tc>
          <w:tcPr>
            <w:tcW w:w="1767" w:type="pct"/>
            <w:tcBorders>
              <w:top w:val="nil"/>
              <w:left w:val="nil"/>
              <w:bottom w:val="single" w:sz="4" w:space="0" w:color="auto"/>
              <w:right w:val="single" w:sz="4" w:space="0" w:color="auto"/>
            </w:tcBorders>
            <w:shd w:val="clear" w:color="auto" w:fill="auto"/>
            <w:noWrap/>
            <w:vAlign w:val="center"/>
            <w:hideMark/>
          </w:tcPr>
          <w:p w:rsidR="0032654B" w:rsidRPr="00A5129D" w:rsidRDefault="0032654B" w:rsidP="0032654B">
            <w:pPr>
              <w:jc w:val="center"/>
              <w:rPr>
                <w:rFonts w:ascii="Calibri" w:hAnsi="Calibri"/>
                <w:color w:val="000000"/>
                <w:szCs w:val="20"/>
              </w:rPr>
            </w:pPr>
            <w:r w:rsidRPr="00A5129D">
              <w:rPr>
                <w:rFonts w:ascii="Calibri" w:hAnsi="Calibri"/>
                <w:color w:val="000000"/>
                <w:szCs w:val="20"/>
              </w:rPr>
              <w:t>27.1</w:t>
            </w:r>
          </w:p>
        </w:tc>
      </w:tr>
      <w:tr w:rsidR="0032654B" w:rsidRPr="00A5129D" w:rsidTr="0032654B">
        <w:trPr>
          <w:trHeight w:val="298"/>
        </w:trPr>
        <w:tc>
          <w:tcPr>
            <w:tcW w:w="1465" w:type="pct"/>
            <w:tcBorders>
              <w:top w:val="nil"/>
              <w:left w:val="single" w:sz="4" w:space="0" w:color="auto"/>
              <w:bottom w:val="single" w:sz="4" w:space="0" w:color="auto"/>
              <w:right w:val="single" w:sz="4" w:space="0" w:color="auto"/>
            </w:tcBorders>
            <w:shd w:val="clear" w:color="auto" w:fill="auto"/>
            <w:noWrap/>
            <w:vAlign w:val="center"/>
            <w:hideMark/>
          </w:tcPr>
          <w:p w:rsidR="0032654B" w:rsidRPr="00A5129D" w:rsidRDefault="0032654B" w:rsidP="00D804F6">
            <w:pPr>
              <w:jc w:val="center"/>
              <w:rPr>
                <w:rFonts w:ascii="Calibri" w:hAnsi="Calibri"/>
                <w:color w:val="000000"/>
                <w:szCs w:val="20"/>
              </w:rPr>
            </w:pPr>
            <w:r w:rsidRPr="00A5129D">
              <w:rPr>
                <w:rFonts w:ascii="Calibri" w:hAnsi="Calibri"/>
                <w:color w:val="000000"/>
                <w:szCs w:val="20"/>
              </w:rPr>
              <w:t>08/10/12</w:t>
            </w:r>
          </w:p>
        </w:tc>
        <w:tc>
          <w:tcPr>
            <w:tcW w:w="1768" w:type="pct"/>
            <w:tcBorders>
              <w:top w:val="nil"/>
              <w:left w:val="nil"/>
              <w:bottom w:val="single" w:sz="4" w:space="0" w:color="auto"/>
              <w:right w:val="single" w:sz="4" w:space="0" w:color="auto"/>
            </w:tcBorders>
            <w:shd w:val="clear" w:color="auto" w:fill="auto"/>
            <w:noWrap/>
            <w:vAlign w:val="center"/>
            <w:hideMark/>
          </w:tcPr>
          <w:p w:rsidR="0032654B" w:rsidRPr="00A5129D" w:rsidRDefault="0032654B" w:rsidP="0032654B">
            <w:pPr>
              <w:jc w:val="center"/>
              <w:rPr>
                <w:rFonts w:ascii="Calibri" w:hAnsi="Calibri"/>
                <w:color w:val="000000"/>
                <w:szCs w:val="20"/>
              </w:rPr>
            </w:pPr>
            <w:r w:rsidRPr="00A5129D">
              <w:rPr>
                <w:rFonts w:ascii="Calibri" w:hAnsi="Calibri"/>
                <w:color w:val="000000"/>
                <w:szCs w:val="20"/>
              </w:rPr>
              <w:t>261.4</w:t>
            </w:r>
          </w:p>
        </w:tc>
        <w:tc>
          <w:tcPr>
            <w:tcW w:w="1767" w:type="pct"/>
            <w:tcBorders>
              <w:top w:val="nil"/>
              <w:left w:val="nil"/>
              <w:bottom w:val="single" w:sz="4" w:space="0" w:color="auto"/>
              <w:right w:val="single" w:sz="4" w:space="0" w:color="auto"/>
            </w:tcBorders>
            <w:shd w:val="clear" w:color="auto" w:fill="auto"/>
            <w:noWrap/>
            <w:vAlign w:val="center"/>
            <w:hideMark/>
          </w:tcPr>
          <w:p w:rsidR="0032654B" w:rsidRPr="00A5129D" w:rsidRDefault="0032654B" w:rsidP="0032654B">
            <w:pPr>
              <w:jc w:val="center"/>
              <w:rPr>
                <w:rFonts w:ascii="Calibri" w:hAnsi="Calibri"/>
                <w:color w:val="000000"/>
                <w:szCs w:val="20"/>
              </w:rPr>
            </w:pPr>
            <w:r w:rsidRPr="00A5129D">
              <w:rPr>
                <w:rFonts w:ascii="Calibri" w:hAnsi="Calibri"/>
                <w:color w:val="000000"/>
                <w:szCs w:val="20"/>
              </w:rPr>
              <w:t>37.3</w:t>
            </w:r>
          </w:p>
        </w:tc>
      </w:tr>
      <w:tr w:rsidR="0032654B" w:rsidRPr="00A5129D" w:rsidTr="0032654B">
        <w:trPr>
          <w:trHeight w:val="298"/>
        </w:trPr>
        <w:tc>
          <w:tcPr>
            <w:tcW w:w="1465" w:type="pct"/>
            <w:tcBorders>
              <w:top w:val="nil"/>
              <w:left w:val="single" w:sz="4" w:space="0" w:color="auto"/>
              <w:bottom w:val="single" w:sz="4" w:space="0" w:color="auto"/>
              <w:right w:val="single" w:sz="4" w:space="0" w:color="auto"/>
            </w:tcBorders>
            <w:shd w:val="clear" w:color="auto" w:fill="auto"/>
            <w:noWrap/>
            <w:vAlign w:val="center"/>
            <w:hideMark/>
          </w:tcPr>
          <w:p w:rsidR="0032654B" w:rsidRPr="00A5129D" w:rsidRDefault="0032654B" w:rsidP="00D804F6">
            <w:pPr>
              <w:jc w:val="center"/>
              <w:rPr>
                <w:rFonts w:ascii="Calibri" w:hAnsi="Calibri"/>
                <w:color w:val="000000"/>
                <w:szCs w:val="20"/>
              </w:rPr>
            </w:pPr>
            <w:r w:rsidRPr="00A5129D">
              <w:rPr>
                <w:rFonts w:ascii="Calibri" w:hAnsi="Calibri"/>
                <w:color w:val="000000"/>
                <w:szCs w:val="20"/>
              </w:rPr>
              <w:t>08/11/12</w:t>
            </w:r>
          </w:p>
        </w:tc>
        <w:tc>
          <w:tcPr>
            <w:tcW w:w="1768" w:type="pct"/>
            <w:tcBorders>
              <w:top w:val="nil"/>
              <w:left w:val="nil"/>
              <w:bottom w:val="single" w:sz="4" w:space="0" w:color="auto"/>
              <w:right w:val="single" w:sz="4" w:space="0" w:color="auto"/>
            </w:tcBorders>
            <w:shd w:val="clear" w:color="auto" w:fill="auto"/>
            <w:noWrap/>
            <w:vAlign w:val="center"/>
            <w:hideMark/>
          </w:tcPr>
          <w:p w:rsidR="0032654B" w:rsidRPr="00A5129D" w:rsidRDefault="0032654B" w:rsidP="0032654B">
            <w:pPr>
              <w:jc w:val="center"/>
              <w:rPr>
                <w:rFonts w:ascii="Calibri" w:hAnsi="Calibri"/>
                <w:color w:val="000000"/>
                <w:szCs w:val="20"/>
              </w:rPr>
            </w:pPr>
            <w:r w:rsidRPr="00A5129D">
              <w:rPr>
                <w:rFonts w:ascii="Calibri" w:hAnsi="Calibri"/>
                <w:color w:val="000000"/>
                <w:szCs w:val="20"/>
              </w:rPr>
              <w:t>181.2</w:t>
            </w:r>
          </w:p>
        </w:tc>
        <w:tc>
          <w:tcPr>
            <w:tcW w:w="1767" w:type="pct"/>
            <w:tcBorders>
              <w:top w:val="nil"/>
              <w:left w:val="nil"/>
              <w:bottom w:val="single" w:sz="4" w:space="0" w:color="auto"/>
              <w:right w:val="single" w:sz="4" w:space="0" w:color="auto"/>
            </w:tcBorders>
            <w:shd w:val="clear" w:color="auto" w:fill="auto"/>
            <w:noWrap/>
            <w:vAlign w:val="center"/>
            <w:hideMark/>
          </w:tcPr>
          <w:p w:rsidR="0032654B" w:rsidRPr="00A5129D" w:rsidRDefault="0032654B" w:rsidP="0032654B">
            <w:pPr>
              <w:jc w:val="center"/>
              <w:rPr>
                <w:rFonts w:ascii="Calibri" w:hAnsi="Calibri"/>
                <w:color w:val="000000"/>
                <w:szCs w:val="20"/>
              </w:rPr>
            </w:pPr>
            <w:r w:rsidRPr="00A5129D">
              <w:rPr>
                <w:rFonts w:ascii="Calibri" w:hAnsi="Calibri"/>
                <w:color w:val="000000"/>
                <w:szCs w:val="20"/>
              </w:rPr>
              <w:t>25.9</w:t>
            </w:r>
          </w:p>
        </w:tc>
      </w:tr>
      <w:tr w:rsidR="0032654B" w:rsidRPr="00A5129D" w:rsidTr="0032654B">
        <w:trPr>
          <w:trHeight w:val="298"/>
        </w:trPr>
        <w:tc>
          <w:tcPr>
            <w:tcW w:w="1465" w:type="pct"/>
            <w:tcBorders>
              <w:top w:val="nil"/>
              <w:left w:val="single" w:sz="4" w:space="0" w:color="auto"/>
              <w:bottom w:val="single" w:sz="4" w:space="0" w:color="auto"/>
              <w:right w:val="single" w:sz="4" w:space="0" w:color="auto"/>
            </w:tcBorders>
            <w:shd w:val="clear" w:color="auto" w:fill="auto"/>
            <w:noWrap/>
            <w:vAlign w:val="center"/>
            <w:hideMark/>
          </w:tcPr>
          <w:p w:rsidR="0032654B" w:rsidRPr="00A5129D" w:rsidRDefault="0032654B" w:rsidP="00D804F6">
            <w:pPr>
              <w:jc w:val="center"/>
              <w:rPr>
                <w:rFonts w:ascii="Calibri" w:hAnsi="Calibri"/>
                <w:color w:val="000000"/>
                <w:szCs w:val="20"/>
              </w:rPr>
            </w:pPr>
            <w:r w:rsidRPr="00A5129D">
              <w:rPr>
                <w:rFonts w:ascii="Calibri" w:hAnsi="Calibri"/>
                <w:color w:val="000000"/>
                <w:szCs w:val="20"/>
              </w:rPr>
              <w:t>08/14/12</w:t>
            </w:r>
          </w:p>
        </w:tc>
        <w:tc>
          <w:tcPr>
            <w:tcW w:w="1768" w:type="pct"/>
            <w:tcBorders>
              <w:top w:val="nil"/>
              <w:left w:val="nil"/>
              <w:bottom w:val="single" w:sz="4" w:space="0" w:color="auto"/>
              <w:right w:val="single" w:sz="4" w:space="0" w:color="auto"/>
            </w:tcBorders>
            <w:shd w:val="clear" w:color="auto" w:fill="auto"/>
            <w:noWrap/>
            <w:vAlign w:val="center"/>
            <w:hideMark/>
          </w:tcPr>
          <w:p w:rsidR="0032654B" w:rsidRPr="00A5129D" w:rsidRDefault="0032654B" w:rsidP="0032654B">
            <w:pPr>
              <w:jc w:val="center"/>
              <w:rPr>
                <w:rFonts w:ascii="Calibri" w:hAnsi="Calibri"/>
                <w:color w:val="000000"/>
                <w:szCs w:val="20"/>
              </w:rPr>
            </w:pPr>
            <w:r w:rsidRPr="00A5129D">
              <w:rPr>
                <w:rFonts w:ascii="Calibri" w:hAnsi="Calibri"/>
                <w:color w:val="000000"/>
                <w:szCs w:val="20"/>
              </w:rPr>
              <w:t>206.7</w:t>
            </w:r>
          </w:p>
        </w:tc>
        <w:tc>
          <w:tcPr>
            <w:tcW w:w="1767" w:type="pct"/>
            <w:tcBorders>
              <w:top w:val="nil"/>
              <w:left w:val="nil"/>
              <w:bottom w:val="single" w:sz="4" w:space="0" w:color="auto"/>
              <w:right w:val="single" w:sz="4" w:space="0" w:color="auto"/>
            </w:tcBorders>
            <w:shd w:val="clear" w:color="auto" w:fill="auto"/>
            <w:noWrap/>
            <w:vAlign w:val="center"/>
            <w:hideMark/>
          </w:tcPr>
          <w:p w:rsidR="0032654B" w:rsidRPr="00A5129D" w:rsidRDefault="0032654B" w:rsidP="0032654B">
            <w:pPr>
              <w:jc w:val="center"/>
              <w:rPr>
                <w:rFonts w:ascii="Calibri" w:hAnsi="Calibri"/>
                <w:color w:val="000000"/>
                <w:szCs w:val="20"/>
              </w:rPr>
            </w:pPr>
            <w:r w:rsidRPr="00A5129D">
              <w:rPr>
                <w:rFonts w:ascii="Calibri" w:hAnsi="Calibri"/>
                <w:color w:val="000000"/>
                <w:szCs w:val="20"/>
              </w:rPr>
              <w:t>29.5</w:t>
            </w:r>
          </w:p>
        </w:tc>
      </w:tr>
      <w:tr w:rsidR="0032654B" w:rsidRPr="00A5129D" w:rsidTr="0032654B">
        <w:trPr>
          <w:trHeight w:val="298"/>
        </w:trPr>
        <w:tc>
          <w:tcPr>
            <w:tcW w:w="1465" w:type="pct"/>
            <w:tcBorders>
              <w:top w:val="nil"/>
              <w:left w:val="single" w:sz="4" w:space="0" w:color="auto"/>
              <w:bottom w:val="single" w:sz="4" w:space="0" w:color="auto"/>
              <w:right w:val="single" w:sz="4" w:space="0" w:color="auto"/>
            </w:tcBorders>
            <w:shd w:val="clear" w:color="auto" w:fill="auto"/>
            <w:noWrap/>
            <w:vAlign w:val="center"/>
            <w:hideMark/>
          </w:tcPr>
          <w:p w:rsidR="0032654B" w:rsidRPr="00A5129D" w:rsidRDefault="0032654B" w:rsidP="00D804F6">
            <w:pPr>
              <w:jc w:val="center"/>
              <w:rPr>
                <w:rFonts w:ascii="Calibri" w:hAnsi="Calibri"/>
                <w:color w:val="000000"/>
                <w:szCs w:val="20"/>
              </w:rPr>
            </w:pPr>
            <w:r w:rsidRPr="00A5129D">
              <w:rPr>
                <w:rFonts w:ascii="Calibri" w:hAnsi="Calibri"/>
                <w:color w:val="000000"/>
                <w:szCs w:val="20"/>
              </w:rPr>
              <w:t>08/21/12</w:t>
            </w:r>
          </w:p>
        </w:tc>
        <w:tc>
          <w:tcPr>
            <w:tcW w:w="1768" w:type="pct"/>
            <w:tcBorders>
              <w:top w:val="nil"/>
              <w:left w:val="nil"/>
              <w:bottom w:val="single" w:sz="4" w:space="0" w:color="auto"/>
              <w:right w:val="single" w:sz="4" w:space="0" w:color="auto"/>
            </w:tcBorders>
            <w:shd w:val="clear" w:color="auto" w:fill="auto"/>
            <w:noWrap/>
            <w:vAlign w:val="center"/>
            <w:hideMark/>
          </w:tcPr>
          <w:p w:rsidR="0032654B" w:rsidRPr="00A5129D" w:rsidRDefault="0032654B" w:rsidP="0032654B">
            <w:pPr>
              <w:jc w:val="center"/>
              <w:rPr>
                <w:rFonts w:ascii="Calibri" w:hAnsi="Calibri"/>
                <w:color w:val="000000"/>
                <w:szCs w:val="20"/>
              </w:rPr>
            </w:pPr>
            <w:r w:rsidRPr="00A5129D">
              <w:rPr>
                <w:rFonts w:ascii="Calibri" w:hAnsi="Calibri"/>
                <w:color w:val="000000"/>
                <w:szCs w:val="20"/>
              </w:rPr>
              <w:t>430.6</w:t>
            </w:r>
          </w:p>
        </w:tc>
        <w:tc>
          <w:tcPr>
            <w:tcW w:w="1767" w:type="pct"/>
            <w:tcBorders>
              <w:top w:val="nil"/>
              <w:left w:val="nil"/>
              <w:bottom w:val="single" w:sz="4" w:space="0" w:color="auto"/>
              <w:right w:val="single" w:sz="4" w:space="0" w:color="auto"/>
            </w:tcBorders>
            <w:shd w:val="clear" w:color="auto" w:fill="auto"/>
            <w:noWrap/>
            <w:vAlign w:val="center"/>
            <w:hideMark/>
          </w:tcPr>
          <w:p w:rsidR="0032654B" w:rsidRPr="00A5129D" w:rsidRDefault="0032654B" w:rsidP="0032654B">
            <w:pPr>
              <w:jc w:val="center"/>
              <w:rPr>
                <w:rFonts w:ascii="Calibri" w:hAnsi="Calibri"/>
                <w:color w:val="000000"/>
                <w:szCs w:val="20"/>
              </w:rPr>
            </w:pPr>
            <w:r w:rsidRPr="00A5129D">
              <w:rPr>
                <w:rFonts w:ascii="Calibri" w:hAnsi="Calibri"/>
                <w:color w:val="000000"/>
                <w:szCs w:val="20"/>
              </w:rPr>
              <w:t>61.5</w:t>
            </w:r>
          </w:p>
        </w:tc>
      </w:tr>
      <w:tr w:rsidR="0032654B" w:rsidRPr="00A5129D" w:rsidTr="0032654B">
        <w:trPr>
          <w:trHeight w:val="298"/>
        </w:trPr>
        <w:tc>
          <w:tcPr>
            <w:tcW w:w="1465" w:type="pct"/>
            <w:tcBorders>
              <w:top w:val="nil"/>
              <w:left w:val="single" w:sz="4" w:space="0" w:color="auto"/>
              <w:bottom w:val="single" w:sz="4" w:space="0" w:color="auto"/>
              <w:right w:val="single" w:sz="4" w:space="0" w:color="auto"/>
            </w:tcBorders>
            <w:shd w:val="clear" w:color="auto" w:fill="auto"/>
            <w:noWrap/>
            <w:vAlign w:val="center"/>
            <w:hideMark/>
          </w:tcPr>
          <w:p w:rsidR="0032654B" w:rsidRPr="00A5129D" w:rsidRDefault="0032654B" w:rsidP="00D804F6">
            <w:pPr>
              <w:jc w:val="center"/>
              <w:rPr>
                <w:rFonts w:ascii="Calibri" w:hAnsi="Calibri"/>
                <w:color w:val="000000"/>
                <w:szCs w:val="20"/>
              </w:rPr>
            </w:pPr>
            <w:r w:rsidRPr="00A5129D">
              <w:rPr>
                <w:rFonts w:ascii="Calibri" w:hAnsi="Calibri"/>
                <w:color w:val="000000"/>
                <w:szCs w:val="20"/>
              </w:rPr>
              <w:t>09/15/12</w:t>
            </w:r>
          </w:p>
        </w:tc>
        <w:tc>
          <w:tcPr>
            <w:tcW w:w="1768" w:type="pct"/>
            <w:tcBorders>
              <w:top w:val="nil"/>
              <w:left w:val="nil"/>
              <w:bottom w:val="single" w:sz="4" w:space="0" w:color="auto"/>
              <w:right w:val="single" w:sz="4" w:space="0" w:color="auto"/>
            </w:tcBorders>
            <w:shd w:val="clear" w:color="auto" w:fill="auto"/>
            <w:noWrap/>
            <w:vAlign w:val="center"/>
            <w:hideMark/>
          </w:tcPr>
          <w:p w:rsidR="0032654B" w:rsidRPr="00A5129D" w:rsidRDefault="0032654B" w:rsidP="0032654B">
            <w:pPr>
              <w:jc w:val="center"/>
              <w:rPr>
                <w:rFonts w:ascii="Calibri" w:hAnsi="Calibri"/>
                <w:color w:val="000000"/>
                <w:szCs w:val="20"/>
              </w:rPr>
            </w:pPr>
            <w:r w:rsidRPr="00A5129D">
              <w:rPr>
                <w:rFonts w:ascii="Calibri" w:hAnsi="Calibri"/>
                <w:color w:val="000000"/>
                <w:szCs w:val="20"/>
              </w:rPr>
              <w:t>223.8</w:t>
            </w:r>
          </w:p>
        </w:tc>
        <w:tc>
          <w:tcPr>
            <w:tcW w:w="1767" w:type="pct"/>
            <w:tcBorders>
              <w:top w:val="nil"/>
              <w:left w:val="nil"/>
              <w:bottom w:val="single" w:sz="4" w:space="0" w:color="auto"/>
              <w:right w:val="single" w:sz="4" w:space="0" w:color="auto"/>
            </w:tcBorders>
            <w:shd w:val="clear" w:color="auto" w:fill="auto"/>
            <w:noWrap/>
            <w:vAlign w:val="center"/>
            <w:hideMark/>
          </w:tcPr>
          <w:p w:rsidR="0032654B" w:rsidRPr="00A5129D" w:rsidRDefault="0032654B" w:rsidP="0032654B">
            <w:pPr>
              <w:jc w:val="center"/>
              <w:rPr>
                <w:rFonts w:ascii="Calibri" w:hAnsi="Calibri"/>
                <w:color w:val="000000"/>
                <w:szCs w:val="20"/>
              </w:rPr>
            </w:pPr>
            <w:r w:rsidRPr="00A5129D">
              <w:rPr>
                <w:rFonts w:ascii="Calibri" w:hAnsi="Calibri"/>
                <w:color w:val="000000"/>
                <w:szCs w:val="20"/>
              </w:rPr>
              <w:t>32.0</w:t>
            </w:r>
          </w:p>
        </w:tc>
      </w:tr>
    </w:tbl>
    <w:p w:rsidR="0032654B" w:rsidRDefault="0032654B" w:rsidP="005A1121">
      <w:pPr>
        <w:pStyle w:val="BodyText"/>
      </w:pPr>
    </w:p>
    <w:p w:rsidR="005A1121" w:rsidRDefault="005A1121" w:rsidP="005A1121">
      <w:pPr>
        <w:pStyle w:val="BodyText"/>
      </w:pPr>
      <w:r>
        <w:t>In contrast</w:t>
      </w:r>
      <w:r w:rsidR="00634646">
        <w:t>,</w:t>
      </w:r>
      <w:r>
        <w:t xml:space="preserve"> if we look at the load reduction based on the CRL for only those customers that used less than their CRL on each event day, the two weekend events had similar average load reductions to the other weekday events throughout the summer. However, </w:t>
      </w:r>
      <w:r w:rsidR="00634646">
        <w:t>like the</w:t>
      </w:r>
      <w:r>
        <w:t xml:space="preserve"> results presented in Table 4-2</w:t>
      </w:r>
      <w:r w:rsidR="00634646">
        <w:t>,</w:t>
      </w:r>
      <w:r>
        <w:t xml:space="preserve"> the August 21 event has the largest load reduction. </w:t>
      </w:r>
    </w:p>
    <w:p w:rsidR="005A1121" w:rsidRDefault="005A1121" w:rsidP="005A1121">
      <w:pPr>
        <w:pStyle w:val="BodyText"/>
      </w:pPr>
      <w:r>
        <w:t xml:space="preserve">Table 4-4 presents the total bill credits paid to small commercial customers on each of the event days. </w:t>
      </w:r>
      <w:r w:rsidR="003F71D4">
        <w:t xml:space="preserve">In total SDG&amp;E paid out </w:t>
      </w:r>
      <w:r w:rsidR="00634646">
        <w:t>$1.28</w:t>
      </w:r>
      <w:r w:rsidR="00AD5713">
        <w:t xml:space="preserve"> million</w:t>
      </w:r>
      <w:r w:rsidR="003F71D4">
        <w:t xml:space="preserve"> dollars in PTR rebates to small commercial customers over the seven events. </w:t>
      </w:r>
    </w:p>
    <w:p w:rsidR="00AD5713" w:rsidRDefault="00AD5713" w:rsidP="005A1121">
      <w:pPr>
        <w:pStyle w:val="BodyText"/>
      </w:pPr>
    </w:p>
    <w:p w:rsidR="00AD5713" w:rsidRDefault="00AD5713" w:rsidP="005A1121">
      <w:pPr>
        <w:pStyle w:val="BodyText"/>
      </w:pPr>
    </w:p>
    <w:p w:rsidR="00AD5713" w:rsidRDefault="00AD5713" w:rsidP="005A1121">
      <w:pPr>
        <w:pStyle w:val="BodyText"/>
      </w:pPr>
    </w:p>
    <w:p w:rsidR="005A1121" w:rsidRDefault="005A1121" w:rsidP="005A1121">
      <w:pPr>
        <w:pStyle w:val="TableCaption"/>
        <w:ind w:left="0" w:firstLine="0"/>
      </w:pPr>
      <w:bookmarkStart w:id="85" w:name="_Toc351364125"/>
      <w:r w:rsidRPr="005F25AF">
        <w:lastRenderedPageBreak/>
        <w:t xml:space="preserve">Table </w:t>
      </w:r>
      <w:r w:rsidR="00397D35" w:rsidRPr="005F25AF">
        <w:fldChar w:fldCharType="begin"/>
      </w:r>
      <w:r w:rsidRPr="005F25AF">
        <w:instrText xml:space="preserve"> STYLEREF  "Heading 1,Chap Num"  \* MERGEFORMAT </w:instrText>
      </w:r>
      <w:r w:rsidR="00397D35" w:rsidRPr="005F25AF">
        <w:fldChar w:fldCharType="end"/>
      </w:r>
      <w:fldSimple w:instr=" STYLEREF  &quot;Heading 1,Chap Num&quot; \n  \* MERGEFORMAT ">
        <w:r w:rsidR="007320BD">
          <w:rPr>
            <w:noProof/>
          </w:rPr>
          <w:t>4</w:t>
        </w:r>
      </w:fldSimple>
      <w:r w:rsidRPr="005F25AF">
        <w:t>-</w:t>
      </w:r>
      <w:fldSimple w:instr=" SEQ Table\s 1 \* MERGEFORMAT ">
        <w:r w:rsidR="007320BD">
          <w:rPr>
            <w:noProof/>
          </w:rPr>
          <w:t>4</w:t>
        </w:r>
      </w:fldSimple>
      <w:r w:rsidRPr="005F25AF">
        <w:tab/>
      </w:r>
      <w:r w:rsidR="007320BD">
        <w:t>Total Rebates Paid</w:t>
      </w:r>
      <w:bookmarkEnd w:id="85"/>
      <w:r w:rsidR="007320BD">
        <w:t xml:space="preserve"> </w:t>
      </w:r>
    </w:p>
    <w:tbl>
      <w:tblPr>
        <w:tblW w:w="6640" w:type="dxa"/>
        <w:tblLook w:val="04A0"/>
      </w:tblPr>
      <w:tblGrid>
        <w:gridCol w:w="2986"/>
        <w:gridCol w:w="3654"/>
      </w:tblGrid>
      <w:tr w:rsidR="005A1121" w:rsidRPr="005A1121" w:rsidTr="005A1121">
        <w:trPr>
          <w:trHeight w:val="303"/>
        </w:trPr>
        <w:tc>
          <w:tcPr>
            <w:tcW w:w="2986"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5A1121" w:rsidRPr="005A1121" w:rsidRDefault="005A1121" w:rsidP="005A1121">
            <w:pPr>
              <w:jc w:val="center"/>
              <w:rPr>
                <w:rFonts w:ascii="Calibri" w:hAnsi="Calibri"/>
                <w:b/>
                <w:bCs/>
                <w:color w:val="FFFFFF"/>
                <w:szCs w:val="20"/>
              </w:rPr>
            </w:pPr>
            <w:r w:rsidRPr="005A1121">
              <w:rPr>
                <w:rFonts w:ascii="Calibri" w:hAnsi="Calibri"/>
                <w:b/>
                <w:bCs/>
                <w:color w:val="FFFFFF"/>
                <w:szCs w:val="20"/>
              </w:rPr>
              <w:t>Event Date</w:t>
            </w:r>
          </w:p>
        </w:tc>
        <w:tc>
          <w:tcPr>
            <w:tcW w:w="3654" w:type="dxa"/>
            <w:tcBorders>
              <w:top w:val="single" w:sz="4" w:space="0" w:color="auto"/>
              <w:left w:val="nil"/>
              <w:bottom w:val="single" w:sz="4" w:space="0" w:color="auto"/>
              <w:right w:val="single" w:sz="4" w:space="0" w:color="auto"/>
            </w:tcBorders>
            <w:shd w:val="clear" w:color="000000" w:fill="1F497D"/>
            <w:noWrap/>
            <w:vAlign w:val="center"/>
            <w:hideMark/>
          </w:tcPr>
          <w:p w:rsidR="005A1121" w:rsidRPr="005A1121" w:rsidRDefault="005A1121" w:rsidP="005A1121">
            <w:pPr>
              <w:jc w:val="center"/>
              <w:rPr>
                <w:rFonts w:ascii="Calibri" w:hAnsi="Calibri"/>
                <w:b/>
                <w:bCs/>
                <w:color w:val="FFFFFF"/>
                <w:szCs w:val="20"/>
              </w:rPr>
            </w:pPr>
            <w:r w:rsidRPr="005A1121">
              <w:rPr>
                <w:rFonts w:ascii="Calibri" w:hAnsi="Calibri"/>
                <w:b/>
                <w:bCs/>
                <w:color w:val="FFFFFF"/>
                <w:szCs w:val="20"/>
              </w:rPr>
              <w:t>Total Bill Credits</w:t>
            </w:r>
          </w:p>
        </w:tc>
      </w:tr>
      <w:tr w:rsidR="00176850" w:rsidRPr="005A1121" w:rsidTr="00176850">
        <w:trPr>
          <w:trHeight w:val="303"/>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rsidR="00176850" w:rsidRPr="009E1553" w:rsidRDefault="00176850" w:rsidP="005A1121">
            <w:pPr>
              <w:jc w:val="center"/>
              <w:rPr>
                <w:rFonts w:ascii="Calibri" w:hAnsi="Calibri"/>
                <w:color w:val="000000"/>
                <w:szCs w:val="20"/>
              </w:rPr>
            </w:pPr>
            <w:r w:rsidRPr="009E1553">
              <w:rPr>
                <w:rFonts w:ascii="Calibri" w:hAnsi="Calibri"/>
                <w:color w:val="000000"/>
                <w:szCs w:val="20"/>
              </w:rPr>
              <w:t>07/20/12</w:t>
            </w:r>
          </w:p>
        </w:tc>
        <w:tc>
          <w:tcPr>
            <w:tcW w:w="3654" w:type="dxa"/>
            <w:tcBorders>
              <w:top w:val="nil"/>
              <w:left w:val="nil"/>
              <w:bottom w:val="single" w:sz="4" w:space="0" w:color="auto"/>
              <w:right w:val="single" w:sz="4" w:space="0" w:color="auto"/>
            </w:tcBorders>
            <w:shd w:val="clear" w:color="auto" w:fill="auto"/>
            <w:noWrap/>
            <w:vAlign w:val="center"/>
            <w:hideMark/>
          </w:tcPr>
          <w:p w:rsidR="00176850" w:rsidRPr="00176850" w:rsidRDefault="00176850" w:rsidP="00176850">
            <w:pPr>
              <w:jc w:val="center"/>
              <w:rPr>
                <w:rFonts w:ascii="Calibri" w:hAnsi="Calibri"/>
                <w:color w:val="000000"/>
                <w:szCs w:val="20"/>
              </w:rPr>
            </w:pPr>
            <w:r w:rsidRPr="00176850">
              <w:rPr>
                <w:rFonts w:ascii="Calibri" w:hAnsi="Calibri"/>
                <w:color w:val="000000"/>
                <w:szCs w:val="20"/>
              </w:rPr>
              <w:t>$167,113</w:t>
            </w:r>
          </w:p>
        </w:tc>
      </w:tr>
      <w:tr w:rsidR="00176850" w:rsidRPr="005A1121" w:rsidTr="00176850">
        <w:trPr>
          <w:trHeight w:val="303"/>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rsidR="00176850" w:rsidRPr="009E1553" w:rsidRDefault="00176850" w:rsidP="005A1121">
            <w:pPr>
              <w:jc w:val="center"/>
              <w:rPr>
                <w:rFonts w:ascii="Calibri" w:hAnsi="Calibri"/>
                <w:color w:val="000000"/>
                <w:szCs w:val="20"/>
              </w:rPr>
            </w:pPr>
            <w:r w:rsidRPr="009E1553">
              <w:rPr>
                <w:rFonts w:ascii="Calibri" w:hAnsi="Calibri"/>
                <w:color w:val="000000"/>
                <w:szCs w:val="20"/>
              </w:rPr>
              <w:t>08/09/12</w:t>
            </w:r>
          </w:p>
        </w:tc>
        <w:tc>
          <w:tcPr>
            <w:tcW w:w="3654" w:type="dxa"/>
            <w:tcBorders>
              <w:top w:val="nil"/>
              <w:left w:val="nil"/>
              <w:bottom w:val="single" w:sz="4" w:space="0" w:color="auto"/>
              <w:right w:val="single" w:sz="4" w:space="0" w:color="auto"/>
            </w:tcBorders>
            <w:shd w:val="clear" w:color="auto" w:fill="auto"/>
            <w:noWrap/>
            <w:vAlign w:val="center"/>
            <w:hideMark/>
          </w:tcPr>
          <w:p w:rsidR="00176850" w:rsidRPr="00176850" w:rsidRDefault="00176850" w:rsidP="00176850">
            <w:pPr>
              <w:jc w:val="center"/>
              <w:rPr>
                <w:rFonts w:ascii="Calibri" w:hAnsi="Calibri"/>
                <w:color w:val="000000"/>
                <w:szCs w:val="20"/>
              </w:rPr>
            </w:pPr>
            <w:r w:rsidRPr="00176850">
              <w:rPr>
                <w:rFonts w:ascii="Calibri" w:hAnsi="Calibri"/>
                <w:color w:val="000000"/>
                <w:szCs w:val="20"/>
              </w:rPr>
              <w:t>$147,047</w:t>
            </w:r>
          </w:p>
        </w:tc>
      </w:tr>
      <w:tr w:rsidR="00176850" w:rsidRPr="005A1121" w:rsidTr="00176850">
        <w:trPr>
          <w:trHeight w:val="303"/>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rsidR="00176850" w:rsidRPr="009E1553" w:rsidRDefault="00176850" w:rsidP="005A1121">
            <w:pPr>
              <w:jc w:val="center"/>
              <w:rPr>
                <w:rFonts w:ascii="Calibri" w:hAnsi="Calibri"/>
                <w:color w:val="000000"/>
                <w:szCs w:val="20"/>
              </w:rPr>
            </w:pPr>
            <w:r w:rsidRPr="009E1553">
              <w:rPr>
                <w:rFonts w:ascii="Calibri" w:hAnsi="Calibri"/>
                <w:color w:val="000000"/>
                <w:szCs w:val="20"/>
              </w:rPr>
              <w:t>08/10/12</w:t>
            </w:r>
          </w:p>
        </w:tc>
        <w:tc>
          <w:tcPr>
            <w:tcW w:w="3654" w:type="dxa"/>
            <w:tcBorders>
              <w:top w:val="nil"/>
              <w:left w:val="nil"/>
              <w:bottom w:val="single" w:sz="4" w:space="0" w:color="auto"/>
              <w:right w:val="single" w:sz="4" w:space="0" w:color="auto"/>
            </w:tcBorders>
            <w:shd w:val="clear" w:color="auto" w:fill="auto"/>
            <w:noWrap/>
            <w:vAlign w:val="center"/>
            <w:hideMark/>
          </w:tcPr>
          <w:p w:rsidR="00176850" w:rsidRPr="00176850" w:rsidRDefault="00176850" w:rsidP="00176850">
            <w:pPr>
              <w:jc w:val="center"/>
              <w:rPr>
                <w:rFonts w:ascii="Calibri" w:hAnsi="Calibri"/>
                <w:color w:val="000000"/>
                <w:szCs w:val="20"/>
              </w:rPr>
            </w:pPr>
            <w:r w:rsidRPr="00176850">
              <w:rPr>
                <w:rFonts w:ascii="Calibri" w:hAnsi="Calibri"/>
                <w:color w:val="000000"/>
                <w:szCs w:val="20"/>
              </w:rPr>
              <w:t>$202,516</w:t>
            </w:r>
          </w:p>
        </w:tc>
      </w:tr>
      <w:tr w:rsidR="00176850" w:rsidRPr="005A1121" w:rsidTr="00176850">
        <w:trPr>
          <w:trHeight w:val="303"/>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rsidR="00176850" w:rsidRPr="009E1553" w:rsidRDefault="00176850" w:rsidP="005A1121">
            <w:pPr>
              <w:jc w:val="center"/>
              <w:rPr>
                <w:rFonts w:ascii="Calibri" w:hAnsi="Calibri"/>
                <w:color w:val="000000"/>
                <w:szCs w:val="20"/>
              </w:rPr>
            </w:pPr>
            <w:r w:rsidRPr="009E1553">
              <w:rPr>
                <w:rFonts w:ascii="Calibri" w:hAnsi="Calibri"/>
                <w:color w:val="000000"/>
                <w:szCs w:val="20"/>
              </w:rPr>
              <w:t>08/11/12</w:t>
            </w:r>
          </w:p>
        </w:tc>
        <w:tc>
          <w:tcPr>
            <w:tcW w:w="3654" w:type="dxa"/>
            <w:tcBorders>
              <w:top w:val="nil"/>
              <w:left w:val="nil"/>
              <w:bottom w:val="single" w:sz="4" w:space="0" w:color="auto"/>
              <w:right w:val="single" w:sz="4" w:space="0" w:color="auto"/>
            </w:tcBorders>
            <w:shd w:val="clear" w:color="auto" w:fill="auto"/>
            <w:noWrap/>
            <w:vAlign w:val="center"/>
            <w:hideMark/>
          </w:tcPr>
          <w:p w:rsidR="00176850" w:rsidRPr="00176850" w:rsidRDefault="00176850" w:rsidP="00176850">
            <w:pPr>
              <w:jc w:val="center"/>
              <w:rPr>
                <w:rFonts w:ascii="Calibri" w:hAnsi="Calibri"/>
                <w:color w:val="000000"/>
                <w:szCs w:val="20"/>
              </w:rPr>
            </w:pPr>
            <w:r w:rsidRPr="00176850">
              <w:rPr>
                <w:rFonts w:ascii="Calibri" w:hAnsi="Calibri"/>
                <w:color w:val="000000"/>
                <w:szCs w:val="20"/>
              </w:rPr>
              <w:t>$141,884</w:t>
            </w:r>
          </w:p>
        </w:tc>
      </w:tr>
      <w:tr w:rsidR="00176850" w:rsidRPr="005A1121" w:rsidTr="00176850">
        <w:trPr>
          <w:trHeight w:val="303"/>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rsidR="00176850" w:rsidRPr="009E1553" w:rsidRDefault="00176850" w:rsidP="005A1121">
            <w:pPr>
              <w:jc w:val="center"/>
              <w:rPr>
                <w:rFonts w:ascii="Calibri" w:hAnsi="Calibri"/>
                <w:color w:val="000000"/>
                <w:szCs w:val="20"/>
              </w:rPr>
            </w:pPr>
            <w:r w:rsidRPr="009E1553">
              <w:rPr>
                <w:rFonts w:ascii="Calibri" w:hAnsi="Calibri"/>
                <w:color w:val="000000"/>
                <w:szCs w:val="20"/>
              </w:rPr>
              <w:t>08/14/12</w:t>
            </w:r>
          </w:p>
        </w:tc>
        <w:tc>
          <w:tcPr>
            <w:tcW w:w="3654" w:type="dxa"/>
            <w:tcBorders>
              <w:top w:val="nil"/>
              <w:left w:val="nil"/>
              <w:bottom w:val="single" w:sz="4" w:space="0" w:color="auto"/>
              <w:right w:val="single" w:sz="4" w:space="0" w:color="auto"/>
            </w:tcBorders>
            <w:shd w:val="clear" w:color="auto" w:fill="auto"/>
            <w:noWrap/>
            <w:vAlign w:val="center"/>
            <w:hideMark/>
          </w:tcPr>
          <w:p w:rsidR="00176850" w:rsidRPr="00176850" w:rsidRDefault="00176850" w:rsidP="00176850">
            <w:pPr>
              <w:jc w:val="center"/>
              <w:rPr>
                <w:rFonts w:ascii="Calibri" w:hAnsi="Calibri"/>
                <w:color w:val="000000"/>
                <w:szCs w:val="20"/>
              </w:rPr>
            </w:pPr>
            <w:r w:rsidRPr="00176850">
              <w:rPr>
                <w:rFonts w:ascii="Calibri" w:hAnsi="Calibri"/>
                <w:color w:val="000000"/>
                <w:szCs w:val="20"/>
              </w:rPr>
              <w:t>$159,596</w:t>
            </w:r>
          </w:p>
        </w:tc>
      </w:tr>
      <w:tr w:rsidR="00176850" w:rsidRPr="005A1121" w:rsidTr="00176850">
        <w:trPr>
          <w:trHeight w:val="303"/>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rsidR="00176850" w:rsidRPr="009E1553" w:rsidRDefault="00176850" w:rsidP="005A1121">
            <w:pPr>
              <w:jc w:val="center"/>
              <w:rPr>
                <w:rFonts w:ascii="Calibri" w:hAnsi="Calibri"/>
                <w:color w:val="000000"/>
                <w:szCs w:val="20"/>
              </w:rPr>
            </w:pPr>
            <w:r w:rsidRPr="009E1553">
              <w:rPr>
                <w:rFonts w:ascii="Calibri" w:hAnsi="Calibri"/>
                <w:color w:val="000000"/>
                <w:szCs w:val="20"/>
              </w:rPr>
              <w:t>08/21/12</w:t>
            </w:r>
          </w:p>
        </w:tc>
        <w:tc>
          <w:tcPr>
            <w:tcW w:w="3654" w:type="dxa"/>
            <w:tcBorders>
              <w:top w:val="nil"/>
              <w:left w:val="nil"/>
              <w:bottom w:val="single" w:sz="4" w:space="0" w:color="auto"/>
              <w:right w:val="single" w:sz="4" w:space="0" w:color="auto"/>
            </w:tcBorders>
            <w:shd w:val="clear" w:color="auto" w:fill="auto"/>
            <w:noWrap/>
            <w:vAlign w:val="center"/>
            <w:hideMark/>
          </w:tcPr>
          <w:p w:rsidR="00176850" w:rsidRPr="00176850" w:rsidRDefault="00176850" w:rsidP="00176850">
            <w:pPr>
              <w:jc w:val="center"/>
              <w:rPr>
                <w:rFonts w:ascii="Calibri" w:hAnsi="Calibri"/>
                <w:color w:val="000000"/>
                <w:szCs w:val="20"/>
              </w:rPr>
            </w:pPr>
            <w:r w:rsidRPr="00176850">
              <w:rPr>
                <w:rFonts w:ascii="Calibri" w:hAnsi="Calibri"/>
                <w:color w:val="000000"/>
                <w:szCs w:val="20"/>
              </w:rPr>
              <w:t>$334,933</w:t>
            </w:r>
          </w:p>
        </w:tc>
      </w:tr>
      <w:tr w:rsidR="00176850" w:rsidRPr="005A1121" w:rsidTr="00176850">
        <w:trPr>
          <w:trHeight w:val="303"/>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rsidR="00176850" w:rsidRPr="009E1553" w:rsidRDefault="00176850" w:rsidP="005A1121">
            <w:pPr>
              <w:jc w:val="center"/>
              <w:rPr>
                <w:rFonts w:ascii="Calibri" w:hAnsi="Calibri"/>
                <w:color w:val="000000"/>
                <w:szCs w:val="20"/>
              </w:rPr>
            </w:pPr>
            <w:r w:rsidRPr="009E1553">
              <w:rPr>
                <w:rFonts w:ascii="Calibri" w:hAnsi="Calibri"/>
                <w:color w:val="000000"/>
                <w:szCs w:val="20"/>
              </w:rPr>
              <w:t>09/15/12</w:t>
            </w:r>
          </w:p>
        </w:tc>
        <w:tc>
          <w:tcPr>
            <w:tcW w:w="3654" w:type="dxa"/>
            <w:tcBorders>
              <w:top w:val="nil"/>
              <w:left w:val="nil"/>
              <w:bottom w:val="single" w:sz="4" w:space="0" w:color="auto"/>
              <w:right w:val="single" w:sz="4" w:space="0" w:color="auto"/>
            </w:tcBorders>
            <w:shd w:val="clear" w:color="auto" w:fill="auto"/>
            <w:noWrap/>
            <w:vAlign w:val="center"/>
            <w:hideMark/>
          </w:tcPr>
          <w:p w:rsidR="00176850" w:rsidRPr="00176850" w:rsidRDefault="00176850" w:rsidP="00176850">
            <w:pPr>
              <w:jc w:val="center"/>
              <w:rPr>
                <w:rFonts w:ascii="Calibri" w:hAnsi="Calibri"/>
                <w:color w:val="000000"/>
                <w:szCs w:val="20"/>
              </w:rPr>
            </w:pPr>
            <w:r w:rsidRPr="00176850">
              <w:rPr>
                <w:rFonts w:ascii="Calibri" w:hAnsi="Calibri"/>
                <w:color w:val="000000"/>
                <w:szCs w:val="20"/>
              </w:rPr>
              <w:t>$175,197</w:t>
            </w:r>
          </w:p>
        </w:tc>
      </w:tr>
      <w:tr w:rsidR="00176850" w:rsidRPr="005A1121" w:rsidTr="00176850">
        <w:trPr>
          <w:trHeight w:val="303"/>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rsidR="00176850" w:rsidRPr="005A1121" w:rsidRDefault="00176850" w:rsidP="005A1121">
            <w:pPr>
              <w:jc w:val="center"/>
              <w:rPr>
                <w:rFonts w:ascii="Calibri" w:hAnsi="Calibri"/>
                <w:color w:val="000000"/>
                <w:szCs w:val="20"/>
              </w:rPr>
            </w:pPr>
            <w:r w:rsidRPr="005A1121">
              <w:rPr>
                <w:rFonts w:ascii="Calibri" w:hAnsi="Calibri"/>
                <w:color w:val="000000"/>
                <w:szCs w:val="20"/>
              </w:rPr>
              <w:t>Total</w:t>
            </w:r>
          </w:p>
        </w:tc>
        <w:tc>
          <w:tcPr>
            <w:tcW w:w="3654" w:type="dxa"/>
            <w:tcBorders>
              <w:top w:val="nil"/>
              <w:left w:val="nil"/>
              <w:bottom w:val="single" w:sz="4" w:space="0" w:color="auto"/>
              <w:right w:val="single" w:sz="4" w:space="0" w:color="auto"/>
            </w:tcBorders>
            <w:shd w:val="clear" w:color="auto" w:fill="auto"/>
            <w:noWrap/>
            <w:vAlign w:val="center"/>
            <w:hideMark/>
          </w:tcPr>
          <w:p w:rsidR="00176850" w:rsidRPr="00176850" w:rsidRDefault="00176850" w:rsidP="00176850">
            <w:pPr>
              <w:jc w:val="center"/>
              <w:rPr>
                <w:rFonts w:ascii="Calibri" w:hAnsi="Calibri"/>
                <w:color w:val="000000"/>
                <w:szCs w:val="20"/>
              </w:rPr>
            </w:pPr>
            <w:r w:rsidRPr="00176850">
              <w:rPr>
                <w:rFonts w:ascii="Calibri" w:hAnsi="Calibri"/>
                <w:color w:val="000000"/>
                <w:szCs w:val="20"/>
              </w:rPr>
              <w:t>$1,328,285</w:t>
            </w:r>
          </w:p>
        </w:tc>
      </w:tr>
    </w:tbl>
    <w:p w:rsidR="005A1121" w:rsidRDefault="005A1121" w:rsidP="005A1121">
      <w:pPr>
        <w:pStyle w:val="BodyText"/>
      </w:pPr>
    </w:p>
    <w:p w:rsidR="00006EEA" w:rsidRDefault="003E7A58" w:rsidP="009B3C99">
      <w:pPr>
        <w:pStyle w:val="BodyText"/>
      </w:pPr>
      <w:r>
        <w:t>Table 4-5 presents the total dollars paid per MW of load reduction based</w:t>
      </w:r>
      <w:r w:rsidR="0004244B">
        <w:t xml:space="preserve"> on several scenarios. The first two columns show the $/MW paid based on the </w:t>
      </w:r>
      <w:r>
        <w:t xml:space="preserve">CRL for all customers, and for only those that used less than their CRL. Because we were not able to identify consistent statistically significant impacts for any of the groups, we were not able to provide an estimate for the </w:t>
      </w:r>
      <w:r w:rsidR="00006EEA">
        <w:t xml:space="preserve">dollars paid per MW of load reduction based on the evaluation. </w:t>
      </w:r>
      <w:r w:rsidR="0004244B">
        <w:t xml:space="preserve">However, we do provide the total dollars paid per MW after assuming three different levels of load reduction. We assumed an average load reduction of 1%, 3%, and 5% </w:t>
      </w:r>
      <w:r w:rsidR="00762DCA">
        <w:t xml:space="preserve">for every participant </w:t>
      </w:r>
      <w:r w:rsidR="00F0775A">
        <w:t xml:space="preserve">during each event, and then </w:t>
      </w:r>
      <w:r w:rsidR="0004244B">
        <w:t xml:space="preserve">recalculated the total dollars paid per MW. In these cases, the total dollars is calculated based on only those customers using less than their CRL, and the MW impacts for each event are calculated as a percentage reduction in baseline load.  </w:t>
      </w:r>
    </w:p>
    <w:p w:rsidR="0032654B" w:rsidRDefault="003E7A58" w:rsidP="00006EEA">
      <w:pPr>
        <w:pStyle w:val="TableCaption"/>
        <w:ind w:left="0" w:firstLine="0"/>
      </w:pPr>
      <w:r>
        <w:t xml:space="preserve"> </w:t>
      </w:r>
      <w:bookmarkStart w:id="86" w:name="_Toc351364126"/>
      <w:r w:rsidR="00006EEA" w:rsidRPr="005F25AF">
        <w:t xml:space="preserve">Table </w:t>
      </w:r>
      <w:r w:rsidR="00397D35" w:rsidRPr="005F25AF">
        <w:fldChar w:fldCharType="begin"/>
      </w:r>
      <w:r w:rsidR="00006EEA" w:rsidRPr="005F25AF">
        <w:instrText xml:space="preserve"> STYLEREF  "Heading 1,Chap Num"  \* MERGEFORMAT </w:instrText>
      </w:r>
      <w:r w:rsidR="00397D35" w:rsidRPr="005F25AF">
        <w:fldChar w:fldCharType="end"/>
      </w:r>
      <w:fldSimple w:instr=" STYLEREF  &quot;Heading 1,Chap Num&quot; \n  \* MERGEFORMAT ">
        <w:r w:rsidR="00006EEA">
          <w:rPr>
            <w:noProof/>
          </w:rPr>
          <w:t>4</w:t>
        </w:r>
      </w:fldSimple>
      <w:r w:rsidR="00006EEA" w:rsidRPr="005F25AF">
        <w:t>-</w:t>
      </w:r>
      <w:fldSimple w:instr=" SEQ Table\s 1 \* MERGEFORMAT ">
        <w:r w:rsidR="00006EEA">
          <w:rPr>
            <w:noProof/>
          </w:rPr>
          <w:t>5</w:t>
        </w:r>
      </w:fldSimple>
      <w:r w:rsidR="00006EEA" w:rsidRPr="005F25AF">
        <w:tab/>
      </w:r>
      <w:r w:rsidR="00762DCA">
        <w:t>Dollars Paid per k</w:t>
      </w:r>
      <w:r w:rsidR="00006EEA">
        <w:t>W of Load Reduction</w:t>
      </w:r>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1683"/>
        <w:gridCol w:w="1621"/>
        <w:gridCol w:w="1589"/>
        <w:gridCol w:w="1607"/>
        <w:gridCol w:w="1607"/>
      </w:tblGrid>
      <w:tr w:rsidR="0004244B" w:rsidRPr="0004244B" w:rsidTr="0004244B">
        <w:trPr>
          <w:trHeight w:val="300"/>
        </w:trPr>
        <w:tc>
          <w:tcPr>
            <w:tcW w:w="602" w:type="pct"/>
            <w:shd w:val="clear" w:color="000000" w:fill="1F497D"/>
            <w:noWrap/>
            <w:vAlign w:val="center"/>
            <w:hideMark/>
          </w:tcPr>
          <w:p w:rsidR="0004244B" w:rsidRPr="0004244B" w:rsidRDefault="0004244B" w:rsidP="0004244B">
            <w:pPr>
              <w:jc w:val="center"/>
              <w:rPr>
                <w:rFonts w:ascii="Calibri" w:hAnsi="Calibri"/>
                <w:color w:val="FFFFFF"/>
                <w:szCs w:val="20"/>
              </w:rPr>
            </w:pPr>
            <w:r w:rsidRPr="0004244B">
              <w:rPr>
                <w:rFonts w:ascii="Calibri" w:hAnsi="Calibri"/>
                <w:color w:val="FFFFFF"/>
                <w:szCs w:val="20"/>
              </w:rPr>
              <w:t>Event Date</w:t>
            </w:r>
          </w:p>
        </w:tc>
        <w:tc>
          <w:tcPr>
            <w:tcW w:w="913" w:type="pct"/>
            <w:shd w:val="clear" w:color="000000" w:fill="1F497D"/>
            <w:noWrap/>
            <w:vAlign w:val="center"/>
            <w:hideMark/>
          </w:tcPr>
          <w:p w:rsidR="0004244B" w:rsidRPr="0004244B" w:rsidRDefault="0004244B" w:rsidP="0004244B">
            <w:pPr>
              <w:jc w:val="center"/>
              <w:rPr>
                <w:rFonts w:ascii="Calibri" w:hAnsi="Calibri"/>
                <w:color w:val="FFFFFF"/>
                <w:szCs w:val="20"/>
              </w:rPr>
            </w:pPr>
            <w:r w:rsidRPr="0004244B">
              <w:rPr>
                <w:rFonts w:ascii="Calibri" w:hAnsi="Calibri"/>
                <w:color w:val="FFFFFF"/>
                <w:szCs w:val="20"/>
              </w:rPr>
              <w:t>$/</w:t>
            </w:r>
            <w:r w:rsidR="00762DCA">
              <w:rPr>
                <w:rFonts w:ascii="Calibri" w:hAnsi="Calibri"/>
                <w:color w:val="FFFFFF"/>
                <w:szCs w:val="20"/>
              </w:rPr>
              <w:t>kW</w:t>
            </w:r>
          </w:p>
          <w:p w:rsidR="0004244B" w:rsidRPr="0004244B" w:rsidRDefault="0004244B" w:rsidP="0004244B">
            <w:pPr>
              <w:jc w:val="center"/>
              <w:rPr>
                <w:rFonts w:ascii="Calibri" w:hAnsi="Calibri"/>
                <w:color w:val="FFFFFF"/>
                <w:szCs w:val="20"/>
              </w:rPr>
            </w:pPr>
            <w:r w:rsidRPr="0004244B">
              <w:rPr>
                <w:rFonts w:ascii="Calibri" w:hAnsi="Calibri"/>
                <w:color w:val="FFFFFF"/>
                <w:szCs w:val="20"/>
              </w:rPr>
              <w:t>All Customers CRL</w:t>
            </w:r>
          </w:p>
        </w:tc>
        <w:tc>
          <w:tcPr>
            <w:tcW w:w="879" w:type="pct"/>
            <w:shd w:val="clear" w:color="000000" w:fill="1F497D"/>
            <w:noWrap/>
            <w:vAlign w:val="center"/>
            <w:hideMark/>
          </w:tcPr>
          <w:p w:rsidR="0004244B" w:rsidRPr="0004244B" w:rsidRDefault="0004244B" w:rsidP="0004244B">
            <w:pPr>
              <w:jc w:val="center"/>
              <w:rPr>
                <w:rFonts w:ascii="Calibri" w:hAnsi="Calibri"/>
                <w:color w:val="FFFFFF"/>
                <w:szCs w:val="20"/>
              </w:rPr>
            </w:pPr>
            <w:r w:rsidRPr="0004244B">
              <w:rPr>
                <w:rFonts w:ascii="Calibri" w:hAnsi="Calibri"/>
                <w:color w:val="FFFFFF"/>
                <w:szCs w:val="20"/>
              </w:rPr>
              <w:t>$</w:t>
            </w:r>
            <w:r w:rsidR="00762DCA">
              <w:rPr>
                <w:rFonts w:ascii="Calibri" w:hAnsi="Calibri"/>
                <w:color w:val="FFFFFF"/>
                <w:szCs w:val="20"/>
              </w:rPr>
              <w:t>/kW</w:t>
            </w:r>
          </w:p>
          <w:p w:rsidR="0004244B" w:rsidRPr="0004244B" w:rsidRDefault="0004244B" w:rsidP="0004244B">
            <w:pPr>
              <w:jc w:val="center"/>
              <w:rPr>
                <w:rFonts w:ascii="Calibri" w:hAnsi="Calibri"/>
                <w:color w:val="FFFFFF"/>
                <w:szCs w:val="20"/>
              </w:rPr>
            </w:pPr>
            <w:r w:rsidRPr="0004244B">
              <w:rPr>
                <w:rFonts w:ascii="Calibri" w:hAnsi="Calibri"/>
                <w:color w:val="FFFFFF"/>
                <w:szCs w:val="20"/>
              </w:rPr>
              <w:t>Customers  &lt; CRL</w:t>
            </w:r>
          </w:p>
        </w:tc>
        <w:tc>
          <w:tcPr>
            <w:tcW w:w="862" w:type="pct"/>
            <w:shd w:val="clear" w:color="000000" w:fill="1F497D"/>
            <w:vAlign w:val="center"/>
          </w:tcPr>
          <w:p w:rsidR="0004244B" w:rsidRPr="0004244B" w:rsidRDefault="00762DCA" w:rsidP="0004244B">
            <w:pPr>
              <w:jc w:val="center"/>
              <w:rPr>
                <w:rFonts w:ascii="Calibri" w:hAnsi="Calibri"/>
                <w:color w:val="FFFFFF"/>
                <w:szCs w:val="20"/>
              </w:rPr>
            </w:pPr>
            <w:r>
              <w:rPr>
                <w:rFonts w:ascii="Calibri" w:hAnsi="Calibri"/>
                <w:color w:val="FFFFFF"/>
                <w:szCs w:val="20"/>
              </w:rPr>
              <w:t>$/k</w:t>
            </w:r>
            <w:r w:rsidR="0004244B" w:rsidRPr="0004244B">
              <w:rPr>
                <w:rFonts w:ascii="Calibri" w:hAnsi="Calibri"/>
                <w:color w:val="FFFFFF"/>
                <w:szCs w:val="20"/>
              </w:rPr>
              <w:t>W</w:t>
            </w:r>
          </w:p>
          <w:p w:rsidR="0004244B" w:rsidRPr="0004244B" w:rsidRDefault="0004244B" w:rsidP="0004244B">
            <w:pPr>
              <w:jc w:val="center"/>
              <w:rPr>
                <w:rFonts w:ascii="Calibri" w:hAnsi="Calibri"/>
                <w:color w:val="FFFFFF"/>
                <w:szCs w:val="20"/>
              </w:rPr>
            </w:pPr>
            <w:r w:rsidRPr="0004244B">
              <w:rPr>
                <w:rFonts w:ascii="Calibri" w:hAnsi="Calibri"/>
                <w:color w:val="FFFFFF"/>
                <w:szCs w:val="20"/>
              </w:rPr>
              <w:t>1% Load Reduction</w:t>
            </w:r>
          </w:p>
        </w:tc>
        <w:tc>
          <w:tcPr>
            <w:tcW w:w="872" w:type="pct"/>
            <w:shd w:val="clear" w:color="000000" w:fill="1F497D"/>
            <w:vAlign w:val="center"/>
          </w:tcPr>
          <w:p w:rsidR="0004244B" w:rsidRPr="0004244B" w:rsidRDefault="00762DCA" w:rsidP="0004244B">
            <w:pPr>
              <w:jc w:val="center"/>
              <w:rPr>
                <w:rFonts w:ascii="Calibri" w:hAnsi="Calibri"/>
                <w:color w:val="FFFFFF"/>
                <w:szCs w:val="20"/>
              </w:rPr>
            </w:pPr>
            <w:r>
              <w:rPr>
                <w:rFonts w:ascii="Calibri" w:hAnsi="Calibri"/>
                <w:color w:val="FFFFFF"/>
                <w:szCs w:val="20"/>
              </w:rPr>
              <w:t>$/k</w:t>
            </w:r>
            <w:r w:rsidR="0004244B" w:rsidRPr="0004244B">
              <w:rPr>
                <w:rFonts w:ascii="Calibri" w:hAnsi="Calibri"/>
                <w:color w:val="FFFFFF"/>
                <w:szCs w:val="20"/>
              </w:rPr>
              <w:t>W</w:t>
            </w:r>
          </w:p>
          <w:p w:rsidR="0004244B" w:rsidRPr="0004244B" w:rsidRDefault="0004244B" w:rsidP="0004244B">
            <w:pPr>
              <w:jc w:val="center"/>
              <w:rPr>
                <w:rFonts w:ascii="Calibri" w:hAnsi="Calibri"/>
                <w:color w:val="FFFFFF"/>
                <w:szCs w:val="20"/>
              </w:rPr>
            </w:pPr>
            <w:r w:rsidRPr="0004244B">
              <w:rPr>
                <w:rFonts w:ascii="Calibri" w:hAnsi="Calibri"/>
                <w:color w:val="FFFFFF"/>
                <w:szCs w:val="20"/>
              </w:rPr>
              <w:t>3% Load Reduction</w:t>
            </w:r>
          </w:p>
        </w:tc>
        <w:tc>
          <w:tcPr>
            <w:tcW w:w="872" w:type="pct"/>
            <w:shd w:val="clear" w:color="000000" w:fill="1F497D"/>
            <w:vAlign w:val="center"/>
          </w:tcPr>
          <w:p w:rsidR="0004244B" w:rsidRPr="0004244B" w:rsidRDefault="00762DCA" w:rsidP="0004244B">
            <w:pPr>
              <w:jc w:val="center"/>
              <w:rPr>
                <w:rFonts w:ascii="Calibri" w:hAnsi="Calibri"/>
                <w:color w:val="FFFFFF"/>
                <w:szCs w:val="20"/>
              </w:rPr>
            </w:pPr>
            <w:r>
              <w:rPr>
                <w:rFonts w:ascii="Calibri" w:hAnsi="Calibri"/>
                <w:color w:val="FFFFFF"/>
                <w:szCs w:val="20"/>
              </w:rPr>
              <w:t>$/k</w:t>
            </w:r>
            <w:r w:rsidR="0004244B" w:rsidRPr="0004244B">
              <w:rPr>
                <w:rFonts w:ascii="Calibri" w:hAnsi="Calibri"/>
                <w:color w:val="FFFFFF"/>
                <w:szCs w:val="20"/>
              </w:rPr>
              <w:t>W</w:t>
            </w:r>
          </w:p>
          <w:p w:rsidR="0004244B" w:rsidRPr="0004244B" w:rsidRDefault="0004244B" w:rsidP="0004244B">
            <w:pPr>
              <w:jc w:val="center"/>
              <w:rPr>
                <w:rFonts w:ascii="Calibri" w:hAnsi="Calibri"/>
                <w:color w:val="FFFFFF"/>
                <w:szCs w:val="20"/>
              </w:rPr>
            </w:pPr>
            <w:r w:rsidRPr="0004244B">
              <w:rPr>
                <w:rFonts w:ascii="Calibri" w:hAnsi="Calibri"/>
                <w:color w:val="FFFFFF"/>
                <w:szCs w:val="20"/>
              </w:rPr>
              <w:t>5% Load Reduction</w:t>
            </w:r>
          </w:p>
        </w:tc>
      </w:tr>
      <w:tr w:rsidR="0004244B" w:rsidRPr="0004244B" w:rsidTr="0004244B">
        <w:trPr>
          <w:trHeight w:val="300"/>
        </w:trPr>
        <w:tc>
          <w:tcPr>
            <w:tcW w:w="602"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7/20/2012</w:t>
            </w:r>
          </w:p>
        </w:tc>
        <w:tc>
          <w:tcPr>
            <w:tcW w:w="913"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$30.38</w:t>
            </w:r>
          </w:p>
        </w:tc>
        <w:tc>
          <w:tcPr>
            <w:tcW w:w="879"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$5.40</w:t>
            </w:r>
          </w:p>
        </w:tc>
        <w:tc>
          <w:tcPr>
            <w:tcW w:w="86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$42.43</w:t>
            </w:r>
          </w:p>
        </w:tc>
        <w:tc>
          <w:tcPr>
            <w:tcW w:w="87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$15.56</w:t>
            </w:r>
          </w:p>
        </w:tc>
        <w:tc>
          <w:tcPr>
            <w:tcW w:w="87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$12.84</w:t>
            </w:r>
          </w:p>
        </w:tc>
      </w:tr>
      <w:tr w:rsidR="0004244B" w:rsidRPr="0004244B" w:rsidTr="0004244B">
        <w:trPr>
          <w:trHeight w:val="300"/>
        </w:trPr>
        <w:tc>
          <w:tcPr>
            <w:tcW w:w="602"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8/9/2012</w:t>
            </w:r>
          </w:p>
        </w:tc>
        <w:tc>
          <w:tcPr>
            <w:tcW w:w="913"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$20.56</w:t>
            </w:r>
          </w:p>
        </w:tc>
        <w:tc>
          <w:tcPr>
            <w:tcW w:w="879"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$5.40</w:t>
            </w:r>
          </w:p>
        </w:tc>
        <w:tc>
          <w:tcPr>
            <w:tcW w:w="86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$35.48</w:t>
            </w:r>
          </w:p>
        </w:tc>
        <w:tc>
          <w:tcPr>
            <w:tcW w:w="87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$13.49</w:t>
            </w:r>
          </w:p>
        </w:tc>
        <w:tc>
          <w:tcPr>
            <w:tcW w:w="87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$11.47</w:t>
            </w:r>
          </w:p>
        </w:tc>
      </w:tr>
      <w:tr w:rsidR="0004244B" w:rsidRPr="0004244B" w:rsidTr="0004244B">
        <w:trPr>
          <w:trHeight w:val="300"/>
        </w:trPr>
        <w:tc>
          <w:tcPr>
            <w:tcW w:w="602"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8/10/2012</w:t>
            </w:r>
          </w:p>
        </w:tc>
        <w:tc>
          <w:tcPr>
            <w:tcW w:w="913"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$14,260</w:t>
            </w:r>
          </w:p>
        </w:tc>
        <w:tc>
          <w:tcPr>
            <w:tcW w:w="879"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$5.41</w:t>
            </w:r>
          </w:p>
        </w:tc>
        <w:tc>
          <w:tcPr>
            <w:tcW w:w="86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$46.20</w:t>
            </w:r>
          </w:p>
        </w:tc>
        <w:tc>
          <w:tcPr>
            <w:tcW w:w="87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$17.00</w:t>
            </w:r>
          </w:p>
        </w:tc>
        <w:tc>
          <w:tcPr>
            <w:tcW w:w="87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$14.00</w:t>
            </w:r>
          </w:p>
        </w:tc>
      </w:tr>
      <w:tr w:rsidR="0004244B" w:rsidRPr="0004244B" w:rsidTr="0004244B">
        <w:trPr>
          <w:trHeight w:val="300"/>
        </w:trPr>
        <w:tc>
          <w:tcPr>
            <w:tcW w:w="602"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8/11/2012</w:t>
            </w:r>
          </w:p>
        </w:tc>
        <w:tc>
          <w:tcPr>
            <w:tcW w:w="913"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w:t>
            </w:r>
          </w:p>
        </w:tc>
        <w:tc>
          <w:tcPr>
            <w:tcW w:w="879"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$5.46</w:t>
            </w:r>
          </w:p>
        </w:tc>
        <w:tc>
          <w:tcPr>
            <w:tcW w:w="86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$45.46</w:t>
            </w:r>
          </w:p>
        </w:tc>
        <w:tc>
          <w:tcPr>
            <w:tcW w:w="87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$15.97</w:t>
            </w:r>
          </w:p>
        </w:tc>
        <w:tc>
          <w:tcPr>
            <w:tcW w:w="87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$12.73</w:t>
            </w:r>
          </w:p>
        </w:tc>
      </w:tr>
      <w:tr w:rsidR="0004244B" w:rsidRPr="0004244B" w:rsidTr="0004244B">
        <w:trPr>
          <w:trHeight w:val="300"/>
        </w:trPr>
        <w:tc>
          <w:tcPr>
            <w:tcW w:w="602"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8/14/2012</w:t>
            </w:r>
          </w:p>
        </w:tc>
        <w:tc>
          <w:tcPr>
            <w:tcW w:w="913"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$21.41</w:t>
            </w:r>
          </w:p>
        </w:tc>
        <w:tc>
          <w:tcPr>
            <w:tcW w:w="879"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$5.39</w:t>
            </w:r>
          </w:p>
        </w:tc>
        <w:tc>
          <w:tcPr>
            <w:tcW w:w="86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$36.93</w:t>
            </w:r>
          </w:p>
        </w:tc>
        <w:tc>
          <w:tcPr>
            <w:tcW w:w="87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$13.98</w:t>
            </w:r>
          </w:p>
        </w:tc>
        <w:tc>
          <w:tcPr>
            <w:tcW w:w="87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$11.82</w:t>
            </w:r>
          </w:p>
        </w:tc>
      </w:tr>
      <w:tr w:rsidR="0004244B" w:rsidRPr="0004244B" w:rsidTr="0004244B">
        <w:trPr>
          <w:trHeight w:val="300"/>
        </w:trPr>
        <w:tc>
          <w:tcPr>
            <w:tcW w:w="602"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8/21/2012</w:t>
            </w:r>
          </w:p>
        </w:tc>
        <w:tc>
          <w:tcPr>
            <w:tcW w:w="913"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$6.31</w:t>
            </w:r>
          </w:p>
        </w:tc>
        <w:tc>
          <w:tcPr>
            <w:tcW w:w="879"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$5.44</w:t>
            </w:r>
          </w:p>
        </w:tc>
        <w:tc>
          <w:tcPr>
            <w:tcW w:w="86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$75.58</w:t>
            </w:r>
          </w:p>
        </w:tc>
        <w:tc>
          <w:tcPr>
            <w:tcW w:w="87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$27.71</w:t>
            </w:r>
          </w:p>
        </w:tc>
        <w:tc>
          <w:tcPr>
            <w:tcW w:w="87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$22.60</w:t>
            </w:r>
          </w:p>
        </w:tc>
      </w:tr>
      <w:tr w:rsidR="0004244B" w:rsidRPr="0004244B" w:rsidTr="0004244B">
        <w:trPr>
          <w:trHeight w:val="300"/>
        </w:trPr>
        <w:tc>
          <w:tcPr>
            <w:tcW w:w="602"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9/15/2012</w:t>
            </w:r>
          </w:p>
        </w:tc>
        <w:tc>
          <w:tcPr>
            <w:tcW w:w="913"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w:t>
            </w:r>
          </w:p>
        </w:tc>
        <w:tc>
          <w:tcPr>
            <w:tcW w:w="879"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$5.46</w:t>
            </w:r>
          </w:p>
        </w:tc>
        <w:tc>
          <w:tcPr>
            <w:tcW w:w="86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$52.80</w:t>
            </w:r>
          </w:p>
        </w:tc>
        <w:tc>
          <w:tcPr>
            <w:tcW w:w="87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$18.62</w:t>
            </w:r>
          </w:p>
        </w:tc>
        <w:tc>
          <w:tcPr>
            <w:tcW w:w="87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$14.84</w:t>
            </w:r>
          </w:p>
        </w:tc>
      </w:tr>
      <w:tr w:rsidR="0004244B" w:rsidRPr="0004244B" w:rsidTr="0004244B">
        <w:trPr>
          <w:trHeight w:val="300"/>
        </w:trPr>
        <w:tc>
          <w:tcPr>
            <w:tcW w:w="602"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Average</w:t>
            </w:r>
          </w:p>
        </w:tc>
        <w:tc>
          <w:tcPr>
            <w:tcW w:w="913"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$10.25</w:t>
            </w:r>
          </w:p>
        </w:tc>
        <w:tc>
          <w:tcPr>
            <w:tcW w:w="879" w:type="pct"/>
            <w:shd w:val="clear" w:color="auto" w:fill="auto"/>
            <w:noWrap/>
            <w:vAlign w:val="center"/>
            <w:hideMark/>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$5.40</w:t>
            </w:r>
          </w:p>
        </w:tc>
        <w:tc>
          <w:tcPr>
            <w:tcW w:w="86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$42.43</w:t>
            </w:r>
          </w:p>
        </w:tc>
        <w:tc>
          <w:tcPr>
            <w:tcW w:w="87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$15.56</w:t>
            </w:r>
          </w:p>
        </w:tc>
        <w:tc>
          <w:tcPr>
            <w:tcW w:w="872" w:type="pct"/>
            <w:vAlign w:val="center"/>
          </w:tcPr>
          <w:p w:rsidR="0004244B" w:rsidRPr="0004244B" w:rsidRDefault="0004244B" w:rsidP="0004244B">
            <w:pPr>
              <w:jc w:val="center"/>
              <w:rPr>
                <w:rFonts w:ascii="Calibri" w:hAnsi="Calibri"/>
                <w:color w:val="000000"/>
                <w:szCs w:val="20"/>
              </w:rPr>
            </w:pPr>
            <w:r w:rsidRPr="0004244B">
              <w:rPr>
                <w:rFonts w:ascii="Calibri" w:hAnsi="Calibri"/>
                <w:color w:val="000000"/>
                <w:szCs w:val="20"/>
              </w:rPr>
              <w:t>$12.84</w:t>
            </w:r>
          </w:p>
        </w:tc>
      </w:tr>
    </w:tbl>
    <w:p w:rsidR="003E7A58" w:rsidRDefault="003E7A58" w:rsidP="009B3C99">
      <w:pPr>
        <w:pStyle w:val="BodyText"/>
      </w:pPr>
    </w:p>
    <w:p w:rsidR="0004244B" w:rsidRDefault="00762DCA" w:rsidP="009B3C99">
      <w:pPr>
        <w:pStyle w:val="BodyText"/>
      </w:pPr>
      <w:r>
        <w:t xml:space="preserve">In Table 4-5 above, we see that if on average the small commercial class were able to reduce load by 1% during PTR events SDG&amp;E would pay approximately $42/kW across all events. Similarly, assuming an average load reduction of 5% SDG&amp;E would pay about $13/kW across all events. </w:t>
      </w:r>
    </w:p>
    <w:p w:rsidR="009E1553" w:rsidRDefault="009E1553" w:rsidP="009B3C99">
      <w:pPr>
        <w:pStyle w:val="BodyText"/>
      </w:pPr>
    </w:p>
    <w:p w:rsidR="00646295" w:rsidRDefault="00646295" w:rsidP="009B3C99">
      <w:pPr>
        <w:pStyle w:val="BodyText"/>
      </w:pPr>
      <w:r>
        <w:t xml:space="preserve"> </w:t>
      </w:r>
    </w:p>
    <w:p w:rsidR="00775256" w:rsidRPr="00775256" w:rsidRDefault="001B10E5" w:rsidP="001B10E5">
      <w:pPr>
        <w:pStyle w:val="BodyText"/>
        <w:ind w:left="720"/>
      </w:pPr>
      <w:r>
        <w:t xml:space="preserve"> </w:t>
      </w:r>
    </w:p>
    <w:p w:rsidR="004D6779" w:rsidRDefault="004D6779" w:rsidP="00D031CB">
      <w:pPr>
        <w:pStyle w:val="BodyText"/>
      </w:pPr>
    </w:p>
    <w:p w:rsidR="004D6779" w:rsidRDefault="004D6779" w:rsidP="00D031CB">
      <w:pPr>
        <w:pStyle w:val="BodyText"/>
      </w:pPr>
    </w:p>
    <w:p w:rsidR="009B3C99" w:rsidRDefault="009B3C99" w:rsidP="00D031CB">
      <w:pPr>
        <w:pStyle w:val="BodyText"/>
      </w:pPr>
    </w:p>
    <w:tbl>
      <w:tblPr>
        <w:tblpPr w:leftFromText="180" w:rightFromText="180" w:vertAnchor="text" w:tblpY="264"/>
        <w:tblW w:w="5000" w:type="pct"/>
        <w:tblBorders>
          <w:insideV w:val="single" w:sz="4" w:space="0" w:color="808080"/>
        </w:tblBorders>
        <w:tblCellMar>
          <w:left w:w="58" w:type="dxa"/>
          <w:right w:w="29" w:type="dxa"/>
        </w:tblCellMar>
        <w:tblLook w:val="0000"/>
      </w:tblPr>
      <w:tblGrid>
        <w:gridCol w:w="1297"/>
        <w:gridCol w:w="7790"/>
      </w:tblGrid>
      <w:tr w:rsidR="009B3C99" w:rsidRPr="000B169A" w:rsidTr="00D804F6">
        <w:trPr>
          <w:cantSplit/>
          <w:trHeight w:hRule="exact" w:val="288"/>
        </w:trPr>
        <w:tc>
          <w:tcPr>
            <w:tcW w:w="1297" w:type="dxa"/>
            <w:shd w:val="clear" w:color="auto" w:fill="auto"/>
            <w:vAlign w:val="center"/>
          </w:tcPr>
          <w:p w:rsidR="009B3C99" w:rsidRPr="007E5F2B" w:rsidRDefault="009B3C99" w:rsidP="00D804F6">
            <w:pPr>
              <w:pStyle w:val="Chapter"/>
              <w:framePr w:hSpace="0" w:wrap="auto" w:vAnchor="margin" w:hAnchor="text" w:yAlign="inline"/>
            </w:pPr>
            <w:r w:rsidRPr="007E5F2B">
              <w:lastRenderedPageBreak/>
              <w:t>Chapter</w:t>
            </w:r>
          </w:p>
        </w:tc>
        <w:tc>
          <w:tcPr>
            <w:tcW w:w="7790" w:type="dxa"/>
            <w:shd w:val="clear" w:color="auto" w:fill="auto"/>
            <w:tcMar>
              <w:left w:w="173" w:type="dxa"/>
            </w:tcMar>
            <w:vAlign w:val="center"/>
          </w:tcPr>
          <w:p w:rsidR="009B3C99" w:rsidRPr="000B169A" w:rsidRDefault="009B3C99" w:rsidP="00D804F6">
            <w:pPr>
              <w:pStyle w:val="Heading1"/>
            </w:pPr>
          </w:p>
        </w:tc>
      </w:tr>
    </w:tbl>
    <w:p w:rsidR="009B3C99" w:rsidRDefault="009B3C99" w:rsidP="009B3C99">
      <w:pPr>
        <w:pStyle w:val="BodyText"/>
      </w:pPr>
    </w:p>
    <w:p w:rsidR="009B3C99" w:rsidRPr="005316E6" w:rsidRDefault="009B3C99" w:rsidP="009B3C99">
      <w:pPr>
        <w:pStyle w:val="BodyText"/>
      </w:pPr>
    </w:p>
    <w:p w:rsidR="00A364EB" w:rsidRDefault="00A364EB" w:rsidP="009B3C99">
      <w:pPr>
        <w:pStyle w:val="ChapterTitle"/>
      </w:pPr>
    </w:p>
    <w:p w:rsidR="009B3C99" w:rsidRDefault="009B3C99" w:rsidP="009B3C99">
      <w:pPr>
        <w:pStyle w:val="ChapterTitle"/>
      </w:pPr>
      <w:bookmarkStart w:id="87" w:name="_Toc351363743"/>
      <w:r>
        <w:t>Key Findings and Recommendations</w:t>
      </w:r>
      <w:bookmarkEnd w:id="87"/>
    </w:p>
    <w:p w:rsidR="009B3C99" w:rsidRDefault="009B3C99" w:rsidP="00D031CB">
      <w:pPr>
        <w:pStyle w:val="BodyText"/>
      </w:pPr>
    </w:p>
    <w:p w:rsidR="009B3C99" w:rsidRDefault="00634646" w:rsidP="009B3C99">
      <w:pPr>
        <w:pStyle w:val="BodyText"/>
      </w:pPr>
      <w:r>
        <w:t>This chapter presents</w:t>
      </w:r>
      <w:r w:rsidR="009B3C99">
        <w:t xml:space="preserve"> key findings</w:t>
      </w:r>
      <w:r>
        <w:t xml:space="preserve"> of the small commercial PTR program,</w:t>
      </w:r>
      <w:r w:rsidR="009B3C99">
        <w:t xml:space="preserve"> and</w:t>
      </w:r>
      <w:r>
        <w:t xml:space="preserve"> some more general</w:t>
      </w:r>
      <w:r w:rsidR="009B3C99">
        <w:t xml:space="preserve"> recommen</w:t>
      </w:r>
      <w:r>
        <w:t>dations for small commercial dynamic pricing</w:t>
      </w:r>
      <w:r w:rsidR="00A364EB">
        <w:t xml:space="preserve"> programs based on this evaluation</w:t>
      </w:r>
      <w:r w:rsidR="009B3C99">
        <w:t xml:space="preserve">. </w:t>
      </w:r>
    </w:p>
    <w:p w:rsidR="009B3C99" w:rsidRDefault="009B3C99" w:rsidP="009B3C99">
      <w:pPr>
        <w:pStyle w:val="Heading2"/>
      </w:pPr>
      <w:bookmarkStart w:id="88" w:name="_Toc351363744"/>
      <w:r>
        <w:t>Key Findings</w:t>
      </w:r>
      <w:bookmarkEnd w:id="88"/>
    </w:p>
    <w:p w:rsidR="009461C4" w:rsidRPr="009461C4" w:rsidRDefault="009461C4" w:rsidP="009461C4">
      <w:pPr>
        <w:pStyle w:val="BodyText"/>
      </w:pPr>
      <w:r>
        <w:t xml:space="preserve">The following were identified as key findings during the </w:t>
      </w:r>
      <w:r w:rsidR="009F2108">
        <w:t>Small Commercial PTR</w:t>
      </w:r>
      <w:r w:rsidR="00D2125B">
        <w:t xml:space="preserve"> 2012 Impact E</w:t>
      </w:r>
      <w:r>
        <w:t>valuation:</w:t>
      </w:r>
    </w:p>
    <w:p w:rsidR="00456073" w:rsidRDefault="00500633" w:rsidP="00456073">
      <w:pPr>
        <w:pStyle w:val="BodyText"/>
        <w:numPr>
          <w:ilvl w:val="0"/>
          <w:numId w:val="29"/>
        </w:numPr>
      </w:pPr>
      <w:r>
        <w:t>Based on the result</w:t>
      </w:r>
      <w:r w:rsidR="009461C4">
        <w:t>s</w:t>
      </w:r>
      <w:r>
        <w:t xml:space="preserve"> of the reg</w:t>
      </w:r>
      <w:r w:rsidR="009461C4">
        <w:t>ression analysis and the load shape analysis, we can conclude</w:t>
      </w:r>
      <w:r>
        <w:t xml:space="preserve"> </w:t>
      </w:r>
      <w:r w:rsidR="009461C4">
        <w:t xml:space="preserve">that the Non-Notified participants are </w:t>
      </w:r>
      <w:r w:rsidR="009674B9">
        <w:t xml:space="preserve">not responding to PTR events. </w:t>
      </w:r>
    </w:p>
    <w:p w:rsidR="009461C4" w:rsidRDefault="009461C4" w:rsidP="00456073">
      <w:pPr>
        <w:pStyle w:val="BodyText"/>
        <w:numPr>
          <w:ilvl w:val="0"/>
          <w:numId w:val="29"/>
        </w:numPr>
      </w:pPr>
      <w:r>
        <w:t xml:space="preserve">Again, based on the results of the regression analysis and the load shape analysis, we can conclude that the </w:t>
      </w:r>
      <w:r w:rsidR="003636FD">
        <w:t>My Account</w:t>
      </w:r>
      <w:r>
        <w:t xml:space="preserve"> participants are not responding to PTR events. </w:t>
      </w:r>
    </w:p>
    <w:p w:rsidR="00122CF5" w:rsidRDefault="00122CF5" w:rsidP="009461C4">
      <w:pPr>
        <w:pStyle w:val="BodyText"/>
        <w:numPr>
          <w:ilvl w:val="0"/>
          <w:numId w:val="29"/>
        </w:numPr>
      </w:pPr>
      <w:r>
        <w:t>The analysis for the Opt-in Alert customers was somewhat inconclusive. Based on the regression analysis, some of the PTR events show small reductions in usage, around 3%. However, the matched control group analysis did not show any statistically significant reductions in usage during PTR event days. While our official estimate of savings for the group is zero, the mixed results indicate that one could logically conclude that some participants are likely to be taking action on some days; however the overall effect of such actions</w:t>
      </w:r>
      <w:r w:rsidR="00634646">
        <w:t xml:space="preserve"> </w:t>
      </w:r>
      <w:r>
        <w:t xml:space="preserve">is small falling between 1% and 3%. </w:t>
      </w:r>
    </w:p>
    <w:p w:rsidR="00500633" w:rsidRDefault="009461C4" w:rsidP="00122CF5">
      <w:pPr>
        <w:pStyle w:val="BodyText"/>
        <w:numPr>
          <w:ilvl w:val="0"/>
          <w:numId w:val="29"/>
        </w:numPr>
      </w:pPr>
      <w:r>
        <w:t>Many industry studies have found small commercial customers to be</w:t>
      </w:r>
      <w:r w:rsidR="00634646">
        <w:t xml:space="preserve"> much</w:t>
      </w:r>
      <w:r>
        <w:t xml:space="preserve"> less price responsive than residential customers on dynamic pricing rates, and they are typically the least targeted for DR programs.</w:t>
      </w:r>
      <w:r w:rsidR="00122CF5">
        <w:rPr>
          <w:rStyle w:val="FootnoteReference"/>
        </w:rPr>
        <w:footnoteReference w:id="8"/>
      </w:r>
      <w:r>
        <w:t xml:space="preserve"> Given this information, it is not surprising that we were unable to detect any impacts </w:t>
      </w:r>
      <w:r w:rsidR="00122CF5">
        <w:t xml:space="preserve">in this group of customers. </w:t>
      </w:r>
      <w:r>
        <w:t xml:space="preserve"> </w:t>
      </w:r>
    </w:p>
    <w:p w:rsidR="009B3C99" w:rsidRDefault="009B3C99" w:rsidP="009B3C99">
      <w:pPr>
        <w:pStyle w:val="Heading2"/>
      </w:pPr>
      <w:bookmarkStart w:id="89" w:name="_Toc351363745"/>
      <w:r>
        <w:t>Recommendations</w:t>
      </w:r>
      <w:bookmarkEnd w:id="89"/>
    </w:p>
    <w:p w:rsidR="007807F3" w:rsidRDefault="00A364EB" w:rsidP="009B3C99">
      <w:pPr>
        <w:pStyle w:val="BodyText"/>
      </w:pPr>
      <w:r>
        <w:t>While the small commercial PTR program is not currently planned to continue into 2013, there are still some relevant recommendations that can be made for small commercial dynamic pricing in general based on this evaluation</w:t>
      </w:r>
      <w:r w:rsidR="007807F3">
        <w:t xml:space="preserve"> and </w:t>
      </w:r>
      <w:r w:rsidR="00634646">
        <w:t xml:space="preserve">our </w:t>
      </w:r>
      <w:r>
        <w:t>experience</w:t>
      </w:r>
      <w:r w:rsidR="007807F3">
        <w:t xml:space="preserve"> evaluating other small commercial dynamic pricing programs</w:t>
      </w:r>
      <w:r>
        <w:t>.</w:t>
      </w:r>
    </w:p>
    <w:p w:rsidR="009461C4" w:rsidRDefault="009461C4" w:rsidP="00122CF5">
      <w:pPr>
        <w:pStyle w:val="BodyText"/>
        <w:numPr>
          <w:ilvl w:val="0"/>
          <w:numId w:val="28"/>
        </w:numPr>
      </w:pPr>
      <w:r>
        <w:t xml:space="preserve">In any type of event driven program notification and communication of events is a key factor. If participants are not notified of an event at all, or if they are not notified using a method that is either not timely or not convenient, those participants are very unlikely to respond. </w:t>
      </w:r>
      <w:r w:rsidR="00122CF5">
        <w:t xml:space="preserve">Using multiple channels for notification, or event visual indicators through enabling technology, is more likely to elicit a response. </w:t>
      </w:r>
    </w:p>
    <w:p w:rsidR="00355F1C" w:rsidRDefault="00355F1C" w:rsidP="007807F3">
      <w:pPr>
        <w:pStyle w:val="BodyText"/>
        <w:numPr>
          <w:ilvl w:val="0"/>
          <w:numId w:val="28"/>
        </w:numPr>
      </w:pPr>
      <w:r>
        <w:lastRenderedPageBreak/>
        <w:t xml:space="preserve">PTR events were often called on cooler days, when </w:t>
      </w:r>
      <w:r w:rsidR="00634646">
        <w:t>fewer loads</w:t>
      </w:r>
      <w:r w:rsidR="00AF3CC6">
        <w:t xml:space="preserve"> </w:t>
      </w:r>
      <w:r w:rsidR="00634646">
        <w:t>were</w:t>
      </w:r>
      <w:r>
        <w:t xml:space="preserve"> likely to be available. Calling events on the warmest days in the season or month will often translate into higher reference load, and therefore higher load reduction. </w:t>
      </w:r>
      <w:r w:rsidR="00AF3CC6">
        <w:t>If the program is being</w:t>
      </w:r>
      <w:r>
        <w:t xml:space="preserve"> used as a resource, developing a protoco</w:t>
      </w:r>
      <w:r w:rsidR="00AF3CC6">
        <w:t>l that targets forecasted</w:t>
      </w:r>
      <w:r>
        <w:t xml:space="preserve"> monthly or annual </w:t>
      </w:r>
      <w:r w:rsidR="00AF3CC6">
        <w:t xml:space="preserve">system </w:t>
      </w:r>
      <w:r>
        <w:t xml:space="preserve">peaks </w:t>
      </w:r>
      <w:r w:rsidR="00F0775A">
        <w:t>will also generally result</w:t>
      </w:r>
      <w:r w:rsidR="00AF3CC6">
        <w:t xml:space="preserve"> in events being called on the hottest days. </w:t>
      </w:r>
      <w:r>
        <w:t xml:space="preserve"> </w:t>
      </w:r>
    </w:p>
    <w:p w:rsidR="009B3C99" w:rsidRDefault="007807F3" w:rsidP="007807F3">
      <w:pPr>
        <w:pStyle w:val="BodyText"/>
        <w:numPr>
          <w:ilvl w:val="0"/>
          <w:numId w:val="28"/>
        </w:numPr>
      </w:pPr>
      <w:r>
        <w:t xml:space="preserve">Stronger price signals may help to engage small commercial customers. In this program the residential and commercial incentives were the same, however it may be more effective, given the low level of engagement seen here, to offer higher incentives or conversely stronger signals (i.e. higher on to off peak price ratios). </w:t>
      </w:r>
    </w:p>
    <w:p w:rsidR="007807F3" w:rsidRDefault="007807F3" w:rsidP="007807F3">
      <w:pPr>
        <w:pStyle w:val="BodyText"/>
        <w:numPr>
          <w:ilvl w:val="0"/>
          <w:numId w:val="28"/>
        </w:numPr>
      </w:pPr>
      <w:r>
        <w:t xml:space="preserve">Enabling technology </w:t>
      </w:r>
      <w:r w:rsidR="00456073">
        <w:t>has also been shown to improve response among small commercial customers. Programmable Communicating Thermostats (PCTs) can be a good option because either the customer or the utility can control the device depending on how the program is designed. Some programs</w:t>
      </w:r>
      <w:r w:rsidR="00634646">
        <w:t xml:space="preserve"> are geared to customer satisfaction and</w:t>
      </w:r>
      <w:r w:rsidR="00456073">
        <w:t xml:space="preserve"> allow </w:t>
      </w:r>
      <w:r w:rsidR="00634646">
        <w:t>for customer controlled response, even</w:t>
      </w:r>
      <w:r w:rsidR="00456073">
        <w:t xml:space="preserve"> </w:t>
      </w:r>
      <w:r w:rsidR="00634646">
        <w:t>providing</w:t>
      </w:r>
      <w:r w:rsidR="00456073">
        <w:t xml:space="preserve"> override capability during events. Others might control the devices during the event and limit overrides to ensure more reliable response. Still another option is to allow customers to choose</w:t>
      </w:r>
      <w:r w:rsidR="00355F1C">
        <w:t xml:space="preserve"> which is more convenient for them, perhaps with an additional incentive for allowing utility control. </w:t>
      </w:r>
    </w:p>
    <w:p w:rsidR="00355F1C" w:rsidRDefault="00355F1C" w:rsidP="009674B9">
      <w:pPr>
        <w:pStyle w:val="BodyText"/>
        <w:ind w:left="405"/>
      </w:pPr>
    </w:p>
    <w:p w:rsidR="00A364EB" w:rsidRDefault="00A364EB" w:rsidP="009B3C99">
      <w:pPr>
        <w:pStyle w:val="BodyText"/>
      </w:pPr>
    </w:p>
    <w:p w:rsidR="009B3C99" w:rsidRDefault="009B3C99" w:rsidP="00D031CB">
      <w:pPr>
        <w:pStyle w:val="BodyText"/>
        <w:sectPr w:rsidR="009B3C99" w:rsidSect="008904A7">
          <w:type w:val="oddPage"/>
          <w:pgSz w:w="12240" w:h="15840" w:code="1"/>
          <w:pgMar w:top="1152" w:right="1440" w:bottom="1152" w:left="1800" w:header="720" w:footer="720" w:gutter="0"/>
          <w:pgNumType w:start="1" w:chapStyle="1"/>
          <w:cols w:space="720"/>
          <w:titlePg/>
          <w:docGrid w:linePitch="231"/>
        </w:sectPr>
      </w:pPr>
    </w:p>
    <w:tbl>
      <w:tblPr>
        <w:tblW w:w="5000" w:type="pct"/>
        <w:tblBorders>
          <w:insideV w:val="single" w:sz="4" w:space="0" w:color="808080"/>
        </w:tblBorders>
        <w:tblCellMar>
          <w:left w:w="58" w:type="dxa"/>
          <w:right w:w="29" w:type="dxa"/>
        </w:tblCellMar>
        <w:tblLook w:val="0000"/>
      </w:tblPr>
      <w:tblGrid>
        <w:gridCol w:w="1297"/>
        <w:gridCol w:w="7790"/>
      </w:tblGrid>
      <w:tr w:rsidR="009A6F01" w:rsidRPr="000B169A" w:rsidTr="009A6F01">
        <w:trPr>
          <w:cantSplit/>
          <w:trHeight w:hRule="exact" w:val="288"/>
        </w:trPr>
        <w:tc>
          <w:tcPr>
            <w:tcW w:w="1297" w:type="dxa"/>
            <w:shd w:val="clear" w:color="auto" w:fill="auto"/>
            <w:vAlign w:val="center"/>
          </w:tcPr>
          <w:p w:rsidR="009A6F01" w:rsidRPr="009D189F" w:rsidRDefault="009A6F01" w:rsidP="009A6F01">
            <w:pPr>
              <w:pStyle w:val="Chapter"/>
              <w:framePr w:hSpace="0" w:wrap="auto" w:vAnchor="margin" w:hAnchor="text" w:yAlign="inline"/>
            </w:pPr>
            <w:r w:rsidRPr="009D189F">
              <w:lastRenderedPageBreak/>
              <w:t>aPPENDIX</w:t>
            </w:r>
          </w:p>
        </w:tc>
        <w:tc>
          <w:tcPr>
            <w:tcW w:w="7790" w:type="dxa"/>
            <w:tcBorders>
              <w:left w:val="single" w:sz="4" w:space="0" w:color="808080"/>
            </w:tcBorders>
            <w:shd w:val="clear" w:color="auto" w:fill="auto"/>
            <w:tcMar>
              <w:left w:w="173" w:type="dxa"/>
            </w:tcMar>
            <w:vAlign w:val="center"/>
          </w:tcPr>
          <w:p w:rsidR="009A6F01" w:rsidRPr="009D189F" w:rsidRDefault="009A6F01" w:rsidP="009A6F01">
            <w:pPr>
              <w:pStyle w:val="Heading6"/>
              <w:spacing w:before="0" w:after="0"/>
              <w:rPr>
                <w:bCs w:val="0"/>
                <w:color w:val="808080"/>
              </w:rPr>
            </w:pPr>
            <w:bookmarkStart w:id="90" w:name="_Toc255825465"/>
            <w:bookmarkEnd w:id="90"/>
          </w:p>
        </w:tc>
      </w:tr>
    </w:tbl>
    <w:p w:rsidR="009A6F01" w:rsidRDefault="0053427C" w:rsidP="00351A80">
      <w:pPr>
        <w:pStyle w:val="AppendixTitle"/>
      </w:pPr>
      <w:bookmarkStart w:id="91" w:name="_Toc351363746"/>
      <w:r>
        <w:t>regression Output and Parameter estimates</w:t>
      </w:r>
      <w:bookmarkEnd w:id="91"/>
    </w:p>
    <w:p w:rsidR="0053427C" w:rsidRPr="0053427C" w:rsidRDefault="0053427C" w:rsidP="0053427C">
      <w:pPr>
        <w:pStyle w:val="BodyText"/>
      </w:pPr>
      <w:r w:rsidRPr="0053427C">
        <w:rPr>
          <w:highlight w:val="yellow"/>
        </w:rPr>
        <w:t>To be included in Final Report</w:t>
      </w:r>
    </w:p>
    <w:p w:rsidR="003A12DC" w:rsidRDefault="003A12DC" w:rsidP="00D031CB">
      <w:pPr>
        <w:pStyle w:val="BodyText"/>
      </w:pPr>
    </w:p>
    <w:p w:rsidR="0053427C" w:rsidRDefault="0053427C" w:rsidP="00D031CB">
      <w:pPr>
        <w:pStyle w:val="BodyText"/>
      </w:pPr>
    </w:p>
    <w:p w:rsidR="0053427C" w:rsidRDefault="0053427C" w:rsidP="00D031CB">
      <w:pPr>
        <w:pStyle w:val="BodyText"/>
      </w:pPr>
    </w:p>
    <w:p w:rsidR="0053427C" w:rsidRDefault="0053427C" w:rsidP="00D031CB">
      <w:pPr>
        <w:pStyle w:val="BodyText"/>
      </w:pPr>
    </w:p>
    <w:p w:rsidR="0053427C" w:rsidRDefault="0053427C" w:rsidP="00D031CB">
      <w:pPr>
        <w:pStyle w:val="BodyText"/>
      </w:pPr>
    </w:p>
    <w:p w:rsidR="0053427C" w:rsidRDefault="0053427C" w:rsidP="00D031CB">
      <w:pPr>
        <w:pStyle w:val="BodyText"/>
      </w:pPr>
    </w:p>
    <w:p w:rsidR="0053427C" w:rsidRDefault="0053427C" w:rsidP="00D031CB">
      <w:pPr>
        <w:pStyle w:val="BodyText"/>
      </w:pPr>
    </w:p>
    <w:p w:rsidR="0053427C" w:rsidRDefault="0053427C" w:rsidP="00D031CB">
      <w:pPr>
        <w:pStyle w:val="BodyText"/>
      </w:pPr>
    </w:p>
    <w:p w:rsidR="0053427C" w:rsidRDefault="0053427C" w:rsidP="00D031CB">
      <w:pPr>
        <w:pStyle w:val="BodyText"/>
      </w:pPr>
    </w:p>
    <w:p w:rsidR="0053427C" w:rsidRDefault="0053427C" w:rsidP="00D031CB">
      <w:pPr>
        <w:pStyle w:val="BodyText"/>
      </w:pPr>
    </w:p>
    <w:p w:rsidR="0053427C" w:rsidRDefault="0053427C" w:rsidP="00D031CB">
      <w:pPr>
        <w:pStyle w:val="BodyText"/>
      </w:pPr>
    </w:p>
    <w:p w:rsidR="0053427C" w:rsidRDefault="0053427C" w:rsidP="00D031CB">
      <w:pPr>
        <w:pStyle w:val="BodyText"/>
      </w:pPr>
    </w:p>
    <w:p w:rsidR="0053427C" w:rsidRDefault="0053427C" w:rsidP="00D031CB">
      <w:pPr>
        <w:pStyle w:val="BodyText"/>
      </w:pPr>
    </w:p>
    <w:p w:rsidR="0053427C" w:rsidRDefault="0053427C" w:rsidP="00D031CB">
      <w:pPr>
        <w:pStyle w:val="BodyText"/>
      </w:pPr>
    </w:p>
    <w:p w:rsidR="0053427C" w:rsidRDefault="0053427C" w:rsidP="00D031CB">
      <w:pPr>
        <w:pStyle w:val="BodyText"/>
      </w:pPr>
    </w:p>
    <w:p w:rsidR="0053427C" w:rsidRDefault="0053427C" w:rsidP="00D031CB">
      <w:pPr>
        <w:pStyle w:val="BodyText"/>
      </w:pPr>
    </w:p>
    <w:p w:rsidR="0053427C" w:rsidRDefault="0053427C" w:rsidP="00D031CB">
      <w:pPr>
        <w:pStyle w:val="BodyText"/>
      </w:pPr>
    </w:p>
    <w:p w:rsidR="0053427C" w:rsidRDefault="0053427C" w:rsidP="00D031CB">
      <w:pPr>
        <w:pStyle w:val="BodyText"/>
      </w:pPr>
    </w:p>
    <w:p w:rsidR="0053427C" w:rsidRDefault="0053427C" w:rsidP="00D031CB">
      <w:pPr>
        <w:pStyle w:val="BodyText"/>
      </w:pPr>
    </w:p>
    <w:p w:rsidR="0053427C" w:rsidRDefault="0053427C" w:rsidP="00D031CB">
      <w:pPr>
        <w:pStyle w:val="BodyText"/>
      </w:pPr>
    </w:p>
    <w:p w:rsidR="0053427C" w:rsidRDefault="0053427C" w:rsidP="00D031CB">
      <w:pPr>
        <w:pStyle w:val="BodyText"/>
      </w:pPr>
    </w:p>
    <w:p w:rsidR="00B200B6" w:rsidRDefault="00B200B6" w:rsidP="00D031CB">
      <w:pPr>
        <w:pStyle w:val="BodyText"/>
        <w:sectPr w:rsidR="00B200B6" w:rsidSect="008904A7">
          <w:headerReference w:type="even" r:id="rId43"/>
          <w:headerReference w:type="default" r:id="rId44"/>
          <w:footerReference w:type="even" r:id="rId45"/>
          <w:footerReference w:type="default" r:id="rId46"/>
          <w:headerReference w:type="first" r:id="rId47"/>
          <w:footerReference w:type="first" r:id="rId48"/>
          <w:type w:val="oddPage"/>
          <w:pgSz w:w="12240" w:h="15840" w:code="1"/>
          <w:pgMar w:top="1152" w:right="1440" w:bottom="1152" w:left="1800" w:header="720" w:footer="720" w:gutter="0"/>
          <w:pgNumType w:start="1" w:chapStyle="6"/>
          <w:cols w:space="720"/>
          <w:titlePg/>
          <w:docGrid w:linePitch="231"/>
        </w:sectPr>
      </w:pPr>
    </w:p>
    <w:p w:rsidR="0053427C" w:rsidRDefault="0053427C" w:rsidP="00D031CB">
      <w:pPr>
        <w:pStyle w:val="BodyText"/>
      </w:pPr>
    </w:p>
    <w:p w:rsidR="0053427C" w:rsidRDefault="0053427C" w:rsidP="00D031CB">
      <w:pPr>
        <w:pStyle w:val="BodyText"/>
      </w:pPr>
    </w:p>
    <w:tbl>
      <w:tblPr>
        <w:tblW w:w="5000" w:type="pct"/>
        <w:tblBorders>
          <w:insideV w:val="single" w:sz="4" w:space="0" w:color="808080"/>
        </w:tblBorders>
        <w:tblCellMar>
          <w:left w:w="58" w:type="dxa"/>
          <w:right w:w="29" w:type="dxa"/>
        </w:tblCellMar>
        <w:tblLook w:val="0000"/>
      </w:tblPr>
      <w:tblGrid>
        <w:gridCol w:w="1297"/>
        <w:gridCol w:w="7790"/>
      </w:tblGrid>
      <w:tr w:rsidR="0053427C" w:rsidRPr="000B169A" w:rsidTr="0027376E">
        <w:trPr>
          <w:cantSplit/>
          <w:trHeight w:hRule="exact" w:val="288"/>
        </w:trPr>
        <w:tc>
          <w:tcPr>
            <w:tcW w:w="1297" w:type="dxa"/>
            <w:shd w:val="clear" w:color="auto" w:fill="auto"/>
            <w:vAlign w:val="center"/>
          </w:tcPr>
          <w:p w:rsidR="0053427C" w:rsidRPr="009D189F" w:rsidRDefault="0053427C" w:rsidP="0027376E">
            <w:pPr>
              <w:pStyle w:val="Chapter"/>
              <w:framePr w:hSpace="0" w:wrap="auto" w:vAnchor="margin" w:hAnchor="text" w:yAlign="inline"/>
            </w:pPr>
            <w:r w:rsidRPr="009D189F">
              <w:t>aPPENDIX</w:t>
            </w:r>
          </w:p>
        </w:tc>
        <w:tc>
          <w:tcPr>
            <w:tcW w:w="7790" w:type="dxa"/>
            <w:tcBorders>
              <w:left w:val="single" w:sz="4" w:space="0" w:color="808080"/>
            </w:tcBorders>
            <w:shd w:val="clear" w:color="auto" w:fill="auto"/>
            <w:tcMar>
              <w:left w:w="173" w:type="dxa"/>
            </w:tcMar>
            <w:vAlign w:val="center"/>
          </w:tcPr>
          <w:p w:rsidR="0053427C" w:rsidRPr="009D189F" w:rsidRDefault="0053427C" w:rsidP="0027376E">
            <w:pPr>
              <w:pStyle w:val="Heading6"/>
              <w:spacing w:before="0" w:after="0"/>
              <w:rPr>
                <w:bCs w:val="0"/>
                <w:color w:val="808080"/>
              </w:rPr>
            </w:pPr>
          </w:p>
        </w:tc>
      </w:tr>
    </w:tbl>
    <w:p w:rsidR="008530B8" w:rsidRDefault="008530B8" w:rsidP="008530B8">
      <w:pPr>
        <w:pStyle w:val="BodyText"/>
        <w:ind w:left="720"/>
        <w:sectPr w:rsidR="008530B8" w:rsidSect="008904A7">
          <w:type w:val="oddPage"/>
          <w:pgSz w:w="12240" w:h="15840" w:code="1"/>
          <w:pgMar w:top="1152" w:right="1440" w:bottom="1152" w:left="1800" w:header="720" w:footer="720" w:gutter="0"/>
          <w:pgNumType w:start="1" w:chapStyle="6"/>
          <w:cols w:space="720"/>
          <w:titlePg/>
          <w:docGrid w:linePitch="231"/>
        </w:sectPr>
      </w:pPr>
    </w:p>
    <w:p w:rsidR="00E804CC" w:rsidRDefault="00E804CC" w:rsidP="00E804CC">
      <w:pPr>
        <w:pStyle w:val="BodyText"/>
      </w:pPr>
    </w:p>
    <w:p w:rsidR="00651D76" w:rsidRDefault="00651D76" w:rsidP="00E804CC">
      <w:pPr>
        <w:pStyle w:val="BodyText"/>
        <w:sectPr w:rsidR="00651D76" w:rsidSect="008904A7">
          <w:footerReference w:type="first" r:id="rId49"/>
          <w:type w:val="oddPage"/>
          <w:pgSz w:w="12240" w:h="15840" w:code="1"/>
          <w:pgMar w:top="1152" w:right="1440" w:bottom="1152" w:left="1800" w:header="720" w:footer="720" w:gutter="0"/>
          <w:pgNumType w:start="1" w:chapStyle="6"/>
          <w:cols w:space="720"/>
          <w:titlePg/>
          <w:docGrid w:linePitch="231"/>
        </w:sectPr>
      </w:pPr>
    </w:p>
    <w:p w:rsidR="00651D76" w:rsidRDefault="00397D35" w:rsidP="00651D76">
      <w:pPr>
        <w:pStyle w:val="BodyText"/>
      </w:pPr>
      <w:r>
        <w:rPr>
          <w:noProof/>
        </w:rPr>
        <w:lastRenderedPageBreak/>
        <w:pict>
          <v:shapetype id="_x0000_t202" coordsize="21600,21600" o:spt="202" path="m,l,21600r21600,l21600,xe">
            <v:stroke joinstyle="miter"/>
            <v:path gradientshapeok="t" o:connecttype="rect"/>
          </v:shapetype>
          <v:shape id="Text Box 3" o:spid="_x0000_s1026" type="#_x0000_t202" style="position:absolute;margin-left:36pt;margin-top:118.8pt;width:321.3pt;height:434.05pt;z-index:251658240;visibility:visibl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" stroked="f">
            <v:textbox style="mso-fit-shape-to-text:t">
              <w:txbxContent>
                <w:p w:rsidR="00241477" w:rsidRPr="00E631A6" w:rsidRDefault="00241477" w:rsidP="00E804CC">
                  <w:pPr>
                    <w:pStyle w:val="ESHeading"/>
                    <w:rPr>
                      <w:sz w:val="18"/>
                      <w:szCs w:val="18"/>
                    </w:rPr>
                  </w:pPr>
                  <w:r>
                    <w:rPr>
                      <w:sz w:val="18"/>
                      <w:szCs w:val="18"/>
                    </w:rPr>
                    <w:t>About EnerNOC</w:t>
                  </w:r>
                </w:p>
                <w:p w:rsidR="00241477" w:rsidRPr="00C06829" w:rsidRDefault="00241477" w:rsidP="00C06829">
                  <w:pPr>
                    <w:pStyle w:val="BodyText"/>
                    <w:ind w:right="38"/>
                    <w:rPr>
                      <w:sz w:val="16"/>
                      <w:szCs w:val="16"/>
                    </w:rPr>
                  </w:pPr>
                  <w:proofErr w:type="spellStart"/>
                  <w:r w:rsidRPr="00C06829">
                    <w:rPr>
                      <w:sz w:val="16"/>
                      <w:szCs w:val="16"/>
                    </w:rPr>
                    <w:t>EnerNOC’s</w:t>
                  </w:r>
                  <w:proofErr w:type="spellEnd"/>
                  <w:r w:rsidRPr="00C06829">
                    <w:rPr>
                      <w:sz w:val="16"/>
                      <w:szCs w:val="16"/>
                    </w:rPr>
                    <w:t xml:space="preserve"> Utility Solutions Consulting team is part of </w:t>
                  </w:r>
                  <w:proofErr w:type="spellStart"/>
                  <w:r w:rsidRPr="00C06829">
                    <w:rPr>
                      <w:sz w:val="16"/>
                      <w:szCs w:val="16"/>
                    </w:rPr>
                    <w:t>EnerNOC’s</w:t>
                  </w:r>
                  <w:proofErr w:type="spellEnd"/>
                  <w:r w:rsidRPr="00C06829">
                    <w:rPr>
                      <w:sz w:val="16"/>
                      <w:szCs w:val="16"/>
                    </w:rPr>
                    <w:t xml:space="preserve"> Utility Solutions, which provides a comprehensive suite of demand-side management (DSM) services to utilities and grid operators worldwide. Hundreds of utilities have leveraged our technology, our people, and our proven processes to make their energy efficiency (EE) and demand response (DR) initiatives a success. Utilities trust EnerNOC to work with them at every stage of the DSM program lifecycle – assessing market potential, designing effective programs, implementing those programs, and measuring program results. </w:t>
                  </w:r>
                </w:p>
                <w:p w:rsidR="00241477" w:rsidRPr="00E631A6" w:rsidRDefault="00241477" w:rsidP="00C06829">
                  <w:pPr>
                    <w:pStyle w:val="BodyText"/>
                    <w:ind w:right="38"/>
                    <w:rPr>
                      <w:sz w:val="16"/>
                      <w:szCs w:val="16"/>
                    </w:rPr>
                  </w:pPr>
                  <w:proofErr w:type="spellStart"/>
                  <w:r w:rsidRPr="00C06829">
                    <w:rPr>
                      <w:sz w:val="16"/>
                      <w:szCs w:val="16"/>
                    </w:rPr>
                    <w:t>EnerNOC’s</w:t>
                  </w:r>
                  <w:proofErr w:type="spellEnd"/>
                  <w:r w:rsidRPr="00C06829">
                    <w:rPr>
                      <w:sz w:val="16"/>
                      <w:szCs w:val="16"/>
                    </w:rPr>
                    <w:t xml:space="preserve"> Utility Solutions deliver value to our utility clients through two separate practice areas – Implementation and Consulting.</w:t>
                  </w:r>
                </w:p>
                <w:p w:rsidR="00241477" w:rsidRPr="00C06829" w:rsidRDefault="00241477" w:rsidP="00C06829">
                  <w:pPr>
                    <w:pStyle w:val="BodyText"/>
                    <w:numPr>
                      <w:ilvl w:val="0"/>
                      <w:numId w:val="19"/>
                    </w:numPr>
                    <w:ind w:left="360" w:right="43" w:hanging="360"/>
                    <w:rPr>
                      <w:sz w:val="16"/>
                      <w:szCs w:val="16"/>
                    </w:rPr>
                  </w:pPr>
                  <w:r w:rsidRPr="00C06829">
                    <w:rPr>
                      <w:sz w:val="16"/>
                      <w:szCs w:val="16"/>
                    </w:rPr>
                    <w:t xml:space="preserve">Our Implementation team leverages </w:t>
                  </w:r>
                  <w:proofErr w:type="spellStart"/>
                  <w:r w:rsidRPr="00C06829">
                    <w:rPr>
                      <w:sz w:val="16"/>
                      <w:szCs w:val="16"/>
                    </w:rPr>
                    <w:t>EnerNOC’s</w:t>
                  </w:r>
                  <w:proofErr w:type="spellEnd"/>
                  <w:r w:rsidRPr="00C06829">
                    <w:rPr>
                      <w:sz w:val="16"/>
                      <w:szCs w:val="16"/>
                    </w:rPr>
                    <w:t xml:space="preserve"> deep “behind-the-meter expertise” and world-class technology platform to help utilities create and manage DR and EE programs that deliver reliable and cost-effective energy savings. We focus exclusively on the commercial and industrial (C&amp;I) customer segments, with a track record of successful partnerships that spans more than a decade. Through a focus on high quality, measurable savings, EnerNOC has successfully delivered hundreds of thousands of </w:t>
                  </w:r>
                  <w:proofErr w:type="spellStart"/>
                  <w:r w:rsidRPr="00C06829">
                    <w:rPr>
                      <w:sz w:val="16"/>
                      <w:szCs w:val="16"/>
                    </w:rPr>
                    <w:t>MWh</w:t>
                  </w:r>
                  <w:proofErr w:type="spellEnd"/>
                  <w:r w:rsidRPr="00C06829">
                    <w:rPr>
                      <w:sz w:val="16"/>
                      <w:szCs w:val="16"/>
                    </w:rPr>
                    <w:t xml:space="preserve"> of energy efficiency for our utility clients, and we have thousands of MW of demand response capacity under management.</w:t>
                  </w:r>
                </w:p>
                <w:p w:rsidR="00241477" w:rsidRPr="00E631A6" w:rsidRDefault="00241477" w:rsidP="00C06829">
                  <w:pPr>
                    <w:pStyle w:val="BodyText"/>
                    <w:numPr>
                      <w:ilvl w:val="0"/>
                      <w:numId w:val="19"/>
                    </w:numPr>
                    <w:ind w:left="360" w:right="43" w:hanging="360"/>
                    <w:rPr>
                      <w:sz w:val="16"/>
                      <w:szCs w:val="16"/>
                    </w:rPr>
                  </w:pPr>
                  <w:r w:rsidRPr="00C06829">
                    <w:rPr>
                      <w:sz w:val="16"/>
                      <w:szCs w:val="16"/>
                    </w:rPr>
                    <w:t>The Consulting team provides expertise and analysis to support a broad range of utility DSM activities, including: potential assessments; end-use forecasts; integrated resource planning; EE, DR, and smart grid pilot and program design and administration; load research; technology assessments and demonstrations; evaluation, measurement and verification; and regulatory support.</w:t>
                  </w:r>
                </w:p>
                <w:p w:rsidR="00241477" w:rsidRPr="00C06829" w:rsidRDefault="00241477" w:rsidP="00C06829">
                  <w:pPr>
                    <w:pStyle w:val="BodyText"/>
                    <w:ind w:right="38"/>
                    <w:rPr>
                      <w:sz w:val="16"/>
                      <w:szCs w:val="16"/>
                    </w:rPr>
                  </w:pPr>
                  <w:r w:rsidRPr="00C06829">
                    <w:rPr>
                      <w:sz w:val="16"/>
                      <w:szCs w:val="16"/>
                    </w:rPr>
                    <w:t xml:space="preserve">The team has decades of combined experience in the utility DSM industry. The staff is comprised of professional electrical, mechanical, chemical, civil, industrial, and environmental engineers as well as economists, business planners, project managers, market researchers, load research professionals, and statisticians. Utilities view </w:t>
                  </w:r>
                  <w:proofErr w:type="spellStart"/>
                  <w:r w:rsidRPr="00C06829">
                    <w:rPr>
                      <w:sz w:val="16"/>
                      <w:szCs w:val="16"/>
                    </w:rPr>
                    <w:t>EnerNOC’s</w:t>
                  </w:r>
                  <w:proofErr w:type="spellEnd"/>
                  <w:r w:rsidRPr="00C06829">
                    <w:rPr>
                      <w:sz w:val="16"/>
                      <w:szCs w:val="16"/>
                    </w:rPr>
                    <w:t xml:space="preserve"> experts as trusted advisors, and we work together collaboratively to make any DSM initiative a success.</w:t>
                  </w:r>
                </w:p>
              </w:txbxContent>
            </v:textbox>
            <w10:wrap type="square" anchory="page"/>
            <w10:anchorlock/>
          </v:shape>
        </w:pict>
      </w:r>
    </w:p>
    <w:p w:rsidR="00E804CC" w:rsidRDefault="00E804CC"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Pr="00E804CC" w:rsidRDefault="00651D76" w:rsidP="00651D76">
      <w:pPr>
        <w:pStyle w:val="BodyText"/>
      </w:pPr>
    </w:p>
    <w:p w:rsidR="00651D76" w:rsidRDefault="00651D76" w:rsidP="00651D76">
      <w:pPr>
        <w:pStyle w:val="BodyText"/>
      </w:pPr>
    </w:p>
    <w:tbl>
      <w:tblPr>
        <w:tblpPr w:leftFromText="187" w:rightFromText="187" w:vertAnchor="text" w:horzAnchor="page" w:tblpXSpec="center" w:tblpY="663"/>
        <w:tblOverlap w:val="never"/>
        <w:tblW w:w="8642" w:type="dxa"/>
        <w:jc w:val="center"/>
        <w:tblBorders>
          <w:left w:val="single" w:sz="4" w:space="0" w:color="999999"/>
          <w:insideH w:val="single" w:sz="4" w:space="0" w:color="999999"/>
          <w:insideV w:val="single" w:sz="4" w:space="0" w:color="999999"/>
        </w:tblBorders>
        <w:tblCellMar>
          <w:left w:w="86" w:type="dxa"/>
          <w:right w:w="86" w:type="dxa"/>
        </w:tblCellMar>
        <w:tblLook w:val="0000"/>
      </w:tblPr>
      <w:tblGrid>
        <w:gridCol w:w="3056"/>
        <w:gridCol w:w="5586"/>
      </w:tblGrid>
      <w:tr w:rsidR="00651D76" w:rsidRPr="004D478C" w:rsidTr="00651D76">
        <w:trPr>
          <w:trHeight w:val="747"/>
          <w:jc w:val="center"/>
        </w:trPr>
        <w:tc>
          <w:tcPr>
            <w:tcW w:w="3056" w:type="dxa"/>
            <w:vAlign w:val="center"/>
          </w:tcPr>
          <w:p w:rsidR="00651D76" w:rsidRPr="00651D76" w:rsidRDefault="00651D76" w:rsidP="00651D76">
            <w:pPr>
              <w:pStyle w:val="CompanyInformationBold"/>
              <w:rPr>
                <w:rFonts w:ascii="Tahoma" w:hAnsi="Tahoma" w:cs="Tahoma"/>
              </w:rPr>
            </w:pPr>
            <w:r w:rsidRPr="00651D76">
              <w:rPr>
                <w:rFonts w:ascii="Tahoma" w:hAnsi="Tahoma" w:cs="Tahoma"/>
              </w:rPr>
              <w:t>EnerNOC Utility Solutions Consulting</w:t>
            </w:r>
          </w:p>
          <w:p w:rsidR="00651D76" w:rsidRPr="00651D76" w:rsidRDefault="00651D76" w:rsidP="00651D76">
            <w:pPr>
              <w:pStyle w:val="CompanyInformation"/>
              <w:rPr>
                <w:rFonts w:ascii="Tahoma" w:hAnsi="Tahoma" w:cs="Tahoma"/>
              </w:rPr>
            </w:pPr>
            <w:r w:rsidRPr="00651D76">
              <w:rPr>
                <w:rFonts w:ascii="Tahoma" w:hAnsi="Tahoma" w:cs="Tahoma"/>
              </w:rPr>
              <w:t xml:space="preserve">500 </w:t>
            </w:r>
            <w:proofErr w:type="spellStart"/>
            <w:r w:rsidRPr="00651D76">
              <w:rPr>
                <w:rFonts w:ascii="Tahoma" w:hAnsi="Tahoma" w:cs="Tahoma"/>
              </w:rPr>
              <w:t>Ygnacio</w:t>
            </w:r>
            <w:proofErr w:type="spellEnd"/>
            <w:r w:rsidRPr="00651D76">
              <w:rPr>
                <w:rFonts w:ascii="Tahoma" w:hAnsi="Tahoma" w:cs="Tahoma"/>
              </w:rPr>
              <w:t xml:space="preserve"> Valley Road</w:t>
            </w:r>
            <w:r w:rsidR="002744C4">
              <w:rPr>
                <w:rFonts w:ascii="Tahoma" w:hAnsi="Tahoma" w:cs="Tahoma"/>
              </w:rPr>
              <w:t>,</w:t>
            </w:r>
            <w:r w:rsidRPr="00651D76">
              <w:rPr>
                <w:rFonts w:ascii="Tahoma" w:hAnsi="Tahoma" w:cs="Tahoma"/>
              </w:rPr>
              <w:t xml:space="preserve"> Suite 450</w:t>
            </w:r>
          </w:p>
          <w:p w:rsidR="00651D76" w:rsidRPr="00651D76" w:rsidRDefault="00651D76" w:rsidP="00651D76">
            <w:pPr>
              <w:pStyle w:val="CompanyInformation"/>
              <w:rPr>
                <w:rFonts w:ascii="Tahoma" w:hAnsi="Tahoma" w:cs="Tahoma"/>
              </w:rPr>
            </w:pPr>
            <w:r w:rsidRPr="00651D76">
              <w:rPr>
                <w:rFonts w:ascii="Tahoma" w:hAnsi="Tahoma" w:cs="Tahoma"/>
              </w:rPr>
              <w:t>Walnut Creek, CA 94596</w:t>
            </w:r>
          </w:p>
        </w:tc>
        <w:tc>
          <w:tcPr>
            <w:tcW w:w="5586" w:type="dxa"/>
            <w:tcBorders>
              <w:right w:val="nil"/>
            </w:tcBorders>
            <w:vAlign w:val="center"/>
          </w:tcPr>
          <w:p w:rsidR="00651D76" w:rsidRPr="00651D76" w:rsidRDefault="00651D76" w:rsidP="00651D76">
            <w:pPr>
              <w:pStyle w:val="CompanyInformation"/>
              <w:tabs>
                <w:tab w:val="left" w:pos="214"/>
              </w:tabs>
              <w:rPr>
                <w:rFonts w:ascii="Tahoma" w:hAnsi="Tahoma" w:cs="Tahoma"/>
              </w:rPr>
            </w:pPr>
            <w:r w:rsidRPr="00651D76">
              <w:rPr>
                <w:rStyle w:val="CompanyInformationItalicChar"/>
                <w:rFonts w:ascii="Tahoma" w:hAnsi="Tahoma" w:cs="Tahoma"/>
              </w:rPr>
              <w:t>P:</w:t>
            </w:r>
            <w:r w:rsidRPr="00651D76">
              <w:rPr>
                <w:rFonts w:ascii="Tahoma" w:hAnsi="Tahoma" w:cs="Tahoma"/>
              </w:rPr>
              <w:tab/>
              <w:t>925.482.2000</w:t>
            </w:r>
          </w:p>
          <w:p w:rsidR="00651D76" w:rsidRPr="00651D76" w:rsidRDefault="00651D76" w:rsidP="00651D76">
            <w:pPr>
              <w:pStyle w:val="CompanyInformation"/>
              <w:tabs>
                <w:tab w:val="left" w:pos="214"/>
              </w:tabs>
              <w:rPr>
                <w:rFonts w:ascii="Tahoma" w:hAnsi="Tahoma" w:cs="Tahoma"/>
              </w:rPr>
            </w:pPr>
            <w:r w:rsidRPr="00651D76">
              <w:rPr>
                <w:rStyle w:val="CompanyInformationItalicChar"/>
                <w:rFonts w:ascii="Tahoma" w:hAnsi="Tahoma" w:cs="Tahoma"/>
              </w:rPr>
              <w:t>F:</w:t>
            </w:r>
            <w:r w:rsidRPr="00651D76">
              <w:rPr>
                <w:rFonts w:ascii="Tahoma" w:hAnsi="Tahoma" w:cs="Tahoma"/>
              </w:rPr>
              <w:tab/>
              <w:t>925.284.3147</w:t>
            </w:r>
          </w:p>
        </w:tc>
      </w:tr>
    </w:tbl>
    <w:p w:rsidR="00651D76" w:rsidRPr="00E804CC" w:rsidRDefault="00651D76">
      <w:pPr>
        <w:pStyle w:val="BodyText"/>
      </w:pPr>
    </w:p>
    <w:sectPr w:rsidR="00651D76" w:rsidRPr="00E804CC" w:rsidSect="008904A7">
      <w:footerReference w:type="first" r:id="rId50"/>
      <w:type w:val="evenPage"/>
      <w:pgSz w:w="12240" w:h="15840" w:code="1"/>
      <w:pgMar w:top="1152" w:right="1440" w:bottom="1152" w:left="1800" w:header="720" w:footer="720" w:gutter="0"/>
      <w:pgNumType w:start="1" w:chapStyle="6"/>
      <w:cols w:space="720"/>
      <w:titlePg/>
      <w:docGrid w:linePitch="2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96D" w:rsidRDefault="00A7796D">
      <w:r>
        <w:separator/>
      </w:r>
    </w:p>
    <w:p w:rsidR="00A7796D" w:rsidRDefault="00A7796D"/>
  </w:endnote>
  <w:endnote w:type="continuationSeparator" w:id="0">
    <w:p w:rsidR="00A7796D" w:rsidRDefault="00A7796D">
      <w:r>
        <w:continuationSeparator/>
      </w:r>
    </w:p>
    <w:p w:rsidR="00A7796D" w:rsidRDefault="00A7796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77" w:rsidRPr="00E804CC" w:rsidRDefault="00397D35" w:rsidP="00E804CC">
    <w:pPr>
      <w:pStyle w:val="Footer"/>
    </w:pPr>
    <w:r w:rsidRPr="00E804CC">
      <w:rPr>
        <w:rStyle w:val="PageNumber"/>
        <w:color w:val="003E74" w:themeColor="text2"/>
      </w:rPr>
      <w:fldChar w:fldCharType="begin"/>
    </w:r>
    <w:r w:rsidR="00241477" w:rsidRPr="00E804CC">
      <w:rPr>
        <w:rStyle w:val="PageNumber"/>
        <w:color w:val="003E74" w:themeColor="text2"/>
      </w:rPr>
      <w:instrText xml:space="preserve"> PAGE </w:instrText>
    </w:r>
    <w:r w:rsidRPr="00E804CC">
      <w:rPr>
        <w:rStyle w:val="PageNumber"/>
        <w:color w:val="003E74" w:themeColor="text2"/>
      </w:rPr>
      <w:fldChar w:fldCharType="separate"/>
    </w:r>
    <w:r w:rsidR="00D2125B">
      <w:rPr>
        <w:rStyle w:val="PageNumber"/>
        <w:noProof/>
        <w:color w:val="003E74" w:themeColor="text2"/>
      </w:rPr>
      <w:t>5-16</w:t>
    </w:r>
    <w:r w:rsidRPr="00E804CC">
      <w:rPr>
        <w:rStyle w:val="PageNumber"/>
        <w:color w:val="003E74" w:themeColor="text2"/>
      </w:rPr>
      <w:fldChar w:fldCharType="end"/>
    </w:r>
    <w:r w:rsidR="00241477" w:rsidRPr="00E804CC">
      <w:rPr>
        <w:rStyle w:val="PageNumber"/>
        <w:color w:val="003E74" w:themeColor="text2"/>
      </w:rPr>
      <w:tab/>
      <w:t>www.enernoc.com</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77" w:rsidRPr="00745916" w:rsidRDefault="00241477" w:rsidP="00745916">
    <w:pPr>
      <w:pStyle w:val="Footer"/>
      <w:pBdr>
        <w:top w:val="none" w:sz="0" w:space="0" w:color="auto"/>
      </w:pBdr>
      <w:rPr>
        <w:rStyle w:val="PageNumber"/>
        <w:color w:val="003E74" w:themeColor="text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77" w:rsidRPr="00D200C9" w:rsidRDefault="00241477" w:rsidP="00D200C9">
    <w:pPr>
      <w:pStyle w:val="Footer"/>
      <w:pBdr>
        <w:top w:val="none" w:sz="0" w:space="0" w:color="auto"/>
      </w:pBdr>
      <w:rPr>
        <w:rStyle w:val="PageNumber"/>
        <w:color w:val="003E74" w:themeColor="text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77" w:rsidRPr="00CC33E4" w:rsidRDefault="00241477" w:rsidP="000D3019">
    <w:pPr>
      <w:pStyle w:val="Footer"/>
      <w:rPr>
        <w:rStyle w:val="PageNumber"/>
        <w:color w:val="1F497D"/>
      </w:rPr>
    </w:pPr>
    <w:r>
      <w:rPr>
        <w:color w:val="1F497D"/>
      </w:rPr>
      <w:t>EnerNOC Utility Solutions Consulting</w:t>
    </w:r>
    <w:r w:rsidRPr="00CC33E4">
      <w:rPr>
        <w:color w:val="1F497D"/>
      </w:rPr>
      <w:tab/>
    </w:r>
    <w:r w:rsidR="00397D35" w:rsidRPr="00CC33E4">
      <w:rPr>
        <w:rStyle w:val="PageNumber"/>
        <w:color w:val="1F497D"/>
      </w:rPr>
      <w:fldChar w:fldCharType="begin"/>
    </w:r>
    <w:r w:rsidRPr="00CC33E4">
      <w:rPr>
        <w:rStyle w:val="PageNumber"/>
        <w:color w:val="1F497D"/>
      </w:rPr>
      <w:instrText xml:space="preserve"> PAGE </w:instrText>
    </w:r>
    <w:r w:rsidR="00397D35" w:rsidRPr="00CC33E4">
      <w:rPr>
        <w:rStyle w:val="PageNumber"/>
        <w:color w:val="1F497D"/>
      </w:rPr>
      <w:fldChar w:fldCharType="separate"/>
    </w:r>
    <w:r w:rsidR="00D2125B">
      <w:rPr>
        <w:rStyle w:val="PageNumber"/>
        <w:noProof/>
        <w:color w:val="1F497D"/>
      </w:rPr>
      <w:t>vii</w:t>
    </w:r>
    <w:r w:rsidR="00397D35" w:rsidRPr="00CC33E4">
      <w:rPr>
        <w:rStyle w:val="PageNumber"/>
        <w:color w:val="1F497D"/>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77" w:rsidRDefault="00241477" w:rsidP="00D200C9">
    <w:pPr>
      <w:pStyle w:val="Footer"/>
      <w:pBdr>
        <w:top w:val="none" w:sz="0" w:space="0" w:color="auto"/>
      </w:pBd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77" w:rsidRPr="00CC33E4" w:rsidRDefault="00241477" w:rsidP="00067F6E">
    <w:pPr>
      <w:pStyle w:val="Footer"/>
      <w:rPr>
        <w:rStyle w:val="PageNumber"/>
        <w:color w:val="1F497D"/>
      </w:rPr>
    </w:pPr>
    <w:r>
      <w:rPr>
        <w:color w:val="1F497D"/>
      </w:rPr>
      <w:t>EnerNOC Utility Solutions Consulting</w:t>
    </w:r>
    <w:r w:rsidRPr="00CC33E4">
      <w:rPr>
        <w:color w:val="1F497D"/>
      </w:rPr>
      <w:tab/>
    </w:r>
    <w:r w:rsidR="00397D35" w:rsidRPr="00CC33E4">
      <w:rPr>
        <w:rStyle w:val="PageNumber"/>
        <w:color w:val="1F497D"/>
      </w:rPr>
      <w:fldChar w:fldCharType="begin"/>
    </w:r>
    <w:r w:rsidRPr="00CC33E4">
      <w:rPr>
        <w:rStyle w:val="PageNumber"/>
        <w:color w:val="1F497D"/>
      </w:rPr>
      <w:instrText xml:space="preserve"> PAGE </w:instrText>
    </w:r>
    <w:r w:rsidR="00397D35" w:rsidRPr="00CC33E4">
      <w:rPr>
        <w:rStyle w:val="PageNumber"/>
        <w:color w:val="1F497D"/>
      </w:rPr>
      <w:fldChar w:fldCharType="separate"/>
    </w:r>
    <w:r w:rsidR="00D2125B">
      <w:rPr>
        <w:rStyle w:val="PageNumber"/>
        <w:noProof/>
        <w:color w:val="1F497D"/>
      </w:rPr>
      <w:t>iii</w:t>
    </w:r>
    <w:r w:rsidR="00397D35" w:rsidRPr="00CC33E4">
      <w:rPr>
        <w:rStyle w:val="PageNumber"/>
        <w:color w:val="1F497D"/>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77" w:rsidRPr="00D200C9" w:rsidRDefault="00241477" w:rsidP="00D200C9">
    <w:pPr>
      <w:pStyle w:val="Footer"/>
      <w:rPr>
        <w:rStyle w:val="PageNumber"/>
        <w:color w:val="003E74" w:themeColor="text2"/>
      </w:rPr>
    </w:pPr>
    <w:r w:rsidRPr="00D200C9">
      <w:t>EnerNOC Utility Solutions</w:t>
    </w:r>
    <w:r>
      <w:rPr>
        <w:color w:val="1F497D"/>
      </w:rPr>
      <w:t xml:space="preserve"> Consulting</w:t>
    </w:r>
    <w:r w:rsidRPr="00D200C9">
      <w:tab/>
    </w:r>
    <w:r w:rsidR="00397D35" w:rsidRPr="00D200C9">
      <w:rPr>
        <w:rStyle w:val="PageNumber"/>
        <w:color w:val="003E74" w:themeColor="text2"/>
      </w:rPr>
      <w:fldChar w:fldCharType="begin"/>
    </w:r>
    <w:r w:rsidRPr="00D200C9">
      <w:rPr>
        <w:rStyle w:val="PageNumber"/>
        <w:color w:val="003E74" w:themeColor="text2"/>
      </w:rPr>
      <w:instrText xml:space="preserve"> PAGE </w:instrText>
    </w:r>
    <w:r w:rsidR="00397D35" w:rsidRPr="00D200C9">
      <w:rPr>
        <w:rStyle w:val="PageNumber"/>
        <w:color w:val="003E74" w:themeColor="text2"/>
      </w:rPr>
      <w:fldChar w:fldCharType="separate"/>
    </w:r>
    <w:r w:rsidR="00D2125B">
      <w:rPr>
        <w:rStyle w:val="PageNumber"/>
        <w:noProof/>
        <w:color w:val="003E74" w:themeColor="text2"/>
      </w:rPr>
      <w:t>3-1</w:t>
    </w:r>
    <w:r w:rsidR="00397D35" w:rsidRPr="00D200C9">
      <w:rPr>
        <w:rStyle w:val="PageNumber"/>
        <w:color w:val="003E74" w:themeColor="text2"/>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77" w:rsidRPr="00CC33E4" w:rsidRDefault="00241477" w:rsidP="003319FB">
    <w:pPr>
      <w:pStyle w:val="Footer"/>
      <w:rPr>
        <w:rStyle w:val="PageNumber"/>
        <w:color w:val="1F497D"/>
      </w:rPr>
    </w:pPr>
    <w:r>
      <w:rPr>
        <w:color w:val="1F497D"/>
      </w:rPr>
      <w:t>EnerNOC Utility Solutions Consulting</w:t>
    </w:r>
    <w:r w:rsidRPr="00CC33E4">
      <w:rPr>
        <w:color w:val="1F497D"/>
      </w:rPr>
      <w:tab/>
    </w:r>
    <w:r w:rsidR="00397D35" w:rsidRPr="00CC33E4">
      <w:rPr>
        <w:rStyle w:val="PageNumber"/>
        <w:color w:val="1F497D"/>
      </w:rPr>
      <w:fldChar w:fldCharType="begin"/>
    </w:r>
    <w:r w:rsidRPr="00CC33E4">
      <w:rPr>
        <w:rStyle w:val="PageNumber"/>
        <w:color w:val="1F497D"/>
      </w:rPr>
      <w:instrText xml:space="preserve"> PAGE </w:instrText>
    </w:r>
    <w:r w:rsidR="00397D35" w:rsidRPr="00CC33E4">
      <w:rPr>
        <w:rStyle w:val="PageNumber"/>
        <w:color w:val="1F497D"/>
      </w:rPr>
      <w:fldChar w:fldCharType="separate"/>
    </w:r>
    <w:r w:rsidR="00D2125B">
      <w:rPr>
        <w:rStyle w:val="PageNumber"/>
        <w:noProof/>
        <w:color w:val="1F497D"/>
      </w:rPr>
      <w:t>5-17</w:t>
    </w:r>
    <w:r w:rsidR="00397D35" w:rsidRPr="00CC33E4">
      <w:rPr>
        <w:rStyle w:val="PageNumber"/>
        <w:color w:val="1F497D"/>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77" w:rsidRPr="00E804CC" w:rsidRDefault="00397D35" w:rsidP="00E804CC">
    <w:pPr>
      <w:pStyle w:val="Footer"/>
    </w:pPr>
    <w:r w:rsidRPr="00E804CC">
      <w:rPr>
        <w:rStyle w:val="PageNumber"/>
        <w:color w:val="003E74" w:themeColor="text2"/>
      </w:rPr>
      <w:fldChar w:fldCharType="begin"/>
    </w:r>
    <w:r w:rsidR="00241477" w:rsidRPr="00E804CC">
      <w:rPr>
        <w:rStyle w:val="PageNumber"/>
        <w:color w:val="003E74" w:themeColor="text2"/>
      </w:rPr>
      <w:instrText xml:space="preserve"> PAGE </w:instrText>
    </w:r>
    <w:r w:rsidRPr="00E804CC">
      <w:rPr>
        <w:rStyle w:val="PageNumber"/>
        <w:color w:val="003E74" w:themeColor="text2"/>
      </w:rPr>
      <w:fldChar w:fldCharType="separate"/>
    </w:r>
    <w:r w:rsidR="00241477">
      <w:rPr>
        <w:rStyle w:val="PageNumber"/>
        <w:noProof/>
        <w:color w:val="003E74" w:themeColor="text2"/>
      </w:rPr>
      <w:t>C-2</w:t>
    </w:r>
    <w:r w:rsidRPr="00E804CC">
      <w:rPr>
        <w:rStyle w:val="PageNumber"/>
        <w:color w:val="003E74" w:themeColor="text2"/>
      </w:rPr>
      <w:fldChar w:fldCharType="end"/>
    </w:r>
    <w:r w:rsidR="00241477" w:rsidRPr="00E804CC">
      <w:rPr>
        <w:rStyle w:val="PageNumber"/>
        <w:color w:val="003E74" w:themeColor="text2"/>
      </w:rPr>
      <w:tab/>
      <w:t>www.gepllc.com</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77" w:rsidRPr="008F1C8F" w:rsidRDefault="00241477" w:rsidP="008F1C8F">
    <w:pPr>
      <w:pStyle w:val="Footer"/>
      <w:rPr>
        <w:rStyle w:val="PageNumber"/>
        <w:color w:val="003E74" w:themeColor="text2"/>
      </w:rPr>
    </w:pPr>
    <w:r w:rsidRPr="008F1C8F">
      <w:t>Global Energy Partners, LLC</w:t>
    </w:r>
    <w:r w:rsidRPr="008F1C8F">
      <w:tab/>
    </w:r>
    <w:r w:rsidR="00397D35" w:rsidRPr="008F1C8F">
      <w:rPr>
        <w:rStyle w:val="PageNumber"/>
        <w:color w:val="003E74" w:themeColor="text2"/>
      </w:rPr>
      <w:fldChar w:fldCharType="begin"/>
    </w:r>
    <w:r w:rsidRPr="008F1C8F">
      <w:rPr>
        <w:rStyle w:val="PageNumber"/>
        <w:color w:val="003E74" w:themeColor="text2"/>
      </w:rPr>
      <w:instrText xml:space="preserve"> PAGE </w:instrText>
    </w:r>
    <w:r w:rsidR="00397D35" w:rsidRPr="008F1C8F">
      <w:rPr>
        <w:rStyle w:val="PageNumber"/>
        <w:color w:val="003E74" w:themeColor="text2"/>
      </w:rPr>
      <w:fldChar w:fldCharType="separate"/>
    </w:r>
    <w:r>
      <w:rPr>
        <w:rStyle w:val="PageNumber"/>
        <w:noProof/>
        <w:color w:val="003E74" w:themeColor="text2"/>
      </w:rPr>
      <w:t>B-5</w:t>
    </w:r>
    <w:r w:rsidR="00397D35" w:rsidRPr="008F1C8F">
      <w:rPr>
        <w:rStyle w:val="PageNumber"/>
        <w:color w:val="003E74" w:themeColor="text2"/>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77" w:rsidRPr="00E804CC" w:rsidRDefault="00241477" w:rsidP="00E804CC">
    <w:pPr>
      <w:pStyle w:val="Footer"/>
      <w:rPr>
        <w:rStyle w:val="PageNumber"/>
        <w:color w:val="003E74" w:themeColor="text2"/>
      </w:rPr>
    </w:pPr>
    <w:r w:rsidRPr="00E804CC">
      <w:t>EnerNOC Utility Solutions</w:t>
    </w:r>
    <w:r>
      <w:rPr>
        <w:color w:val="1F497D"/>
      </w:rPr>
      <w:t xml:space="preserve"> Consulting</w:t>
    </w:r>
    <w:r w:rsidRPr="00E804CC">
      <w:tab/>
    </w:r>
    <w:r w:rsidR="00397D35" w:rsidRPr="00E804CC">
      <w:rPr>
        <w:rStyle w:val="PageNumber"/>
        <w:color w:val="003E74" w:themeColor="text2"/>
      </w:rPr>
      <w:fldChar w:fldCharType="begin"/>
    </w:r>
    <w:r w:rsidRPr="00E804CC">
      <w:rPr>
        <w:rStyle w:val="PageNumber"/>
        <w:color w:val="003E74" w:themeColor="text2"/>
      </w:rPr>
      <w:instrText xml:space="preserve"> PAGE </w:instrText>
    </w:r>
    <w:r w:rsidR="00397D35" w:rsidRPr="00E804CC">
      <w:rPr>
        <w:rStyle w:val="PageNumber"/>
        <w:color w:val="003E74" w:themeColor="text2"/>
      </w:rPr>
      <w:fldChar w:fldCharType="separate"/>
    </w:r>
    <w:r w:rsidR="00D2125B">
      <w:rPr>
        <w:rStyle w:val="PageNumber"/>
        <w:noProof/>
        <w:color w:val="003E74" w:themeColor="text2"/>
      </w:rPr>
      <w:t>A-1</w:t>
    </w:r>
    <w:r w:rsidR="00397D35" w:rsidRPr="00E804CC">
      <w:rPr>
        <w:rStyle w:val="PageNumber"/>
        <w:color w:val="003E74" w:themeColor="text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96D" w:rsidRDefault="00A7796D">
      <w:r>
        <w:separator/>
      </w:r>
    </w:p>
    <w:p w:rsidR="00A7796D" w:rsidRDefault="00A7796D"/>
  </w:footnote>
  <w:footnote w:type="continuationSeparator" w:id="0">
    <w:p w:rsidR="00A7796D" w:rsidRDefault="00A7796D">
      <w:r>
        <w:continuationSeparator/>
      </w:r>
    </w:p>
    <w:p w:rsidR="00A7796D" w:rsidRDefault="00A7796D"/>
  </w:footnote>
  <w:footnote w:id="1">
    <w:p w:rsidR="00241477" w:rsidRDefault="00241477">
      <w:pPr>
        <w:pStyle w:val="FootnoteText"/>
      </w:pPr>
      <w:r>
        <w:rPr>
          <w:rStyle w:val="FootnoteReference"/>
        </w:rPr>
        <w:footnoteRef/>
      </w:r>
      <w:r>
        <w:t xml:space="preserve"> Load impacts for the summer saver program and the incremental impacts of summer saver over PTR were estimated in the Summer Saver evaluation. Therefore all Summer Saver customers were excluded from this analysis. </w:t>
      </w:r>
    </w:p>
  </w:footnote>
  <w:footnote w:id="2">
    <w:p w:rsidR="00241477" w:rsidRDefault="00241477">
      <w:pPr>
        <w:pStyle w:val="FootnoteText"/>
      </w:pPr>
      <w:r>
        <w:rPr>
          <w:rStyle w:val="FootnoteReference"/>
        </w:rPr>
        <w:footnoteRef/>
      </w:r>
      <w:r>
        <w:t xml:space="preserve"> The CRL for a weekday event is defined as the total consumption for the event period averaged over the three </w:t>
      </w:r>
      <w:r w:rsidRPr="00FA6446">
        <w:t>highest days from within th</w:t>
      </w:r>
      <w:r>
        <w:t>e immediately preceding five</w:t>
      </w:r>
      <w:r w:rsidRPr="00FA6446">
        <w:t xml:space="preserve"> similar non-holiday weekdays prior to the event.  The highest days are defined to be the days with the highest total consumption between </w:t>
      </w:r>
      <w:smartTag w:uri="urn:schemas-microsoft-com:office:smarttags" w:element="time">
        <w:smartTagPr>
          <w:attr w:name="Minute" w:val="0"/>
          <w:attr w:name="Hour" w:val="11"/>
        </w:smartTagPr>
        <w:r w:rsidRPr="00FA6446">
          <w:t>11 AM</w:t>
        </w:r>
      </w:smartTag>
      <w:r w:rsidRPr="00FA6446">
        <w:t xml:space="preserve"> and </w:t>
      </w:r>
      <w:smartTag w:uri="urn:schemas-microsoft-com:office:smarttags" w:element="time">
        <w:smartTagPr>
          <w:attr w:name="Minute" w:val="0"/>
          <w:attr w:name="Hour" w:val="18"/>
        </w:smartTagPr>
        <w:r w:rsidRPr="00FA6446">
          <w:t>6 PM</w:t>
        </w:r>
      </w:smartTag>
      <w:r w:rsidRPr="00FA6446">
        <w:t xml:space="preserve">.  The similar days will exclude weekends, holidays, other event days, and will exclude other demand response program event days for customers participating in multiple demand response programs.  The </w:t>
      </w:r>
      <w:smartTag w:uri="urn:schemas-microsoft-com:office:smarttags" w:element="stockticker">
        <w:r w:rsidRPr="00FA6446">
          <w:t>CRL</w:t>
        </w:r>
      </w:smartTag>
      <w:r w:rsidRPr="00FA6446">
        <w:t xml:space="preserve"> for a weekend or holiday event is defined as the total consumption during the </w:t>
      </w:r>
      <w:smartTag w:uri="urn:schemas-microsoft-com:office:smarttags" w:element="stockticker">
        <w:r w:rsidRPr="00FA6446">
          <w:t>PTR</w:t>
        </w:r>
      </w:smartTag>
      <w:r w:rsidRPr="00FA6446">
        <w:t xml:space="preserve"> even period for the highest day from within the immediately preceding three (3) weekend days</w:t>
      </w:r>
      <w:r>
        <w:t>.</w:t>
      </w:r>
    </w:p>
  </w:footnote>
  <w:footnote w:id="3">
    <w:p w:rsidR="00241477" w:rsidRDefault="00241477">
      <w:pPr>
        <w:pStyle w:val="FootnoteText"/>
      </w:pPr>
      <w:r>
        <w:rPr>
          <w:rStyle w:val="FootnoteReference"/>
        </w:rPr>
        <w:footnoteRef/>
      </w:r>
      <w:r>
        <w:t xml:space="preserve"> Because there is some overlap between each of the groups we defined them as follows to prevent multiple combinations of different groups. Non-notified customers did not receive notification either through My Account or via an Opt-in Alert. My Account customers are all My Account customers that did not request Opt-in Alerts, and Opt-in Alert customers include all those that requested notification regardless.   </w:t>
      </w:r>
    </w:p>
  </w:footnote>
  <w:footnote w:id="4">
    <w:p w:rsidR="00241477" w:rsidRDefault="00241477" w:rsidP="00246C66">
      <w:pPr>
        <w:pStyle w:val="FootnoteText"/>
      </w:pPr>
      <w:r>
        <w:rPr>
          <w:rStyle w:val="FootnoteReference"/>
        </w:rPr>
        <w:footnoteRef/>
      </w:r>
      <w:r>
        <w:t xml:space="preserve"> While using the same stratum breakpoints that were created for the 2011 distribution of summer average daily usage is not completely optimal, it should be fairly close, and is still a valid sample. The sample size in this case is sufficiently large that using suboptimal breakpoints is not likely to result in large changes in precision. </w:t>
      </w:r>
    </w:p>
  </w:footnote>
  <w:footnote w:id="5">
    <w:p w:rsidR="00241477" w:rsidRDefault="00241477">
      <w:pPr>
        <w:pStyle w:val="FootnoteText"/>
      </w:pPr>
      <w:r>
        <w:rPr>
          <w:rStyle w:val="FootnoteReference"/>
        </w:rPr>
        <w:footnoteRef/>
      </w:r>
      <w:r>
        <w:t xml:space="preserve"> This total already excludes the Summer Saver, TOU, and Net Metering customers from the sample</w:t>
      </w:r>
    </w:p>
  </w:footnote>
  <w:footnote w:id="6">
    <w:p w:rsidR="00241477" w:rsidRDefault="00241477" w:rsidP="009748FD">
      <w:pPr>
        <w:pStyle w:val="FootnoteText"/>
      </w:pPr>
      <w:r>
        <w:rPr>
          <w:rStyle w:val="FootnoteReference"/>
        </w:rPr>
        <w:footnoteRef/>
      </w:r>
      <w:r>
        <w:t xml:space="preserve">  Freeman Sullivan &amp; Co., 2011 Statewide Non-Residential Critical peak Pricing Evaluation, June 1, 2012</w:t>
      </w:r>
    </w:p>
    <w:p w:rsidR="00241477" w:rsidRDefault="00241477" w:rsidP="009748FD">
      <w:pPr>
        <w:pStyle w:val="FootnoteText"/>
      </w:pPr>
      <w:r>
        <w:t xml:space="preserve">The Brattle Group, BG&amp;E’s Smart Energy Pricing Pilot Summer 2008 Impact Evaluation, April 28 2009 </w:t>
      </w:r>
    </w:p>
    <w:p w:rsidR="00241477" w:rsidRDefault="00241477" w:rsidP="009748FD">
      <w:pPr>
        <w:pStyle w:val="FootnoteText"/>
      </w:pPr>
      <w:r>
        <w:t xml:space="preserve"> </w:t>
      </w:r>
    </w:p>
  </w:footnote>
  <w:footnote w:id="7">
    <w:p w:rsidR="00241477" w:rsidRDefault="00241477">
      <w:pPr>
        <w:pStyle w:val="FootnoteText"/>
      </w:pPr>
      <w:r>
        <w:rPr>
          <w:rStyle w:val="FootnoteReference"/>
        </w:rPr>
        <w:footnoteRef/>
      </w:r>
      <w:r>
        <w:t xml:space="preserve"> See Chapter 3, Regression Results section, for a table that shows the number of statistically significant event related variables for each population subgroup. </w:t>
      </w:r>
    </w:p>
  </w:footnote>
  <w:footnote w:id="8">
    <w:p w:rsidR="00241477" w:rsidRDefault="00241477">
      <w:pPr>
        <w:pStyle w:val="FootnoteText"/>
      </w:pPr>
      <w:r>
        <w:rPr>
          <w:rStyle w:val="FootnoteReference"/>
        </w:rPr>
        <w:footnoteRef/>
      </w:r>
      <w:r>
        <w:t xml:space="preserve"> Add </w:t>
      </w:r>
      <w:proofErr w:type="spellStart"/>
      <w:r>
        <w:t>Citiation</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77" w:rsidRDefault="00241477" w:rsidP="006B72CD">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77" w:rsidRPr="006B72CD" w:rsidRDefault="00241477" w:rsidP="006B72C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77" w:rsidRPr="00B461A3" w:rsidRDefault="00241477" w:rsidP="00B461A3">
    <w:pPr>
      <w:pStyle w:val="Header"/>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77" w:rsidRDefault="00241477" w:rsidP="00D97C75">
    <w:pPr>
      <w:pStyle w:val="Header"/>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77" w:rsidRPr="00E804CC" w:rsidRDefault="00397D35" w:rsidP="00E804CC">
    <w:pPr>
      <w:pStyle w:val="Header"/>
    </w:pPr>
    <w:r>
      <w:fldChar w:fldCharType="begin"/>
    </w:r>
    <w:r>
      <w:instrText xml:space="preserve"> STYLEREF  "Chapter Title"  \* MERGEFORMAT </w:instrText>
    </w:r>
    <w: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77" w:rsidRPr="00E804CC" w:rsidRDefault="00397D35" w:rsidP="006B72CD">
    <w:pPr>
      <w:pStyle w:val="Header"/>
      <w:jc w:val="right"/>
    </w:pPr>
    <w:fldSimple w:instr=" STYLEREF  &quot;Chapter Title&quot;  \* MERGEFORMAT ">
      <w:r w:rsidR="00D2125B">
        <w:rPr>
          <w:noProof/>
        </w:rPr>
        <w:t>Key Findings and Recommendations</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77" w:rsidRDefault="00397D35" w:rsidP="00C539AC">
    <w:pPr>
      <w:pStyle w:val="Header"/>
    </w:pPr>
    <w:fldSimple w:instr=" STYLEREF  &quot;Appendix Title&quot;  \* MERGEFORMAT ">
      <w:r w:rsidR="00241477">
        <w:rPr>
          <w:noProof/>
        </w:rPr>
        <w:t>Derivation of Impact Equations</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77" w:rsidRPr="00C539AC" w:rsidRDefault="00397D35" w:rsidP="00ED27D0">
    <w:pPr>
      <w:pStyle w:val="Header"/>
      <w:jc w:val="right"/>
    </w:pPr>
    <w:fldSimple w:instr=" STYLEREF  &quot;Appendix Title&quot;  \* MERGEFORMAT ">
      <w:r w:rsidR="00241477">
        <w:rPr>
          <w:noProof/>
        </w:rPr>
        <w:t>Consumer Theory and Elasticity of Substitution</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77" w:rsidRPr="00B461A3" w:rsidRDefault="00241477" w:rsidP="00B461A3">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D26C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22F7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48E4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E3E7E5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63298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F70203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638A90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D7239A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4C26530"/>
    <w:lvl w:ilvl="0">
      <w:start w:val="1"/>
      <w:numFmt w:val="decimal"/>
      <w:pStyle w:val="ListNumber"/>
      <w:lvlText w:val="%1."/>
      <w:lvlJc w:val="left"/>
      <w:pPr>
        <w:tabs>
          <w:tab w:val="num" w:pos="360"/>
        </w:tabs>
        <w:ind w:left="360" w:hanging="360"/>
      </w:pPr>
    </w:lvl>
  </w:abstractNum>
  <w:abstractNum w:abstractNumId="9">
    <w:nsid w:val="FFFFFF89"/>
    <w:multiLevelType w:val="singleLevel"/>
    <w:tmpl w:val="7EF636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F00AF"/>
    <w:multiLevelType w:val="hybridMultilevel"/>
    <w:tmpl w:val="F25E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C661A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329118C"/>
    <w:multiLevelType w:val="hybridMultilevel"/>
    <w:tmpl w:val="B6FA1F9C"/>
    <w:lvl w:ilvl="0" w:tplc="3A0640D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nsid w:val="273F474E"/>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CDA6A0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31D60B2E"/>
    <w:multiLevelType w:val="hybridMultilevel"/>
    <w:tmpl w:val="BE961F4E"/>
    <w:lvl w:ilvl="0" w:tplc="99D02DAA">
      <w:start w:val="1"/>
      <w:numFmt w:val="upperLetter"/>
      <w:pStyle w:val="TOC6"/>
      <w:lvlText w:val="%1"/>
      <w:lvlJc w:val="left"/>
      <w:pPr>
        <w:ind w:left="360" w:hanging="360"/>
      </w:pPr>
      <w:rPr>
        <w:rFonts w:hint="default"/>
        <w:b/>
        <w:i w:val="0"/>
        <w:sz w:val="22"/>
      </w:rPr>
    </w:lvl>
    <w:lvl w:ilvl="1" w:tplc="41DAD0AA" w:tentative="1">
      <w:start w:val="1"/>
      <w:numFmt w:val="lowerLetter"/>
      <w:lvlText w:val="%2."/>
      <w:lvlJc w:val="left"/>
      <w:pPr>
        <w:ind w:left="2440" w:hanging="360"/>
      </w:pPr>
    </w:lvl>
    <w:lvl w:ilvl="2" w:tplc="8C809E34" w:tentative="1">
      <w:start w:val="1"/>
      <w:numFmt w:val="lowerRoman"/>
      <w:lvlText w:val="%3."/>
      <w:lvlJc w:val="right"/>
      <w:pPr>
        <w:ind w:left="3160" w:hanging="180"/>
      </w:pPr>
    </w:lvl>
    <w:lvl w:ilvl="3" w:tplc="966AC82C" w:tentative="1">
      <w:start w:val="1"/>
      <w:numFmt w:val="decimal"/>
      <w:lvlText w:val="%4."/>
      <w:lvlJc w:val="left"/>
      <w:pPr>
        <w:ind w:left="3880" w:hanging="360"/>
      </w:pPr>
    </w:lvl>
    <w:lvl w:ilvl="4" w:tplc="EF645F2A" w:tentative="1">
      <w:start w:val="1"/>
      <w:numFmt w:val="lowerLetter"/>
      <w:lvlText w:val="%5."/>
      <w:lvlJc w:val="left"/>
      <w:pPr>
        <w:ind w:left="4600" w:hanging="360"/>
      </w:pPr>
    </w:lvl>
    <w:lvl w:ilvl="5" w:tplc="394A1FEC" w:tentative="1">
      <w:start w:val="1"/>
      <w:numFmt w:val="lowerRoman"/>
      <w:lvlText w:val="%6."/>
      <w:lvlJc w:val="right"/>
      <w:pPr>
        <w:ind w:left="5320" w:hanging="180"/>
      </w:pPr>
    </w:lvl>
    <w:lvl w:ilvl="6" w:tplc="02A6F5DA" w:tentative="1">
      <w:start w:val="1"/>
      <w:numFmt w:val="decimal"/>
      <w:lvlText w:val="%7."/>
      <w:lvlJc w:val="left"/>
      <w:pPr>
        <w:ind w:left="6040" w:hanging="360"/>
      </w:pPr>
    </w:lvl>
    <w:lvl w:ilvl="7" w:tplc="4CD4EF02" w:tentative="1">
      <w:start w:val="1"/>
      <w:numFmt w:val="lowerLetter"/>
      <w:lvlText w:val="%8."/>
      <w:lvlJc w:val="left"/>
      <w:pPr>
        <w:ind w:left="6760" w:hanging="360"/>
      </w:pPr>
    </w:lvl>
    <w:lvl w:ilvl="8" w:tplc="DCC28B48" w:tentative="1">
      <w:start w:val="1"/>
      <w:numFmt w:val="lowerRoman"/>
      <w:lvlText w:val="%9."/>
      <w:lvlJc w:val="right"/>
      <w:pPr>
        <w:ind w:left="7480" w:hanging="180"/>
      </w:pPr>
    </w:lvl>
  </w:abstractNum>
  <w:abstractNum w:abstractNumId="16">
    <w:nsid w:val="34850A4D"/>
    <w:multiLevelType w:val="multilevel"/>
    <w:tmpl w:val="92C88418"/>
    <w:lvl w:ilvl="0">
      <w:start w:val="1"/>
      <w:numFmt w:val="decimal"/>
      <w:pStyle w:val="Heading1"/>
      <w:suff w:val="nothing"/>
      <w:lvlText w:val="%1"/>
      <w:lvlJc w:val="left"/>
      <w:pPr>
        <w:ind w:left="547" w:hanging="432"/>
      </w:pPr>
      <w:rPr>
        <w:rFonts w:hint="default"/>
      </w:rPr>
    </w:lvl>
    <w:lvl w:ilvl="1">
      <w:start w:val="1"/>
      <w:numFmt w:val="decimal"/>
      <w:lvlText w:val="%1.%2"/>
      <w:lvlJc w:val="left"/>
      <w:pPr>
        <w:tabs>
          <w:tab w:val="num" w:pos="691"/>
        </w:tabs>
        <w:ind w:left="691" w:hanging="576"/>
      </w:pPr>
      <w:rPr>
        <w:rFonts w:hint="default"/>
      </w:rPr>
    </w:lvl>
    <w:lvl w:ilvl="2">
      <w:start w:val="1"/>
      <w:numFmt w:val="decimal"/>
      <w:lvlText w:val="%1.%2.%3"/>
      <w:lvlJc w:val="left"/>
      <w:pPr>
        <w:tabs>
          <w:tab w:val="num" w:pos="835"/>
        </w:tabs>
        <w:ind w:left="835" w:hanging="720"/>
      </w:pPr>
      <w:rPr>
        <w:rFonts w:hint="default"/>
      </w:rPr>
    </w:lvl>
    <w:lvl w:ilvl="3">
      <w:start w:val="1"/>
      <w:numFmt w:val="decimal"/>
      <w:lvlText w:val="%1.%2.%3.%4"/>
      <w:lvlJc w:val="left"/>
      <w:pPr>
        <w:tabs>
          <w:tab w:val="num" w:pos="979"/>
        </w:tabs>
        <w:ind w:left="979" w:hanging="864"/>
      </w:pPr>
      <w:rPr>
        <w:rFonts w:hint="default"/>
      </w:rPr>
    </w:lvl>
    <w:lvl w:ilvl="4">
      <w:start w:val="1"/>
      <w:numFmt w:val="decimal"/>
      <w:pStyle w:val="Heading5"/>
      <w:lvlText w:val="%1.%2.%3.%4.%5"/>
      <w:lvlJc w:val="left"/>
      <w:pPr>
        <w:tabs>
          <w:tab w:val="num" w:pos="1123"/>
        </w:tabs>
        <w:ind w:left="1123" w:hanging="1008"/>
      </w:pPr>
      <w:rPr>
        <w:rFonts w:hint="default"/>
      </w:rPr>
    </w:lvl>
    <w:lvl w:ilvl="5">
      <w:start w:val="1"/>
      <w:numFmt w:val="decimal"/>
      <w:lvlText w:val="%1.%2.%3.%4.%5.%6"/>
      <w:lvlJc w:val="left"/>
      <w:pPr>
        <w:tabs>
          <w:tab w:val="num" w:pos="1267"/>
        </w:tabs>
        <w:ind w:left="1267" w:hanging="1152"/>
      </w:pPr>
      <w:rPr>
        <w:rFonts w:hint="default"/>
      </w:rPr>
    </w:lvl>
    <w:lvl w:ilvl="6">
      <w:start w:val="1"/>
      <w:numFmt w:val="decimal"/>
      <w:pStyle w:val="Heading7"/>
      <w:lvlText w:val="%1.%2.%3.%4.%5.%6.%7"/>
      <w:lvlJc w:val="left"/>
      <w:pPr>
        <w:tabs>
          <w:tab w:val="num" w:pos="1411"/>
        </w:tabs>
        <w:ind w:left="1411" w:hanging="1296"/>
      </w:pPr>
      <w:rPr>
        <w:rFonts w:hint="default"/>
      </w:rPr>
    </w:lvl>
    <w:lvl w:ilvl="7">
      <w:start w:val="1"/>
      <w:numFmt w:val="decimal"/>
      <w:pStyle w:val="Heading8"/>
      <w:lvlText w:val="%1.%2.%3.%4.%5.%6.%7.%8"/>
      <w:lvlJc w:val="left"/>
      <w:pPr>
        <w:tabs>
          <w:tab w:val="num" w:pos="1555"/>
        </w:tabs>
        <w:ind w:left="1555" w:hanging="1440"/>
      </w:pPr>
      <w:rPr>
        <w:rFonts w:hint="default"/>
      </w:rPr>
    </w:lvl>
    <w:lvl w:ilvl="8">
      <w:start w:val="1"/>
      <w:numFmt w:val="decimal"/>
      <w:pStyle w:val="Heading9"/>
      <w:lvlText w:val="%1.%2.%3.%4.%5.%6.%7.%8.%9"/>
      <w:lvlJc w:val="left"/>
      <w:pPr>
        <w:tabs>
          <w:tab w:val="num" w:pos="1699"/>
        </w:tabs>
        <w:ind w:left="1699" w:hanging="1584"/>
      </w:pPr>
      <w:rPr>
        <w:rFonts w:hint="default"/>
      </w:rPr>
    </w:lvl>
  </w:abstractNum>
  <w:abstractNum w:abstractNumId="17">
    <w:nsid w:val="38B246E1"/>
    <w:multiLevelType w:val="hybridMultilevel"/>
    <w:tmpl w:val="DB5AB4BA"/>
    <w:lvl w:ilvl="0" w:tplc="04090001">
      <w:start w:val="1"/>
      <w:numFmt w:val="bullet"/>
      <w:pStyle w:val="BulletedListIndent"/>
      <w:lvlText w:val="o"/>
      <w:lvlJc w:val="left"/>
      <w:pPr>
        <w:tabs>
          <w:tab w:val="num" w:pos="720"/>
        </w:tabs>
        <w:ind w:left="720" w:hanging="360"/>
      </w:pPr>
      <w:rPr>
        <w:rFonts w:ascii="Courier New" w:hAnsi="Courier New" w:cs="Courier New" w:hint="default"/>
        <w:sz w:val="20"/>
        <w:szCs w:val="18"/>
      </w:rPr>
    </w:lvl>
    <w:lvl w:ilvl="1" w:tplc="04090003">
      <w:start w:val="1"/>
      <w:numFmt w:val="bullet"/>
      <w:lvlText w:val=""/>
      <w:lvlJc w:val="left"/>
      <w:pPr>
        <w:tabs>
          <w:tab w:val="num" w:pos="1440"/>
        </w:tabs>
        <w:ind w:left="1440" w:hanging="360"/>
      </w:pPr>
      <w:rPr>
        <w:rFonts w:ascii="Symbol" w:hAnsi="Symbol" w:hint="default"/>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192B4E"/>
    <w:multiLevelType w:val="hybridMultilevel"/>
    <w:tmpl w:val="BA2A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6407A6"/>
    <w:multiLevelType w:val="hybridMultilevel"/>
    <w:tmpl w:val="16B8139A"/>
    <w:lvl w:ilvl="0" w:tplc="C2DA9C7C">
      <w:start w:val="1"/>
      <w:numFmt w:val="decimal"/>
      <w:pStyle w:val="TOC1"/>
      <w:lvlText w:val="%1"/>
      <w:lvlJc w:val="left"/>
      <w:pPr>
        <w:tabs>
          <w:tab w:val="num" w:pos="0"/>
        </w:tabs>
        <w:ind w:left="0" w:firstLine="0"/>
      </w:pPr>
      <w:rPr>
        <w:rFonts w:ascii="Verdana" w:hAnsi="Verdana" w:hint="default"/>
        <w:b/>
        <w:i w:val="0"/>
        <w:sz w:val="20"/>
        <w:szCs w:val="20"/>
      </w:rPr>
    </w:lvl>
    <w:lvl w:ilvl="1" w:tplc="04090001"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0E94043"/>
    <w:multiLevelType w:val="hybridMultilevel"/>
    <w:tmpl w:val="347CCB30"/>
    <w:lvl w:ilvl="0" w:tplc="3C62EC84">
      <w:start w:val="1"/>
      <w:numFmt w:val="bullet"/>
      <w:pStyle w:val="BulletedListIndent2"/>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1">
    <w:nsid w:val="51D21E9E"/>
    <w:multiLevelType w:val="hybridMultilevel"/>
    <w:tmpl w:val="94BA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9C534A"/>
    <w:multiLevelType w:val="hybridMultilevel"/>
    <w:tmpl w:val="0FA0EE00"/>
    <w:lvl w:ilvl="0" w:tplc="04090001">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721FFF"/>
    <w:multiLevelType w:val="hybridMultilevel"/>
    <w:tmpl w:val="47C8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354E66"/>
    <w:multiLevelType w:val="hybridMultilevel"/>
    <w:tmpl w:val="1B98E460"/>
    <w:lvl w:ilvl="0" w:tplc="463CD996">
      <w:start w:val="1"/>
      <w:numFmt w:val="bullet"/>
      <w:pStyle w:val="BulletedList"/>
      <w:lvlText w:val=""/>
      <w:lvlJc w:val="left"/>
      <w:pPr>
        <w:tabs>
          <w:tab w:val="num" w:pos="360"/>
        </w:tabs>
        <w:ind w:left="360" w:hanging="360"/>
      </w:pPr>
      <w:rPr>
        <w:rFonts w:ascii="Symbol" w:hAnsi="Symbol" w:hint="default"/>
        <w:sz w:val="20"/>
        <w:szCs w:val="18"/>
      </w:rPr>
    </w:lvl>
    <w:lvl w:ilvl="1" w:tplc="04090019">
      <w:start w:val="1"/>
      <w:numFmt w:val="decimal"/>
      <w:lvlText w:val="%2."/>
      <w:lvlJc w:val="left"/>
      <w:pPr>
        <w:tabs>
          <w:tab w:val="num" w:pos="1080"/>
        </w:tabs>
        <w:ind w:left="1080" w:hanging="360"/>
      </w:pPr>
      <w:rPr>
        <w:rFonts w:ascii="Verdana" w:hAnsi="Verdana" w:hint="default"/>
        <w:sz w:val="16"/>
        <w:szCs w:val="16"/>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5">
    <w:nsid w:val="7147004F"/>
    <w:multiLevelType w:val="hybridMultilevel"/>
    <w:tmpl w:val="2DDCB4D6"/>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75D00894"/>
    <w:multiLevelType w:val="hybridMultilevel"/>
    <w:tmpl w:val="876232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760F64EB"/>
    <w:multiLevelType w:val="hybridMultilevel"/>
    <w:tmpl w:val="6122EC2E"/>
    <w:lvl w:ilvl="0" w:tplc="0409000F">
      <w:start w:val="1"/>
      <w:numFmt w:val="upperLetter"/>
      <w:pStyle w:val="Heading6"/>
      <w:lvlText w:val="%1"/>
      <w:lvlJc w:val="left"/>
      <w:pPr>
        <w:ind w:left="388" w:hanging="360"/>
      </w:pPr>
      <w:rPr>
        <w:rFonts w:ascii="Tahoma" w:hAnsi="Tahoma" w:cs="Times New Roman" w:hint="default"/>
        <w:b/>
        <w:bCs w:val="0"/>
        <w:i w:val="0"/>
        <w:iCs w:val="0"/>
        <w:smallCaps w:val="0"/>
        <w:strike w:val="0"/>
        <w:dstrike w:val="0"/>
        <w:noProof w:val="0"/>
        <w:vanish w:val="0"/>
        <w:color w:val="000000"/>
        <w:spacing w:val="0"/>
        <w:kern w:val="0"/>
        <w:position w:val="0"/>
        <w:sz w:val="2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A9671F"/>
    <w:multiLevelType w:val="hybridMultilevel"/>
    <w:tmpl w:val="B8E6FE4E"/>
    <w:lvl w:ilvl="0" w:tplc="04090001">
      <w:start w:val="1"/>
      <w:numFmt w:val="decimal"/>
      <w:pStyle w:val="NumberedList"/>
      <w:lvlText w:val="%1."/>
      <w:lvlJc w:val="left"/>
      <w:pPr>
        <w:tabs>
          <w:tab w:val="num" w:pos="360"/>
        </w:tabs>
        <w:ind w:left="360" w:hanging="360"/>
      </w:pPr>
      <w:rPr>
        <w:rFonts w:ascii="Verdana" w:hAnsi="Verdana" w:hint="default"/>
        <w:sz w:val="20"/>
        <w:szCs w:val="16"/>
      </w:rPr>
    </w:lvl>
    <w:lvl w:ilvl="1" w:tplc="04090003">
      <w:start w:val="1"/>
      <w:numFmt w:val="decimal"/>
      <w:lvlText w:val="%2."/>
      <w:lvlJc w:val="left"/>
      <w:pPr>
        <w:tabs>
          <w:tab w:val="num" w:pos="1440"/>
        </w:tabs>
        <w:ind w:left="1440" w:hanging="360"/>
      </w:pPr>
      <w:rPr>
        <w:rFonts w:hint="default"/>
        <w:sz w:val="16"/>
        <w:szCs w:val="16"/>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24"/>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9"/>
  </w:num>
  <w:num w:numId="15">
    <w:abstractNumId w:val="11"/>
  </w:num>
  <w:num w:numId="16">
    <w:abstractNumId w:val="13"/>
  </w:num>
  <w:num w:numId="17">
    <w:abstractNumId w:val="27"/>
  </w:num>
  <w:num w:numId="18">
    <w:abstractNumId w:val="15"/>
  </w:num>
  <w:num w:numId="19">
    <w:abstractNumId w:val="22"/>
  </w:num>
  <w:num w:numId="20">
    <w:abstractNumId w:val="28"/>
  </w:num>
  <w:num w:numId="21">
    <w:abstractNumId w:val="17"/>
  </w:num>
  <w:num w:numId="22">
    <w:abstractNumId w:val="20"/>
  </w:num>
  <w:num w:numId="23">
    <w:abstractNumId w:val="25"/>
  </w:num>
  <w:num w:numId="24">
    <w:abstractNumId w:val="12"/>
  </w:num>
  <w:num w:numId="25">
    <w:abstractNumId w:val="18"/>
  </w:num>
  <w:num w:numId="26">
    <w:abstractNumId w:val="10"/>
  </w:num>
  <w:num w:numId="27">
    <w:abstractNumId w:val="21"/>
  </w:num>
  <w:num w:numId="28">
    <w:abstractNumId w:val="26"/>
  </w:num>
  <w:num w:numId="29">
    <w:abstractNumId w:val="2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4004"/>
  <w:stylePaneSortMethod w:val="0000"/>
  <w:defaultTabStop w:val="720"/>
  <w:evenAndOddHeaders/>
  <w:drawingGridHorizontalSpacing w:val="100"/>
  <w:drawingGridVerticalSpacing w:val="14"/>
  <w:displayHorizontalDrawingGridEvery w:val="2"/>
  <w:displayVerticalDrawingGridEvery w:val="2"/>
  <w:characterSpacingControl w:val="doNotCompress"/>
  <w:hdrShapeDefaults>
    <o:shapedefaults v:ext="edit" spidmax="72706">
      <o:colormenu v:ext="edit" strokecolor="none"/>
    </o:shapedefaults>
  </w:hdrShapeDefaults>
  <w:footnotePr>
    <w:footnote w:id="-1"/>
    <w:footnote w:id="0"/>
  </w:footnotePr>
  <w:endnotePr>
    <w:endnote w:id="-1"/>
    <w:endnote w:id="0"/>
  </w:endnotePr>
  <w:compat/>
  <w:rsids>
    <w:rsidRoot w:val="00505F00"/>
    <w:rsid w:val="000038DF"/>
    <w:rsid w:val="00003BE4"/>
    <w:rsid w:val="00005F9A"/>
    <w:rsid w:val="00006250"/>
    <w:rsid w:val="00006EEA"/>
    <w:rsid w:val="0001276C"/>
    <w:rsid w:val="00012DF2"/>
    <w:rsid w:val="00013147"/>
    <w:rsid w:val="00013A90"/>
    <w:rsid w:val="0001703F"/>
    <w:rsid w:val="000234A2"/>
    <w:rsid w:val="00024AC7"/>
    <w:rsid w:val="000273E0"/>
    <w:rsid w:val="00030D87"/>
    <w:rsid w:val="00031CA9"/>
    <w:rsid w:val="000327CA"/>
    <w:rsid w:val="00034D03"/>
    <w:rsid w:val="00036C88"/>
    <w:rsid w:val="00036F9B"/>
    <w:rsid w:val="0004244B"/>
    <w:rsid w:val="00042BC1"/>
    <w:rsid w:val="00043CBF"/>
    <w:rsid w:val="00047E58"/>
    <w:rsid w:val="0005527C"/>
    <w:rsid w:val="000561B6"/>
    <w:rsid w:val="00056237"/>
    <w:rsid w:val="0006097D"/>
    <w:rsid w:val="00061EC3"/>
    <w:rsid w:val="0006362F"/>
    <w:rsid w:val="0006416A"/>
    <w:rsid w:val="00067F6E"/>
    <w:rsid w:val="00070E6C"/>
    <w:rsid w:val="00071759"/>
    <w:rsid w:val="0007342F"/>
    <w:rsid w:val="0007457C"/>
    <w:rsid w:val="00076B0A"/>
    <w:rsid w:val="00081AD3"/>
    <w:rsid w:val="00084E5A"/>
    <w:rsid w:val="00085E04"/>
    <w:rsid w:val="00087E05"/>
    <w:rsid w:val="00090967"/>
    <w:rsid w:val="0009176D"/>
    <w:rsid w:val="000923FB"/>
    <w:rsid w:val="000927D4"/>
    <w:rsid w:val="00092BAB"/>
    <w:rsid w:val="00093EFA"/>
    <w:rsid w:val="00094325"/>
    <w:rsid w:val="00096004"/>
    <w:rsid w:val="000A1F9F"/>
    <w:rsid w:val="000A28E9"/>
    <w:rsid w:val="000A2965"/>
    <w:rsid w:val="000A3EC7"/>
    <w:rsid w:val="000A446C"/>
    <w:rsid w:val="000A4B5B"/>
    <w:rsid w:val="000B110D"/>
    <w:rsid w:val="000B266F"/>
    <w:rsid w:val="000B4FAE"/>
    <w:rsid w:val="000B500C"/>
    <w:rsid w:val="000B564B"/>
    <w:rsid w:val="000B5DDF"/>
    <w:rsid w:val="000B6DE8"/>
    <w:rsid w:val="000C7595"/>
    <w:rsid w:val="000D131B"/>
    <w:rsid w:val="000D3019"/>
    <w:rsid w:val="000D3152"/>
    <w:rsid w:val="000D470C"/>
    <w:rsid w:val="000D5955"/>
    <w:rsid w:val="000D710C"/>
    <w:rsid w:val="000E039A"/>
    <w:rsid w:val="000E0598"/>
    <w:rsid w:val="000E2224"/>
    <w:rsid w:val="000E3633"/>
    <w:rsid w:val="000E7259"/>
    <w:rsid w:val="000F0D5F"/>
    <w:rsid w:val="001009A7"/>
    <w:rsid w:val="0010248E"/>
    <w:rsid w:val="0010609A"/>
    <w:rsid w:val="00106731"/>
    <w:rsid w:val="00112262"/>
    <w:rsid w:val="00112478"/>
    <w:rsid w:val="001154BA"/>
    <w:rsid w:val="00115A12"/>
    <w:rsid w:val="00115F5E"/>
    <w:rsid w:val="00117DB0"/>
    <w:rsid w:val="00120E5A"/>
    <w:rsid w:val="00122CF5"/>
    <w:rsid w:val="00123CB4"/>
    <w:rsid w:val="00124882"/>
    <w:rsid w:val="00124C4D"/>
    <w:rsid w:val="00132BB4"/>
    <w:rsid w:val="00143D3A"/>
    <w:rsid w:val="001528AB"/>
    <w:rsid w:val="00153CC0"/>
    <w:rsid w:val="00162373"/>
    <w:rsid w:val="0016490C"/>
    <w:rsid w:val="001666A8"/>
    <w:rsid w:val="00166910"/>
    <w:rsid w:val="00166A0A"/>
    <w:rsid w:val="00170B45"/>
    <w:rsid w:val="0017203D"/>
    <w:rsid w:val="00172700"/>
    <w:rsid w:val="0017612C"/>
    <w:rsid w:val="00176850"/>
    <w:rsid w:val="0018047C"/>
    <w:rsid w:val="00181B01"/>
    <w:rsid w:val="00183061"/>
    <w:rsid w:val="00184364"/>
    <w:rsid w:val="00184D00"/>
    <w:rsid w:val="0019686A"/>
    <w:rsid w:val="001A1A30"/>
    <w:rsid w:val="001A3013"/>
    <w:rsid w:val="001A4998"/>
    <w:rsid w:val="001A4D06"/>
    <w:rsid w:val="001A5519"/>
    <w:rsid w:val="001A66EE"/>
    <w:rsid w:val="001B10E5"/>
    <w:rsid w:val="001B292B"/>
    <w:rsid w:val="001B3F94"/>
    <w:rsid w:val="001B6F53"/>
    <w:rsid w:val="001C2E78"/>
    <w:rsid w:val="001C4F17"/>
    <w:rsid w:val="001C58F5"/>
    <w:rsid w:val="001C74BB"/>
    <w:rsid w:val="001D2A8D"/>
    <w:rsid w:val="001D3B0B"/>
    <w:rsid w:val="001D4087"/>
    <w:rsid w:val="001D6107"/>
    <w:rsid w:val="001E1FA7"/>
    <w:rsid w:val="001E2270"/>
    <w:rsid w:val="001E534E"/>
    <w:rsid w:val="001E5661"/>
    <w:rsid w:val="001E57A4"/>
    <w:rsid w:val="001F4DE5"/>
    <w:rsid w:val="001F6BB6"/>
    <w:rsid w:val="002001A9"/>
    <w:rsid w:val="002022E2"/>
    <w:rsid w:val="00211703"/>
    <w:rsid w:val="00213499"/>
    <w:rsid w:val="00216551"/>
    <w:rsid w:val="00216B60"/>
    <w:rsid w:val="002178DA"/>
    <w:rsid w:val="002232BE"/>
    <w:rsid w:val="00224652"/>
    <w:rsid w:val="002251B8"/>
    <w:rsid w:val="00226B92"/>
    <w:rsid w:val="002334B1"/>
    <w:rsid w:val="00235A3B"/>
    <w:rsid w:val="0024017D"/>
    <w:rsid w:val="00241477"/>
    <w:rsid w:val="002442FE"/>
    <w:rsid w:val="0024451F"/>
    <w:rsid w:val="002447E6"/>
    <w:rsid w:val="00244B33"/>
    <w:rsid w:val="002452D2"/>
    <w:rsid w:val="002458DE"/>
    <w:rsid w:val="00246C66"/>
    <w:rsid w:val="002471C2"/>
    <w:rsid w:val="00251C4A"/>
    <w:rsid w:val="00253250"/>
    <w:rsid w:val="00255F6A"/>
    <w:rsid w:val="002572DC"/>
    <w:rsid w:val="00261E92"/>
    <w:rsid w:val="00262058"/>
    <w:rsid w:val="00265004"/>
    <w:rsid w:val="00270AAA"/>
    <w:rsid w:val="0027221B"/>
    <w:rsid w:val="00272E51"/>
    <w:rsid w:val="00273259"/>
    <w:rsid w:val="0027376E"/>
    <w:rsid w:val="00274498"/>
    <w:rsid w:val="002744C4"/>
    <w:rsid w:val="00274E20"/>
    <w:rsid w:val="002754A9"/>
    <w:rsid w:val="00280628"/>
    <w:rsid w:val="002812B9"/>
    <w:rsid w:val="00283424"/>
    <w:rsid w:val="00283752"/>
    <w:rsid w:val="00284D7C"/>
    <w:rsid w:val="00285902"/>
    <w:rsid w:val="00285A62"/>
    <w:rsid w:val="00287FC8"/>
    <w:rsid w:val="002900CD"/>
    <w:rsid w:val="00291988"/>
    <w:rsid w:val="0029208C"/>
    <w:rsid w:val="00297267"/>
    <w:rsid w:val="002A0145"/>
    <w:rsid w:val="002A0B7A"/>
    <w:rsid w:val="002A225F"/>
    <w:rsid w:val="002A3B69"/>
    <w:rsid w:val="002A4770"/>
    <w:rsid w:val="002A7F3E"/>
    <w:rsid w:val="002B6DB1"/>
    <w:rsid w:val="002B70F5"/>
    <w:rsid w:val="002C2DAB"/>
    <w:rsid w:val="002C689F"/>
    <w:rsid w:val="002D0700"/>
    <w:rsid w:val="002D210A"/>
    <w:rsid w:val="002D41B3"/>
    <w:rsid w:val="002D46E3"/>
    <w:rsid w:val="002E3F7D"/>
    <w:rsid w:val="002E77F7"/>
    <w:rsid w:val="002F06B7"/>
    <w:rsid w:val="002F144B"/>
    <w:rsid w:val="002F3C02"/>
    <w:rsid w:val="00301359"/>
    <w:rsid w:val="00302717"/>
    <w:rsid w:val="00302DD1"/>
    <w:rsid w:val="00307946"/>
    <w:rsid w:val="003110A8"/>
    <w:rsid w:val="003114B8"/>
    <w:rsid w:val="00312E75"/>
    <w:rsid w:val="00313456"/>
    <w:rsid w:val="00316975"/>
    <w:rsid w:val="00321AA5"/>
    <w:rsid w:val="00322AB3"/>
    <w:rsid w:val="00322F64"/>
    <w:rsid w:val="003233BB"/>
    <w:rsid w:val="00323A66"/>
    <w:rsid w:val="00323AA2"/>
    <w:rsid w:val="00324E7D"/>
    <w:rsid w:val="0032654B"/>
    <w:rsid w:val="003273BD"/>
    <w:rsid w:val="00330F57"/>
    <w:rsid w:val="0033125D"/>
    <w:rsid w:val="0033143C"/>
    <w:rsid w:val="003319FB"/>
    <w:rsid w:val="00332659"/>
    <w:rsid w:val="003331CB"/>
    <w:rsid w:val="00335036"/>
    <w:rsid w:val="00336831"/>
    <w:rsid w:val="0033704A"/>
    <w:rsid w:val="003405E4"/>
    <w:rsid w:val="0034194B"/>
    <w:rsid w:val="003428A5"/>
    <w:rsid w:val="00344C12"/>
    <w:rsid w:val="003456B9"/>
    <w:rsid w:val="003472C6"/>
    <w:rsid w:val="00350EC0"/>
    <w:rsid w:val="00351A80"/>
    <w:rsid w:val="003527ED"/>
    <w:rsid w:val="00355F1C"/>
    <w:rsid w:val="003570DF"/>
    <w:rsid w:val="00360037"/>
    <w:rsid w:val="00360CFC"/>
    <w:rsid w:val="00362F73"/>
    <w:rsid w:val="00363180"/>
    <w:rsid w:val="003636FD"/>
    <w:rsid w:val="0036546E"/>
    <w:rsid w:val="00367D0E"/>
    <w:rsid w:val="003713CE"/>
    <w:rsid w:val="0037466A"/>
    <w:rsid w:val="003752AB"/>
    <w:rsid w:val="00376F6A"/>
    <w:rsid w:val="00380738"/>
    <w:rsid w:val="00381434"/>
    <w:rsid w:val="00385513"/>
    <w:rsid w:val="003868ED"/>
    <w:rsid w:val="00392ADE"/>
    <w:rsid w:val="003944EE"/>
    <w:rsid w:val="00396D6D"/>
    <w:rsid w:val="003975B6"/>
    <w:rsid w:val="0039784D"/>
    <w:rsid w:val="00397D35"/>
    <w:rsid w:val="003A0741"/>
    <w:rsid w:val="003A12DC"/>
    <w:rsid w:val="003A450B"/>
    <w:rsid w:val="003A4785"/>
    <w:rsid w:val="003B1262"/>
    <w:rsid w:val="003B2A69"/>
    <w:rsid w:val="003C0EF5"/>
    <w:rsid w:val="003C2E02"/>
    <w:rsid w:val="003C32D1"/>
    <w:rsid w:val="003D0B10"/>
    <w:rsid w:val="003D622C"/>
    <w:rsid w:val="003D6536"/>
    <w:rsid w:val="003E2AF2"/>
    <w:rsid w:val="003E3459"/>
    <w:rsid w:val="003E399F"/>
    <w:rsid w:val="003E4D14"/>
    <w:rsid w:val="003E5D0B"/>
    <w:rsid w:val="003E6AE9"/>
    <w:rsid w:val="003E73B1"/>
    <w:rsid w:val="003E7A58"/>
    <w:rsid w:val="003F0BD9"/>
    <w:rsid w:val="003F1A18"/>
    <w:rsid w:val="003F71D4"/>
    <w:rsid w:val="004010A6"/>
    <w:rsid w:val="00401110"/>
    <w:rsid w:val="00407A01"/>
    <w:rsid w:val="004166C7"/>
    <w:rsid w:val="00424C18"/>
    <w:rsid w:val="00430C61"/>
    <w:rsid w:val="00431047"/>
    <w:rsid w:val="004314E5"/>
    <w:rsid w:val="00433C28"/>
    <w:rsid w:val="00433CA8"/>
    <w:rsid w:val="004359DE"/>
    <w:rsid w:val="00437CC6"/>
    <w:rsid w:val="00443B8A"/>
    <w:rsid w:val="004531A9"/>
    <w:rsid w:val="004558CB"/>
    <w:rsid w:val="00456073"/>
    <w:rsid w:val="00456106"/>
    <w:rsid w:val="004617E8"/>
    <w:rsid w:val="00467B53"/>
    <w:rsid w:val="0047296F"/>
    <w:rsid w:val="00473AC8"/>
    <w:rsid w:val="00475AF8"/>
    <w:rsid w:val="00477A53"/>
    <w:rsid w:val="00481A46"/>
    <w:rsid w:val="0048389D"/>
    <w:rsid w:val="004847A3"/>
    <w:rsid w:val="00491A4F"/>
    <w:rsid w:val="00494A61"/>
    <w:rsid w:val="00496593"/>
    <w:rsid w:val="004A02B1"/>
    <w:rsid w:val="004A31C6"/>
    <w:rsid w:val="004A6834"/>
    <w:rsid w:val="004B0E2C"/>
    <w:rsid w:val="004C0DD3"/>
    <w:rsid w:val="004C1F76"/>
    <w:rsid w:val="004C2D44"/>
    <w:rsid w:val="004D1722"/>
    <w:rsid w:val="004D3511"/>
    <w:rsid w:val="004D385F"/>
    <w:rsid w:val="004D52B5"/>
    <w:rsid w:val="004D6779"/>
    <w:rsid w:val="004D7EE9"/>
    <w:rsid w:val="004E16D2"/>
    <w:rsid w:val="004E24EF"/>
    <w:rsid w:val="004E3D53"/>
    <w:rsid w:val="004E4774"/>
    <w:rsid w:val="004E50D4"/>
    <w:rsid w:val="004F371A"/>
    <w:rsid w:val="004F5C8C"/>
    <w:rsid w:val="004F612E"/>
    <w:rsid w:val="004F7EAC"/>
    <w:rsid w:val="004F7EBF"/>
    <w:rsid w:val="00500201"/>
    <w:rsid w:val="00500633"/>
    <w:rsid w:val="00505F00"/>
    <w:rsid w:val="005061C5"/>
    <w:rsid w:val="00506EDC"/>
    <w:rsid w:val="00507364"/>
    <w:rsid w:val="00510090"/>
    <w:rsid w:val="00512BBA"/>
    <w:rsid w:val="00514A5F"/>
    <w:rsid w:val="00523469"/>
    <w:rsid w:val="00524AC2"/>
    <w:rsid w:val="005316E6"/>
    <w:rsid w:val="00531733"/>
    <w:rsid w:val="0053193B"/>
    <w:rsid w:val="00532E72"/>
    <w:rsid w:val="00533BDA"/>
    <w:rsid w:val="00534147"/>
    <w:rsid w:val="0053427C"/>
    <w:rsid w:val="00534411"/>
    <w:rsid w:val="00534485"/>
    <w:rsid w:val="00537672"/>
    <w:rsid w:val="00541701"/>
    <w:rsid w:val="00541F00"/>
    <w:rsid w:val="0054327B"/>
    <w:rsid w:val="00545088"/>
    <w:rsid w:val="00547A3B"/>
    <w:rsid w:val="00552665"/>
    <w:rsid w:val="005533B2"/>
    <w:rsid w:val="005568DB"/>
    <w:rsid w:val="0056168E"/>
    <w:rsid w:val="0056593B"/>
    <w:rsid w:val="00570468"/>
    <w:rsid w:val="0057103C"/>
    <w:rsid w:val="00573288"/>
    <w:rsid w:val="00574B31"/>
    <w:rsid w:val="00581636"/>
    <w:rsid w:val="00583848"/>
    <w:rsid w:val="0058492A"/>
    <w:rsid w:val="005868D4"/>
    <w:rsid w:val="00586F1C"/>
    <w:rsid w:val="005928EF"/>
    <w:rsid w:val="0059544A"/>
    <w:rsid w:val="00596094"/>
    <w:rsid w:val="00596285"/>
    <w:rsid w:val="00596864"/>
    <w:rsid w:val="005A1121"/>
    <w:rsid w:val="005A3E7C"/>
    <w:rsid w:val="005A722C"/>
    <w:rsid w:val="005B269B"/>
    <w:rsid w:val="005B41B5"/>
    <w:rsid w:val="005B67A0"/>
    <w:rsid w:val="005C0DBE"/>
    <w:rsid w:val="005C1ADF"/>
    <w:rsid w:val="005C1EB0"/>
    <w:rsid w:val="005D457A"/>
    <w:rsid w:val="005D54E3"/>
    <w:rsid w:val="005E24E2"/>
    <w:rsid w:val="005E2C79"/>
    <w:rsid w:val="005F1DE8"/>
    <w:rsid w:val="005F24C1"/>
    <w:rsid w:val="00600B71"/>
    <w:rsid w:val="00603229"/>
    <w:rsid w:val="006037C1"/>
    <w:rsid w:val="006066D4"/>
    <w:rsid w:val="006106ED"/>
    <w:rsid w:val="006115A5"/>
    <w:rsid w:val="006117FD"/>
    <w:rsid w:val="00611FB2"/>
    <w:rsid w:val="006160E0"/>
    <w:rsid w:val="00620A6E"/>
    <w:rsid w:val="00621204"/>
    <w:rsid w:val="00623BE2"/>
    <w:rsid w:val="00623DB8"/>
    <w:rsid w:val="00624C59"/>
    <w:rsid w:val="006252D1"/>
    <w:rsid w:val="0062686B"/>
    <w:rsid w:val="0063314D"/>
    <w:rsid w:val="00634203"/>
    <w:rsid w:val="00634646"/>
    <w:rsid w:val="006348AC"/>
    <w:rsid w:val="0063756A"/>
    <w:rsid w:val="006408A8"/>
    <w:rsid w:val="00641F69"/>
    <w:rsid w:val="006428CC"/>
    <w:rsid w:val="00644A17"/>
    <w:rsid w:val="00644F9A"/>
    <w:rsid w:val="0064518C"/>
    <w:rsid w:val="00646295"/>
    <w:rsid w:val="00651D76"/>
    <w:rsid w:val="00653B31"/>
    <w:rsid w:val="0066369B"/>
    <w:rsid w:val="00665926"/>
    <w:rsid w:val="00671209"/>
    <w:rsid w:val="00672024"/>
    <w:rsid w:val="006734AB"/>
    <w:rsid w:val="006753F6"/>
    <w:rsid w:val="00675BF9"/>
    <w:rsid w:val="00676490"/>
    <w:rsid w:val="006771C8"/>
    <w:rsid w:val="00677B02"/>
    <w:rsid w:val="00681BAE"/>
    <w:rsid w:val="00683FE4"/>
    <w:rsid w:val="006879F8"/>
    <w:rsid w:val="006911E0"/>
    <w:rsid w:val="006924DF"/>
    <w:rsid w:val="00692E94"/>
    <w:rsid w:val="00694BA0"/>
    <w:rsid w:val="006964A5"/>
    <w:rsid w:val="006A422C"/>
    <w:rsid w:val="006A5F49"/>
    <w:rsid w:val="006B1F7B"/>
    <w:rsid w:val="006B5634"/>
    <w:rsid w:val="006B6526"/>
    <w:rsid w:val="006B72CD"/>
    <w:rsid w:val="006B772B"/>
    <w:rsid w:val="006C1B4D"/>
    <w:rsid w:val="006C58F7"/>
    <w:rsid w:val="006C682B"/>
    <w:rsid w:val="006D13C5"/>
    <w:rsid w:val="006D1BE4"/>
    <w:rsid w:val="006D2FA6"/>
    <w:rsid w:val="006D5F62"/>
    <w:rsid w:val="006D6DC7"/>
    <w:rsid w:val="006D7CE9"/>
    <w:rsid w:val="006E11A7"/>
    <w:rsid w:val="006E439C"/>
    <w:rsid w:val="006E4E7B"/>
    <w:rsid w:val="006F06AC"/>
    <w:rsid w:val="006F272D"/>
    <w:rsid w:val="006F6492"/>
    <w:rsid w:val="006F6E3B"/>
    <w:rsid w:val="007022AD"/>
    <w:rsid w:val="007065B3"/>
    <w:rsid w:val="00706DD1"/>
    <w:rsid w:val="00710B00"/>
    <w:rsid w:val="007110BB"/>
    <w:rsid w:val="00711A6B"/>
    <w:rsid w:val="00712C18"/>
    <w:rsid w:val="00712E20"/>
    <w:rsid w:val="007140C2"/>
    <w:rsid w:val="0071522D"/>
    <w:rsid w:val="00716B7D"/>
    <w:rsid w:val="0071773B"/>
    <w:rsid w:val="00720029"/>
    <w:rsid w:val="007234D2"/>
    <w:rsid w:val="00725BB1"/>
    <w:rsid w:val="0072640E"/>
    <w:rsid w:val="007264DA"/>
    <w:rsid w:val="00731958"/>
    <w:rsid w:val="00731B17"/>
    <w:rsid w:val="007320BD"/>
    <w:rsid w:val="00734B92"/>
    <w:rsid w:val="00735EF7"/>
    <w:rsid w:val="007378AF"/>
    <w:rsid w:val="00741A2D"/>
    <w:rsid w:val="00743C4A"/>
    <w:rsid w:val="00745916"/>
    <w:rsid w:val="00752704"/>
    <w:rsid w:val="00756835"/>
    <w:rsid w:val="00761197"/>
    <w:rsid w:val="00762DCA"/>
    <w:rsid w:val="007644AA"/>
    <w:rsid w:val="00765034"/>
    <w:rsid w:val="007654C6"/>
    <w:rsid w:val="00765AA4"/>
    <w:rsid w:val="00767A45"/>
    <w:rsid w:val="007712E6"/>
    <w:rsid w:val="0077223E"/>
    <w:rsid w:val="007734ED"/>
    <w:rsid w:val="007747A7"/>
    <w:rsid w:val="00775256"/>
    <w:rsid w:val="007807F3"/>
    <w:rsid w:val="00781854"/>
    <w:rsid w:val="00782443"/>
    <w:rsid w:val="00783B99"/>
    <w:rsid w:val="00790B88"/>
    <w:rsid w:val="007929CF"/>
    <w:rsid w:val="0079390A"/>
    <w:rsid w:val="00794044"/>
    <w:rsid w:val="00794BD9"/>
    <w:rsid w:val="00795EE1"/>
    <w:rsid w:val="007965D9"/>
    <w:rsid w:val="007A277C"/>
    <w:rsid w:val="007A2961"/>
    <w:rsid w:val="007A348A"/>
    <w:rsid w:val="007A5A71"/>
    <w:rsid w:val="007A66E9"/>
    <w:rsid w:val="007A7C3B"/>
    <w:rsid w:val="007B00B8"/>
    <w:rsid w:val="007B023C"/>
    <w:rsid w:val="007B20DE"/>
    <w:rsid w:val="007B2E56"/>
    <w:rsid w:val="007B7AED"/>
    <w:rsid w:val="007C1F9A"/>
    <w:rsid w:val="007C25F9"/>
    <w:rsid w:val="007C3916"/>
    <w:rsid w:val="007C4920"/>
    <w:rsid w:val="007C70E9"/>
    <w:rsid w:val="007D3618"/>
    <w:rsid w:val="007D72B1"/>
    <w:rsid w:val="007E0387"/>
    <w:rsid w:val="007E1FA1"/>
    <w:rsid w:val="007E59F0"/>
    <w:rsid w:val="007E5F2B"/>
    <w:rsid w:val="007E650C"/>
    <w:rsid w:val="007E7312"/>
    <w:rsid w:val="007F12AB"/>
    <w:rsid w:val="007F2DD4"/>
    <w:rsid w:val="007F522E"/>
    <w:rsid w:val="007F7685"/>
    <w:rsid w:val="007F7F94"/>
    <w:rsid w:val="00802193"/>
    <w:rsid w:val="00805E6E"/>
    <w:rsid w:val="0080672F"/>
    <w:rsid w:val="008139DD"/>
    <w:rsid w:val="00815B04"/>
    <w:rsid w:val="00815D3B"/>
    <w:rsid w:val="0082098A"/>
    <w:rsid w:val="00824FF8"/>
    <w:rsid w:val="00825261"/>
    <w:rsid w:val="008353B8"/>
    <w:rsid w:val="0083771D"/>
    <w:rsid w:val="00837C9C"/>
    <w:rsid w:val="00841B84"/>
    <w:rsid w:val="00846B79"/>
    <w:rsid w:val="008515E5"/>
    <w:rsid w:val="008530B8"/>
    <w:rsid w:val="00853E4A"/>
    <w:rsid w:val="00854C0B"/>
    <w:rsid w:val="008554E6"/>
    <w:rsid w:val="008610BB"/>
    <w:rsid w:val="00866F3D"/>
    <w:rsid w:val="008715CA"/>
    <w:rsid w:val="00880371"/>
    <w:rsid w:val="00881395"/>
    <w:rsid w:val="0088373B"/>
    <w:rsid w:val="00883EF4"/>
    <w:rsid w:val="00885865"/>
    <w:rsid w:val="00886660"/>
    <w:rsid w:val="00886DBA"/>
    <w:rsid w:val="0088732C"/>
    <w:rsid w:val="00887833"/>
    <w:rsid w:val="008904A7"/>
    <w:rsid w:val="00892552"/>
    <w:rsid w:val="008A1534"/>
    <w:rsid w:val="008A1C18"/>
    <w:rsid w:val="008A45B3"/>
    <w:rsid w:val="008A4956"/>
    <w:rsid w:val="008A6A9B"/>
    <w:rsid w:val="008A76D1"/>
    <w:rsid w:val="008A786B"/>
    <w:rsid w:val="008B06B1"/>
    <w:rsid w:val="008B125D"/>
    <w:rsid w:val="008B2FBA"/>
    <w:rsid w:val="008C426E"/>
    <w:rsid w:val="008C57BB"/>
    <w:rsid w:val="008D363A"/>
    <w:rsid w:val="008D37A5"/>
    <w:rsid w:val="008D3D52"/>
    <w:rsid w:val="008D4213"/>
    <w:rsid w:val="008D61BF"/>
    <w:rsid w:val="008D631B"/>
    <w:rsid w:val="008E2653"/>
    <w:rsid w:val="008E3B9A"/>
    <w:rsid w:val="008E3BFF"/>
    <w:rsid w:val="008E6301"/>
    <w:rsid w:val="008F1C8F"/>
    <w:rsid w:val="008F2CE0"/>
    <w:rsid w:val="008F73E4"/>
    <w:rsid w:val="00903BA9"/>
    <w:rsid w:val="00907506"/>
    <w:rsid w:val="009078BF"/>
    <w:rsid w:val="00910233"/>
    <w:rsid w:val="00910A4D"/>
    <w:rsid w:val="00912625"/>
    <w:rsid w:val="0091318E"/>
    <w:rsid w:val="009147BF"/>
    <w:rsid w:val="00915955"/>
    <w:rsid w:val="00917BE6"/>
    <w:rsid w:val="0092086F"/>
    <w:rsid w:val="009219CD"/>
    <w:rsid w:val="00927052"/>
    <w:rsid w:val="009276D6"/>
    <w:rsid w:val="009304B0"/>
    <w:rsid w:val="009335FF"/>
    <w:rsid w:val="00934CA3"/>
    <w:rsid w:val="009359A4"/>
    <w:rsid w:val="00942CB9"/>
    <w:rsid w:val="00944D49"/>
    <w:rsid w:val="00945440"/>
    <w:rsid w:val="009461C4"/>
    <w:rsid w:val="00946ECF"/>
    <w:rsid w:val="0094786C"/>
    <w:rsid w:val="00950BD8"/>
    <w:rsid w:val="00952127"/>
    <w:rsid w:val="009538C8"/>
    <w:rsid w:val="009639E1"/>
    <w:rsid w:val="00964B72"/>
    <w:rsid w:val="009674B9"/>
    <w:rsid w:val="009675C9"/>
    <w:rsid w:val="0097002A"/>
    <w:rsid w:val="00973A76"/>
    <w:rsid w:val="009748FD"/>
    <w:rsid w:val="009812D1"/>
    <w:rsid w:val="00982591"/>
    <w:rsid w:val="0098300C"/>
    <w:rsid w:val="00983BAB"/>
    <w:rsid w:val="0098548C"/>
    <w:rsid w:val="00987B56"/>
    <w:rsid w:val="00987DE1"/>
    <w:rsid w:val="009911A8"/>
    <w:rsid w:val="009923F8"/>
    <w:rsid w:val="00993FFF"/>
    <w:rsid w:val="009965F5"/>
    <w:rsid w:val="00997E1B"/>
    <w:rsid w:val="009A49F8"/>
    <w:rsid w:val="009A4A6A"/>
    <w:rsid w:val="009A6724"/>
    <w:rsid w:val="009A6F01"/>
    <w:rsid w:val="009A7051"/>
    <w:rsid w:val="009A7920"/>
    <w:rsid w:val="009A7BB7"/>
    <w:rsid w:val="009B04BF"/>
    <w:rsid w:val="009B34D6"/>
    <w:rsid w:val="009B3C99"/>
    <w:rsid w:val="009B601D"/>
    <w:rsid w:val="009B74E4"/>
    <w:rsid w:val="009C1DE0"/>
    <w:rsid w:val="009C36CC"/>
    <w:rsid w:val="009C377E"/>
    <w:rsid w:val="009C5D54"/>
    <w:rsid w:val="009C5DEE"/>
    <w:rsid w:val="009D0123"/>
    <w:rsid w:val="009D3258"/>
    <w:rsid w:val="009D340F"/>
    <w:rsid w:val="009D53BF"/>
    <w:rsid w:val="009D772E"/>
    <w:rsid w:val="009E1553"/>
    <w:rsid w:val="009E3390"/>
    <w:rsid w:val="009F2108"/>
    <w:rsid w:val="009F216A"/>
    <w:rsid w:val="009F3E95"/>
    <w:rsid w:val="009F56C7"/>
    <w:rsid w:val="009F5A3E"/>
    <w:rsid w:val="009F6770"/>
    <w:rsid w:val="009F6D98"/>
    <w:rsid w:val="00A015A5"/>
    <w:rsid w:val="00A13889"/>
    <w:rsid w:val="00A16140"/>
    <w:rsid w:val="00A1713D"/>
    <w:rsid w:val="00A17BA1"/>
    <w:rsid w:val="00A22F56"/>
    <w:rsid w:val="00A23A9D"/>
    <w:rsid w:val="00A24189"/>
    <w:rsid w:val="00A31E6C"/>
    <w:rsid w:val="00A359F9"/>
    <w:rsid w:val="00A364EB"/>
    <w:rsid w:val="00A378DC"/>
    <w:rsid w:val="00A40E02"/>
    <w:rsid w:val="00A4122C"/>
    <w:rsid w:val="00A50681"/>
    <w:rsid w:val="00A5129D"/>
    <w:rsid w:val="00A566CA"/>
    <w:rsid w:val="00A56751"/>
    <w:rsid w:val="00A60537"/>
    <w:rsid w:val="00A609A8"/>
    <w:rsid w:val="00A62689"/>
    <w:rsid w:val="00A65CD3"/>
    <w:rsid w:val="00A66ED5"/>
    <w:rsid w:val="00A673E7"/>
    <w:rsid w:val="00A67CE7"/>
    <w:rsid w:val="00A73770"/>
    <w:rsid w:val="00A74176"/>
    <w:rsid w:val="00A742EC"/>
    <w:rsid w:val="00A74D89"/>
    <w:rsid w:val="00A75E97"/>
    <w:rsid w:val="00A76F57"/>
    <w:rsid w:val="00A7796D"/>
    <w:rsid w:val="00A77D81"/>
    <w:rsid w:val="00A77F47"/>
    <w:rsid w:val="00A81CE5"/>
    <w:rsid w:val="00A84685"/>
    <w:rsid w:val="00A856DD"/>
    <w:rsid w:val="00A85B37"/>
    <w:rsid w:val="00A8710B"/>
    <w:rsid w:val="00A914B8"/>
    <w:rsid w:val="00A9295B"/>
    <w:rsid w:val="00A940D3"/>
    <w:rsid w:val="00A95830"/>
    <w:rsid w:val="00A95C50"/>
    <w:rsid w:val="00A960C1"/>
    <w:rsid w:val="00AA1EE9"/>
    <w:rsid w:val="00AA2118"/>
    <w:rsid w:val="00AA71E5"/>
    <w:rsid w:val="00AA781D"/>
    <w:rsid w:val="00AB28EC"/>
    <w:rsid w:val="00AB3ED5"/>
    <w:rsid w:val="00AB45C1"/>
    <w:rsid w:val="00AB54A6"/>
    <w:rsid w:val="00AC2757"/>
    <w:rsid w:val="00AC5AAE"/>
    <w:rsid w:val="00AC5CAB"/>
    <w:rsid w:val="00AC7713"/>
    <w:rsid w:val="00AD1446"/>
    <w:rsid w:val="00AD2F21"/>
    <w:rsid w:val="00AD4B6E"/>
    <w:rsid w:val="00AD4FB3"/>
    <w:rsid w:val="00AD5713"/>
    <w:rsid w:val="00AD6AE7"/>
    <w:rsid w:val="00AE0C9B"/>
    <w:rsid w:val="00AE1AC0"/>
    <w:rsid w:val="00AE2107"/>
    <w:rsid w:val="00AE2EA7"/>
    <w:rsid w:val="00AE565E"/>
    <w:rsid w:val="00AE6DC0"/>
    <w:rsid w:val="00AE7558"/>
    <w:rsid w:val="00AF02BE"/>
    <w:rsid w:val="00AF0C2F"/>
    <w:rsid w:val="00AF3CC6"/>
    <w:rsid w:val="00AF4355"/>
    <w:rsid w:val="00AF6861"/>
    <w:rsid w:val="00B11DC4"/>
    <w:rsid w:val="00B1213B"/>
    <w:rsid w:val="00B16F29"/>
    <w:rsid w:val="00B17827"/>
    <w:rsid w:val="00B200B6"/>
    <w:rsid w:val="00B22B37"/>
    <w:rsid w:val="00B24640"/>
    <w:rsid w:val="00B25679"/>
    <w:rsid w:val="00B31605"/>
    <w:rsid w:val="00B32362"/>
    <w:rsid w:val="00B32CE0"/>
    <w:rsid w:val="00B3398E"/>
    <w:rsid w:val="00B3447E"/>
    <w:rsid w:val="00B4207A"/>
    <w:rsid w:val="00B461A3"/>
    <w:rsid w:val="00B500AE"/>
    <w:rsid w:val="00B524FA"/>
    <w:rsid w:val="00B53C04"/>
    <w:rsid w:val="00B53EEE"/>
    <w:rsid w:val="00B56387"/>
    <w:rsid w:val="00B60CB9"/>
    <w:rsid w:val="00B614F2"/>
    <w:rsid w:val="00B63085"/>
    <w:rsid w:val="00B63129"/>
    <w:rsid w:val="00B63F18"/>
    <w:rsid w:val="00B666FF"/>
    <w:rsid w:val="00B71905"/>
    <w:rsid w:val="00B757FB"/>
    <w:rsid w:val="00B77C97"/>
    <w:rsid w:val="00B77E28"/>
    <w:rsid w:val="00B80AAD"/>
    <w:rsid w:val="00B812F6"/>
    <w:rsid w:val="00B83304"/>
    <w:rsid w:val="00B84F0C"/>
    <w:rsid w:val="00B85716"/>
    <w:rsid w:val="00B86A5C"/>
    <w:rsid w:val="00B86A62"/>
    <w:rsid w:val="00B86DC7"/>
    <w:rsid w:val="00B9078B"/>
    <w:rsid w:val="00B9280D"/>
    <w:rsid w:val="00B95593"/>
    <w:rsid w:val="00B97C36"/>
    <w:rsid w:val="00BA0B16"/>
    <w:rsid w:val="00BA1430"/>
    <w:rsid w:val="00BA1AB0"/>
    <w:rsid w:val="00BB0031"/>
    <w:rsid w:val="00BB0C74"/>
    <w:rsid w:val="00BB212C"/>
    <w:rsid w:val="00BB3297"/>
    <w:rsid w:val="00BB5A5F"/>
    <w:rsid w:val="00BB5EAF"/>
    <w:rsid w:val="00BB70C8"/>
    <w:rsid w:val="00BC7E4B"/>
    <w:rsid w:val="00BD1960"/>
    <w:rsid w:val="00BD5CFD"/>
    <w:rsid w:val="00BE02EC"/>
    <w:rsid w:val="00BE0C9B"/>
    <w:rsid w:val="00BE5214"/>
    <w:rsid w:val="00BF20FC"/>
    <w:rsid w:val="00C00BF5"/>
    <w:rsid w:val="00C039C7"/>
    <w:rsid w:val="00C04725"/>
    <w:rsid w:val="00C05329"/>
    <w:rsid w:val="00C06829"/>
    <w:rsid w:val="00C069BF"/>
    <w:rsid w:val="00C0716B"/>
    <w:rsid w:val="00C075B2"/>
    <w:rsid w:val="00C07C5F"/>
    <w:rsid w:val="00C10355"/>
    <w:rsid w:val="00C1136A"/>
    <w:rsid w:val="00C122EB"/>
    <w:rsid w:val="00C21AA4"/>
    <w:rsid w:val="00C226D1"/>
    <w:rsid w:val="00C22F60"/>
    <w:rsid w:val="00C2381B"/>
    <w:rsid w:val="00C242FA"/>
    <w:rsid w:val="00C2487E"/>
    <w:rsid w:val="00C255EC"/>
    <w:rsid w:val="00C25C32"/>
    <w:rsid w:val="00C25DD9"/>
    <w:rsid w:val="00C3273B"/>
    <w:rsid w:val="00C36DE5"/>
    <w:rsid w:val="00C37EFA"/>
    <w:rsid w:val="00C43269"/>
    <w:rsid w:val="00C4533F"/>
    <w:rsid w:val="00C47399"/>
    <w:rsid w:val="00C478F4"/>
    <w:rsid w:val="00C520C9"/>
    <w:rsid w:val="00C539AC"/>
    <w:rsid w:val="00C54060"/>
    <w:rsid w:val="00C56638"/>
    <w:rsid w:val="00C57E20"/>
    <w:rsid w:val="00C612DE"/>
    <w:rsid w:val="00C61D7A"/>
    <w:rsid w:val="00C62120"/>
    <w:rsid w:val="00C63553"/>
    <w:rsid w:val="00C63995"/>
    <w:rsid w:val="00C63B79"/>
    <w:rsid w:val="00C73E4D"/>
    <w:rsid w:val="00C73F3C"/>
    <w:rsid w:val="00C760F9"/>
    <w:rsid w:val="00C7651C"/>
    <w:rsid w:val="00C80048"/>
    <w:rsid w:val="00C8121F"/>
    <w:rsid w:val="00C81447"/>
    <w:rsid w:val="00C82695"/>
    <w:rsid w:val="00C83EDB"/>
    <w:rsid w:val="00C84429"/>
    <w:rsid w:val="00C866C2"/>
    <w:rsid w:val="00C946E2"/>
    <w:rsid w:val="00C95E6B"/>
    <w:rsid w:val="00CA04F9"/>
    <w:rsid w:val="00CA1A06"/>
    <w:rsid w:val="00CA71F1"/>
    <w:rsid w:val="00CB13CF"/>
    <w:rsid w:val="00CB1B2E"/>
    <w:rsid w:val="00CB1FAA"/>
    <w:rsid w:val="00CB2F79"/>
    <w:rsid w:val="00CB76DB"/>
    <w:rsid w:val="00CC33E4"/>
    <w:rsid w:val="00CC3995"/>
    <w:rsid w:val="00CC63D5"/>
    <w:rsid w:val="00CC69EE"/>
    <w:rsid w:val="00CC6FBE"/>
    <w:rsid w:val="00CC7FE8"/>
    <w:rsid w:val="00CD2F69"/>
    <w:rsid w:val="00CD4432"/>
    <w:rsid w:val="00CE24D4"/>
    <w:rsid w:val="00CE428B"/>
    <w:rsid w:val="00CE518E"/>
    <w:rsid w:val="00CE5FB6"/>
    <w:rsid w:val="00CE6866"/>
    <w:rsid w:val="00CF6113"/>
    <w:rsid w:val="00D0183A"/>
    <w:rsid w:val="00D031CB"/>
    <w:rsid w:val="00D0563C"/>
    <w:rsid w:val="00D0607D"/>
    <w:rsid w:val="00D065AB"/>
    <w:rsid w:val="00D156E0"/>
    <w:rsid w:val="00D200C9"/>
    <w:rsid w:val="00D2125B"/>
    <w:rsid w:val="00D21B78"/>
    <w:rsid w:val="00D2218A"/>
    <w:rsid w:val="00D22D49"/>
    <w:rsid w:val="00D24340"/>
    <w:rsid w:val="00D25852"/>
    <w:rsid w:val="00D260C7"/>
    <w:rsid w:val="00D2677F"/>
    <w:rsid w:val="00D27171"/>
    <w:rsid w:val="00D27F3E"/>
    <w:rsid w:val="00D33176"/>
    <w:rsid w:val="00D378AB"/>
    <w:rsid w:val="00D416D3"/>
    <w:rsid w:val="00D44E76"/>
    <w:rsid w:val="00D47D3B"/>
    <w:rsid w:val="00D51092"/>
    <w:rsid w:val="00D53F9C"/>
    <w:rsid w:val="00D540CF"/>
    <w:rsid w:val="00D547DC"/>
    <w:rsid w:val="00D610E1"/>
    <w:rsid w:val="00D63381"/>
    <w:rsid w:val="00D67908"/>
    <w:rsid w:val="00D70EC0"/>
    <w:rsid w:val="00D7217C"/>
    <w:rsid w:val="00D7289F"/>
    <w:rsid w:val="00D74B0C"/>
    <w:rsid w:val="00D75CDD"/>
    <w:rsid w:val="00D7742C"/>
    <w:rsid w:val="00D804F6"/>
    <w:rsid w:val="00D83E34"/>
    <w:rsid w:val="00D87ED4"/>
    <w:rsid w:val="00D90CE2"/>
    <w:rsid w:val="00D90FA8"/>
    <w:rsid w:val="00D920B0"/>
    <w:rsid w:val="00D92BC0"/>
    <w:rsid w:val="00D9407C"/>
    <w:rsid w:val="00D944B1"/>
    <w:rsid w:val="00D9561A"/>
    <w:rsid w:val="00D95930"/>
    <w:rsid w:val="00D97C75"/>
    <w:rsid w:val="00DA1C00"/>
    <w:rsid w:val="00DA5698"/>
    <w:rsid w:val="00DA6F13"/>
    <w:rsid w:val="00DB3786"/>
    <w:rsid w:val="00DB3B5C"/>
    <w:rsid w:val="00DC07B5"/>
    <w:rsid w:val="00DC09CC"/>
    <w:rsid w:val="00DC148E"/>
    <w:rsid w:val="00DC4A15"/>
    <w:rsid w:val="00DD1B70"/>
    <w:rsid w:val="00DD1CCA"/>
    <w:rsid w:val="00DD275D"/>
    <w:rsid w:val="00DD6454"/>
    <w:rsid w:val="00DD7E4B"/>
    <w:rsid w:val="00DE19B3"/>
    <w:rsid w:val="00DE1B33"/>
    <w:rsid w:val="00DE260F"/>
    <w:rsid w:val="00DF1839"/>
    <w:rsid w:val="00DF27B3"/>
    <w:rsid w:val="00DF5911"/>
    <w:rsid w:val="00DF6803"/>
    <w:rsid w:val="00E01348"/>
    <w:rsid w:val="00E07397"/>
    <w:rsid w:val="00E10143"/>
    <w:rsid w:val="00E11849"/>
    <w:rsid w:val="00E13161"/>
    <w:rsid w:val="00E139B5"/>
    <w:rsid w:val="00E141D2"/>
    <w:rsid w:val="00E15208"/>
    <w:rsid w:val="00E15506"/>
    <w:rsid w:val="00E1575B"/>
    <w:rsid w:val="00E16D68"/>
    <w:rsid w:val="00E20B04"/>
    <w:rsid w:val="00E22B77"/>
    <w:rsid w:val="00E23B4C"/>
    <w:rsid w:val="00E23DD6"/>
    <w:rsid w:val="00E25B79"/>
    <w:rsid w:val="00E3107D"/>
    <w:rsid w:val="00E31AE9"/>
    <w:rsid w:val="00E32910"/>
    <w:rsid w:val="00E35BE7"/>
    <w:rsid w:val="00E35EDC"/>
    <w:rsid w:val="00E3792A"/>
    <w:rsid w:val="00E429E5"/>
    <w:rsid w:val="00E431C1"/>
    <w:rsid w:val="00E43A62"/>
    <w:rsid w:val="00E45DB9"/>
    <w:rsid w:val="00E460C5"/>
    <w:rsid w:val="00E50D63"/>
    <w:rsid w:val="00E563BD"/>
    <w:rsid w:val="00E572C2"/>
    <w:rsid w:val="00E62EB8"/>
    <w:rsid w:val="00E642F9"/>
    <w:rsid w:val="00E6591E"/>
    <w:rsid w:val="00E70D90"/>
    <w:rsid w:val="00E72CB2"/>
    <w:rsid w:val="00E73A2F"/>
    <w:rsid w:val="00E74F8E"/>
    <w:rsid w:val="00E752F1"/>
    <w:rsid w:val="00E77449"/>
    <w:rsid w:val="00E77CE0"/>
    <w:rsid w:val="00E804CC"/>
    <w:rsid w:val="00E83D3E"/>
    <w:rsid w:val="00E84801"/>
    <w:rsid w:val="00E9073F"/>
    <w:rsid w:val="00E95C2C"/>
    <w:rsid w:val="00EA470C"/>
    <w:rsid w:val="00EA4926"/>
    <w:rsid w:val="00EA648B"/>
    <w:rsid w:val="00EA66F2"/>
    <w:rsid w:val="00EB19CB"/>
    <w:rsid w:val="00EB21C8"/>
    <w:rsid w:val="00EB313D"/>
    <w:rsid w:val="00EB429A"/>
    <w:rsid w:val="00EB516D"/>
    <w:rsid w:val="00EB6C44"/>
    <w:rsid w:val="00EB6FDB"/>
    <w:rsid w:val="00EB7975"/>
    <w:rsid w:val="00EB7E9B"/>
    <w:rsid w:val="00EC2916"/>
    <w:rsid w:val="00EC4006"/>
    <w:rsid w:val="00EC5392"/>
    <w:rsid w:val="00EC56F1"/>
    <w:rsid w:val="00EC6D97"/>
    <w:rsid w:val="00EC7093"/>
    <w:rsid w:val="00ED27D0"/>
    <w:rsid w:val="00ED32B2"/>
    <w:rsid w:val="00ED36E2"/>
    <w:rsid w:val="00ED4B68"/>
    <w:rsid w:val="00EE1632"/>
    <w:rsid w:val="00EE1964"/>
    <w:rsid w:val="00EE6061"/>
    <w:rsid w:val="00EE71C9"/>
    <w:rsid w:val="00EF0957"/>
    <w:rsid w:val="00EF0E97"/>
    <w:rsid w:val="00EF1C6C"/>
    <w:rsid w:val="00EF3903"/>
    <w:rsid w:val="00EF6BAF"/>
    <w:rsid w:val="00F02110"/>
    <w:rsid w:val="00F02555"/>
    <w:rsid w:val="00F05D23"/>
    <w:rsid w:val="00F0775A"/>
    <w:rsid w:val="00F1776A"/>
    <w:rsid w:val="00F17CEE"/>
    <w:rsid w:val="00F21AC4"/>
    <w:rsid w:val="00F22CDD"/>
    <w:rsid w:val="00F23745"/>
    <w:rsid w:val="00F23AB8"/>
    <w:rsid w:val="00F26290"/>
    <w:rsid w:val="00F31C6F"/>
    <w:rsid w:val="00F36BD8"/>
    <w:rsid w:val="00F37323"/>
    <w:rsid w:val="00F37E60"/>
    <w:rsid w:val="00F406FB"/>
    <w:rsid w:val="00F409D3"/>
    <w:rsid w:val="00F409F9"/>
    <w:rsid w:val="00F40B52"/>
    <w:rsid w:val="00F420CC"/>
    <w:rsid w:val="00F42BBC"/>
    <w:rsid w:val="00F44094"/>
    <w:rsid w:val="00F44657"/>
    <w:rsid w:val="00F460E3"/>
    <w:rsid w:val="00F46B08"/>
    <w:rsid w:val="00F47F23"/>
    <w:rsid w:val="00F51F81"/>
    <w:rsid w:val="00F52021"/>
    <w:rsid w:val="00F53B12"/>
    <w:rsid w:val="00F55F73"/>
    <w:rsid w:val="00F562C2"/>
    <w:rsid w:val="00F56CA3"/>
    <w:rsid w:val="00F61B68"/>
    <w:rsid w:val="00F71452"/>
    <w:rsid w:val="00F750CA"/>
    <w:rsid w:val="00F804F3"/>
    <w:rsid w:val="00F8066E"/>
    <w:rsid w:val="00F812D9"/>
    <w:rsid w:val="00F81BDE"/>
    <w:rsid w:val="00F84E9A"/>
    <w:rsid w:val="00F85104"/>
    <w:rsid w:val="00F851EE"/>
    <w:rsid w:val="00F86E23"/>
    <w:rsid w:val="00F87DA8"/>
    <w:rsid w:val="00F90F34"/>
    <w:rsid w:val="00F961C3"/>
    <w:rsid w:val="00F97B5A"/>
    <w:rsid w:val="00FA021D"/>
    <w:rsid w:val="00FA0FDC"/>
    <w:rsid w:val="00FA537B"/>
    <w:rsid w:val="00FA630D"/>
    <w:rsid w:val="00FB1751"/>
    <w:rsid w:val="00FB2FC1"/>
    <w:rsid w:val="00FB37B1"/>
    <w:rsid w:val="00FB6659"/>
    <w:rsid w:val="00FC0348"/>
    <w:rsid w:val="00FC0708"/>
    <w:rsid w:val="00FC08B3"/>
    <w:rsid w:val="00FC2658"/>
    <w:rsid w:val="00FC4052"/>
    <w:rsid w:val="00FC4718"/>
    <w:rsid w:val="00FC67A9"/>
    <w:rsid w:val="00FD16BE"/>
    <w:rsid w:val="00FD1935"/>
    <w:rsid w:val="00FD3836"/>
    <w:rsid w:val="00FD4D54"/>
    <w:rsid w:val="00FD5585"/>
    <w:rsid w:val="00FE0A9F"/>
    <w:rsid w:val="00FE235E"/>
    <w:rsid w:val="00FE41A9"/>
    <w:rsid w:val="00FF0D86"/>
    <w:rsid w:val="00FF4187"/>
    <w:rsid w:val="00FF41F4"/>
    <w:rsid w:val="00FF5491"/>
    <w:rsid w:val="00FF59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72706">
      <o:colormenu v:ext="edit"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semiHidden="1"/>
    <w:lsdException w:name="toc 6" w:uiPriority="39"/>
    <w:lsdException w:name="toc 7" w:uiPriority="39"/>
    <w:lsdException w:name="toc 8" w:semiHidden="1"/>
    <w:lsdException w:name="toc 9" w:semiHidden="1"/>
    <w:lsdException w:name="index heading" w:semiHidden="1"/>
    <w:lsdException w:name="caption" w:semiHidden="1" w:unhideWhenUsed="1" w:qFormat="1"/>
    <w:lsdException w:name="table of figures" w:uiPriority="99"/>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Body Text" w:qFormat="1"/>
    <w:lsdException w:name="Subtitle" w:qFormat="1"/>
    <w:lsdException w:name="Hyperlink" w:uiPriority="99"/>
    <w:lsdException w:name="Strong" w:semiHidden="1" w:qFormat="1"/>
    <w:lsdException w:name="Emphasis" w:qFormat="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B00"/>
    <w:rPr>
      <w:rFonts w:ascii="Tahoma" w:hAnsi="Tahoma"/>
      <w:szCs w:val="24"/>
    </w:rPr>
  </w:style>
  <w:style w:type="paragraph" w:styleId="Heading1">
    <w:name w:val="heading 1"/>
    <w:aliases w:val="Chap Num,Chapter Level"/>
    <w:basedOn w:val="Normal"/>
    <w:next w:val="Normal"/>
    <w:qFormat/>
    <w:rsid w:val="00274498"/>
    <w:pPr>
      <w:numPr>
        <w:numId w:val="2"/>
      </w:numPr>
      <w:ind w:left="432"/>
      <w:outlineLvl w:val="0"/>
    </w:pPr>
    <w:rPr>
      <w:rFonts w:ascii="Verdana" w:hAnsi="Verdana"/>
      <w:b/>
      <w:caps/>
      <w:color w:val="808080"/>
      <w:sz w:val="22"/>
      <w:szCs w:val="22"/>
    </w:rPr>
  </w:style>
  <w:style w:type="paragraph" w:styleId="Heading2">
    <w:name w:val="heading 2"/>
    <w:aliases w:val="1st Lvl Head"/>
    <w:basedOn w:val="Normal"/>
    <w:next w:val="BodyText"/>
    <w:qFormat/>
    <w:rsid w:val="00710B00"/>
    <w:pPr>
      <w:keepNext/>
      <w:spacing w:before="240" w:after="40"/>
      <w:outlineLvl w:val="1"/>
    </w:pPr>
    <w:rPr>
      <w:b/>
      <w:color w:val="003E74" w:themeColor="text2"/>
      <w:sz w:val="26"/>
      <w:szCs w:val="26"/>
    </w:rPr>
  </w:style>
  <w:style w:type="paragraph" w:styleId="Heading3">
    <w:name w:val="heading 3"/>
    <w:aliases w:val="2nd Lvl Head"/>
    <w:basedOn w:val="Normal"/>
    <w:next w:val="BodyText"/>
    <w:link w:val="Heading3Char"/>
    <w:qFormat/>
    <w:rsid w:val="00D065AB"/>
    <w:pPr>
      <w:keepNext/>
      <w:spacing w:before="240" w:after="40"/>
      <w:outlineLvl w:val="2"/>
    </w:pPr>
    <w:rPr>
      <w:rFonts w:cs="Arial"/>
      <w:b/>
      <w:bCs/>
      <w:sz w:val="22"/>
      <w:szCs w:val="18"/>
    </w:rPr>
  </w:style>
  <w:style w:type="paragraph" w:styleId="Heading4">
    <w:name w:val="heading 4"/>
    <w:aliases w:val="3rd Lvl Head"/>
    <w:basedOn w:val="Normal"/>
    <w:next w:val="BodyText"/>
    <w:qFormat/>
    <w:rsid w:val="00D065AB"/>
    <w:pPr>
      <w:keepNext/>
      <w:spacing w:before="240" w:after="40"/>
      <w:outlineLvl w:val="3"/>
    </w:pPr>
    <w:rPr>
      <w:b/>
      <w:bCs/>
      <w:i/>
      <w:szCs w:val="18"/>
    </w:rPr>
  </w:style>
  <w:style w:type="paragraph" w:styleId="Heading5">
    <w:name w:val="heading 5"/>
    <w:basedOn w:val="Normal"/>
    <w:next w:val="Normal"/>
    <w:semiHidden/>
    <w:qFormat/>
    <w:rsid w:val="00274498"/>
    <w:pPr>
      <w:numPr>
        <w:ilvl w:val="4"/>
        <w:numId w:val="2"/>
      </w:numPr>
      <w:spacing w:before="240" w:after="60"/>
      <w:outlineLvl w:val="4"/>
    </w:pPr>
    <w:rPr>
      <w:b/>
      <w:bCs/>
      <w:i/>
      <w:iCs/>
      <w:sz w:val="26"/>
      <w:szCs w:val="26"/>
    </w:rPr>
  </w:style>
  <w:style w:type="paragraph" w:styleId="Heading6">
    <w:name w:val="heading 6"/>
    <w:aliases w:val="Appendix Level"/>
    <w:basedOn w:val="ChapterTitle"/>
    <w:next w:val="BodyText"/>
    <w:link w:val="Heading6Char"/>
    <w:autoRedefine/>
    <w:qFormat/>
    <w:rsid w:val="009A6F01"/>
    <w:pPr>
      <w:numPr>
        <w:numId w:val="17"/>
      </w:numPr>
      <w:ind w:left="360"/>
      <w:outlineLvl w:val="5"/>
    </w:pPr>
    <w:rPr>
      <w:bCs/>
      <w:sz w:val="22"/>
      <w:szCs w:val="22"/>
    </w:rPr>
  </w:style>
  <w:style w:type="paragraph" w:styleId="Heading7">
    <w:name w:val="heading 7"/>
    <w:basedOn w:val="Normal"/>
    <w:next w:val="Normal"/>
    <w:semiHidden/>
    <w:rsid w:val="00274498"/>
    <w:pPr>
      <w:numPr>
        <w:ilvl w:val="6"/>
        <w:numId w:val="2"/>
      </w:numPr>
      <w:spacing w:before="240" w:after="60"/>
      <w:outlineLvl w:val="6"/>
    </w:pPr>
  </w:style>
  <w:style w:type="paragraph" w:styleId="Heading8">
    <w:name w:val="heading 8"/>
    <w:basedOn w:val="Normal"/>
    <w:next w:val="Normal"/>
    <w:semiHidden/>
    <w:rsid w:val="00274498"/>
    <w:pPr>
      <w:numPr>
        <w:ilvl w:val="7"/>
        <w:numId w:val="2"/>
      </w:numPr>
      <w:spacing w:before="240" w:after="60"/>
      <w:outlineLvl w:val="7"/>
    </w:pPr>
    <w:rPr>
      <w:i/>
      <w:iCs/>
    </w:rPr>
  </w:style>
  <w:style w:type="paragraph" w:styleId="Heading9">
    <w:name w:val="heading 9"/>
    <w:basedOn w:val="Normal"/>
    <w:next w:val="Normal"/>
    <w:semiHidden/>
    <w:rsid w:val="00274498"/>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semiHidden/>
    <w:qFormat/>
    <w:rsid w:val="00AC5CAB"/>
    <w:pPr>
      <w:spacing w:before="3480" w:line="312" w:lineRule="auto"/>
    </w:pPr>
    <w:rPr>
      <w:b/>
      <w:caps/>
      <w:sz w:val="36"/>
      <w:szCs w:val="40"/>
    </w:rPr>
  </w:style>
  <w:style w:type="table" w:customStyle="1" w:styleId="LightShading1">
    <w:name w:val="Light Shading1"/>
    <w:basedOn w:val="TableNormal"/>
    <w:uiPriority w:val="60"/>
    <w:rsid w:val="0024017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mpanyInformation">
    <w:name w:val="Company Information"/>
    <w:basedOn w:val="Normal"/>
    <w:link w:val="CompanyInformationChar"/>
    <w:semiHidden/>
    <w:rsid w:val="00794BD9"/>
    <w:rPr>
      <w:rFonts w:ascii="Verdana" w:hAnsi="Verdana"/>
      <w:color w:val="808080"/>
      <w:sz w:val="15"/>
      <w:szCs w:val="20"/>
    </w:rPr>
  </w:style>
  <w:style w:type="character" w:customStyle="1" w:styleId="CompanyInformationChar">
    <w:name w:val="Company Information Char"/>
    <w:basedOn w:val="DefaultParagraphFont"/>
    <w:link w:val="CompanyInformation"/>
    <w:rsid w:val="00794BD9"/>
    <w:rPr>
      <w:rFonts w:ascii="Verdana" w:hAnsi="Verdana"/>
      <w:color w:val="808080"/>
      <w:sz w:val="15"/>
      <w:lang w:val="en-US" w:eastAsia="en-US" w:bidi="ar-SA"/>
    </w:rPr>
  </w:style>
  <w:style w:type="paragraph" w:customStyle="1" w:styleId="CompanyInformationBold">
    <w:name w:val="Company Information Bold"/>
    <w:basedOn w:val="CompanyInformation"/>
    <w:semiHidden/>
    <w:rsid w:val="00794BD9"/>
    <w:rPr>
      <w:b/>
    </w:rPr>
  </w:style>
  <w:style w:type="paragraph" w:customStyle="1" w:styleId="CompanyInformationItalic">
    <w:name w:val="Company Information Italic"/>
    <w:basedOn w:val="CompanyInformation"/>
    <w:link w:val="CompanyInformationItalicChar"/>
    <w:semiHidden/>
    <w:rsid w:val="00794BD9"/>
    <w:rPr>
      <w:i/>
    </w:rPr>
  </w:style>
  <w:style w:type="character" w:customStyle="1" w:styleId="CompanyInformationItalicChar">
    <w:name w:val="Company Information Italic Char"/>
    <w:basedOn w:val="CompanyInformationChar"/>
    <w:link w:val="CompanyInformationItalic"/>
    <w:rsid w:val="00794BD9"/>
    <w:rPr>
      <w:rFonts w:ascii="Verdana" w:hAnsi="Verdana"/>
      <w:i/>
      <w:color w:val="808080"/>
      <w:sz w:val="15"/>
      <w:lang w:val="en-US" w:eastAsia="en-US" w:bidi="ar-SA"/>
    </w:rPr>
  </w:style>
  <w:style w:type="paragraph" w:customStyle="1" w:styleId="InsideTitle">
    <w:name w:val="Inside Title"/>
    <w:basedOn w:val="Normal"/>
    <w:link w:val="InsideTitleChar"/>
    <w:semiHidden/>
    <w:rsid w:val="005F1DE8"/>
    <w:pPr>
      <w:keepNext/>
      <w:spacing w:before="3480"/>
    </w:pPr>
    <w:rPr>
      <w:rFonts w:ascii="Verdana" w:hAnsi="Verdana"/>
      <w:b/>
      <w:sz w:val="32"/>
      <w:szCs w:val="20"/>
    </w:rPr>
  </w:style>
  <w:style w:type="paragraph" w:customStyle="1" w:styleId="InsideSubtitle">
    <w:name w:val="Inside Subtitle"/>
    <w:basedOn w:val="Normal"/>
    <w:semiHidden/>
    <w:rsid w:val="0006362F"/>
    <w:pPr>
      <w:spacing w:before="120" w:after="200"/>
    </w:pPr>
    <w:rPr>
      <w:rFonts w:ascii="Verdana" w:hAnsi="Verdana"/>
      <w:b/>
      <w:i/>
      <w:color w:val="008000"/>
      <w:sz w:val="22"/>
      <w:szCs w:val="22"/>
    </w:rPr>
  </w:style>
  <w:style w:type="paragraph" w:customStyle="1" w:styleId="BulletedList">
    <w:name w:val="Bulleted List"/>
    <w:basedOn w:val="Normal"/>
    <w:link w:val="BulletedListCharChar"/>
    <w:qFormat/>
    <w:rsid w:val="00D065AB"/>
    <w:pPr>
      <w:numPr>
        <w:numId w:val="1"/>
      </w:numPr>
      <w:spacing w:after="120" w:line="240" w:lineRule="atLeast"/>
      <w:contextualSpacing/>
    </w:pPr>
    <w:rPr>
      <w:rFonts w:cs="Tahoma"/>
      <w:spacing w:val="4"/>
      <w:szCs w:val="18"/>
    </w:rPr>
  </w:style>
  <w:style w:type="character" w:customStyle="1" w:styleId="BulletedListCharChar">
    <w:name w:val="Bulleted List Char Char"/>
    <w:basedOn w:val="DefaultParagraphFont"/>
    <w:link w:val="BulletedList"/>
    <w:rsid w:val="00D065AB"/>
    <w:rPr>
      <w:rFonts w:ascii="Tahoma" w:hAnsi="Tahoma" w:cs="Tahoma"/>
      <w:spacing w:val="4"/>
      <w:szCs w:val="18"/>
    </w:rPr>
  </w:style>
  <w:style w:type="paragraph" w:customStyle="1" w:styleId="NumberedList">
    <w:name w:val="Numbered List"/>
    <w:link w:val="NumberedListCharChar"/>
    <w:rsid w:val="00805E6E"/>
    <w:pPr>
      <w:numPr>
        <w:numId w:val="20"/>
      </w:numPr>
      <w:spacing w:after="120" w:line="240" w:lineRule="atLeast"/>
    </w:pPr>
    <w:rPr>
      <w:rFonts w:ascii="Tahoma" w:hAnsi="Tahoma" w:cs="Tahoma"/>
      <w:spacing w:val="4"/>
      <w:szCs w:val="18"/>
    </w:rPr>
  </w:style>
  <w:style w:type="character" w:customStyle="1" w:styleId="NumberedListCharChar">
    <w:name w:val="Numbered List Char Char"/>
    <w:basedOn w:val="DefaultParagraphFont"/>
    <w:link w:val="NumberedList"/>
    <w:rsid w:val="00805E6E"/>
    <w:rPr>
      <w:rFonts w:ascii="Tahoma" w:hAnsi="Tahoma" w:cs="Tahoma"/>
      <w:spacing w:val="4"/>
      <w:szCs w:val="18"/>
    </w:rPr>
  </w:style>
  <w:style w:type="character" w:customStyle="1" w:styleId="BodyTextChar">
    <w:name w:val="Body Text Char"/>
    <w:basedOn w:val="DefaultParagraphFont"/>
    <w:link w:val="BodyText"/>
    <w:rsid w:val="008B2FBA"/>
    <w:rPr>
      <w:rFonts w:ascii="Tahoma" w:hAnsi="Tahoma"/>
      <w:spacing w:val="4"/>
      <w:szCs w:val="18"/>
    </w:rPr>
  </w:style>
  <w:style w:type="paragraph" w:styleId="BodyText">
    <w:name w:val="Body Text"/>
    <w:basedOn w:val="Normal"/>
    <w:link w:val="BodyTextChar"/>
    <w:qFormat/>
    <w:rsid w:val="008B2FBA"/>
    <w:pPr>
      <w:spacing w:after="120" w:line="240" w:lineRule="atLeast"/>
    </w:pPr>
    <w:rPr>
      <w:spacing w:val="4"/>
      <w:szCs w:val="18"/>
    </w:rPr>
  </w:style>
  <w:style w:type="paragraph" w:customStyle="1" w:styleId="BlockQuotation">
    <w:name w:val="Block Quotation"/>
    <w:basedOn w:val="Normal"/>
    <w:link w:val="BlockQuotationChar"/>
    <w:semiHidden/>
    <w:rsid w:val="00AC5CAB"/>
    <w:pPr>
      <w:spacing w:before="80" w:after="80" w:line="312" w:lineRule="auto"/>
      <w:ind w:left="720"/>
    </w:pPr>
    <w:rPr>
      <w:rFonts w:cs="Tahoma"/>
      <w:spacing w:val="-4"/>
      <w:sz w:val="17"/>
      <w:szCs w:val="17"/>
    </w:rPr>
  </w:style>
  <w:style w:type="character" w:customStyle="1" w:styleId="BlockQuotationChar">
    <w:name w:val="Block Quotation Char"/>
    <w:basedOn w:val="DefaultParagraphFont"/>
    <w:link w:val="BlockQuotation"/>
    <w:semiHidden/>
    <w:rsid w:val="00D065AB"/>
    <w:rPr>
      <w:rFonts w:ascii="Tahoma" w:hAnsi="Tahoma" w:cs="Tahoma"/>
      <w:spacing w:val="-4"/>
      <w:sz w:val="17"/>
      <w:szCs w:val="17"/>
    </w:rPr>
  </w:style>
  <w:style w:type="paragraph" w:customStyle="1" w:styleId="TableFigureCaption">
    <w:name w:val="Table &amp; Figure Caption"/>
    <w:basedOn w:val="Normal"/>
    <w:rsid w:val="00D7742C"/>
    <w:pPr>
      <w:keepNext/>
      <w:spacing w:before="360" w:after="60"/>
      <w:ind w:left="1440" w:hanging="1440"/>
    </w:pPr>
    <w:rPr>
      <w:b/>
      <w:i/>
      <w:sz w:val="18"/>
      <w:szCs w:val="16"/>
    </w:rPr>
  </w:style>
  <w:style w:type="paragraph" w:customStyle="1" w:styleId="TableText">
    <w:name w:val="Table Text"/>
    <w:basedOn w:val="Normal"/>
    <w:rsid w:val="00675BF9"/>
    <w:pPr>
      <w:jc w:val="center"/>
    </w:pPr>
    <w:rPr>
      <w:rFonts w:ascii="Calibri" w:hAnsi="Calibri" w:cs="Tahoma"/>
      <w:szCs w:val="20"/>
    </w:rPr>
  </w:style>
  <w:style w:type="paragraph" w:customStyle="1" w:styleId="TableHeadings">
    <w:name w:val="Table Headings"/>
    <w:basedOn w:val="TableText"/>
    <w:rsid w:val="0024017D"/>
    <w:pPr>
      <w:spacing w:after="40"/>
    </w:pPr>
    <w:rPr>
      <w:b/>
      <w:color w:val="FFFFFF" w:themeColor="background1"/>
    </w:rPr>
  </w:style>
  <w:style w:type="paragraph" w:customStyle="1" w:styleId="IndentedBodyText">
    <w:name w:val="Indented Body Text"/>
    <w:basedOn w:val="Normal"/>
    <w:link w:val="IndentedBodyTextChar"/>
    <w:semiHidden/>
    <w:rsid w:val="00C63553"/>
    <w:pPr>
      <w:spacing w:after="120" w:line="240" w:lineRule="atLeast"/>
      <w:ind w:left="360"/>
    </w:pPr>
    <w:rPr>
      <w:rFonts w:cs="Tahoma"/>
      <w:spacing w:val="4"/>
      <w:sz w:val="18"/>
      <w:szCs w:val="18"/>
    </w:rPr>
  </w:style>
  <w:style w:type="character" w:customStyle="1" w:styleId="IndentedBodyTextChar">
    <w:name w:val="Indented Body Text Char"/>
    <w:basedOn w:val="DefaultParagraphFont"/>
    <w:link w:val="IndentedBodyText"/>
    <w:rsid w:val="00C63553"/>
    <w:rPr>
      <w:rFonts w:ascii="Tahoma" w:hAnsi="Tahoma" w:cs="Tahoma"/>
      <w:spacing w:val="4"/>
      <w:sz w:val="18"/>
      <w:szCs w:val="18"/>
      <w:lang w:val="en-US" w:eastAsia="en-US" w:bidi="ar-SA"/>
    </w:rPr>
  </w:style>
  <w:style w:type="paragraph" w:customStyle="1" w:styleId="Chapter">
    <w:name w:val="Chapter"/>
    <w:basedOn w:val="Normal"/>
    <w:semiHidden/>
    <w:rsid w:val="00500201"/>
    <w:pPr>
      <w:framePr w:hSpace="187" w:wrap="around" w:vAnchor="page" w:hAnchor="margin" w:y="1081"/>
    </w:pPr>
    <w:rPr>
      <w:rFonts w:ascii="Verdana" w:hAnsi="Verdana"/>
      <w:caps/>
      <w:color w:val="808080"/>
      <w:sz w:val="22"/>
      <w:szCs w:val="22"/>
    </w:rPr>
  </w:style>
  <w:style w:type="paragraph" w:customStyle="1" w:styleId="ESHeading">
    <w:name w:val="ES Heading"/>
    <w:next w:val="BodyText"/>
    <w:rsid w:val="00675BF9"/>
    <w:pPr>
      <w:spacing w:before="240" w:after="40"/>
    </w:pPr>
    <w:rPr>
      <w:rFonts w:ascii="Tahoma" w:hAnsi="Tahoma"/>
      <w:b/>
      <w:color w:val="003E74" w:themeColor="text2"/>
      <w:sz w:val="22"/>
    </w:rPr>
  </w:style>
  <w:style w:type="paragraph" w:customStyle="1" w:styleId="BulletedListBold">
    <w:name w:val="Bulleted List Bold"/>
    <w:basedOn w:val="BulletedList"/>
    <w:link w:val="BulletedListBoldChar"/>
    <w:semiHidden/>
    <w:rsid w:val="00794BD9"/>
    <w:rPr>
      <w:b/>
      <w:bCs/>
    </w:rPr>
  </w:style>
  <w:style w:type="character" w:customStyle="1" w:styleId="BulletedListBoldChar">
    <w:name w:val="Bulleted List Bold Char"/>
    <w:basedOn w:val="BulletedListCharChar"/>
    <w:link w:val="BulletedListBold"/>
    <w:semiHidden/>
    <w:rsid w:val="00794BD9"/>
    <w:rPr>
      <w:b/>
      <w:bCs/>
    </w:rPr>
  </w:style>
  <w:style w:type="paragraph" w:customStyle="1" w:styleId="NumberedListBold">
    <w:name w:val="Numbered List Bold"/>
    <w:basedOn w:val="NumberedList"/>
    <w:link w:val="NumberedListBoldChar"/>
    <w:rsid w:val="00794BD9"/>
    <w:rPr>
      <w:b/>
      <w:bCs/>
    </w:rPr>
  </w:style>
  <w:style w:type="character" w:customStyle="1" w:styleId="NumberedListBoldChar">
    <w:name w:val="Numbered List Bold Char"/>
    <w:basedOn w:val="NumberedListCharChar"/>
    <w:link w:val="NumberedListBold"/>
    <w:rsid w:val="00E752F1"/>
    <w:rPr>
      <w:b/>
      <w:bCs/>
    </w:rPr>
  </w:style>
  <w:style w:type="paragraph" w:styleId="Header">
    <w:name w:val="header"/>
    <w:basedOn w:val="Normal"/>
    <w:semiHidden/>
    <w:rsid w:val="00D97C75"/>
    <w:pPr>
      <w:pBdr>
        <w:bottom w:val="single" w:sz="4" w:space="1" w:color="999999"/>
      </w:pBdr>
      <w:tabs>
        <w:tab w:val="center" w:pos="4320"/>
        <w:tab w:val="right" w:pos="8640"/>
      </w:tabs>
    </w:pPr>
    <w:rPr>
      <w:rFonts w:ascii="Verdana" w:hAnsi="Verdana"/>
      <w:color w:val="003E74" w:themeColor="text2"/>
      <w:sz w:val="16"/>
      <w:szCs w:val="16"/>
    </w:rPr>
  </w:style>
  <w:style w:type="paragraph" w:styleId="Footer">
    <w:name w:val="footer"/>
    <w:basedOn w:val="Normal"/>
    <w:semiHidden/>
    <w:rsid w:val="00D97C75"/>
    <w:pPr>
      <w:pBdr>
        <w:top w:val="single" w:sz="4" w:space="1" w:color="999999"/>
      </w:pBdr>
      <w:tabs>
        <w:tab w:val="right" w:pos="9009"/>
      </w:tabs>
    </w:pPr>
    <w:rPr>
      <w:rFonts w:ascii="Verdana" w:hAnsi="Verdana"/>
      <w:color w:val="003E74" w:themeColor="text2"/>
      <w:sz w:val="16"/>
      <w:szCs w:val="16"/>
    </w:rPr>
  </w:style>
  <w:style w:type="paragraph" w:customStyle="1" w:styleId="ReportNumber">
    <w:name w:val="Report Number"/>
    <w:basedOn w:val="Normal"/>
    <w:next w:val="ReportDate"/>
    <w:semiHidden/>
    <w:rsid w:val="005F1DE8"/>
    <w:pPr>
      <w:spacing w:before="600"/>
    </w:pPr>
    <w:rPr>
      <w:rFonts w:ascii="Verdana" w:hAnsi="Verdana"/>
      <w:b/>
      <w:color w:val="808080"/>
      <w:sz w:val="18"/>
      <w:szCs w:val="18"/>
    </w:rPr>
  </w:style>
  <w:style w:type="paragraph" w:customStyle="1" w:styleId="ReportDate">
    <w:name w:val="Report Date"/>
    <w:basedOn w:val="ReportNumber"/>
    <w:semiHidden/>
    <w:rsid w:val="005F1DE8"/>
    <w:rPr>
      <w:b w:val="0"/>
    </w:rPr>
  </w:style>
  <w:style w:type="paragraph" w:customStyle="1" w:styleId="ProjectManager">
    <w:name w:val="Project Manager"/>
    <w:basedOn w:val="ReportDate"/>
    <w:semiHidden/>
    <w:rsid w:val="006E11A7"/>
    <w:pPr>
      <w:spacing w:before="3000" w:line="312" w:lineRule="auto"/>
    </w:pPr>
  </w:style>
  <w:style w:type="paragraph" w:customStyle="1" w:styleId="ChapterTitle">
    <w:name w:val="Chapter Title"/>
    <w:basedOn w:val="InsideTitle"/>
    <w:next w:val="BodyText"/>
    <w:link w:val="ChapterTitleChar"/>
    <w:rsid w:val="008E3BFF"/>
    <w:pPr>
      <w:spacing w:before="600" w:after="600"/>
    </w:pPr>
    <w:rPr>
      <w:rFonts w:ascii="Tahoma" w:hAnsi="Tahoma"/>
      <w:caps/>
      <w:sz w:val="28"/>
      <w:szCs w:val="28"/>
    </w:rPr>
  </w:style>
  <w:style w:type="paragraph" w:styleId="TOC1">
    <w:name w:val="toc 1"/>
    <w:basedOn w:val="ChapterTitle"/>
    <w:next w:val="Normal"/>
    <w:uiPriority w:val="39"/>
    <w:rsid w:val="00C63995"/>
    <w:pPr>
      <w:numPr>
        <w:numId w:val="14"/>
      </w:numPr>
      <w:tabs>
        <w:tab w:val="clear" w:pos="0"/>
        <w:tab w:val="right" w:leader="dot" w:pos="9000"/>
      </w:tabs>
      <w:spacing w:before="240" w:after="0"/>
      <w:ind w:left="720" w:hanging="720"/>
    </w:pPr>
    <w:rPr>
      <w:noProof/>
      <w:sz w:val="20"/>
      <w:szCs w:val="20"/>
    </w:rPr>
  </w:style>
  <w:style w:type="paragraph" w:styleId="TOC2">
    <w:name w:val="toc 2"/>
    <w:basedOn w:val="Heading2"/>
    <w:next w:val="Normal"/>
    <w:uiPriority w:val="39"/>
    <w:rsid w:val="00D065AB"/>
    <w:pPr>
      <w:keepNext w:val="0"/>
      <w:tabs>
        <w:tab w:val="right" w:leader="dot" w:pos="9000"/>
      </w:tabs>
      <w:spacing w:before="40" w:after="60"/>
      <w:ind w:left="720"/>
    </w:pPr>
    <w:rPr>
      <w:b w:val="0"/>
      <w:noProof/>
      <w:color w:val="auto"/>
      <w:sz w:val="20"/>
    </w:rPr>
  </w:style>
  <w:style w:type="paragraph" w:styleId="TOC3">
    <w:name w:val="toc 3"/>
    <w:basedOn w:val="Normal"/>
    <w:next w:val="Normal"/>
    <w:link w:val="TOC3Char"/>
    <w:uiPriority w:val="39"/>
    <w:rsid w:val="00D065AB"/>
    <w:pPr>
      <w:tabs>
        <w:tab w:val="right" w:leader="dot" w:pos="9000"/>
      </w:tabs>
      <w:ind w:left="1440"/>
    </w:pPr>
    <w:rPr>
      <w:noProof/>
    </w:rPr>
  </w:style>
  <w:style w:type="character" w:styleId="Hyperlink">
    <w:name w:val="Hyperlink"/>
    <w:basedOn w:val="DefaultParagraphFont"/>
    <w:uiPriority w:val="99"/>
    <w:rsid w:val="008554E6"/>
    <w:rPr>
      <w:color w:val="0000FF"/>
      <w:u w:val="single"/>
    </w:rPr>
  </w:style>
  <w:style w:type="paragraph" w:customStyle="1" w:styleId="ContentsTitle">
    <w:name w:val="Contents Title"/>
    <w:basedOn w:val="ChapterTitle"/>
    <w:semiHidden/>
    <w:rsid w:val="007140C2"/>
  </w:style>
  <w:style w:type="character" w:styleId="PageNumber">
    <w:name w:val="page number"/>
    <w:basedOn w:val="DefaultParagraphFont"/>
    <w:semiHidden/>
    <w:rsid w:val="00AE565E"/>
    <w:rPr>
      <w:rFonts w:ascii="Verdana" w:hAnsi="Verdana"/>
      <w:color w:val="008000"/>
      <w:sz w:val="16"/>
    </w:rPr>
  </w:style>
  <w:style w:type="numbering" w:styleId="111111">
    <w:name w:val="Outline List 2"/>
    <w:basedOn w:val="NoList"/>
    <w:semiHidden/>
    <w:rsid w:val="00FD5585"/>
    <w:pPr>
      <w:numPr>
        <w:numId w:val="13"/>
      </w:numPr>
    </w:pPr>
  </w:style>
  <w:style w:type="table" w:customStyle="1" w:styleId="EnerNOCReportTable">
    <w:name w:val="EnerNOC Report Table"/>
    <w:basedOn w:val="TableNormal"/>
    <w:rsid w:val="00E32910"/>
    <w:rPr>
      <w:rFonts w:ascii="Calibri" w:hAnsi="Calibri"/>
    </w:rPr>
    <w:tblPr>
      <w:tblInd w:w="1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8" w:type="dxa"/>
        <w:left w:w="115" w:type="dxa"/>
        <w:bottom w:w="58" w:type="dxa"/>
        <w:right w:w="115" w:type="dxa"/>
      </w:tblCellMar>
    </w:tblPr>
    <w:tcPr>
      <w:vAlign w:val="center"/>
    </w:tcPr>
    <w:tblStylePr w:type="firstRow">
      <w:pPr>
        <w:jc w:val="center"/>
      </w:pPr>
      <w:rPr>
        <w:rFonts w:ascii="Calibri" w:hAnsi="Calibri"/>
        <w:b/>
        <w:color w:val="FFFFFF" w:themeColor="background1"/>
        <w:sz w:val="20"/>
      </w:rPr>
      <w:tblPr/>
      <w:tcPr>
        <w:shd w:val="clear" w:color="auto" w:fill="003E74" w:themeFill="text2"/>
        <w:vAlign w:val="bottom"/>
      </w:tcPr>
    </w:tblStylePr>
  </w:style>
  <w:style w:type="paragraph" w:styleId="BodyText2">
    <w:name w:val="Body Text 2"/>
    <w:basedOn w:val="Normal"/>
    <w:semiHidden/>
    <w:rsid w:val="00FD5585"/>
    <w:pPr>
      <w:spacing w:after="120" w:line="480" w:lineRule="auto"/>
    </w:pPr>
  </w:style>
  <w:style w:type="paragraph" w:styleId="BodyText3">
    <w:name w:val="Body Text 3"/>
    <w:basedOn w:val="Normal"/>
    <w:semiHidden/>
    <w:rsid w:val="00FD5585"/>
    <w:pPr>
      <w:spacing w:after="120"/>
    </w:pPr>
    <w:rPr>
      <w:sz w:val="16"/>
      <w:szCs w:val="16"/>
    </w:rPr>
  </w:style>
  <w:style w:type="table" w:styleId="TableColorful2">
    <w:name w:val="Table Colorful 2"/>
    <w:basedOn w:val="TableNormal"/>
    <w:semiHidden/>
    <w:rsid w:val="00FD558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558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558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558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558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558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558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558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558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D5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FD558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558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558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558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558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558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558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558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558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558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558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558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558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558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558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558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558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558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558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558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558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558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5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D558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558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558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ableofFigures">
    <w:name w:val="table of figures"/>
    <w:basedOn w:val="TOC2"/>
    <w:next w:val="Normal"/>
    <w:uiPriority w:val="99"/>
    <w:rsid w:val="00634203"/>
    <w:pPr>
      <w:ind w:left="1274" w:hanging="1274"/>
    </w:pPr>
  </w:style>
  <w:style w:type="paragraph" w:customStyle="1" w:styleId="Figure">
    <w:name w:val="Figure"/>
    <w:basedOn w:val="BodyText"/>
    <w:rsid w:val="00C63995"/>
    <w:pPr>
      <w:spacing w:after="240" w:line="240" w:lineRule="auto"/>
    </w:pPr>
  </w:style>
  <w:style w:type="paragraph" w:customStyle="1" w:styleId="FigureCaption">
    <w:name w:val="Figure Caption"/>
    <w:basedOn w:val="TableFigureCaption"/>
    <w:next w:val="BodyText"/>
    <w:rsid w:val="00B16F29"/>
    <w:pPr>
      <w:keepNext w:val="0"/>
      <w:spacing w:before="60" w:after="240"/>
    </w:pPr>
  </w:style>
  <w:style w:type="paragraph" w:styleId="FootnoteText">
    <w:name w:val="footnote text"/>
    <w:link w:val="FootnoteTextChar"/>
    <w:rsid w:val="00D156E0"/>
    <w:rPr>
      <w:rFonts w:ascii="Tahoma" w:hAnsi="Tahoma"/>
      <w:sz w:val="15"/>
      <w:szCs w:val="15"/>
    </w:rPr>
  </w:style>
  <w:style w:type="character" w:styleId="FootnoteReference">
    <w:name w:val="footnote reference"/>
    <w:basedOn w:val="DefaultParagraphFont"/>
    <w:rsid w:val="00C122EB"/>
    <w:rPr>
      <w:rFonts w:ascii="Tahoma" w:hAnsi="Tahoma"/>
      <w:dstrike w:val="0"/>
      <w:sz w:val="16"/>
      <w:szCs w:val="18"/>
      <w:vertAlign w:val="superscript"/>
    </w:rPr>
  </w:style>
  <w:style w:type="numbering" w:styleId="1ai">
    <w:name w:val="Outline List 1"/>
    <w:basedOn w:val="NoList"/>
    <w:semiHidden/>
    <w:rsid w:val="00DF1839"/>
    <w:pPr>
      <w:numPr>
        <w:numId w:val="15"/>
      </w:numPr>
    </w:pPr>
  </w:style>
  <w:style w:type="numbering" w:styleId="ArticleSection">
    <w:name w:val="Outline List 3"/>
    <w:basedOn w:val="NoList"/>
    <w:semiHidden/>
    <w:rsid w:val="00DF1839"/>
    <w:pPr>
      <w:numPr>
        <w:numId w:val="16"/>
      </w:numPr>
    </w:pPr>
  </w:style>
  <w:style w:type="paragraph" w:styleId="BlockText">
    <w:name w:val="Block Text"/>
    <w:basedOn w:val="Normal"/>
    <w:semiHidden/>
    <w:rsid w:val="00DF1839"/>
    <w:pPr>
      <w:spacing w:after="120"/>
      <w:ind w:left="1440" w:right="1440"/>
    </w:pPr>
  </w:style>
  <w:style w:type="paragraph" w:styleId="BodyTextFirstIndent">
    <w:name w:val="Body Text First Indent"/>
    <w:basedOn w:val="BodyText"/>
    <w:semiHidden/>
    <w:rsid w:val="00DF1839"/>
    <w:pPr>
      <w:spacing w:line="240" w:lineRule="auto"/>
      <w:ind w:firstLine="210"/>
    </w:pPr>
    <w:rPr>
      <w:rFonts w:ascii="Times New Roman" w:hAnsi="Times New Roman"/>
      <w:spacing w:val="0"/>
      <w:sz w:val="24"/>
      <w:szCs w:val="24"/>
    </w:rPr>
  </w:style>
  <w:style w:type="paragraph" w:styleId="BodyTextIndent">
    <w:name w:val="Body Text Indent"/>
    <w:basedOn w:val="Normal"/>
    <w:semiHidden/>
    <w:rsid w:val="00DF1839"/>
    <w:pPr>
      <w:spacing w:after="120"/>
      <w:ind w:left="360"/>
    </w:pPr>
  </w:style>
  <w:style w:type="paragraph" w:styleId="BodyTextFirstIndent2">
    <w:name w:val="Body Text First Indent 2"/>
    <w:basedOn w:val="BodyTextIndent"/>
    <w:semiHidden/>
    <w:rsid w:val="00DF1839"/>
    <w:pPr>
      <w:ind w:firstLine="210"/>
    </w:pPr>
  </w:style>
  <w:style w:type="paragraph" w:styleId="BodyTextIndent2">
    <w:name w:val="Body Text Indent 2"/>
    <w:basedOn w:val="Normal"/>
    <w:semiHidden/>
    <w:rsid w:val="00DF1839"/>
    <w:pPr>
      <w:spacing w:after="120" w:line="480" w:lineRule="auto"/>
      <w:ind w:left="360"/>
    </w:pPr>
  </w:style>
  <w:style w:type="paragraph" w:styleId="BodyTextIndent3">
    <w:name w:val="Body Text Indent 3"/>
    <w:basedOn w:val="Normal"/>
    <w:semiHidden/>
    <w:rsid w:val="00DF1839"/>
    <w:pPr>
      <w:spacing w:after="120"/>
      <w:ind w:left="360"/>
    </w:pPr>
    <w:rPr>
      <w:sz w:val="16"/>
      <w:szCs w:val="16"/>
    </w:rPr>
  </w:style>
  <w:style w:type="paragraph" w:styleId="Closing">
    <w:name w:val="Closing"/>
    <w:basedOn w:val="Normal"/>
    <w:semiHidden/>
    <w:rsid w:val="00DF1839"/>
    <w:pPr>
      <w:ind w:left="4320"/>
    </w:pPr>
  </w:style>
  <w:style w:type="paragraph" w:styleId="E-mailSignature">
    <w:name w:val="E-mail Signature"/>
    <w:basedOn w:val="Normal"/>
    <w:semiHidden/>
    <w:rsid w:val="00DF1839"/>
  </w:style>
  <w:style w:type="character" w:styleId="Emphasis">
    <w:name w:val="Emphasis"/>
    <w:basedOn w:val="DefaultParagraphFont"/>
    <w:qFormat/>
    <w:rsid w:val="00710B00"/>
    <w:rPr>
      <w:b/>
      <w:iCs/>
      <w:color w:val="003E74" w:themeColor="text2"/>
    </w:rPr>
  </w:style>
  <w:style w:type="paragraph" w:styleId="EnvelopeAddress">
    <w:name w:val="envelope address"/>
    <w:basedOn w:val="Normal"/>
    <w:semiHidden/>
    <w:rsid w:val="00DF1839"/>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DF1839"/>
    <w:rPr>
      <w:rFonts w:ascii="Arial" w:hAnsi="Arial" w:cs="Arial"/>
      <w:szCs w:val="20"/>
    </w:rPr>
  </w:style>
  <w:style w:type="character" w:styleId="FollowedHyperlink">
    <w:name w:val="FollowedHyperlink"/>
    <w:basedOn w:val="DefaultParagraphFont"/>
    <w:semiHidden/>
    <w:rsid w:val="00DF1839"/>
    <w:rPr>
      <w:color w:val="800080"/>
      <w:u w:val="single"/>
    </w:rPr>
  </w:style>
  <w:style w:type="character" w:styleId="HTMLAcronym">
    <w:name w:val="HTML Acronym"/>
    <w:basedOn w:val="DefaultParagraphFont"/>
    <w:semiHidden/>
    <w:rsid w:val="00DF1839"/>
  </w:style>
  <w:style w:type="paragraph" w:styleId="HTMLAddress">
    <w:name w:val="HTML Address"/>
    <w:basedOn w:val="Normal"/>
    <w:semiHidden/>
    <w:rsid w:val="00DF1839"/>
    <w:rPr>
      <w:i/>
      <w:iCs/>
    </w:rPr>
  </w:style>
  <w:style w:type="character" w:styleId="HTMLCite">
    <w:name w:val="HTML Cite"/>
    <w:basedOn w:val="DefaultParagraphFont"/>
    <w:semiHidden/>
    <w:rsid w:val="00DF1839"/>
    <w:rPr>
      <w:i/>
      <w:iCs/>
    </w:rPr>
  </w:style>
  <w:style w:type="character" w:styleId="HTMLCode">
    <w:name w:val="HTML Code"/>
    <w:basedOn w:val="DefaultParagraphFont"/>
    <w:semiHidden/>
    <w:rsid w:val="00DF1839"/>
    <w:rPr>
      <w:rFonts w:ascii="Courier New" w:hAnsi="Courier New" w:cs="Courier New"/>
      <w:sz w:val="20"/>
      <w:szCs w:val="20"/>
    </w:rPr>
  </w:style>
  <w:style w:type="character" w:styleId="HTMLDefinition">
    <w:name w:val="HTML Definition"/>
    <w:basedOn w:val="DefaultParagraphFont"/>
    <w:semiHidden/>
    <w:rsid w:val="00DF1839"/>
    <w:rPr>
      <w:i/>
      <w:iCs/>
    </w:rPr>
  </w:style>
  <w:style w:type="character" w:styleId="HTMLKeyboard">
    <w:name w:val="HTML Keyboard"/>
    <w:basedOn w:val="DefaultParagraphFont"/>
    <w:semiHidden/>
    <w:rsid w:val="00DF1839"/>
    <w:rPr>
      <w:rFonts w:ascii="Courier New" w:hAnsi="Courier New" w:cs="Courier New"/>
      <w:sz w:val="20"/>
      <w:szCs w:val="20"/>
    </w:rPr>
  </w:style>
  <w:style w:type="paragraph" w:styleId="HTMLPreformatted">
    <w:name w:val="HTML Preformatted"/>
    <w:basedOn w:val="Normal"/>
    <w:semiHidden/>
    <w:rsid w:val="00DF1839"/>
    <w:rPr>
      <w:rFonts w:ascii="Courier New" w:hAnsi="Courier New" w:cs="Courier New"/>
      <w:szCs w:val="20"/>
    </w:rPr>
  </w:style>
  <w:style w:type="character" w:styleId="HTMLSample">
    <w:name w:val="HTML Sample"/>
    <w:basedOn w:val="DefaultParagraphFont"/>
    <w:semiHidden/>
    <w:rsid w:val="00DF1839"/>
    <w:rPr>
      <w:rFonts w:ascii="Courier New" w:hAnsi="Courier New" w:cs="Courier New"/>
    </w:rPr>
  </w:style>
  <w:style w:type="character" w:styleId="HTMLTypewriter">
    <w:name w:val="HTML Typewriter"/>
    <w:basedOn w:val="DefaultParagraphFont"/>
    <w:semiHidden/>
    <w:rsid w:val="00DF1839"/>
    <w:rPr>
      <w:rFonts w:ascii="Courier New" w:hAnsi="Courier New" w:cs="Courier New"/>
      <w:sz w:val="20"/>
      <w:szCs w:val="20"/>
    </w:rPr>
  </w:style>
  <w:style w:type="character" w:styleId="HTMLVariable">
    <w:name w:val="HTML Variable"/>
    <w:basedOn w:val="DefaultParagraphFont"/>
    <w:semiHidden/>
    <w:rsid w:val="00DF1839"/>
    <w:rPr>
      <w:i/>
      <w:iCs/>
    </w:rPr>
  </w:style>
  <w:style w:type="character" w:styleId="LineNumber">
    <w:name w:val="line number"/>
    <w:basedOn w:val="DefaultParagraphFont"/>
    <w:semiHidden/>
    <w:rsid w:val="00DF1839"/>
  </w:style>
  <w:style w:type="paragraph" w:styleId="List">
    <w:name w:val="List"/>
    <w:basedOn w:val="Normal"/>
    <w:semiHidden/>
    <w:rsid w:val="00DF1839"/>
    <w:pPr>
      <w:ind w:left="360" w:hanging="360"/>
    </w:pPr>
  </w:style>
  <w:style w:type="paragraph" w:styleId="List2">
    <w:name w:val="List 2"/>
    <w:basedOn w:val="Normal"/>
    <w:semiHidden/>
    <w:rsid w:val="00DF1839"/>
    <w:pPr>
      <w:ind w:left="720" w:hanging="360"/>
    </w:pPr>
  </w:style>
  <w:style w:type="paragraph" w:styleId="List3">
    <w:name w:val="List 3"/>
    <w:basedOn w:val="Normal"/>
    <w:semiHidden/>
    <w:rsid w:val="00DF1839"/>
    <w:pPr>
      <w:ind w:left="1080" w:hanging="360"/>
    </w:pPr>
  </w:style>
  <w:style w:type="paragraph" w:styleId="List4">
    <w:name w:val="List 4"/>
    <w:basedOn w:val="Normal"/>
    <w:semiHidden/>
    <w:rsid w:val="00DF1839"/>
    <w:pPr>
      <w:ind w:left="1440" w:hanging="360"/>
    </w:pPr>
  </w:style>
  <w:style w:type="paragraph" w:styleId="List5">
    <w:name w:val="List 5"/>
    <w:basedOn w:val="Normal"/>
    <w:semiHidden/>
    <w:rsid w:val="00DF1839"/>
    <w:pPr>
      <w:ind w:left="1800" w:hanging="360"/>
    </w:pPr>
  </w:style>
  <w:style w:type="paragraph" w:styleId="ListBullet">
    <w:name w:val="List Bullet"/>
    <w:basedOn w:val="Normal"/>
    <w:semiHidden/>
    <w:rsid w:val="00DF1839"/>
    <w:pPr>
      <w:numPr>
        <w:numId w:val="3"/>
      </w:numPr>
    </w:pPr>
  </w:style>
  <w:style w:type="paragraph" w:styleId="ListBullet2">
    <w:name w:val="List Bullet 2"/>
    <w:basedOn w:val="Normal"/>
    <w:semiHidden/>
    <w:rsid w:val="00DF1839"/>
    <w:pPr>
      <w:numPr>
        <w:numId w:val="4"/>
      </w:numPr>
    </w:pPr>
  </w:style>
  <w:style w:type="paragraph" w:styleId="ListBullet3">
    <w:name w:val="List Bullet 3"/>
    <w:basedOn w:val="Normal"/>
    <w:semiHidden/>
    <w:rsid w:val="00DF1839"/>
    <w:pPr>
      <w:numPr>
        <w:numId w:val="5"/>
      </w:numPr>
    </w:pPr>
  </w:style>
  <w:style w:type="paragraph" w:styleId="ListBullet4">
    <w:name w:val="List Bullet 4"/>
    <w:basedOn w:val="Normal"/>
    <w:semiHidden/>
    <w:rsid w:val="00DF1839"/>
    <w:pPr>
      <w:numPr>
        <w:numId w:val="6"/>
      </w:numPr>
    </w:pPr>
  </w:style>
  <w:style w:type="paragraph" w:styleId="ListBullet5">
    <w:name w:val="List Bullet 5"/>
    <w:basedOn w:val="Normal"/>
    <w:semiHidden/>
    <w:rsid w:val="00DF1839"/>
    <w:pPr>
      <w:numPr>
        <w:numId w:val="7"/>
      </w:numPr>
    </w:pPr>
  </w:style>
  <w:style w:type="paragraph" w:styleId="ListContinue">
    <w:name w:val="List Continue"/>
    <w:basedOn w:val="Normal"/>
    <w:semiHidden/>
    <w:rsid w:val="00DF1839"/>
    <w:pPr>
      <w:spacing w:after="120"/>
      <w:ind w:left="360"/>
    </w:pPr>
  </w:style>
  <w:style w:type="paragraph" w:styleId="ListContinue2">
    <w:name w:val="List Continue 2"/>
    <w:basedOn w:val="Normal"/>
    <w:semiHidden/>
    <w:rsid w:val="00DF1839"/>
    <w:pPr>
      <w:spacing w:after="120"/>
      <w:ind w:left="720"/>
    </w:pPr>
  </w:style>
  <w:style w:type="paragraph" w:styleId="ListContinue3">
    <w:name w:val="List Continue 3"/>
    <w:basedOn w:val="Normal"/>
    <w:semiHidden/>
    <w:rsid w:val="00DF1839"/>
    <w:pPr>
      <w:spacing w:after="120"/>
      <w:ind w:left="1080"/>
    </w:pPr>
  </w:style>
  <w:style w:type="paragraph" w:styleId="ListContinue4">
    <w:name w:val="List Continue 4"/>
    <w:basedOn w:val="Normal"/>
    <w:semiHidden/>
    <w:rsid w:val="00DF1839"/>
    <w:pPr>
      <w:spacing w:after="120"/>
      <w:ind w:left="1440"/>
    </w:pPr>
  </w:style>
  <w:style w:type="paragraph" w:styleId="ListContinue5">
    <w:name w:val="List Continue 5"/>
    <w:basedOn w:val="Normal"/>
    <w:semiHidden/>
    <w:rsid w:val="00DF1839"/>
    <w:pPr>
      <w:spacing w:after="120"/>
      <w:ind w:left="1800"/>
    </w:pPr>
  </w:style>
  <w:style w:type="paragraph" w:styleId="ListNumber">
    <w:name w:val="List Number"/>
    <w:basedOn w:val="Normal"/>
    <w:semiHidden/>
    <w:rsid w:val="00DF1839"/>
    <w:pPr>
      <w:numPr>
        <w:numId w:val="8"/>
      </w:numPr>
    </w:pPr>
  </w:style>
  <w:style w:type="paragraph" w:styleId="ListNumber2">
    <w:name w:val="List Number 2"/>
    <w:basedOn w:val="Normal"/>
    <w:semiHidden/>
    <w:rsid w:val="00DF1839"/>
    <w:pPr>
      <w:numPr>
        <w:numId w:val="9"/>
      </w:numPr>
    </w:pPr>
  </w:style>
  <w:style w:type="paragraph" w:styleId="ListNumber3">
    <w:name w:val="List Number 3"/>
    <w:basedOn w:val="Normal"/>
    <w:semiHidden/>
    <w:rsid w:val="00DF1839"/>
    <w:pPr>
      <w:numPr>
        <w:numId w:val="10"/>
      </w:numPr>
    </w:pPr>
  </w:style>
  <w:style w:type="paragraph" w:styleId="ListNumber4">
    <w:name w:val="List Number 4"/>
    <w:basedOn w:val="Normal"/>
    <w:semiHidden/>
    <w:rsid w:val="00DF1839"/>
    <w:pPr>
      <w:numPr>
        <w:numId w:val="11"/>
      </w:numPr>
    </w:pPr>
  </w:style>
  <w:style w:type="paragraph" w:styleId="ListNumber5">
    <w:name w:val="List Number 5"/>
    <w:basedOn w:val="Normal"/>
    <w:semiHidden/>
    <w:rsid w:val="00DF1839"/>
    <w:pPr>
      <w:numPr>
        <w:numId w:val="12"/>
      </w:numPr>
    </w:pPr>
  </w:style>
  <w:style w:type="paragraph" w:styleId="MessageHeader">
    <w:name w:val="Message Header"/>
    <w:basedOn w:val="Normal"/>
    <w:semiHidden/>
    <w:rsid w:val="00DF183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DF1839"/>
  </w:style>
  <w:style w:type="paragraph" w:styleId="NormalIndent">
    <w:name w:val="Normal Indent"/>
    <w:basedOn w:val="Normal"/>
    <w:semiHidden/>
    <w:rsid w:val="00DF1839"/>
    <w:pPr>
      <w:ind w:left="720"/>
    </w:pPr>
  </w:style>
  <w:style w:type="paragraph" w:styleId="NoteHeading">
    <w:name w:val="Note Heading"/>
    <w:basedOn w:val="Normal"/>
    <w:next w:val="Normal"/>
    <w:semiHidden/>
    <w:rsid w:val="00DF1839"/>
  </w:style>
  <w:style w:type="paragraph" w:styleId="PlainText">
    <w:name w:val="Plain Text"/>
    <w:basedOn w:val="Normal"/>
    <w:semiHidden/>
    <w:rsid w:val="00DF1839"/>
    <w:rPr>
      <w:rFonts w:ascii="Courier New" w:hAnsi="Courier New" w:cs="Courier New"/>
      <w:szCs w:val="20"/>
    </w:rPr>
  </w:style>
  <w:style w:type="paragraph" w:styleId="Salutation">
    <w:name w:val="Salutation"/>
    <w:basedOn w:val="Normal"/>
    <w:next w:val="Normal"/>
    <w:semiHidden/>
    <w:rsid w:val="00DF1839"/>
  </w:style>
  <w:style w:type="paragraph" w:styleId="Signature">
    <w:name w:val="Signature"/>
    <w:basedOn w:val="Normal"/>
    <w:semiHidden/>
    <w:rsid w:val="00DF1839"/>
    <w:pPr>
      <w:ind w:left="4320"/>
    </w:pPr>
  </w:style>
  <w:style w:type="paragraph" w:styleId="TOC4">
    <w:name w:val="toc 4"/>
    <w:basedOn w:val="Normal"/>
    <w:next w:val="Normal"/>
    <w:autoRedefine/>
    <w:uiPriority w:val="39"/>
    <w:semiHidden/>
    <w:rsid w:val="00351A80"/>
    <w:pPr>
      <w:spacing w:after="100"/>
      <w:ind w:left="600"/>
    </w:pPr>
  </w:style>
  <w:style w:type="table" w:styleId="Table3Deffects1">
    <w:name w:val="Table 3D effects 1"/>
    <w:basedOn w:val="TableNormal"/>
    <w:semiHidden/>
    <w:rsid w:val="00DF183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F183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F183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F183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F183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F183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F183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F183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Date">
    <w:name w:val="Date"/>
    <w:basedOn w:val="Normal"/>
    <w:next w:val="Normal"/>
    <w:semiHidden/>
    <w:rsid w:val="00DF1839"/>
  </w:style>
  <w:style w:type="character" w:customStyle="1" w:styleId="BodyTextChar1">
    <w:name w:val="Body Text Char1"/>
    <w:basedOn w:val="DefaultParagraphFont"/>
    <w:semiHidden/>
    <w:rsid w:val="00AA71E5"/>
    <w:rPr>
      <w:rFonts w:ascii="Tahoma" w:hAnsi="Tahoma"/>
      <w:spacing w:val="4"/>
      <w:sz w:val="18"/>
      <w:szCs w:val="18"/>
      <w:lang w:val="en-US" w:eastAsia="en-US" w:bidi="ar-SA"/>
    </w:rPr>
  </w:style>
  <w:style w:type="paragraph" w:styleId="BalloonText">
    <w:name w:val="Balloon Text"/>
    <w:basedOn w:val="Normal"/>
    <w:link w:val="BalloonTextChar"/>
    <w:semiHidden/>
    <w:rsid w:val="00944D49"/>
    <w:rPr>
      <w:rFonts w:cs="Tahoma"/>
      <w:sz w:val="16"/>
      <w:szCs w:val="16"/>
    </w:rPr>
  </w:style>
  <w:style w:type="character" w:customStyle="1" w:styleId="BalloonTextChar">
    <w:name w:val="Balloon Text Char"/>
    <w:basedOn w:val="DefaultParagraphFont"/>
    <w:link w:val="BalloonText"/>
    <w:semiHidden/>
    <w:rsid w:val="00D065AB"/>
    <w:rPr>
      <w:rFonts w:ascii="Tahoma" w:hAnsi="Tahoma" w:cs="Tahoma"/>
      <w:sz w:val="16"/>
      <w:szCs w:val="16"/>
    </w:rPr>
  </w:style>
  <w:style w:type="paragraph" w:customStyle="1" w:styleId="AppendixTitle">
    <w:name w:val="Appendix Title"/>
    <w:basedOn w:val="ChapterTitle"/>
    <w:next w:val="BodyText"/>
    <w:link w:val="AppendixTitleChar"/>
    <w:qFormat/>
    <w:rsid w:val="00351A80"/>
  </w:style>
  <w:style w:type="paragraph" w:styleId="TOC6">
    <w:name w:val="toc 6"/>
    <w:basedOn w:val="AppendixTitle"/>
    <w:next w:val="Normal"/>
    <w:uiPriority w:val="39"/>
    <w:rsid w:val="00C63995"/>
    <w:pPr>
      <w:keepNext w:val="0"/>
      <w:numPr>
        <w:numId w:val="18"/>
      </w:numPr>
      <w:tabs>
        <w:tab w:val="right" w:leader="dot" w:pos="9000"/>
      </w:tabs>
      <w:spacing w:before="240" w:after="100"/>
      <w:ind w:left="720" w:hanging="720"/>
    </w:pPr>
    <w:rPr>
      <w:noProof/>
      <w:sz w:val="20"/>
    </w:rPr>
  </w:style>
  <w:style w:type="character" w:customStyle="1" w:styleId="InsideTitleChar">
    <w:name w:val="Inside Title Char"/>
    <w:basedOn w:val="DefaultParagraphFont"/>
    <w:link w:val="InsideTitle"/>
    <w:semiHidden/>
    <w:rsid w:val="009A6F01"/>
    <w:rPr>
      <w:rFonts w:ascii="Verdana" w:hAnsi="Verdana"/>
      <w:b/>
      <w:sz w:val="32"/>
    </w:rPr>
  </w:style>
  <w:style w:type="character" w:customStyle="1" w:styleId="ChapterTitleChar">
    <w:name w:val="Chapter Title Char"/>
    <w:basedOn w:val="InsideTitleChar"/>
    <w:link w:val="ChapterTitle"/>
    <w:rsid w:val="009A6F01"/>
    <w:rPr>
      <w:rFonts w:ascii="Tahoma" w:hAnsi="Tahoma"/>
      <w:b/>
      <w:caps/>
      <w:sz w:val="28"/>
      <w:szCs w:val="28"/>
    </w:rPr>
  </w:style>
  <w:style w:type="character" w:customStyle="1" w:styleId="Heading6Char">
    <w:name w:val="Heading 6 Char"/>
    <w:aliases w:val="Appendix Level Char"/>
    <w:basedOn w:val="ChapterTitleChar"/>
    <w:link w:val="Heading6"/>
    <w:rsid w:val="009A6F01"/>
    <w:rPr>
      <w:b/>
      <w:bCs/>
      <w:caps/>
      <w:sz w:val="22"/>
      <w:szCs w:val="22"/>
    </w:rPr>
  </w:style>
  <w:style w:type="character" w:customStyle="1" w:styleId="AppendixTitleChar">
    <w:name w:val="Appendix Title Char"/>
    <w:basedOn w:val="ChapterTitleChar"/>
    <w:link w:val="AppendixTitle"/>
    <w:rsid w:val="00351A80"/>
    <w:rPr>
      <w:rFonts w:ascii="Tahoma" w:hAnsi="Tahoma"/>
      <w:b/>
      <w:caps/>
      <w:sz w:val="28"/>
      <w:szCs w:val="28"/>
    </w:rPr>
  </w:style>
  <w:style w:type="character" w:customStyle="1" w:styleId="Heading3Char">
    <w:name w:val="Heading 3 Char"/>
    <w:aliases w:val="2nd Lvl Head Char"/>
    <w:basedOn w:val="DefaultParagraphFont"/>
    <w:link w:val="Heading3"/>
    <w:rsid w:val="00D065AB"/>
    <w:rPr>
      <w:rFonts w:ascii="Tahoma" w:hAnsi="Tahoma" w:cs="Arial"/>
      <w:b/>
      <w:bCs/>
      <w:sz w:val="22"/>
      <w:szCs w:val="18"/>
    </w:rPr>
  </w:style>
  <w:style w:type="character" w:customStyle="1" w:styleId="TOC3Char">
    <w:name w:val="TOC 3 Char"/>
    <w:basedOn w:val="Heading3Char"/>
    <w:link w:val="TOC3"/>
    <w:uiPriority w:val="39"/>
    <w:rsid w:val="00D065AB"/>
    <w:rPr>
      <w:rFonts w:ascii="Tahoma" w:hAnsi="Tahoma" w:cs="Arial"/>
      <w:b/>
      <w:bCs/>
      <w:noProof/>
      <w:sz w:val="22"/>
      <w:szCs w:val="24"/>
    </w:rPr>
  </w:style>
  <w:style w:type="paragraph" w:styleId="TOCHeading">
    <w:name w:val="TOC Heading"/>
    <w:basedOn w:val="Heading1"/>
    <w:next w:val="Normal"/>
    <w:uiPriority w:val="39"/>
    <w:semiHidden/>
    <w:qFormat/>
    <w:rsid w:val="008139DD"/>
    <w:pPr>
      <w:keepNext/>
      <w:keepLines/>
      <w:numPr>
        <w:numId w:val="0"/>
      </w:numPr>
      <w:spacing w:before="480" w:line="276" w:lineRule="auto"/>
      <w:outlineLvl w:val="9"/>
    </w:pPr>
    <w:rPr>
      <w:rFonts w:asciiTheme="majorHAnsi" w:eastAsiaTheme="majorEastAsia" w:hAnsiTheme="majorHAnsi" w:cstheme="majorBidi"/>
      <w:bCs/>
      <w:caps w:val="0"/>
      <w:color w:val="395975" w:themeColor="accent1" w:themeShade="BF"/>
      <w:sz w:val="28"/>
      <w:szCs w:val="28"/>
    </w:rPr>
  </w:style>
  <w:style w:type="table" w:customStyle="1" w:styleId="LightShading-Accent11">
    <w:name w:val="Light Shading - Accent 11"/>
    <w:basedOn w:val="TableNormal"/>
    <w:uiPriority w:val="60"/>
    <w:rsid w:val="00184364"/>
    <w:rPr>
      <w:color w:val="395975" w:themeColor="accent1" w:themeShade="BF"/>
    </w:rPr>
    <w:tblPr>
      <w:tblStyleRowBandSize w:val="1"/>
      <w:tblStyleColBandSize w:val="1"/>
      <w:tblInd w:w="0" w:type="dxa"/>
      <w:tblBorders>
        <w:top w:val="single" w:sz="8" w:space="0" w:color="4C789D" w:themeColor="accent1"/>
        <w:bottom w:val="single" w:sz="8" w:space="0" w:color="4C789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C789D" w:themeColor="accent1"/>
          <w:left w:val="nil"/>
          <w:bottom w:val="single" w:sz="8" w:space="0" w:color="4C789D" w:themeColor="accent1"/>
          <w:right w:val="nil"/>
          <w:insideH w:val="nil"/>
          <w:insideV w:val="nil"/>
        </w:tcBorders>
      </w:tcPr>
    </w:tblStylePr>
    <w:tblStylePr w:type="lastRow">
      <w:pPr>
        <w:spacing w:before="0" w:after="0" w:line="240" w:lineRule="auto"/>
      </w:pPr>
      <w:rPr>
        <w:b/>
        <w:bCs/>
      </w:rPr>
      <w:tblPr/>
      <w:tcPr>
        <w:tcBorders>
          <w:top w:val="single" w:sz="8" w:space="0" w:color="4C789D" w:themeColor="accent1"/>
          <w:left w:val="nil"/>
          <w:bottom w:val="single" w:sz="8" w:space="0" w:color="4C789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8" w:themeFill="accent1" w:themeFillTint="3F"/>
      </w:tcPr>
    </w:tblStylePr>
    <w:tblStylePr w:type="band1Horz">
      <w:tblPr/>
      <w:tcPr>
        <w:tcBorders>
          <w:left w:val="nil"/>
          <w:right w:val="nil"/>
          <w:insideH w:val="nil"/>
          <w:insideV w:val="nil"/>
        </w:tcBorders>
        <w:shd w:val="clear" w:color="auto" w:fill="D0DDE8" w:themeFill="accent1" w:themeFillTint="3F"/>
      </w:tcPr>
    </w:tblStylePr>
  </w:style>
  <w:style w:type="paragraph" w:customStyle="1" w:styleId="ReportTitle">
    <w:name w:val="Report Title"/>
    <w:basedOn w:val="Normal"/>
    <w:qFormat/>
    <w:rsid w:val="00B500AE"/>
    <w:pPr>
      <w:spacing w:before="120"/>
    </w:pPr>
    <w:rPr>
      <w:b/>
      <w:smallCaps/>
      <w:color w:val="003E74" w:themeColor="text2"/>
      <w:sz w:val="28"/>
    </w:rPr>
  </w:style>
  <w:style w:type="paragraph" w:customStyle="1" w:styleId="ReportData">
    <w:name w:val="Report Data"/>
    <w:basedOn w:val="Normal"/>
    <w:qFormat/>
    <w:rsid w:val="00B500AE"/>
    <w:rPr>
      <w:color w:val="003E74" w:themeColor="text2"/>
    </w:rPr>
  </w:style>
  <w:style w:type="paragraph" w:customStyle="1" w:styleId="ESTitle">
    <w:name w:val="ES Title"/>
    <w:basedOn w:val="ContentsTitle"/>
    <w:qFormat/>
    <w:rsid w:val="00FC2658"/>
  </w:style>
  <w:style w:type="paragraph" w:styleId="TOC7">
    <w:name w:val="toc 7"/>
    <w:basedOn w:val="Normal"/>
    <w:next w:val="Normal"/>
    <w:autoRedefine/>
    <w:uiPriority w:val="39"/>
    <w:rsid w:val="00765034"/>
    <w:pPr>
      <w:spacing w:after="100"/>
      <w:ind w:firstLine="720"/>
    </w:pPr>
    <w:rPr>
      <w:b/>
      <w:caps/>
    </w:rPr>
  </w:style>
  <w:style w:type="paragraph" w:customStyle="1" w:styleId="BulletedListIndent">
    <w:name w:val="Bulleted List Indent"/>
    <w:basedOn w:val="BulletedList"/>
    <w:qFormat/>
    <w:rsid w:val="00D065AB"/>
    <w:pPr>
      <w:numPr>
        <w:numId w:val="21"/>
      </w:numPr>
      <w:contextualSpacing w:val="0"/>
    </w:pPr>
  </w:style>
  <w:style w:type="paragraph" w:styleId="ListParagraph">
    <w:name w:val="List Paragraph"/>
    <w:basedOn w:val="Normal"/>
    <w:qFormat/>
    <w:rsid w:val="00042BC1"/>
    <w:pPr>
      <w:ind w:left="720"/>
      <w:contextualSpacing/>
    </w:pPr>
  </w:style>
  <w:style w:type="paragraph" w:customStyle="1" w:styleId="ReportSubtitle">
    <w:name w:val="Report Subtitle"/>
    <w:qFormat/>
    <w:rsid w:val="00837C9C"/>
    <w:pPr>
      <w:spacing w:before="60" w:after="180"/>
    </w:pPr>
    <w:rPr>
      <w:rFonts w:ascii="Tahoma" w:hAnsi="Tahoma"/>
      <w:i/>
      <w:color w:val="003E74" w:themeColor="text2"/>
      <w:sz w:val="22"/>
      <w:szCs w:val="24"/>
    </w:rPr>
  </w:style>
  <w:style w:type="paragraph" w:customStyle="1" w:styleId="BulletedListIndent2">
    <w:name w:val="Bulleted List Indent 2"/>
    <w:basedOn w:val="Normal"/>
    <w:qFormat/>
    <w:rsid w:val="00D065AB"/>
    <w:pPr>
      <w:numPr>
        <w:numId w:val="22"/>
      </w:numPr>
      <w:spacing w:after="240"/>
      <w:ind w:left="1080"/>
    </w:pPr>
  </w:style>
  <w:style w:type="character" w:styleId="CommentReference">
    <w:name w:val="annotation reference"/>
    <w:basedOn w:val="DefaultParagraphFont"/>
    <w:semiHidden/>
    <w:rsid w:val="00D065AB"/>
    <w:rPr>
      <w:sz w:val="16"/>
      <w:szCs w:val="16"/>
    </w:rPr>
  </w:style>
  <w:style w:type="paragraph" w:styleId="CommentText">
    <w:name w:val="annotation text"/>
    <w:basedOn w:val="Normal"/>
    <w:link w:val="CommentTextChar"/>
    <w:semiHidden/>
    <w:rsid w:val="00D065AB"/>
    <w:rPr>
      <w:szCs w:val="20"/>
    </w:rPr>
  </w:style>
  <w:style w:type="character" w:customStyle="1" w:styleId="CommentTextChar">
    <w:name w:val="Comment Text Char"/>
    <w:basedOn w:val="DefaultParagraphFont"/>
    <w:link w:val="CommentText"/>
    <w:semiHidden/>
    <w:rsid w:val="00D065AB"/>
    <w:rPr>
      <w:rFonts w:ascii="Tahoma" w:hAnsi="Tahoma"/>
    </w:rPr>
  </w:style>
  <w:style w:type="paragraph" w:customStyle="1" w:styleId="TableCaption">
    <w:name w:val="Table Caption"/>
    <w:basedOn w:val="Normal"/>
    <w:rsid w:val="00E20B04"/>
    <w:pPr>
      <w:keepNext/>
      <w:spacing w:before="360" w:after="60"/>
      <w:ind w:left="1440" w:hanging="1440"/>
    </w:pPr>
    <w:rPr>
      <w:b/>
      <w:i/>
      <w:sz w:val="18"/>
      <w:szCs w:val="16"/>
    </w:rPr>
  </w:style>
  <w:style w:type="paragraph" w:styleId="CommentSubject">
    <w:name w:val="annotation subject"/>
    <w:basedOn w:val="CommentText"/>
    <w:next w:val="CommentText"/>
    <w:link w:val="CommentSubjectChar"/>
    <w:semiHidden/>
    <w:rsid w:val="00285A62"/>
    <w:rPr>
      <w:b/>
      <w:bCs/>
    </w:rPr>
  </w:style>
  <w:style w:type="character" w:customStyle="1" w:styleId="CommentSubjectChar">
    <w:name w:val="Comment Subject Char"/>
    <w:basedOn w:val="CommentTextChar"/>
    <w:link w:val="CommentSubject"/>
    <w:semiHidden/>
    <w:rsid w:val="00285A62"/>
    <w:rPr>
      <w:rFonts w:ascii="Tahoma" w:hAnsi="Tahoma"/>
      <w:b/>
      <w:bCs/>
    </w:rPr>
  </w:style>
  <w:style w:type="character" w:styleId="PlaceholderText">
    <w:name w:val="Placeholder Text"/>
    <w:basedOn w:val="DefaultParagraphFont"/>
    <w:uiPriority w:val="99"/>
    <w:semiHidden/>
    <w:rsid w:val="00C242FA"/>
    <w:rPr>
      <w:color w:val="808080"/>
    </w:rPr>
  </w:style>
  <w:style w:type="paragraph" w:styleId="Revision">
    <w:name w:val="Revision"/>
    <w:hidden/>
    <w:uiPriority w:val="99"/>
    <w:semiHidden/>
    <w:rsid w:val="000927D4"/>
    <w:rPr>
      <w:rFonts w:ascii="Tahoma" w:hAnsi="Tahoma"/>
      <w:szCs w:val="24"/>
    </w:rPr>
  </w:style>
  <w:style w:type="character" w:customStyle="1" w:styleId="FootnoteTextChar">
    <w:name w:val="Footnote Text Char"/>
    <w:basedOn w:val="DefaultParagraphFont"/>
    <w:link w:val="FootnoteText"/>
    <w:rsid w:val="006A422C"/>
    <w:rPr>
      <w:rFonts w:ascii="Tahoma" w:hAnsi="Tahoma"/>
      <w:sz w:val="15"/>
      <w:szCs w:val="15"/>
    </w:rPr>
  </w:style>
  <w:style w:type="character" w:customStyle="1" w:styleId="BulletedListChar">
    <w:name w:val="Bulleted List Char"/>
    <w:basedOn w:val="DefaultParagraphFont"/>
    <w:rsid w:val="00BB5EAF"/>
    <w:rPr>
      <w:rFonts w:ascii="Tahoma" w:hAnsi="Tahoma" w:cs="Tahoma"/>
      <w:spacing w:val="4"/>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semiHidden="1"/>
    <w:lsdException w:name="toc 6" w:uiPriority="39"/>
    <w:lsdException w:name="toc 7" w:uiPriority="39"/>
    <w:lsdException w:name="toc 8" w:semiHidden="1"/>
    <w:lsdException w:name="toc 9" w:semiHidden="1"/>
    <w:lsdException w:name="index heading" w:semiHidden="1"/>
    <w:lsdException w:name="caption" w:semiHidden="1" w:unhideWhenUsed="1" w:qFormat="1"/>
    <w:lsdException w:name="table of figures" w:uiPriority="99"/>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Body Text" w:qFormat="1"/>
    <w:lsdException w:name="Subtitle" w:qFormat="1"/>
    <w:lsdException w:name="Hyperlink" w:uiPriority="99"/>
    <w:lsdException w:name="Strong" w:semiHidden="1" w:qFormat="1"/>
    <w:lsdException w:name="Emphasis" w:qFormat="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B00"/>
    <w:rPr>
      <w:rFonts w:ascii="Tahoma" w:hAnsi="Tahoma"/>
      <w:szCs w:val="24"/>
    </w:rPr>
  </w:style>
  <w:style w:type="paragraph" w:styleId="Heading1">
    <w:name w:val="heading 1"/>
    <w:aliases w:val="Chap Num,Chapter Level"/>
    <w:basedOn w:val="Normal"/>
    <w:next w:val="Normal"/>
    <w:qFormat/>
    <w:rsid w:val="00274498"/>
    <w:pPr>
      <w:numPr>
        <w:numId w:val="2"/>
      </w:numPr>
      <w:ind w:left="432"/>
      <w:outlineLvl w:val="0"/>
    </w:pPr>
    <w:rPr>
      <w:rFonts w:ascii="Verdana" w:hAnsi="Verdana"/>
      <w:b/>
      <w:caps/>
      <w:color w:val="808080"/>
      <w:sz w:val="22"/>
      <w:szCs w:val="22"/>
    </w:rPr>
  </w:style>
  <w:style w:type="paragraph" w:styleId="Heading2">
    <w:name w:val="heading 2"/>
    <w:aliases w:val="1st Lvl Head"/>
    <w:basedOn w:val="Normal"/>
    <w:next w:val="BodyText"/>
    <w:qFormat/>
    <w:rsid w:val="00710B00"/>
    <w:pPr>
      <w:keepNext/>
      <w:spacing w:before="240" w:after="40"/>
      <w:outlineLvl w:val="1"/>
    </w:pPr>
    <w:rPr>
      <w:b/>
      <w:color w:val="003E74" w:themeColor="text2"/>
      <w:sz w:val="26"/>
      <w:szCs w:val="26"/>
    </w:rPr>
  </w:style>
  <w:style w:type="paragraph" w:styleId="Heading3">
    <w:name w:val="heading 3"/>
    <w:aliases w:val="2nd Lvl Head"/>
    <w:basedOn w:val="Normal"/>
    <w:next w:val="BodyText"/>
    <w:link w:val="Heading3Char"/>
    <w:qFormat/>
    <w:rsid w:val="00D065AB"/>
    <w:pPr>
      <w:keepNext/>
      <w:spacing w:before="240" w:after="40"/>
      <w:outlineLvl w:val="2"/>
    </w:pPr>
    <w:rPr>
      <w:rFonts w:cs="Arial"/>
      <w:b/>
      <w:bCs/>
      <w:sz w:val="22"/>
      <w:szCs w:val="18"/>
    </w:rPr>
  </w:style>
  <w:style w:type="paragraph" w:styleId="Heading4">
    <w:name w:val="heading 4"/>
    <w:aliases w:val="3rd Lvl Head"/>
    <w:basedOn w:val="Normal"/>
    <w:next w:val="BodyText"/>
    <w:qFormat/>
    <w:rsid w:val="00D065AB"/>
    <w:pPr>
      <w:keepNext/>
      <w:spacing w:before="240" w:after="40"/>
      <w:outlineLvl w:val="3"/>
    </w:pPr>
    <w:rPr>
      <w:b/>
      <w:bCs/>
      <w:i/>
      <w:szCs w:val="18"/>
    </w:rPr>
  </w:style>
  <w:style w:type="paragraph" w:styleId="Heading5">
    <w:name w:val="heading 5"/>
    <w:basedOn w:val="Normal"/>
    <w:next w:val="Normal"/>
    <w:semiHidden/>
    <w:qFormat/>
    <w:rsid w:val="00274498"/>
    <w:pPr>
      <w:numPr>
        <w:ilvl w:val="4"/>
        <w:numId w:val="2"/>
      </w:numPr>
      <w:spacing w:before="240" w:after="60"/>
      <w:outlineLvl w:val="4"/>
    </w:pPr>
    <w:rPr>
      <w:b/>
      <w:bCs/>
      <w:i/>
      <w:iCs/>
      <w:sz w:val="26"/>
      <w:szCs w:val="26"/>
    </w:rPr>
  </w:style>
  <w:style w:type="paragraph" w:styleId="Heading6">
    <w:name w:val="heading 6"/>
    <w:aliases w:val="Appendix Level"/>
    <w:basedOn w:val="ChapterTitle"/>
    <w:next w:val="BodyText"/>
    <w:link w:val="Heading6Char"/>
    <w:autoRedefine/>
    <w:qFormat/>
    <w:rsid w:val="009A6F01"/>
    <w:pPr>
      <w:numPr>
        <w:numId w:val="17"/>
      </w:numPr>
      <w:ind w:left="360"/>
      <w:outlineLvl w:val="5"/>
    </w:pPr>
    <w:rPr>
      <w:bCs/>
      <w:sz w:val="22"/>
      <w:szCs w:val="22"/>
    </w:rPr>
  </w:style>
  <w:style w:type="paragraph" w:styleId="Heading7">
    <w:name w:val="heading 7"/>
    <w:basedOn w:val="Normal"/>
    <w:next w:val="Normal"/>
    <w:semiHidden/>
    <w:rsid w:val="00274498"/>
    <w:pPr>
      <w:numPr>
        <w:ilvl w:val="6"/>
        <w:numId w:val="2"/>
      </w:numPr>
      <w:spacing w:before="240" w:after="60"/>
      <w:outlineLvl w:val="6"/>
    </w:pPr>
  </w:style>
  <w:style w:type="paragraph" w:styleId="Heading8">
    <w:name w:val="heading 8"/>
    <w:basedOn w:val="Normal"/>
    <w:next w:val="Normal"/>
    <w:semiHidden/>
    <w:rsid w:val="00274498"/>
    <w:pPr>
      <w:numPr>
        <w:ilvl w:val="7"/>
        <w:numId w:val="2"/>
      </w:numPr>
      <w:spacing w:before="240" w:after="60"/>
      <w:outlineLvl w:val="7"/>
    </w:pPr>
    <w:rPr>
      <w:i/>
      <w:iCs/>
    </w:rPr>
  </w:style>
  <w:style w:type="paragraph" w:styleId="Heading9">
    <w:name w:val="heading 9"/>
    <w:basedOn w:val="Normal"/>
    <w:next w:val="Normal"/>
    <w:semiHidden/>
    <w:rsid w:val="00274498"/>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semiHidden/>
    <w:qFormat/>
    <w:rsid w:val="00AC5CAB"/>
    <w:pPr>
      <w:spacing w:before="3480" w:line="312" w:lineRule="auto"/>
    </w:pPr>
    <w:rPr>
      <w:b/>
      <w:caps/>
      <w:sz w:val="36"/>
      <w:szCs w:val="40"/>
    </w:rPr>
  </w:style>
  <w:style w:type="table" w:customStyle="1" w:styleId="LightShading1">
    <w:name w:val="Light Shading1"/>
    <w:basedOn w:val="TableNormal"/>
    <w:uiPriority w:val="60"/>
    <w:rsid w:val="0024017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mpanyInformation">
    <w:name w:val="Company Information"/>
    <w:basedOn w:val="Normal"/>
    <w:link w:val="CompanyInformationChar"/>
    <w:semiHidden/>
    <w:rsid w:val="00794BD9"/>
    <w:rPr>
      <w:rFonts w:ascii="Verdana" w:hAnsi="Verdana"/>
      <w:color w:val="808080"/>
      <w:sz w:val="15"/>
      <w:szCs w:val="20"/>
    </w:rPr>
  </w:style>
  <w:style w:type="character" w:customStyle="1" w:styleId="CompanyInformationChar">
    <w:name w:val="Company Information Char"/>
    <w:basedOn w:val="DefaultParagraphFont"/>
    <w:link w:val="CompanyInformation"/>
    <w:rsid w:val="00794BD9"/>
    <w:rPr>
      <w:rFonts w:ascii="Verdana" w:hAnsi="Verdana"/>
      <w:color w:val="808080"/>
      <w:sz w:val="15"/>
      <w:lang w:val="en-US" w:eastAsia="en-US" w:bidi="ar-SA"/>
    </w:rPr>
  </w:style>
  <w:style w:type="paragraph" w:customStyle="1" w:styleId="CompanyInformationBold">
    <w:name w:val="Company Information Bold"/>
    <w:basedOn w:val="CompanyInformation"/>
    <w:semiHidden/>
    <w:rsid w:val="00794BD9"/>
    <w:rPr>
      <w:b/>
    </w:rPr>
  </w:style>
  <w:style w:type="paragraph" w:customStyle="1" w:styleId="CompanyInformationItalic">
    <w:name w:val="Company Information Italic"/>
    <w:basedOn w:val="CompanyInformation"/>
    <w:link w:val="CompanyInformationItalicChar"/>
    <w:semiHidden/>
    <w:rsid w:val="00794BD9"/>
    <w:rPr>
      <w:i/>
    </w:rPr>
  </w:style>
  <w:style w:type="character" w:customStyle="1" w:styleId="CompanyInformationItalicChar">
    <w:name w:val="Company Information Italic Char"/>
    <w:basedOn w:val="CompanyInformationChar"/>
    <w:link w:val="CompanyInformationItalic"/>
    <w:rsid w:val="00794BD9"/>
    <w:rPr>
      <w:rFonts w:ascii="Verdana" w:hAnsi="Verdana"/>
      <w:i/>
      <w:color w:val="808080"/>
      <w:sz w:val="15"/>
      <w:lang w:val="en-US" w:eastAsia="en-US" w:bidi="ar-SA"/>
    </w:rPr>
  </w:style>
  <w:style w:type="paragraph" w:customStyle="1" w:styleId="InsideTitle">
    <w:name w:val="Inside Title"/>
    <w:basedOn w:val="Normal"/>
    <w:link w:val="InsideTitleChar"/>
    <w:semiHidden/>
    <w:rsid w:val="005F1DE8"/>
    <w:pPr>
      <w:keepNext/>
      <w:spacing w:before="3480"/>
    </w:pPr>
    <w:rPr>
      <w:rFonts w:ascii="Verdana" w:hAnsi="Verdana"/>
      <w:b/>
      <w:sz w:val="32"/>
      <w:szCs w:val="20"/>
    </w:rPr>
  </w:style>
  <w:style w:type="paragraph" w:customStyle="1" w:styleId="InsideSubtitle">
    <w:name w:val="Inside Subtitle"/>
    <w:basedOn w:val="Normal"/>
    <w:semiHidden/>
    <w:rsid w:val="0006362F"/>
    <w:pPr>
      <w:spacing w:before="120" w:after="200"/>
    </w:pPr>
    <w:rPr>
      <w:rFonts w:ascii="Verdana" w:hAnsi="Verdana"/>
      <w:b/>
      <w:i/>
      <w:color w:val="008000"/>
      <w:sz w:val="22"/>
      <w:szCs w:val="22"/>
    </w:rPr>
  </w:style>
  <w:style w:type="paragraph" w:customStyle="1" w:styleId="BulletedList">
    <w:name w:val="Bulleted List"/>
    <w:basedOn w:val="Normal"/>
    <w:link w:val="BulletedListCharChar"/>
    <w:qFormat/>
    <w:rsid w:val="00D065AB"/>
    <w:pPr>
      <w:numPr>
        <w:numId w:val="1"/>
      </w:numPr>
      <w:spacing w:after="120" w:line="240" w:lineRule="atLeast"/>
      <w:contextualSpacing/>
    </w:pPr>
    <w:rPr>
      <w:rFonts w:cs="Tahoma"/>
      <w:spacing w:val="4"/>
      <w:szCs w:val="18"/>
    </w:rPr>
  </w:style>
  <w:style w:type="character" w:customStyle="1" w:styleId="BulletedListCharChar">
    <w:name w:val="Bulleted List Char Char"/>
    <w:basedOn w:val="DefaultParagraphFont"/>
    <w:link w:val="BulletedList"/>
    <w:rsid w:val="00D065AB"/>
    <w:rPr>
      <w:rFonts w:ascii="Tahoma" w:hAnsi="Tahoma" w:cs="Tahoma"/>
      <w:spacing w:val="4"/>
      <w:szCs w:val="18"/>
    </w:rPr>
  </w:style>
  <w:style w:type="paragraph" w:customStyle="1" w:styleId="NumberedList">
    <w:name w:val="Numbered List"/>
    <w:link w:val="NumberedListCharChar"/>
    <w:rsid w:val="00805E6E"/>
    <w:pPr>
      <w:numPr>
        <w:numId w:val="22"/>
      </w:numPr>
      <w:spacing w:after="120" w:line="240" w:lineRule="atLeast"/>
    </w:pPr>
    <w:rPr>
      <w:rFonts w:ascii="Tahoma" w:hAnsi="Tahoma" w:cs="Tahoma"/>
      <w:spacing w:val="4"/>
      <w:szCs w:val="18"/>
    </w:rPr>
  </w:style>
  <w:style w:type="character" w:customStyle="1" w:styleId="NumberedListCharChar">
    <w:name w:val="Numbered List Char Char"/>
    <w:basedOn w:val="DefaultParagraphFont"/>
    <w:link w:val="NumberedList"/>
    <w:rsid w:val="00805E6E"/>
    <w:rPr>
      <w:rFonts w:ascii="Tahoma" w:hAnsi="Tahoma" w:cs="Tahoma"/>
      <w:spacing w:val="4"/>
      <w:szCs w:val="18"/>
    </w:rPr>
  </w:style>
  <w:style w:type="character" w:customStyle="1" w:styleId="BodyTextChar">
    <w:name w:val="Body Text Char"/>
    <w:basedOn w:val="DefaultParagraphFont"/>
    <w:link w:val="BodyText"/>
    <w:rsid w:val="008B2FBA"/>
    <w:rPr>
      <w:rFonts w:ascii="Tahoma" w:hAnsi="Tahoma"/>
      <w:spacing w:val="4"/>
      <w:szCs w:val="18"/>
    </w:rPr>
  </w:style>
  <w:style w:type="paragraph" w:styleId="BodyText">
    <w:name w:val="Body Text"/>
    <w:basedOn w:val="Normal"/>
    <w:link w:val="BodyTextChar"/>
    <w:qFormat/>
    <w:rsid w:val="008B2FBA"/>
    <w:pPr>
      <w:spacing w:after="120" w:line="240" w:lineRule="atLeast"/>
    </w:pPr>
    <w:rPr>
      <w:spacing w:val="4"/>
      <w:szCs w:val="18"/>
    </w:rPr>
  </w:style>
  <w:style w:type="paragraph" w:customStyle="1" w:styleId="BlockQuotation">
    <w:name w:val="Block Quotation"/>
    <w:basedOn w:val="Normal"/>
    <w:link w:val="BlockQuotationChar"/>
    <w:semiHidden/>
    <w:rsid w:val="00AC5CAB"/>
    <w:pPr>
      <w:spacing w:before="80" w:after="80" w:line="312" w:lineRule="auto"/>
      <w:ind w:left="720"/>
    </w:pPr>
    <w:rPr>
      <w:rFonts w:cs="Tahoma"/>
      <w:spacing w:val="-4"/>
      <w:sz w:val="17"/>
      <w:szCs w:val="17"/>
    </w:rPr>
  </w:style>
  <w:style w:type="character" w:customStyle="1" w:styleId="BlockQuotationChar">
    <w:name w:val="Block Quotation Char"/>
    <w:basedOn w:val="DefaultParagraphFont"/>
    <w:link w:val="BlockQuotation"/>
    <w:semiHidden/>
    <w:rsid w:val="00D065AB"/>
    <w:rPr>
      <w:rFonts w:ascii="Tahoma" w:hAnsi="Tahoma" w:cs="Tahoma"/>
      <w:spacing w:val="-4"/>
      <w:sz w:val="17"/>
      <w:szCs w:val="17"/>
    </w:rPr>
  </w:style>
  <w:style w:type="paragraph" w:customStyle="1" w:styleId="TableFigureCaption">
    <w:name w:val="Table &amp; Figure Caption"/>
    <w:basedOn w:val="Normal"/>
    <w:rsid w:val="00D7742C"/>
    <w:pPr>
      <w:keepNext/>
      <w:spacing w:before="360" w:after="60"/>
      <w:ind w:left="1440" w:hanging="1440"/>
    </w:pPr>
    <w:rPr>
      <w:b/>
      <w:i/>
      <w:sz w:val="18"/>
      <w:szCs w:val="16"/>
    </w:rPr>
  </w:style>
  <w:style w:type="paragraph" w:customStyle="1" w:styleId="TableText">
    <w:name w:val="Table Text"/>
    <w:basedOn w:val="Normal"/>
    <w:rsid w:val="00675BF9"/>
    <w:pPr>
      <w:jc w:val="center"/>
    </w:pPr>
    <w:rPr>
      <w:rFonts w:ascii="Calibri" w:hAnsi="Calibri" w:cs="Tahoma"/>
      <w:szCs w:val="20"/>
    </w:rPr>
  </w:style>
  <w:style w:type="paragraph" w:customStyle="1" w:styleId="TableHeadings">
    <w:name w:val="Table Headings"/>
    <w:basedOn w:val="TableText"/>
    <w:rsid w:val="0024017D"/>
    <w:pPr>
      <w:spacing w:after="40"/>
    </w:pPr>
    <w:rPr>
      <w:b/>
      <w:color w:val="FFFFFF" w:themeColor="background1"/>
    </w:rPr>
  </w:style>
  <w:style w:type="paragraph" w:customStyle="1" w:styleId="IndentedBodyText">
    <w:name w:val="Indented Body Text"/>
    <w:basedOn w:val="Normal"/>
    <w:link w:val="IndentedBodyTextChar"/>
    <w:semiHidden/>
    <w:rsid w:val="00C63553"/>
    <w:pPr>
      <w:spacing w:after="120" w:line="240" w:lineRule="atLeast"/>
      <w:ind w:left="360"/>
    </w:pPr>
    <w:rPr>
      <w:rFonts w:cs="Tahoma"/>
      <w:spacing w:val="4"/>
      <w:sz w:val="18"/>
      <w:szCs w:val="18"/>
    </w:rPr>
  </w:style>
  <w:style w:type="character" w:customStyle="1" w:styleId="IndentedBodyTextChar">
    <w:name w:val="Indented Body Text Char"/>
    <w:basedOn w:val="DefaultParagraphFont"/>
    <w:link w:val="IndentedBodyText"/>
    <w:rsid w:val="00C63553"/>
    <w:rPr>
      <w:rFonts w:ascii="Tahoma" w:hAnsi="Tahoma" w:cs="Tahoma"/>
      <w:spacing w:val="4"/>
      <w:sz w:val="18"/>
      <w:szCs w:val="18"/>
      <w:lang w:val="en-US" w:eastAsia="en-US" w:bidi="ar-SA"/>
    </w:rPr>
  </w:style>
  <w:style w:type="paragraph" w:customStyle="1" w:styleId="Chapter">
    <w:name w:val="Chapter"/>
    <w:basedOn w:val="Normal"/>
    <w:semiHidden/>
    <w:rsid w:val="00500201"/>
    <w:pPr>
      <w:framePr w:hSpace="187" w:wrap="around" w:vAnchor="page" w:hAnchor="margin" w:y="1081"/>
    </w:pPr>
    <w:rPr>
      <w:rFonts w:ascii="Verdana" w:hAnsi="Verdana"/>
      <w:caps/>
      <w:color w:val="808080"/>
      <w:sz w:val="22"/>
      <w:szCs w:val="22"/>
    </w:rPr>
  </w:style>
  <w:style w:type="paragraph" w:customStyle="1" w:styleId="ESHeading">
    <w:name w:val="ES Heading"/>
    <w:next w:val="BodyText"/>
    <w:rsid w:val="00675BF9"/>
    <w:pPr>
      <w:spacing w:before="240" w:after="40"/>
    </w:pPr>
    <w:rPr>
      <w:rFonts w:ascii="Tahoma" w:hAnsi="Tahoma"/>
      <w:b/>
      <w:color w:val="003E74" w:themeColor="text2"/>
      <w:sz w:val="22"/>
    </w:rPr>
  </w:style>
  <w:style w:type="paragraph" w:customStyle="1" w:styleId="BulletedListBold">
    <w:name w:val="Bulleted List Bold"/>
    <w:basedOn w:val="BulletedList"/>
    <w:link w:val="BulletedListBoldChar"/>
    <w:semiHidden/>
    <w:rsid w:val="00794BD9"/>
    <w:rPr>
      <w:b/>
      <w:bCs/>
    </w:rPr>
  </w:style>
  <w:style w:type="character" w:customStyle="1" w:styleId="BulletedListBoldChar">
    <w:name w:val="Bulleted List Bold Char"/>
    <w:basedOn w:val="BulletedListCharChar"/>
    <w:link w:val="BulletedListBold"/>
    <w:semiHidden/>
    <w:rsid w:val="00794BD9"/>
    <w:rPr>
      <w:rFonts w:ascii="Tahoma" w:hAnsi="Tahoma" w:cs="Tahoma"/>
      <w:b/>
      <w:bCs/>
      <w:spacing w:val="4"/>
      <w:szCs w:val="18"/>
    </w:rPr>
  </w:style>
  <w:style w:type="paragraph" w:customStyle="1" w:styleId="NumberedListBold">
    <w:name w:val="Numbered List Bold"/>
    <w:basedOn w:val="NumberedList"/>
    <w:link w:val="NumberedListBoldChar"/>
    <w:rsid w:val="00794BD9"/>
    <w:rPr>
      <w:b/>
      <w:bCs/>
    </w:rPr>
  </w:style>
  <w:style w:type="character" w:customStyle="1" w:styleId="NumberedListBoldChar">
    <w:name w:val="Numbered List Bold Char"/>
    <w:basedOn w:val="NumberedListCharChar"/>
    <w:link w:val="NumberedListBold"/>
    <w:rsid w:val="00E752F1"/>
    <w:rPr>
      <w:rFonts w:ascii="Tahoma" w:hAnsi="Tahoma" w:cs="Tahoma"/>
      <w:b/>
      <w:bCs/>
      <w:spacing w:val="4"/>
      <w:szCs w:val="18"/>
    </w:rPr>
  </w:style>
  <w:style w:type="paragraph" w:styleId="Header">
    <w:name w:val="header"/>
    <w:basedOn w:val="Normal"/>
    <w:semiHidden/>
    <w:rsid w:val="00D97C75"/>
    <w:pPr>
      <w:pBdr>
        <w:bottom w:val="single" w:sz="4" w:space="1" w:color="999999"/>
      </w:pBdr>
      <w:tabs>
        <w:tab w:val="center" w:pos="4320"/>
        <w:tab w:val="right" w:pos="8640"/>
      </w:tabs>
    </w:pPr>
    <w:rPr>
      <w:rFonts w:ascii="Verdana" w:hAnsi="Verdana"/>
      <w:color w:val="003E74" w:themeColor="text2"/>
      <w:sz w:val="16"/>
      <w:szCs w:val="16"/>
    </w:rPr>
  </w:style>
  <w:style w:type="paragraph" w:styleId="Footer">
    <w:name w:val="footer"/>
    <w:basedOn w:val="Normal"/>
    <w:semiHidden/>
    <w:rsid w:val="00D97C75"/>
    <w:pPr>
      <w:pBdr>
        <w:top w:val="single" w:sz="4" w:space="1" w:color="999999"/>
      </w:pBdr>
      <w:tabs>
        <w:tab w:val="right" w:pos="9009"/>
      </w:tabs>
    </w:pPr>
    <w:rPr>
      <w:rFonts w:ascii="Verdana" w:hAnsi="Verdana"/>
      <w:color w:val="003E74" w:themeColor="text2"/>
      <w:sz w:val="16"/>
      <w:szCs w:val="16"/>
    </w:rPr>
  </w:style>
  <w:style w:type="paragraph" w:customStyle="1" w:styleId="ReportNumber">
    <w:name w:val="Report Number"/>
    <w:basedOn w:val="Normal"/>
    <w:next w:val="ReportDate"/>
    <w:semiHidden/>
    <w:rsid w:val="005F1DE8"/>
    <w:pPr>
      <w:spacing w:before="600"/>
    </w:pPr>
    <w:rPr>
      <w:rFonts w:ascii="Verdana" w:hAnsi="Verdana"/>
      <w:b/>
      <w:color w:val="808080"/>
      <w:sz w:val="18"/>
      <w:szCs w:val="18"/>
    </w:rPr>
  </w:style>
  <w:style w:type="paragraph" w:customStyle="1" w:styleId="ReportDate">
    <w:name w:val="Report Date"/>
    <w:basedOn w:val="ReportNumber"/>
    <w:semiHidden/>
    <w:rsid w:val="005F1DE8"/>
    <w:rPr>
      <w:b w:val="0"/>
    </w:rPr>
  </w:style>
  <w:style w:type="paragraph" w:customStyle="1" w:styleId="ProjectManager">
    <w:name w:val="Project Manager"/>
    <w:basedOn w:val="ReportDate"/>
    <w:semiHidden/>
    <w:rsid w:val="006E11A7"/>
    <w:pPr>
      <w:spacing w:before="3000" w:line="312" w:lineRule="auto"/>
    </w:pPr>
  </w:style>
  <w:style w:type="paragraph" w:customStyle="1" w:styleId="ChapterTitle">
    <w:name w:val="Chapter Title"/>
    <w:basedOn w:val="InsideTitle"/>
    <w:next w:val="BodyText"/>
    <w:link w:val="ChapterTitleChar"/>
    <w:rsid w:val="008E3BFF"/>
    <w:pPr>
      <w:spacing w:before="600" w:after="600"/>
    </w:pPr>
    <w:rPr>
      <w:rFonts w:ascii="Tahoma" w:hAnsi="Tahoma"/>
      <w:caps/>
      <w:sz w:val="28"/>
      <w:szCs w:val="28"/>
    </w:rPr>
  </w:style>
  <w:style w:type="paragraph" w:styleId="TOC1">
    <w:name w:val="toc 1"/>
    <w:basedOn w:val="ChapterTitle"/>
    <w:next w:val="Normal"/>
    <w:uiPriority w:val="39"/>
    <w:rsid w:val="00C63995"/>
    <w:pPr>
      <w:numPr>
        <w:numId w:val="14"/>
      </w:numPr>
      <w:tabs>
        <w:tab w:val="clear" w:pos="0"/>
        <w:tab w:val="right" w:leader="dot" w:pos="9000"/>
      </w:tabs>
      <w:spacing w:before="240" w:after="0"/>
      <w:ind w:left="720" w:hanging="720"/>
    </w:pPr>
    <w:rPr>
      <w:noProof/>
      <w:sz w:val="20"/>
      <w:szCs w:val="20"/>
    </w:rPr>
  </w:style>
  <w:style w:type="paragraph" w:styleId="TOC2">
    <w:name w:val="toc 2"/>
    <w:basedOn w:val="Heading2"/>
    <w:next w:val="Normal"/>
    <w:uiPriority w:val="39"/>
    <w:rsid w:val="00D065AB"/>
    <w:pPr>
      <w:keepNext w:val="0"/>
      <w:tabs>
        <w:tab w:val="right" w:leader="dot" w:pos="9000"/>
      </w:tabs>
      <w:spacing w:before="40" w:after="60"/>
      <w:ind w:left="720"/>
    </w:pPr>
    <w:rPr>
      <w:b w:val="0"/>
      <w:noProof/>
      <w:color w:val="auto"/>
      <w:sz w:val="20"/>
    </w:rPr>
  </w:style>
  <w:style w:type="paragraph" w:styleId="TOC3">
    <w:name w:val="toc 3"/>
    <w:basedOn w:val="Normal"/>
    <w:next w:val="Normal"/>
    <w:link w:val="TOC3Char"/>
    <w:uiPriority w:val="39"/>
    <w:rsid w:val="00D065AB"/>
    <w:pPr>
      <w:tabs>
        <w:tab w:val="right" w:leader="dot" w:pos="9000"/>
      </w:tabs>
      <w:ind w:left="1440"/>
    </w:pPr>
    <w:rPr>
      <w:noProof/>
    </w:rPr>
  </w:style>
  <w:style w:type="character" w:styleId="Hyperlink">
    <w:name w:val="Hyperlink"/>
    <w:basedOn w:val="DefaultParagraphFont"/>
    <w:uiPriority w:val="99"/>
    <w:rsid w:val="008554E6"/>
    <w:rPr>
      <w:color w:val="0000FF"/>
      <w:u w:val="single"/>
    </w:rPr>
  </w:style>
  <w:style w:type="paragraph" w:customStyle="1" w:styleId="ContentsTitle">
    <w:name w:val="Contents Title"/>
    <w:basedOn w:val="ChapterTitle"/>
    <w:semiHidden/>
    <w:rsid w:val="007140C2"/>
  </w:style>
  <w:style w:type="character" w:styleId="PageNumber">
    <w:name w:val="page number"/>
    <w:basedOn w:val="DefaultParagraphFont"/>
    <w:semiHidden/>
    <w:rsid w:val="00AE565E"/>
    <w:rPr>
      <w:rFonts w:ascii="Verdana" w:hAnsi="Verdana"/>
      <w:color w:val="008000"/>
      <w:sz w:val="16"/>
    </w:rPr>
  </w:style>
  <w:style w:type="numbering" w:styleId="111111">
    <w:name w:val="Outline List 2"/>
    <w:basedOn w:val="NoList"/>
    <w:semiHidden/>
    <w:rsid w:val="00FD5585"/>
    <w:pPr>
      <w:numPr>
        <w:numId w:val="13"/>
      </w:numPr>
    </w:pPr>
  </w:style>
  <w:style w:type="table" w:customStyle="1" w:styleId="EnerNOCReportTable">
    <w:name w:val="EnerNOC Report Table"/>
    <w:basedOn w:val="TableNormal"/>
    <w:rsid w:val="00E32910"/>
    <w:rPr>
      <w:rFonts w:ascii="Calibri" w:hAnsi="Calibri"/>
    </w:rPr>
    <w:tblPr>
      <w:tblInd w:w="1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8" w:type="dxa"/>
        <w:left w:w="115" w:type="dxa"/>
        <w:bottom w:w="58" w:type="dxa"/>
        <w:right w:w="115" w:type="dxa"/>
      </w:tblCellMar>
    </w:tblPr>
    <w:tcPr>
      <w:vAlign w:val="center"/>
    </w:tcPr>
    <w:tblStylePr w:type="firstRow">
      <w:pPr>
        <w:jc w:val="center"/>
      </w:pPr>
      <w:rPr>
        <w:rFonts w:ascii="Calibri" w:hAnsi="Calibri"/>
        <w:b/>
        <w:color w:val="FFFFFF" w:themeColor="background1"/>
        <w:sz w:val="20"/>
      </w:rPr>
      <w:tblPr/>
      <w:tcPr>
        <w:shd w:val="clear" w:color="auto" w:fill="003E74" w:themeFill="text2"/>
        <w:vAlign w:val="bottom"/>
      </w:tcPr>
    </w:tblStylePr>
  </w:style>
  <w:style w:type="paragraph" w:styleId="BodyText2">
    <w:name w:val="Body Text 2"/>
    <w:basedOn w:val="Normal"/>
    <w:semiHidden/>
    <w:rsid w:val="00FD5585"/>
    <w:pPr>
      <w:spacing w:after="120" w:line="480" w:lineRule="auto"/>
    </w:pPr>
  </w:style>
  <w:style w:type="paragraph" w:styleId="BodyText3">
    <w:name w:val="Body Text 3"/>
    <w:basedOn w:val="Normal"/>
    <w:semiHidden/>
    <w:rsid w:val="00FD5585"/>
    <w:pPr>
      <w:spacing w:after="120"/>
    </w:pPr>
    <w:rPr>
      <w:sz w:val="16"/>
      <w:szCs w:val="16"/>
    </w:rPr>
  </w:style>
  <w:style w:type="table" w:styleId="TableColorful2">
    <w:name w:val="Table Colorful 2"/>
    <w:basedOn w:val="TableNormal"/>
    <w:semiHidden/>
    <w:rsid w:val="00FD558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558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558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558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558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558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558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558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558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D5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FD558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558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558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558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558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558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558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558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558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558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558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558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558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558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558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558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558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558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558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558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558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558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5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D558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558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558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ableofFigures">
    <w:name w:val="table of figures"/>
    <w:basedOn w:val="TOC2"/>
    <w:next w:val="Normal"/>
    <w:uiPriority w:val="99"/>
    <w:rsid w:val="00634203"/>
    <w:pPr>
      <w:ind w:left="1274" w:hanging="1274"/>
    </w:pPr>
  </w:style>
  <w:style w:type="paragraph" w:customStyle="1" w:styleId="Figure">
    <w:name w:val="Figure"/>
    <w:basedOn w:val="BodyText"/>
    <w:rsid w:val="00C63995"/>
    <w:pPr>
      <w:spacing w:after="240" w:line="240" w:lineRule="auto"/>
    </w:pPr>
  </w:style>
  <w:style w:type="paragraph" w:customStyle="1" w:styleId="FigureCaption">
    <w:name w:val="Figure Caption"/>
    <w:basedOn w:val="TableFigureCaption"/>
    <w:next w:val="BodyText"/>
    <w:semiHidden/>
    <w:rsid w:val="00B16F29"/>
    <w:pPr>
      <w:keepNext w:val="0"/>
      <w:spacing w:before="60" w:after="240"/>
    </w:pPr>
  </w:style>
  <w:style w:type="paragraph" w:styleId="FootnoteText">
    <w:name w:val="footnote text"/>
    <w:rsid w:val="00D156E0"/>
    <w:rPr>
      <w:rFonts w:ascii="Tahoma" w:hAnsi="Tahoma"/>
      <w:sz w:val="15"/>
      <w:szCs w:val="15"/>
    </w:rPr>
  </w:style>
  <w:style w:type="character" w:styleId="FootnoteReference">
    <w:name w:val="footnote reference"/>
    <w:basedOn w:val="DefaultParagraphFont"/>
    <w:rsid w:val="00C122EB"/>
    <w:rPr>
      <w:rFonts w:ascii="Tahoma" w:hAnsi="Tahoma"/>
      <w:dstrike w:val="0"/>
      <w:sz w:val="16"/>
      <w:szCs w:val="18"/>
      <w:vertAlign w:val="superscript"/>
    </w:rPr>
  </w:style>
  <w:style w:type="numbering" w:styleId="1ai">
    <w:name w:val="Outline List 1"/>
    <w:basedOn w:val="NoList"/>
    <w:semiHidden/>
    <w:rsid w:val="00DF1839"/>
    <w:pPr>
      <w:numPr>
        <w:numId w:val="15"/>
      </w:numPr>
    </w:pPr>
  </w:style>
  <w:style w:type="numbering" w:styleId="ArticleSection">
    <w:name w:val="Outline List 3"/>
    <w:basedOn w:val="NoList"/>
    <w:semiHidden/>
    <w:rsid w:val="00DF1839"/>
    <w:pPr>
      <w:numPr>
        <w:numId w:val="16"/>
      </w:numPr>
    </w:pPr>
  </w:style>
  <w:style w:type="paragraph" w:styleId="BlockText">
    <w:name w:val="Block Text"/>
    <w:basedOn w:val="Normal"/>
    <w:semiHidden/>
    <w:rsid w:val="00DF1839"/>
    <w:pPr>
      <w:spacing w:after="120"/>
      <w:ind w:left="1440" w:right="1440"/>
    </w:pPr>
  </w:style>
  <w:style w:type="paragraph" w:styleId="BodyTextFirstIndent">
    <w:name w:val="Body Text First Indent"/>
    <w:basedOn w:val="BodyText"/>
    <w:semiHidden/>
    <w:rsid w:val="00DF1839"/>
    <w:pPr>
      <w:spacing w:line="240" w:lineRule="auto"/>
      <w:ind w:firstLine="210"/>
    </w:pPr>
    <w:rPr>
      <w:rFonts w:ascii="Times New Roman" w:hAnsi="Times New Roman"/>
      <w:spacing w:val="0"/>
      <w:sz w:val="24"/>
      <w:szCs w:val="24"/>
    </w:rPr>
  </w:style>
  <w:style w:type="paragraph" w:styleId="BodyTextIndent">
    <w:name w:val="Body Text Indent"/>
    <w:basedOn w:val="Normal"/>
    <w:semiHidden/>
    <w:rsid w:val="00DF1839"/>
    <w:pPr>
      <w:spacing w:after="120"/>
      <w:ind w:left="360"/>
    </w:pPr>
  </w:style>
  <w:style w:type="paragraph" w:styleId="BodyTextFirstIndent2">
    <w:name w:val="Body Text First Indent 2"/>
    <w:basedOn w:val="BodyTextIndent"/>
    <w:semiHidden/>
    <w:rsid w:val="00DF1839"/>
    <w:pPr>
      <w:ind w:firstLine="210"/>
    </w:pPr>
  </w:style>
  <w:style w:type="paragraph" w:styleId="BodyTextIndent2">
    <w:name w:val="Body Text Indent 2"/>
    <w:basedOn w:val="Normal"/>
    <w:semiHidden/>
    <w:rsid w:val="00DF1839"/>
    <w:pPr>
      <w:spacing w:after="120" w:line="480" w:lineRule="auto"/>
      <w:ind w:left="360"/>
    </w:pPr>
  </w:style>
  <w:style w:type="paragraph" w:styleId="BodyTextIndent3">
    <w:name w:val="Body Text Indent 3"/>
    <w:basedOn w:val="Normal"/>
    <w:semiHidden/>
    <w:rsid w:val="00DF1839"/>
    <w:pPr>
      <w:spacing w:after="120"/>
      <w:ind w:left="360"/>
    </w:pPr>
    <w:rPr>
      <w:sz w:val="16"/>
      <w:szCs w:val="16"/>
    </w:rPr>
  </w:style>
  <w:style w:type="paragraph" w:styleId="Closing">
    <w:name w:val="Closing"/>
    <w:basedOn w:val="Normal"/>
    <w:semiHidden/>
    <w:rsid w:val="00DF1839"/>
    <w:pPr>
      <w:ind w:left="4320"/>
    </w:pPr>
  </w:style>
  <w:style w:type="paragraph" w:styleId="E-mailSignature">
    <w:name w:val="E-mail Signature"/>
    <w:basedOn w:val="Normal"/>
    <w:semiHidden/>
    <w:rsid w:val="00DF1839"/>
  </w:style>
  <w:style w:type="character" w:styleId="Emphasis">
    <w:name w:val="Emphasis"/>
    <w:basedOn w:val="DefaultParagraphFont"/>
    <w:qFormat/>
    <w:rsid w:val="00710B00"/>
    <w:rPr>
      <w:b/>
      <w:iCs/>
      <w:color w:val="003E74" w:themeColor="text2"/>
    </w:rPr>
  </w:style>
  <w:style w:type="paragraph" w:styleId="EnvelopeAddress">
    <w:name w:val="envelope address"/>
    <w:basedOn w:val="Normal"/>
    <w:semiHidden/>
    <w:rsid w:val="00DF1839"/>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DF1839"/>
    <w:rPr>
      <w:rFonts w:ascii="Arial" w:hAnsi="Arial" w:cs="Arial"/>
      <w:szCs w:val="20"/>
    </w:rPr>
  </w:style>
  <w:style w:type="character" w:styleId="FollowedHyperlink">
    <w:name w:val="FollowedHyperlink"/>
    <w:basedOn w:val="DefaultParagraphFont"/>
    <w:semiHidden/>
    <w:rsid w:val="00DF1839"/>
    <w:rPr>
      <w:color w:val="800080"/>
      <w:u w:val="single"/>
    </w:rPr>
  </w:style>
  <w:style w:type="character" w:styleId="HTMLAcronym">
    <w:name w:val="HTML Acronym"/>
    <w:basedOn w:val="DefaultParagraphFont"/>
    <w:semiHidden/>
    <w:rsid w:val="00DF1839"/>
  </w:style>
  <w:style w:type="paragraph" w:styleId="HTMLAddress">
    <w:name w:val="HTML Address"/>
    <w:basedOn w:val="Normal"/>
    <w:semiHidden/>
    <w:rsid w:val="00DF1839"/>
    <w:rPr>
      <w:i/>
      <w:iCs/>
    </w:rPr>
  </w:style>
  <w:style w:type="character" w:styleId="HTMLCite">
    <w:name w:val="HTML Cite"/>
    <w:basedOn w:val="DefaultParagraphFont"/>
    <w:semiHidden/>
    <w:rsid w:val="00DF1839"/>
    <w:rPr>
      <w:i/>
      <w:iCs/>
    </w:rPr>
  </w:style>
  <w:style w:type="character" w:styleId="HTMLCode">
    <w:name w:val="HTML Code"/>
    <w:basedOn w:val="DefaultParagraphFont"/>
    <w:semiHidden/>
    <w:rsid w:val="00DF1839"/>
    <w:rPr>
      <w:rFonts w:ascii="Courier New" w:hAnsi="Courier New" w:cs="Courier New"/>
      <w:sz w:val="20"/>
      <w:szCs w:val="20"/>
    </w:rPr>
  </w:style>
  <w:style w:type="character" w:styleId="HTMLDefinition">
    <w:name w:val="HTML Definition"/>
    <w:basedOn w:val="DefaultParagraphFont"/>
    <w:semiHidden/>
    <w:rsid w:val="00DF1839"/>
    <w:rPr>
      <w:i/>
      <w:iCs/>
    </w:rPr>
  </w:style>
  <w:style w:type="character" w:styleId="HTMLKeyboard">
    <w:name w:val="HTML Keyboard"/>
    <w:basedOn w:val="DefaultParagraphFont"/>
    <w:semiHidden/>
    <w:rsid w:val="00DF1839"/>
    <w:rPr>
      <w:rFonts w:ascii="Courier New" w:hAnsi="Courier New" w:cs="Courier New"/>
      <w:sz w:val="20"/>
      <w:szCs w:val="20"/>
    </w:rPr>
  </w:style>
  <w:style w:type="paragraph" w:styleId="HTMLPreformatted">
    <w:name w:val="HTML Preformatted"/>
    <w:basedOn w:val="Normal"/>
    <w:semiHidden/>
    <w:rsid w:val="00DF1839"/>
    <w:rPr>
      <w:rFonts w:ascii="Courier New" w:hAnsi="Courier New" w:cs="Courier New"/>
      <w:szCs w:val="20"/>
    </w:rPr>
  </w:style>
  <w:style w:type="character" w:styleId="HTMLSample">
    <w:name w:val="HTML Sample"/>
    <w:basedOn w:val="DefaultParagraphFont"/>
    <w:semiHidden/>
    <w:rsid w:val="00DF1839"/>
    <w:rPr>
      <w:rFonts w:ascii="Courier New" w:hAnsi="Courier New" w:cs="Courier New"/>
    </w:rPr>
  </w:style>
  <w:style w:type="character" w:styleId="HTMLTypewriter">
    <w:name w:val="HTML Typewriter"/>
    <w:basedOn w:val="DefaultParagraphFont"/>
    <w:semiHidden/>
    <w:rsid w:val="00DF1839"/>
    <w:rPr>
      <w:rFonts w:ascii="Courier New" w:hAnsi="Courier New" w:cs="Courier New"/>
      <w:sz w:val="20"/>
      <w:szCs w:val="20"/>
    </w:rPr>
  </w:style>
  <w:style w:type="character" w:styleId="HTMLVariable">
    <w:name w:val="HTML Variable"/>
    <w:basedOn w:val="DefaultParagraphFont"/>
    <w:semiHidden/>
    <w:rsid w:val="00DF1839"/>
    <w:rPr>
      <w:i/>
      <w:iCs/>
    </w:rPr>
  </w:style>
  <w:style w:type="character" w:styleId="LineNumber">
    <w:name w:val="line number"/>
    <w:basedOn w:val="DefaultParagraphFont"/>
    <w:semiHidden/>
    <w:rsid w:val="00DF1839"/>
  </w:style>
  <w:style w:type="paragraph" w:styleId="List">
    <w:name w:val="List"/>
    <w:basedOn w:val="Normal"/>
    <w:semiHidden/>
    <w:rsid w:val="00DF1839"/>
    <w:pPr>
      <w:ind w:left="360" w:hanging="360"/>
    </w:pPr>
  </w:style>
  <w:style w:type="paragraph" w:styleId="List2">
    <w:name w:val="List 2"/>
    <w:basedOn w:val="Normal"/>
    <w:semiHidden/>
    <w:rsid w:val="00DF1839"/>
    <w:pPr>
      <w:ind w:left="720" w:hanging="360"/>
    </w:pPr>
  </w:style>
  <w:style w:type="paragraph" w:styleId="List3">
    <w:name w:val="List 3"/>
    <w:basedOn w:val="Normal"/>
    <w:semiHidden/>
    <w:rsid w:val="00DF1839"/>
    <w:pPr>
      <w:ind w:left="1080" w:hanging="360"/>
    </w:pPr>
  </w:style>
  <w:style w:type="paragraph" w:styleId="List4">
    <w:name w:val="List 4"/>
    <w:basedOn w:val="Normal"/>
    <w:semiHidden/>
    <w:rsid w:val="00DF1839"/>
    <w:pPr>
      <w:ind w:left="1440" w:hanging="360"/>
    </w:pPr>
  </w:style>
  <w:style w:type="paragraph" w:styleId="List5">
    <w:name w:val="List 5"/>
    <w:basedOn w:val="Normal"/>
    <w:semiHidden/>
    <w:rsid w:val="00DF1839"/>
    <w:pPr>
      <w:ind w:left="1800" w:hanging="360"/>
    </w:pPr>
  </w:style>
  <w:style w:type="paragraph" w:styleId="ListBullet">
    <w:name w:val="List Bullet"/>
    <w:basedOn w:val="Normal"/>
    <w:semiHidden/>
    <w:rsid w:val="00DF1839"/>
    <w:pPr>
      <w:numPr>
        <w:numId w:val="3"/>
      </w:numPr>
    </w:pPr>
  </w:style>
  <w:style w:type="paragraph" w:styleId="ListBullet2">
    <w:name w:val="List Bullet 2"/>
    <w:basedOn w:val="Normal"/>
    <w:semiHidden/>
    <w:rsid w:val="00DF1839"/>
    <w:pPr>
      <w:numPr>
        <w:numId w:val="4"/>
      </w:numPr>
    </w:pPr>
  </w:style>
  <w:style w:type="paragraph" w:styleId="ListBullet3">
    <w:name w:val="List Bullet 3"/>
    <w:basedOn w:val="Normal"/>
    <w:semiHidden/>
    <w:rsid w:val="00DF1839"/>
    <w:pPr>
      <w:numPr>
        <w:numId w:val="5"/>
      </w:numPr>
    </w:pPr>
  </w:style>
  <w:style w:type="paragraph" w:styleId="ListBullet4">
    <w:name w:val="List Bullet 4"/>
    <w:basedOn w:val="Normal"/>
    <w:semiHidden/>
    <w:rsid w:val="00DF1839"/>
    <w:pPr>
      <w:numPr>
        <w:numId w:val="6"/>
      </w:numPr>
    </w:pPr>
  </w:style>
  <w:style w:type="paragraph" w:styleId="ListBullet5">
    <w:name w:val="List Bullet 5"/>
    <w:basedOn w:val="Normal"/>
    <w:semiHidden/>
    <w:rsid w:val="00DF1839"/>
    <w:pPr>
      <w:numPr>
        <w:numId w:val="7"/>
      </w:numPr>
    </w:pPr>
  </w:style>
  <w:style w:type="paragraph" w:styleId="ListContinue">
    <w:name w:val="List Continue"/>
    <w:basedOn w:val="Normal"/>
    <w:semiHidden/>
    <w:rsid w:val="00DF1839"/>
    <w:pPr>
      <w:spacing w:after="120"/>
      <w:ind w:left="360"/>
    </w:pPr>
  </w:style>
  <w:style w:type="paragraph" w:styleId="ListContinue2">
    <w:name w:val="List Continue 2"/>
    <w:basedOn w:val="Normal"/>
    <w:semiHidden/>
    <w:rsid w:val="00DF1839"/>
    <w:pPr>
      <w:spacing w:after="120"/>
      <w:ind w:left="720"/>
    </w:pPr>
  </w:style>
  <w:style w:type="paragraph" w:styleId="ListContinue3">
    <w:name w:val="List Continue 3"/>
    <w:basedOn w:val="Normal"/>
    <w:semiHidden/>
    <w:rsid w:val="00DF1839"/>
    <w:pPr>
      <w:spacing w:after="120"/>
      <w:ind w:left="1080"/>
    </w:pPr>
  </w:style>
  <w:style w:type="paragraph" w:styleId="ListContinue4">
    <w:name w:val="List Continue 4"/>
    <w:basedOn w:val="Normal"/>
    <w:semiHidden/>
    <w:rsid w:val="00DF1839"/>
    <w:pPr>
      <w:spacing w:after="120"/>
      <w:ind w:left="1440"/>
    </w:pPr>
  </w:style>
  <w:style w:type="paragraph" w:styleId="ListContinue5">
    <w:name w:val="List Continue 5"/>
    <w:basedOn w:val="Normal"/>
    <w:semiHidden/>
    <w:rsid w:val="00DF1839"/>
    <w:pPr>
      <w:spacing w:after="120"/>
      <w:ind w:left="1800"/>
    </w:pPr>
  </w:style>
  <w:style w:type="paragraph" w:styleId="ListNumber">
    <w:name w:val="List Number"/>
    <w:basedOn w:val="Normal"/>
    <w:semiHidden/>
    <w:rsid w:val="00DF1839"/>
    <w:pPr>
      <w:numPr>
        <w:numId w:val="8"/>
      </w:numPr>
    </w:pPr>
  </w:style>
  <w:style w:type="paragraph" w:styleId="ListNumber2">
    <w:name w:val="List Number 2"/>
    <w:basedOn w:val="Normal"/>
    <w:semiHidden/>
    <w:rsid w:val="00DF1839"/>
    <w:pPr>
      <w:numPr>
        <w:numId w:val="9"/>
      </w:numPr>
    </w:pPr>
  </w:style>
  <w:style w:type="paragraph" w:styleId="ListNumber3">
    <w:name w:val="List Number 3"/>
    <w:basedOn w:val="Normal"/>
    <w:semiHidden/>
    <w:rsid w:val="00DF1839"/>
    <w:pPr>
      <w:numPr>
        <w:numId w:val="10"/>
      </w:numPr>
    </w:pPr>
  </w:style>
  <w:style w:type="paragraph" w:styleId="ListNumber4">
    <w:name w:val="List Number 4"/>
    <w:basedOn w:val="Normal"/>
    <w:semiHidden/>
    <w:rsid w:val="00DF1839"/>
    <w:pPr>
      <w:numPr>
        <w:numId w:val="11"/>
      </w:numPr>
    </w:pPr>
  </w:style>
  <w:style w:type="paragraph" w:styleId="ListNumber5">
    <w:name w:val="List Number 5"/>
    <w:basedOn w:val="Normal"/>
    <w:semiHidden/>
    <w:rsid w:val="00DF1839"/>
    <w:pPr>
      <w:numPr>
        <w:numId w:val="12"/>
      </w:numPr>
    </w:pPr>
  </w:style>
  <w:style w:type="paragraph" w:styleId="MessageHeader">
    <w:name w:val="Message Header"/>
    <w:basedOn w:val="Normal"/>
    <w:semiHidden/>
    <w:rsid w:val="00DF183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DF1839"/>
  </w:style>
  <w:style w:type="paragraph" w:styleId="NormalIndent">
    <w:name w:val="Normal Indent"/>
    <w:basedOn w:val="Normal"/>
    <w:semiHidden/>
    <w:rsid w:val="00DF1839"/>
    <w:pPr>
      <w:ind w:left="720"/>
    </w:pPr>
  </w:style>
  <w:style w:type="paragraph" w:styleId="NoteHeading">
    <w:name w:val="Note Heading"/>
    <w:basedOn w:val="Normal"/>
    <w:next w:val="Normal"/>
    <w:semiHidden/>
    <w:rsid w:val="00DF1839"/>
  </w:style>
  <w:style w:type="paragraph" w:styleId="PlainText">
    <w:name w:val="Plain Text"/>
    <w:basedOn w:val="Normal"/>
    <w:semiHidden/>
    <w:rsid w:val="00DF1839"/>
    <w:rPr>
      <w:rFonts w:ascii="Courier New" w:hAnsi="Courier New" w:cs="Courier New"/>
      <w:szCs w:val="20"/>
    </w:rPr>
  </w:style>
  <w:style w:type="paragraph" w:styleId="Salutation">
    <w:name w:val="Salutation"/>
    <w:basedOn w:val="Normal"/>
    <w:next w:val="Normal"/>
    <w:semiHidden/>
    <w:rsid w:val="00DF1839"/>
  </w:style>
  <w:style w:type="paragraph" w:styleId="Signature">
    <w:name w:val="Signature"/>
    <w:basedOn w:val="Normal"/>
    <w:semiHidden/>
    <w:rsid w:val="00DF1839"/>
    <w:pPr>
      <w:ind w:left="4320"/>
    </w:pPr>
  </w:style>
  <w:style w:type="paragraph" w:styleId="TOC4">
    <w:name w:val="toc 4"/>
    <w:basedOn w:val="Normal"/>
    <w:next w:val="Normal"/>
    <w:autoRedefine/>
    <w:uiPriority w:val="39"/>
    <w:semiHidden/>
    <w:rsid w:val="00351A80"/>
    <w:pPr>
      <w:spacing w:after="100"/>
      <w:ind w:left="600"/>
    </w:pPr>
  </w:style>
  <w:style w:type="table" w:styleId="Table3Deffects1">
    <w:name w:val="Table 3D effects 1"/>
    <w:basedOn w:val="TableNormal"/>
    <w:semiHidden/>
    <w:rsid w:val="00DF183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F183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F183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F183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F183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F183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F183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F183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Date">
    <w:name w:val="Date"/>
    <w:basedOn w:val="Normal"/>
    <w:next w:val="Normal"/>
    <w:semiHidden/>
    <w:rsid w:val="00DF1839"/>
  </w:style>
  <w:style w:type="character" w:customStyle="1" w:styleId="BodyTextChar1">
    <w:name w:val="Body Text Char1"/>
    <w:basedOn w:val="DefaultParagraphFont"/>
    <w:semiHidden/>
    <w:rsid w:val="00AA71E5"/>
    <w:rPr>
      <w:rFonts w:ascii="Tahoma" w:hAnsi="Tahoma"/>
      <w:spacing w:val="4"/>
      <w:sz w:val="18"/>
      <w:szCs w:val="18"/>
      <w:lang w:val="en-US" w:eastAsia="en-US" w:bidi="ar-SA"/>
    </w:rPr>
  </w:style>
  <w:style w:type="paragraph" w:styleId="BalloonText">
    <w:name w:val="Balloon Text"/>
    <w:basedOn w:val="Normal"/>
    <w:link w:val="BalloonTextChar"/>
    <w:semiHidden/>
    <w:rsid w:val="00944D49"/>
    <w:rPr>
      <w:rFonts w:cs="Tahoma"/>
      <w:sz w:val="16"/>
      <w:szCs w:val="16"/>
    </w:rPr>
  </w:style>
  <w:style w:type="character" w:customStyle="1" w:styleId="BalloonTextChar">
    <w:name w:val="Balloon Text Char"/>
    <w:basedOn w:val="DefaultParagraphFont"/>
    <w:link w:val="BalloonText"/>
    <w:semiHidden/>
    <w:rsid w:val="00D065AB"/>
    <w:rPr>
      <w:rFonts w:ascii="Tahoma" w:hAnsi="Tahoma" w:cs="Tahoma"/>
      <w:sz w:val="16"/>
      <w:szCs w:val="16"/>
    </w:rPr>
  </w:style>
  <w:style w:type="paragraph" w:customStyle="1" w:styleId="AppendixTitle">
    <w:name w:val="Appendix Title"/>
    <w:basedOn w:val="ChapterTitle"/>
    <w:next w:val="BodyText"/>
    <w:link w:val="AppendixTitleChar"/>
    <w:qFormat/>
    <w:rsid w:val="00351A80"/>
  </w:style>
  <w:style w:type="paragraph" w:styleId="TOC6">
    <w:name w:val="toc 6"/>
    <w:basedOn w:val="AppendixTitle"/>
    <w:next w:val="Normal"/>
    <w:uiPriority w:val="39"/>
    <w:rsid w:val="00C63995"/>
    <w:pPr>
      <w:keepNext w:val="0"/>
      <w:numPr>
        <w:numId w:val="18"/>
      </w:numPr>
      <w:tabs>
        <w:tab w:val="right" w:leader="dot" w:pos="9000"/>
      </w:tabs>
      <w:spacing w:before="240" w:after="100"/>
      <w:ind w:left="720" w:hanging="720"/>
    </w:pPr>
    <w:rPr>
      <w:noProof/>
      <w:sz w:val="20"/>
    </w:rPr>
  </w:style>
  <w:style w:type="character" w:customStyle="1" w:styleId="InsideTitleChar">
    <w:name w:val="Inside Title Char"/>
    <w:basedOn w:val="DefaultParagraphFont"/>
    <w:link w:val="InsideTitle"/>
    <w:semiHidden/>
    <w:rsid w:val="009A6F01"/>
    <w:rPr>
      <w:rFonts w:ascii="Verdana" w:hAnsi="Verdana"/>
      <w:b/>
      <w:sz w:val="32"/>
    </w:rPr>
  </w:style>
  <w:style w:type="character" w:customStyle="1" w:styleId="ChapterTitleChar">
    <w:name w:val="Chapter Title Char"/>
    <w:basedOn w:val="InsideTitleChar"/>
    <w:link w:val="ChapterTitle"/>
    <w:rsid w:val="009A6F01"/>
    <w:rPr>
      <w:rFonts w:ascii="Tahoma" w:hAnsi="Tahoma"/>
      <w:b/>
      <w:caps/>
      <w:sz w:val="28"/>
      <w:szCs w:val="28"/>
    </w:rPr>
  </w:style>
  <w:style w:type="character" w:customStyle="1" w:styleId="Heading6Char">
    <w:name w:val="Heading 6 Char"/>
    <w:aliases w:val="Appendix Level Char"/>
    <w:basedOn w:val="ChapterTitleChar"/>
    <w:link w:val="Heading6"/>
    <w:rsid w:val="009A6F01"/>
    <w:rPr>
      <w:rFonts w:ascii="Tahoma" w:hAnsi="Tahoma"/>
      <w:b/>
      <w:bCs/>
      <w:caps/>
      <w:sz w:val="22"/>
      <w:szCs w:val="22"/>
    </w:rPr>
  </w:style>
  <w:style w:type="character" w:customStyle="1" w:styleId="AppendixTitleChar">
    <w:name w:val="Appendix Title Char"/>
    <w:basedOn w:val="ChapterTitleChar"/>
    <w:link w:val="AppendixTitle"/>
    <w:rsid w:val="00351A80"/>
    <w:rPr>
      <w:rFonts w:ascii="Tahoma" w:hAnsi="Tahoma"/>
      <w:b/>
      <w:caps/>
      <w:sz w:val="28"/>
      <w:szCs w:val="28"/>
    </w:rPr>
  </w:style>
  <w:style w:type="character" w:customStyle="1" w:styleId="Heading3Char">
    <w:name w:val="Heading 3 Char"/>
    <w:aliases w:val="2nd Lvl Head Char"/>
    <w:basedOn w:val="DefaultParagraphFont"/>
    <w:link w:val="Heading3"/>
    <w:rsid w:val="00D065AB"/>
    <w:rPr>
      <w:rFonts w:ascii="Tahoma" w:hAnsi="Tahoma" w:cs="Arial"/>
      <w:b/>
      <w:bCs/>
      <w:sz w:val="22"/>
      <w:szCs w:val="18"/>
    </w:rPr>
  </w:style>
  <w:style w:type="character" w:customStyle="1" w:styleId="TOC3Char">
    <w:name w:val="TOC 3 Char"/>
    <w:basedOn w:val="Heading3Char"/>
    <w:link w:val="TOC3"/>
    <w:uiPriority w:val="39"/>
    <w:rsid w:val="00D065AB"/>
    <w:rPr>
      <w:rFonts w:ascii="Tahoma" w:hAnsi="Tahoma" w:cs="Arial"/>
      <w:b/>
      <w:bCs/>
      <w:noProof/>
      <w:sz w:val="22"/>
      <w:szCs w:val="24"/>
    </w:rPr>
  </w:style>
  <w:style w:type="paragraph" w:styleId="TOCHeading">
    <w:name w:val="TOC Heading"/>
    <w:basedOn w:val="Heading1"/>
    <w:next w:val="Normal"/>
    <w:uiPriority w:val="39"/>
    <w:semiHidden/>
    <w:qFormat/>
    <w:rsid w:val="008139DD"/>
    <w:pPr>
      <w:keepNext/>
      <w:keepLines/>
      <w:numPr>
        <w:numId w:val="0"/>
      </w:numPr>
      <w:spacing w:before="480" w:line="276" w:lineRule="auto"/>
      <w:outlineLvl w:val="9"/>
    </w:pPr>
    <w:rPr>
      <w:rFonts w:asciiTheme="majorHAnsi" w:eastAsiaTheme="majorEastAsia" w:hAnsiTheme="majorHAnsi" w:cstheme="majorBidi"/>
      <w:bCs/>
      <w:caps w:val="0"/>
      <w:color w:val="395975" w:themeColor="accent1" w:themeShade="BF"/>
      <w:sz w:val="28"/>
      <w:szCs w:val="28"/>
    </w:rPr>
  </w:style>
  <w:style w:type="table" w:customStyle="1" w:styleId="LightShading-Accent11">
    <w:name w:val="Light Shading - Accent 11"/>
    <w:basedOn w:val="TableNormal"/>
    <w:uiPriority w:val="60"/>
    <w:rsid w:val="00184364"/>
    <w:rPr>
      <w:color w:val="395975" w:themeColor="accent1" w:themeShade="BF"/>
    </w:rPr>
    <w:tblPr>
      <w:tblStyleRowBandSize w:val="1"/>
      <w:tblStyleColBandSize w:val="1"/>
      <w:tblInd w:w="0" w:type="dxa"/>
      <w:tblBorders>
        <w:top w:val="single" w:sz="8" w:space="0" w:color="4C789D" w:themeColor="accent1"/>
        <w:bottom w:val="single" w:sz="8" w:space="0" w:color="4C789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C789D" w:themeColor="accent1"/>
          <w:left w:val="nil"/>
          <w:bottom w:val="single" w:sz="8" w:space="0" w:color="4C789D" w:themeColor="accent1"/>
          <w:right w:val="nil"/>
          <w:insideH w:val="nil"/>
          <w:insideV w:val="nil"/>
        </w:tcBorders>
      </w:tcPr>
    </w:tblStylePr>
    <w:tblStylePr w:type="lastRow">
      <w:pPr>
        <w:spacing w:before="0" w:after="0" w:line="240" w:lineRule="auto"/>
      </w:pPr>
      <w:rPr>
        <w:b/>
        <w:bCs/>
      </w:rPr>
      <w:tblPr/>
      <w:tcPr>
        <w:tcBorders>
          <w:top w:val="single" w:sz="8" w:space="0" w:color="4C789D" w:themeColor="accent1"/>
          <w:left w:val="nil"/>
          <w:bottom w:val="single" w:sz="8" w:space="0" w:color="4C789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8" w:themeFill="accent1" w:themeFillTint="3F"/>
      </w:tcPr>
    </w:tblStylePr>
    <w:tblStylePr w:type="band1Horz">
      <w:tblPr/>
      <w:tcPr>
        <w:tcBorders>
          <w:left w:val="nil"/>
          <w:right w:val="nil"/>
          <w:insideH w:val="nil"/>
          <w:insideV w:val="nil"/>
        </w:tcBorders>
        <w:shd w:val="clear" w:color="auto" w:fill="D0DDE8" w:themeFill="accent1" w:themeFillTint="3F"/>
      </w:tcPr>
    </w:tblStylePr>
  </w:style>
  <w:style w:type="paragraph" w:customStyle="1" w:styleId="ReportTitle">
    <w:name w:val="Report Title"/>
    <w:basedOn w:val="Normal"/>
    <w:qFormat/>
    <w:rsid w:val="00B500AE"/>
    <w:pPr>
      <w:spacing w:before="120"/>
    </w:pPr>
    <w:rPr>
      <w:b/>
      <w:smallCaps/>
      <w:color w:val="003E74" w:themeColor="text2"/>
      <w:sz w:val="28"/>
    </w:rPr>
  </w:style>
  <w:style w:type="paragraph" w:customStyle="1" w:styleId="ReportData">
    <w:name w:val="Report Data"/>
    <w:basedOn w:val="Normal"/>
    <w:qFormat/>
    <w:rsid w:val="00B500AE"/>
    <w:rPr>
      <w:color w:val="003E74" w:themeColor="text2"/>
    </w:rPr>
  </w:style>
  <w:style w:type="paragraph" w:customStyle="1" w:styleId="ESTitle">
    <w:name w:val="ES Title"/>
    <w:basedOn w:val="ContentsTitle"/>
    <w:qFormat/>
    <w:rsid w:val="00FC2658"/>
  </w:style>
  <w:style w:type="paragraph" w:styleId="TOC7">
    <w:name w:val="toc 7"/>
    <w:basedOn w:val="Normal"/>
    <w:next w:val="Normal"/>
    <w:autoRedefine/>
    <w:uiPriority w:val="39"/>
    <w:rsid w:val="00765034"/>
    <w:pPr>
      <w:spacing w:after="100"/>
      <w:ind w:firstLine="720"/>
    </w:pPr>
    <w:rPr>
      <w:b/>
      <w:caps/>
    </w:rPr>
  </w:style>
  <w:style w:type="paragraph" w:customStyle="1" w:styleId="BulletedListIndent">
    <w:name w:val="Bulleted List Indent"/>
    <w:basedOn w:val="BulletedList"/>
    <w:qFormat/>
    <w:rsid w:val="00D065AB"/>
    <w:pPr>
      <w:numPr>
        <w:numId w:val="23"/>
      </w:numPr>
      <w:contextualSpacing w:val="0"/>
    </w:pPr>
  </w:style>
  <w:style w:type="paragraph" w:styleId="ListParagraph">
    <w:name w:val="List Paragraph"/>
    <w:basedOn w:val="Normal"/>
    <w:uiPriority w:val="34"/>
    <w:qFormat/>
    <w:rsid w:val="00042BC1"/>
    <w:pPr>
      <w:ind w:left="720"/>
      <w:contextualSpacing/>
    </w:pPr>
  </w:style>
  <w:style w:type="paragraph" w:customStyle="1" w:styleId="ReportSubtitle">
    <w:name w:val="Report Subtitle"/>
    <w:qFormat/>
    <w:rsid w:val="00837C9C"/>
    <w:pPr>
      <w:spacing w:before="60" w:after="180"/>
    </w:pPr>
    <w:rPr>
      <w:rFonts w:ascii="Tahoma" w:hAnsi="Tahoma"/>
      <w:i/>
      <w:color w:val="003E74" w:themeColor="text2"/>
      <w:sz w:val="22"/>
      <w:szCs w:val="24"/>
    </w:rPr>
  </w:style>
  <w:style w:type="paragraph" w:customStyle="1" w:styleId="BulletedListIndent2">
    <w:name w:val="Bulleted List Indent 2"/>
    <w:basedOn w:val="Normal"/>
    <w:qFormat/>
    <w:rsid w:val="00D065AB"/>
    <w:pPr>
      <w:numPr>
        <w:numId w:val="24"/>
      </w:numPr>
      <w:spacing w:after="240"/>
      <w:ind w:left="1080"/>
    </w:pPr>
  </w:style>
  <w:style w:type="character" w:styleId="CommentReference">
    <w:name w:val="annotation reference"/>
    <w:basedOn w:val="DefaultParagraphFont"/>
    <w:semiHidden/>
    <w:rsid w:val="00D065AB"/>
    <w:rPr>
      <w:sz w:val="16"/>
      <w:szCs w:val="16"/>
    </w:rPr>
  </w:style>
  <w:style w:type="paragraph" w:styleId="CommentText">
    <w:name w:val="annotation text"/>
    <w:basedOn w:val="Normal"/>
    <w:link w:val="CommentTextChar"/>
    <w:semiHidden/>
    <w:rsid w:val="00D065AB"/>
    <w:rPr>
      <w:szCs w:val="20"/>
    </w:rPr>
  </w:style>
  <w:style w:type="character" w:customStyle="1" w:styleId="CommentTextChar">
    <w:name w:val="Comment Text Char"/>
    <w:basedOn w:val="DefaultParagraphFont"/>
    <w:link w:val="CommentText"/>
    <w:semiHidden/>
    <w:rsid w:val="00D065AB"/>
    <w:rPr>
      <w:rFonts w:ascii="Tahoma" w:hAnsi="Tahoma"/>
    </w:rPr>
  </w:style>
  <w:style w:type="paragraph" w:customStyle="1" w:styleId="TableCaption">
    <w:name w:val="Table Caption"/>
    <w:basedOn w:val="Normal"/>
    <w:rsid w:val="00E20B04"/>
    <w:pPr>
      <w:keepNext/>
      <w:spacing w:before="360" w:after="60"/>
      <w:ind w:left="1440" w:hanging="1440"/>
    </w:pPr>
    <w:rPr>
      <w:b/>
      <w:i/>
      <w:sz w:val="18"/>
      <w:szCs w:val="16"/>
    </w:rPr>
  </w:style>
  <w:style w:type="paragraph" w:styleId="CommentSubject">
    <w:name w:val="annotation subject"/>
    <w:basedOn w:val="CommentText"/>
    <w:next w:val="CommentText"/>
    <w:link w:val="CommentSubjectChar"/>
    <w:semiHidden/>
    <w:rsid w:val="00285A62"/>
    <w:rPr>
      <w:b/>
      <w:bCs/>
    </w:rPr>
  </w:style>
  <w:style w:type="character" w:customStyle="1" w:styleId="CommentSubjectChar">
    <w:name w:val="Comment Subject Char"/>
    <w:basedOn w:val="CommentTextChar"/>
    <w:link w:val="CommentSubject"/>
    <w:semiHidden/>
    <w:rsid w:val="00285A62"/>
    <w:rPr>
      <w:rFonts w:ascii="Tahoma" w:hAnsi="Tahoma"/>
      <w:b/>
      <w:bCs/>
    </w:rPr>
  </w:style>
  <w:style w:type="character" w:styleId="PlaceholderText">
    <w:name w:val="Placeholder Text"/>
    <w:basedOn w:val="DefaultParagraphFont"/>
    <w:uiPriority w:val="99"/>
    <w:semiHidden/>
    <w:rsid w:val="00C242FA"/>
    <w:rPr>
      <w:color w:val="808080"/>
    </w:rPr>
  </w:style>
  <w:style w:type="paragraph" w:styleId="Revision">
    <w:name w:val="Revision"/>
    <w:hidden/>
    <w:uiPriority w:val="99"/>
    <w:semiHidden/>
    <w:rsid w:val="000927D4"/>
    <w:rPr>
      <w:rFonts w:ascii="Tahoma" w:hAnsi="Tahoma"/>
      <w:szCs w:val="24"/>
    </w:rPr>
  </w:style>
</w:styles>
</file>

<file path=word/webSettings.xml><?xml version="1.0" encoding="utf-8"?>
<w:webSettings xmlns:r="http://schemas.openxmlformats.org/officeDocument/2006/relationships" xmlns:w="http://schemas.openxmlformats.org/wordprocessingml/2006/main">
  <w:divs>
    <w:div w:id="72776847">
      <w:bodyDiv w:val="1"/>
      <w:marLeft w:val="0"/>
      <w:marRight w:val="0"/>
      <w:marTop w:val="0"/>
      <w:marBottom w:val="0"/>
      <w:divBdr>
        <w:top w:val="none" w:sz="0" w:space="0" w:color="auto"/>
        <w:left w:val="none" w:sz="0" w:space="0" w:color="auto"/>
        <w:bottom w:val="none" w:sz="0" w:space="0" w:color="auto"/>
        <w:right w:val="none" w:sz="0" w:space="0" w:color="auto"/>
      </w:divBdr>
    </w:div>
    <w:div w:id="194466264">
      <w:bodyDiv w:val="1"/>
      <w:marLeft w:val="0"/>
      <w:marRight w:val="0"/>
      <w:marTop w:val="0"/>
      <w:marBottom w:val="0"/>
      <w:divBdr>
        <w:top w:val="none" w:sz="0" w:space="0" w:color="auto"/>
        <w:left w:val="none" w:sz="0" w:space="0" w:color="auto"/>
        <w:bottom w:val="none" w:sz="0" w:space="0" w:color="auto"/>
        <w:right w:val="none" w:sz="0" w:space="0" w:color="auto"/>
      </w:divBdr>
    </w:div>
    <w:div w:id="217975965">
      <w:bodyDiv w:val="1"/>
      <w:marLeft w:val="0"/>
      <w:marRight w:val="0"/>
      <w:marTop w:val="0"/>
      <w:marBottom w:val="0"/>
      <w:divBdr>
        <w:top w:val="none" w:sz="0" w:space="0" w:color="auto"/>
        <w:left w:val="none" w:sz="0" w:space="0" w:color="auto"/>
        <w:bottom w:val="none" w:sz="0" w:space="0" w:color="auto"/>
        <w:right w:val="none" w:sz="0" w:space="0" w:color="auto"/>
      </w:divBdr>
    </w:div>
    <w:div w:id="227496150">
      <w:bodyDiv w:val="1"/>
      <w:marLeft w:val="0"/>
      <w:marRight w:val="0"/>
      <w:marTop w:val="0"/>
      <w:marBottom w:val="0"/>
      <w:divBdr>
        <w:top w:val="none" w:sz="0" w:space="0" w:color="auto"/>
        <w:left w:val="none" w:sz="0" w:space="0" w:color="auto"/>
        <w:bottom w:val="none" w:sz="0" w:space="0" w:color="auto"/>
        <w:right w:val="none" w:sz="0" w:space="0" w:color="auto"/>
      </w:divBdr>
    </w:div>
    <w:div w:id="254245014">
      <w:bodyDiv w:val="1"/>
      <w:marLeft w:val="0"/>
      <w:marRight w:val="0"/>
      <w:marTop w:val="0"/>
      <w:marBottom w:val="0"/>
      <w:divBdr>
        <w:top w:val="none" w:sz="0" w:space="0" w:color="auto"/>
        <w:left w:val="none" w:sz="0" w:space="0" w:color="auto"/>
        <w:bottom w:val="none" w:sz="0" w:space="0" w:color="auto"/>
        <w:right w:val="none" w:sz="0" w:space="0" w:color="auto"/>
      </w:divBdr>
    </w:div>
    <w:div w:id="254411754">
      <w:bodyDiv w:val="1"/>
      <w:marLeft w:val="0"/>
      <w:marRight w:val="0"/>
      <w:marTop w:val="0"/>
      <w:marBottom w:val="0"/>
      <w:divBdr>
        <w:top w:val="none" w:sz="0" w:space="0" w:color="auto"/>
        <w:left w:val="none" w:sz="0" w:space="0" w:color="auto"/>
        <w:bottom w:val="none" w:sz="0" w:space="0" w:color="auto"/>
        <w:right w:val="none" w:sz="0" w:space="0" w:color="auto"/>
      </w:divBdr>
    </w:div>
    <w:div w:id="274405514">
      <w:bodyDiv w:val="1"/>
      <w:marLeft w:val="0"/>
      <w:marRight w:val="0"/>
      <w:marTop w:val="0"/>
      <w:marBottom w:val="0"/>
      <w:divBdr>
        <w:top w:val="none" w:sz="0" w:space="0" w:color="auto"/>
        <w:left w:val="none" w:sz="0" w:space="0" w:color="auto"/>
        <w:bottom w:val="none" w:sz="0" w:space="0" w:color="auto"/>
        <w:right w:val="none" w:sz="0" w:space="0" w:color="auto"/>
      </w:divBdr>
    </w:div>
    <w:div w:id="348873990">
      <w:bodyDiv w:val="1"/>
      <w:marLeft w:val="0"/>
      <w:marRight w:val="0"/>
      <w:marTop w:val="0"/>
      <w:marBottom w:val="0"/>
      <w:divBdr>
        <w:top w:val="none" w:sz="0" w:space="0" w:color="auto"/>
        <w:left w:val="none" w:sz="0" w:space="0" w:color="auto"/>
        <w:bottom w:val="none" w:sz="0" w:space="0" w:color="auto"/>
        <w:right w:val="none" w:sz="0" w:space="0" w:color="auto"/>
      </w:divBdr>
    </w:div>
    <w:div w:id="396318597">
      <w:bodyDiv w:val="1"/>
      <w:marLeft w:val="0"/>
      <w:marRight w:val="0"/>
      <w:marTop w:val="0"/>
      <w:marBottom w:val="0"/>
      <w:divBdr>
        <w:top w:val="none" w:sz="0" w:space="0" w:color="auto"/>
        <w:left w:val="none" w:sz="0" w:space="0" w:color="auto"/>
        <w:bottom w:val="none" w:sz="0" w:space="0" w:color="auto"/>
        <w:right w:val="none" w:sz="0" w:space="0" w:color="auto"/>
      </w:divBdr>
    </w:div>
    <w:div w:id="405108754">
      <w:bodyDiv w:val="1"/>
      <w:marLeft w:val="0"/>
      <w:marRight w:val="0"/>
      <w:marTop w:val="0"/>
      <w:marBottom w:val="0"/>
      <w:divBdr>
        <w:top w:val="none" w:sz="0" w:space="0" w:color="auto"/>
        <w:left w:val="none" w:sz="0" w:space="0" w:color="auto"/>
        <w:bottom w:val="none" w:sz="0" w:space="0" w:color="auto"/>
        <w:right w:val="none" w:sz="0" w:space="0" w:color="auto"/>
      </w:divBdr>
    </w:div>
    <w:div w:id="469523195">
      <w:bodyDiv w:val="1"/>
      <w:marLeft w:val="0"/>
      <w:marRight w:val="0"/>
      <w:marTop w:val="0"/>
      <w:marBottom w:val="0"/>
      <w:divBdr>
        <w:top w:val="none" w:sz="0" w:space="0" w:color="auto"/>
        <w:left w:val="none" w:sz="0" w:space="0" w:color="auto"/>
        <w:bottom w:val="none" w:sz="0" w:space="0" w:color="auto"/>
        <w:right w:val="none" w:sz="0" w:space="0" w:color="auto"/>
      </w:divBdr>
    </w:div>
    <w:div w:id="500123485">
      <w:bodyDiv w:val="1"/>
      <w:marLeft w:val="0"/>
      <w:marRight w:val="0"/>
      <w:marTop w:val="0"/>
      <w:marBottom w:val="0"/>
      <w:divBdr>
        <w:top w:val="none" w:sz="0" w:space="0" w:color="auto"/>
        <w:left w:val="none" w:sz="0" w:space="0" w:color="auto"/>
        <w:bottom w:val="none" w:sz="0" w:space="0" w:color="auto"/>
        <w:right w:val="none" w:sz="0" w:space="0" w:color="auto"/>
      </w:divBdr>
    </w:div>
    <w:div w:id="501117450">
      <w:bodyDiv w:val="1"/>
      <w:marLeft w:val="0"/>
      <w:marRight w:val="0"/>
      <w:marTop w:val="0"/>
      <w:marBottom w:val="0"/>
      <w:divBdr>
        <w:top w:val="none" w:sz="0" w:space="0" w:color="auto"/>
        <w:left w:val="none" w:sz="0" w:space="0" w:color="auto"/>
        <w:bottom w:val="none" w:sz="0" w:space="0" w:color="auto"/>
        <w:right w:val="none" w:sz="0" w:space="0" w:color="auto"/>
      </w:divBdr>
    </w:div>
    <w:div w:id="519508937">
      <w:bodyDiv w:val="1"/>
      <w:marLeft w:val="0"/>
      <w:marRight w:val="0"/>
      <w:marTop w:val="0"/>
      <w:marBottom w:val="0"/>
      <w:divBdr>
        <w:top w:val="none" w:sz="0" w:space="0" w:color="auto"/>
        <w:left w:val="none" w:sz="0" w:space="0" w:color="auto"/>
        <w:bottom w:val="none" w:sz="0" w:space="0" w:color="auto"/>
        <w:right w:val="none" w:sz="0" w:space="0" w:color="auto"/>
      </w:divBdr>
    </w:div>
    <w:div w:id="558825790">
      <w:bodyDiv w:val="1"/>
      <w:marLeft w:val="0"/>
      <w:marRight w:val="0"/>
      <w:marTop w:val="0"/>
      <w:marBottom w:val="0"/>
      <w:divBdr>
        <w:top w:val="none" w:sz="0" w:space="0" w:color="auto"/>
        <w:left w:val="none" w:sz="0" w:space="0" w:color="auto"/>
        <w:bottom w:val="none" w:sz="0" w:space="0" w:color="auto"/>
        <w:right w:val="none" w:sz="0" w:space="0" w:color="auto"/>
      </w:divBdr>
    </w:div>
    <w:div w:id="562377423">
      <w:bodyDiv w:val="1"/>
      <w:marLeft w:val="0"/>
      <w:marRight w:val="0"/>
      <w:marTop w:val="0"/>
      <w:marBottom w:val="0"/>
      <w:divBdr>
        <w:top w:val="none" w:sz="0" w:space="0" w:color="auto"/>
        <w:left w:val="none" w:sz="0" w:space="0" w:color="auto"/>
        <w:bottom w:val="none" w:sz="0" w:space="0" w:color="auto"/>
        <w:right w:val="none" w:sz="0" w:space="0" w:color="auto"/>
      </w:divBdr>
      <w:divsChild>
        <w:div w:id="1734542180">
          <w:marLeft w:val="136"/>
          <w:marRight w:val="136"/>
          <w:marTop w:val="204"/>
          <w:marBottom w:val="0"/>
          <w:divBdr>
            <w:top w:val="none" w:sz="0" w:space="0" w:color="auto"/>
            <w:left w:val="none" w:sz="0" w:space="0" w:color="auto"/>
            <w:bottom w:val="none" w:sz="0" w:space="0" w:color="auto"/>
            <w:right w:val="none" w:sz="0" w:space="0" w:color="auto"/>
          </w:divBdr>
          <w:divsChild>
            <w:div w:id="158783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13364">
      <w:bodyDiv w:val="1"/>
      <w:marLeft w:val="0"/>
      <w:marRight w:val="0"/>
      <w:marTop w:val="0"/>
      <w:marBottom w:val="0"/>
      <w:divBdr>
        <w:top w:val="none" w:sz="0" w:space="0" w:color="auto"/>
        <w:left w:val="none" w:sz="0" w:space="0" w:color="auto"/>
        <w:bottom w:val="none" w:sz="0" w:space="0" w:color="auto"/>
        <w:right w:val="none" w:sz="0" w:space="0" w:color="auto"/>
      </w:divBdr>
    </w:div>
    <w:div w:id="593131793">
      <w:bodyDiv w:val="1"/>
      <w:marLeft w:val="0"/>
      <w:marRight w:val="0"/>
      <w:marTop w:val="0"/>
      <w:marBottom w:val="0"/>
      <w:divBdr>
        <w:top w:val="none" w:sz="0" w:space="0" w:color="auto"/>
        <w:left w:val="none" w:sz="0" w:space="0" w:color="auto"/>
        <w:bottom w:val="none" w:sz="0" w:space="0" w:color="auto"/>
        <w:right w:val="none" w:sz="0" w:space="0" w:color="auto"/>
      </w:divBdr>
    </w:div>
    <w:div w:id="717053818">
      <w:bodyDiv w:val="1"/>
      <w:marLeft w:val="0"/>
      <w:marRight w:val="0"/>
      <w:marTop w:val="0"/>
      <w:marBottom w:val="0"/>
      <w:divBdr>
        <w:top w:val="none" w:sz="0" w:space="0" w:color="auto"/>
        <w:left w:val="none" w:sz="0" w:space="0" w:color="auto"/>
        <w:bottom w:val="none" w:sz="0" w:space="0" w:color="auto"/>
        <w:right w:val="none" w:sz="0" w:space="0" w:color="auto"/>
      </w:divBdr>
    </w:div>
    <w:div w:id="729233877">
      <w:bodyDiv w:val="1"/>
      <w:marLeft w:val="0"/>
      <w:marRight w:val="0"/>
      <w:marTop w:val="0"/>
      <w:marBottom w:val="0"/>
      <w:divBdr>
        <w:top w:val="none" w:sz="0" w:space="0" w:color="auto"/>
        <w:left w:val="none" w:sz="0" w:space="0" w:color="auto"/>
        <w:bottom w:val="none" w:sz="0" w:space="0" w:color="auto"/>
        <w:right w:val="none" w:sz="0" w:space="0" w:color="auto"/>
      </w:divBdr>
    </w:div>
    <w:div w:id="737825438">
      <w:bodyDiv w:val="1"/>
      <w:marLeft w:val="0"/>
      <w:marRight w:val="0"/>
      <w:marTop w:val="0"/>
      <w:marBottom w:val="0"/>
      <w:divBdr>
        <w:top w:val="none" w:sz="0" w:space="0" w:color="auto"/>
        <w:left w:val="none" w:sz="0" w:space="0" w:color="auto"/>
        <w:bottom w:val="none" w:sz="0" w:space="0" w:color="auto"/>
        <w:right w:val="none" w:sz="0" w:space="0" w:color="auto"/>
      </w:divBdr>
    </w:div>
    <w:div w:id="762607187">
      <w:bodyDiv w:val="1"/>
      <w:marLeft w:val="0"/>
      <w:marRight w:val="0"/>
      <w:marTop w:val="0"/>
      <w:marBottom w:val="0"/>
      <w:divBdr>
        <w:top w:val="none" w:sz="0" w:space="0" w:color="auto"/>
        <w:left w:val="none" w:sz="0" w:space="0" w:color="auto"/>
        <w:bottom w:val="none" w:sz="0" w:space="0" w:color="auto"/>
        <w:right w:val="none" w:sz="0" w:space="0" w:color="auto"/>
      </w:divBdr>
    </w:div>
    <w:div w:id="791899024">
      <w:bodyDiv w:val="1"/>
      <w:marLeft w:val="0"/>
      <w:marRight w:val="0"/>
      <w:marTop w:val="0"/>
      <w:marBottom w:val="0"/>
      <w:divBdr>
        <w:top w:val="none" w:sz="0" w:space="0" w:color="auto"/>
        <w:left w:val="none" w:sz="0" w:space="0" w:color="auto"/>
        <w:bottom w:val="none" w:sz="0" w:space="0" w:color="auto"/>
        <w:right w:val="none" w:sz="0" w:space="0" w:color="auto"/>
      </w:divBdr>
    </w:div>
    <w:div w:id="828834928">
      <w:bodyDiv w:val="1"/>
      <w:marLeft w:val="0"/>
      <w:marRight w:val="0"/>
      <w:marTop w:val="0"/>
      <w:marBottom w:val="0"/>
      <w:divBdr>
        <w:top w:val="none" w:sz="0" w:space="0" w:color="auto"/>
        <w:left w:val="none" w:sz="0" w:space="0" w:color="auto"/>
        <w:bottom w:val="none" w:sz="0" w:space="0" w:color="auto"/>
        <w:right w:val="none" w:sz="0" w:space="0" w:color="auto"/>
      </w:divBdr>
    </w:div>
    <w:div w:id="898513297">
      <w:bodyDiv w:val="1"/>
      <w:marLeft w:val="0"/>
      <w:marRight w:val="0"/>
      <w:marTop w:val="0"/>
      <w:marBottom w:val="0"/>
      <w:divBdr>
        <w:top w:val="none" w:sz="0" w:space="0" w:color="auto"/>
        <w:left w:val="none" w:sz="0" w:space="0" w:color="auto"/>
        <w:bottom w:val="none" w:sz="0" w:space="0" w:color="auto"/>
        <w:right w:val="none" w:sz="0" w:space="0" w:color="auto"/>
      </w:divBdr>
    </w:div>
    <w:div w:id="938831262">
      <w:bodyDiv w:val="1"/>
      <w:marLeft w:val="0"/>
      <w:marRight w:val="0"/>
      <w:marTop w:val="0"/>
      <w:marBottom w:val="0"/>
      <w:divBdr>
        <w:top w:val="none" w:sz="0" w:space="0" w:color="auto"/>
        <w:left w:val="none" w:sz="0" w:space="0" w:color="auto"/>
        <w:bottom w:val="none" w:sz="0" w:space="0" w:color="auto"/>
        <w:right w:val="none" w:sz="0" w:space="0" w:color="auto"/>
      </w:divBdr>
    </w:div>
    <w:div w:id="959653468">
      <w:bodyDiv w:val="1"/>
      <w:marLeft w:val="0"/>
      <w:marRight w:val="0"/>
      <w:marTop w:val="0"/>
      <w:marBottom w:val="0"/>
      <w:divBdr>
        <w:top w:val="none" w:sz="0" w:space="0" w:color="auto"/>
        <w:left w:val="none" w:sz="0" w:space="0" w:color="auto"/>
        <w:bottom w:val="none" w:sz="0" w:space="0" w:color="auto"/>
        <w:right w:val="none" w:sz="0" w:space="0" w:color="auto"/>
      </w:divBdr>
    </w:div>
    <w:div w:id="1004019616">
      <w:bodyDiv w:val="1"/>
      <w:marLeft w:val="0"/>
      <w:marRight w:val="0"/>
      <w:marTop w:val="0"/>
      <w:marBottom w:val="0"/>
      <w:divBdr>
        <w:top w:val="none" w:sz="0" w:space="0" w:color="auto"/>
        <w:left w:val="none" w:sz="0" w:space="0" w:color="auto"/>
        <w:bottom w:val="none" w:sz="0" w:space="0" w:color="auto"/>
        <w:right w:val="none" w:sz="0" w:space="0" w:color="auto"/>
      </w:divBdr>
    </w:div>
    <w:div w:id="1055010404">
      <w:bodyDiv w:val="1"/>
      <w:marLeft w:val="0"/>
      <w:marRight w:val="0"/>
      <w:marTop w:val="0"/>
      <w:marBottom w:val="0"/>
      <w:divBdr>
        <w:top w:val="none" w:sz="0" w:space="0" w:color="auto"/>
        <w:left w:val="none" w:sz="0" w:space="0" w:color="auto"/>
        <w:bottom w:val="none" w:sz="0" w:space="0" w:color="auto"/>
        <w:right w:val="none" w:sz="0" w:space="0" w:color="auto"/>
      </w:divBdr>
    </w:div>
    <w:div w:id="1061514170">
      <w:bodyDiv w:val="1"/>
      <w:marLeft w:val="0"/>
      <w:marRight w:val="0"/>
      <w:marTop w:val="0"/>
      <w:marBottom w:val="0"/>
      <w:divBdr>
        <w:top w:val="none" w:sz="0" w:space="0" w:color="auto"/>
        <w:left w:val="none" w:sz="0" w:space="0" w:color="auto"/>
        <w:bottom w:val="none" w:sz="0" w:space="0" w:color="auto"/>
        <w:right w:val="none" w:sz="0" w:space="0" w:color="auto"/>
      </w:divBdr>
    </w:div>
    <w:div w:id="1099984732">
      <w:bodyDiv w:val="1"/>
      <w:marLeft w:val="0"/>
      <w:marRight w:val="0"/>
      <w:marTop w:val="0"/>
      <w:marBottom w:val="0"/>
      <w:divBdr>
        <w:top w:val="none" w:sz="0" w:space="0" w:color="auto"/>
        <w:left w:val="none" w:sz="0" w:space="0" w:color="auto"/>
        <w:bottom w:val="none" w:sz="0" w:space="0" w:color="auto"/>
        <w:right w:val="none" w:sz="0" w:space="0" w:color="auto"/>
      </w:divBdr>
    </w:div>
    <w:div w:id="1115060807">
      <w:bodyDiv w:val="1"/>
      <w:marLeft w:val="0"/>
      <w:marRight w:val="0"/>
      <w:marTop w:val="0"/>
      <w:marBottom w:val="0"/>
      <w:divBdr>
        <w:top w:val="none" w:sz="0" w:space="0" w:color="auto"/>
        <w:left w:val="none" w:sz="0" w:space="0" w:color="auto"/>
        <w:bottom w:val="none" w:sz="0" w:space="0" w:color="auto"/>
        <w:right w:val="none" w:sz="0" w:space="0" w:color="auto"/>
      </w:divBdr>
    </w:div>
    <w:div w:id="1319769919">
      <w:bodyDiv w:val="1"/>
      <w:marLeft w:val="0"/>
      <w:marRight w:val="0"/>
      <w:marTop w:val="0"/>
      <w:marBottom w:val="0"/>
      <w:divBdr>
        <w:top w:val="none" w:sz="0" w:space="0" w:color="auto"/>
        <w:left w:val="none" w:sz="0" w:space="0" w:color="auto"/>
        <w:bottom w:val="none" w:sz="0" w:space="0" w:color="auto"/>
        <w:right w:val="none" w:sz="0" w:space="0" w:color="auto"/>
      </w:divBdr>
    </w:div>
    <w:div w:id="1324554323">
      <w:bodyDiv w:val="1"/>
      <w:marLeft w:val="0"/>
      <w:marRight w:val="0"/>
      <w:marTop w:val="0"/>
      <w:marBottom w:val="0"/>
      <w:divBdr>
        <w:top w:val="none" w:sz="0" w:space="0" w:color="auto"/>
        <w:left w:val="none" w:sz="0" w:space="0" w:color="auto"/>
        <w:bottom w:val="none" w:sz="0" w:space="0" w:color="auto"/>
        <w:right w:val="none" w:sz="0" w:space="0" w:color="auto"/>
      </w:divBdr>
    </w:div>
    <w:div w:id="1355690775">
      <w:bodyDiv w:val="1"/>
      <w:marLeft w:val="0"/>
      <w:marRight w:val="0"/>
      <w:marTop w:val="0"/>
      <w:marBottom w:val="0"/>
      <w:divBdr>
        <w:top w:val="none" w:sz="0" w:space="0" w:color="auto"/>
        <w:left w:val="none" w:sz="0" w:space="0" w:color="auto"/>
        <w:bottom w:val="none" w:sz="0" w:space="0" w:color="auto"/>
        <w:right w:val="none" w:sz="0" w:space="0" w:color="auto"/>
      </w:divBdr>
    </w:div>
    <w:div w:id="1380787980">
      <w:bodyDiv w:val="1"/>
      <w:marLeft w:val="0"/>
      <w:marRight w:val="0"/>
      <w:marTop w:val="0"/>
      <w:marBottom w:val="0"/>
      <w:divBdr>
        <w:top w:val="none" w:sz="0" w:space="0" w:color="auto"/>
        <w:left w:val="none" w:sz="0" w:space="0" w:color="auto"/>
        <w:bottom w:val="none" w:sz="0" w:space="0" w:color="auto"/>
        <w:right w:val="none" w:sz="0" w:space="0" w:color="auto"/>
      </w:divBdr>
    </w:div>
    <w:div w:id="1446464429">
      <w:bodyDiv w:val="1"/>
      <w:marLeft w:val="0"/>
      <w:marRight w:val="0"/>
      <w:marTop w:val="0"/>
      <w:marBottom w:val="0"/>
      <w:divBdr>
        <w:top w:val="none" w:sz="0" w:space="0" w:color="auto"/>
        <w:left w:val="none" w:sz="0" w:space="0" w:color="auto"/>
        <w:bottom w:val="none" w:sz="0" w:space="0" w:color="auto"/>
        <w:right w:val="none" w:sz="0" w:space="0" w:color="auto"/>
      </w:divBdr>
    </w:div>
    <w:div w:id="1477644707">
      <w:bodyDiv w:val="1"/>
      <w:marLeft w:val="0"/>
      <w:marRight w:val="0"/>
      <w:marTop w:val="0"/>
      <w:marBottom w:val="0"/>
      <w:divBdr>
        <w:top w:val="none" w:sz="0" w:space="0" w:color="auto"/>
        <w:left w:val="none" w:sz="0" w:space="0" w:color="auto"/>
        <w:bottom w:val="none" w:sz="0" w:space="0" w:color="auto"/>
        <w:right w:val="none" w:sz="0" w:space="0" w:color="auto"/>
      </w:divBdr>
    </w:div>
    <w:div w:id="1570842332">
      <w:bodyDiv w:val="1"/>
      <w:marLeft w:val="0"/>
      <w:marRight w:val="0"/>
      <w:marTop w:val="0"/>
      <w:marBottom w:val="0"/>
      <w:divBdr>
        <w:top w:val="none" w:sz="0" w:space="0" w:color="auto"/>
        <w:left w:val="none" w:sz="0" w:space="0" w:color="auto"/>
        <w:bottom w:val="none" w:sz="0" w:space="0" w:color="auto"/>
        <w:right w:val="none" w:sz="0" w:space="0" w:color="auto"/>
      </w:divBdr>
    </w:div>
    <w:div w:id="1590311516">
      <w:bodyDiv w:val="1"/>
      <w:marLeft w:val="0"/>
      <w:marRight w:val="0"/>
      <w:marTop w:val="0"/>
      <w:marBottom w:val="0"/>
      <w:divBdr>
        <w:top w:val="none" w:sz="0" w:space="0" w:color="auto"/>
        <w:left w:val="none" w:sz="0" w:space="0" w:color="auto"/>
        <w:bottom w:val="none" w:sz="0" w:space="0" w:color="auto"/>
        <w:right w:val="none" w:sz="0" w:space="0" w:color="auto"/>
      </w:divBdr>
    </w:div>
    <w:div w:id="1612277972">
      <w:bodyDiv w:val="1"/>
      <w:marLeft w:val="0"/>
      <w:marRight w:val="0"/>
      <w:marTop w:val="0"/>
      <w:marBottom w:val="0"/>
      <w:divBdr>
        <w:top w:val="none" w:sz="0" w:space="0" w:color="auto"/>
        <w:left w:val="none" w:sz="0" w:space="0" w:color="auto"/>
        <w:bottom w:val="none" w:sz="0" w:space="0" w:color="auto"/>
        <w:right w:val="none" w:sz="0" w:space="0" w:color="auto"/>
      </w:divBdr>
    </w:div>
    <w:div w:id="1647247918">
      <w:bodyDiv w:val="1"/>
      <w:marLeft w:val="0"/>
      <w:marRight w:val="0"/>
      <w:marTop w:val="0"/>
      <w:marBottom w:val="0"/>
      <w:divBdr>
        <w:top w:val="none" w:sz="0" w:space="0" w:color="auto"/>
        <w:left w:val="none" w:sz="0" w:space="0" w:color="auto"/>
        <w:bottom w:val="none" w:sz="0" w:space="0" w:color="auto"/>
        <w:right w:val="none" w:sz="0" w:space="0" w:color="auto"/>
      </w:divBdr>
    </w:div>
    <w:div w:id="1656835874">
      <w:bodyDiv w:val="1"/>
      <w:marLeft w:val="0"/>
      <w:marRight w:val="0"/>
      <w:marTop w:val="0"/>
      <w:marBottom w:val="0"/>
      <w:divBdr>
        <w:top w:val="none" w:sz="0" w:space="0" w:color="auto"/>
        <w:left w:val="none" w:sz="0" w:space="0" w:color="auto"/>
        <w:bottom w:val="none" w:sz="0" w:space="0" w:color="auto"/>
        <w:right w:val="none" w:sz="0" w:space="0" w:color="auto"/>
      </w:divBdr>
      <w:divsChild>
        <w:div w:id="316540057">
          <w:marLeft w:val="0"/>
          <w:marRight w:val="0"/>
          <w:marTop w:val="0"/>
          <w:marBottom w:val="0"/>
          <w:divBdr>
            <w:top w:val="single" w:sz="2" w:space="0" w:color="800080"/>
            <w:left w:val="single" w:sz="2" w:space="0" w:color="800080"/>
            <w:bottom w:val="single" w:sz="2" w:space="0" w:color="800080"/>
            <w:right w:val="single" w:sz="2" w:space="0" w:color="800080"/>
          </w:divBdr>
          <w:divsChild>
            <w:div w:id="1044136978">
              <w:marLeft w:val="0"/>
              <w:marRight w:val="0"/>
              <w:marTop w:val="0"/>
              <w:marBottom w:val="0"/>
              <w:divBdr>
                <w:top w:val="none" w:sz="0" w:space="0" w:color="auto"/>
                <w:left w:val="none" w:sz="0" w:space="0" w:color="auto"/>
                <w:bottom w:val="none" w:sz="0" w:space="0" w:color="auto"/>
                <w:right w:val="none" w:sz="0" w:space="0" w:color="auto"/>
              </w:divBdr>
              <w:divsChild>
                <w:div w:id="858740567">
                  <w:marLeft w:val="0"/>
                  <w:marRight w:val="0"/>
                  <w:marTop w:val="0"/>
                  <w:marBottom w:val="0"/>
                  <w:divBdr>
                    <w:top w:val="none" w:sz="0" w:space="0" w:color="auto"/>
                    <w:left w:val="none" w:sz="0" w:space="0" w:color="auto"/>
                    <w:bottom w:val="none" w:sz="0" w:space="0" w:color="auto"/>
                    <w:right w:val="none" w:sz="0" w:space="0" w:color="auto"/>
                  </w:divBdr>
                  <w:divsChild>
                    <w:div w:id="1929577794">
                      <w:marLeft w:val="0"/>
                      <w:marRight w:val="0"/>
                      <w:marTop w:val="0"/>
                      <w:marBottom w:val="0"/>
                      <w:divBdr>
                        <w:top w:val="none" w:sz="0" w:space="0" w:color="auto"/>
                        <w:left w:val="none" w:sz="0" w:space="0" w:color="auto"/>
                        <w:bottom w:val="none" w:sz="0" w:space="0" w:color="auto"/>
                        <w:right w:val="none" w:sz="0" w:space="0" w:color="auto"/>
                      </w:divBdr>
                      <w:divsChild>
                        <w:div w:id="9285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89873">
                  <w:marLeft w:val="0"/>
                  <w:marRight w:val="0"/>
                  <w:marTop w:val="0"/>
                  <w:marBottom w:val="0"/>
                  <w:divBdr>
                    <w:top w:val="none" w:sz="0" w:space="0" w:color="auto"/>
                    <w:left w:val="none" w:sz="0" w:space="0" w:color="auto"/>
                    <w:bottom w:val="none" w:sz="0" w:space="0" w:color="auto"/>
                    <w:right w:val="none" w:sz="0" w:space="0" w:color="auto"/>
                  </w:divBdr>
                  <w:divsChild>
                    <w:div w:id="1249385530">
                      <w:marLeft w:val="-69"/>
                      <w:marRight w:val="0"/>
                      <w:marTop w:val="138"/>
                      <w:marBottom w:val="208"/>
                      <w:divBdr>
                        <w:top w:val="none" w:sz="0" w:space="0" w:color="auto"/>
                        <w:left w:val="none" w:sz="0" w:space="0" w:color="auto"/>
                        <w:bottom w:val="none" w:sz="0" w:space="0" w:color="auto"/>
                        <w:right w:val="none" w:sz="0" w:space="0" w:color="auto"/>
                      </w:divBdr>
                    </w:div>
                    <w:div w:id="1679892770">
                      <w:marLeft w:val="0"/>
                      <w:marRight w:val="0"/>
                      <w:marTop w:val="0"/>
                      <w:marBottom w:val="0"/>
                      <w:divBdr>
                        <w:top w:val="single" w:sz="2" w:space="0" w:color="82E682"/>
                        <w:left w:val="none" w:sz="0" w:space="0" w:color="auto"/>
                        <w:bottom w:val="none" w:sz="0" w:space="0" w:color="auto"/>
                        <w:right w:val="none" w:sz="0" w:space="0" w:color="auto"/>
                      </w:divBdr>
                    </w:div>
                  </w:divsChild>
                </w:div>
              </w:divsChild>
            </w:div>
          </w:divsChild>
        </w:div>
        <w:div w:id="615333286">
          <w:marLeft w:val="3738"/>
          <w:marRight w:val="0"/>
          <w:marTop w:val="138"/>
          <w:marBottom w:val="0"/>
          <w:divBdr>
            <w:top w:val="none" w:sz="0" w:space="0" w:color="auto"/>
            <w:left w:val="none" w:sz="0" w:space="0" w:color="auto"/>
            <w:bottom w:val="none" w:sz="0" w:space="0" w:color="auto"/>
            <w:right w:val="none" w:sz="0" w:space="0" w:color="auto"/>
          </w:divBdr>
        </w:div>
      </w:divsChild>
    </w:div>
    <w:div w:id="1661813502">
      <w:bodyDiv w:val="1"/>
      <w:marLeft w:val="0"/>
      <w:marRight w:val="0"/>
      <w:marTop w:val="0"/>
      <w:marBottom w:val="0"/>
      <w:divBdr>
        <w:top w:val="none" w:sz="0" w:space="0" w:color="auto"/>
        <w:left w:val="none" w:sz="0" w:space="0" w:color="auto"/>
        <w:bottom w:val="none" w:sz="0" w:space="0" w:color="auto"/>
        <w:right w:val="none" w:sz="0" w:space="0" w:color="auto"/>
      </w:divBdr>
    </w:div>
    <w:div w:id="1686639372">
      <w:bodyDiv w:val="1"/>
      <w:marLeft w:val="0"/>
      <w:marRight w:val="0"/>
      <w:marTop w:val="0"/>
      <w:marBottom w:val="0"/>
      <w:divBdr>
        <w:top w:val="none" w:sz="0" w:space="0" w:color="auto"/>
        <w:left w:val="none" w:sz="0" w:space="0" w:color="auto"/>
        <w:bottom w:val="none" w:sz="0" w:space="0" w:color="auto"/>
        <w:right w:val="none" w:sz="0" w:space="0" w:color="auto"/>
      </w:divBdr>
    </w:div>
    <w:div w:id="1761104082">
      <w:bodyDiv w:val="1"/>
      <w:marLeft w:val="0"/>
      <w:marRight w:val="0"/>
      <w:marTop w:val="0"/>
      <w:marBottom w:val="0"/>
      <w:divBdr>
        <w:top w:val="none" w:sz="0" w:space="0" w:color="auto"/>
        <w:left w:val="none" w:sz="0" w:space="0" w:color="auto"/>
        <w:bottom w:val="none" w:sz="0" w:space="0" w:color="auto"/>
        <w:right w:val="none" w:sz="0" w:space="0" w:color="auto"/>
      </w:divBdr>
    </w:div>
    <w:div w:id="1774282790">
      <w:bodyDiv w:val="1"/>
      <w:marLeft w:val="0"/>
      <w:marRight w:val="0"/>
      <w:marTop w:val="0"/>
      <w:marBottom w:val="0"/>
      <w:divBdr>
        <w:top w:val="none" w:sz="0" w:space="0" w:color="auto"/>
        <w:left w:val="none" w:sz="0" w:space="0" w:color="auto"/>
        <w:bottom w:val="none" w:sz="0" w:space="0" w:color="auto"/>
        <w:right w:val="none" w:sz="0" w:space="0" w:color="auto"/>
      </w:divBdr>
      <w:divsChild>
        <w:div w:id="1707217322">
          <w:marLeft w:val="0"/>
          <w:marRight w:val="0"/>
          <w:marTop w:val="0"/>
          <w:marBottom w:val="0"/>
          <w:divBdr>
            <w:top w:val="none" w:sz="0" w:space="0" w:color="auto"/>
            <w:left w:val="none" w:sz="0" w:space="0" w:color="auto"/>
            <w:bottom w:val="none" w:sz="0" w:space="0" w:color="auto"/>
            <w:right w:val="none" w:sz="0" w:space="0" w:color="auto"/>
          </w:divBdr>
        </w:div>
      </w:divsChild>
    </w:div>
    <w:div w:id="1778256943">
      <w:bodyDiv w:val="1"/>
      <w:marLeft w:val="0"/>
      <w:marRight w:val="0"/>
      <w:marTop w:val="0"/>
      <w:marBottom w:val="0"/>
      <w:divBdr>
        <w:top w:val="none" w:sz="0" w:space="0" w:color="auto"/>
        <w:left w:val="none" w:sz="0" w:space="0" w:color="auto"/>
        <w:bottom w:val="none" w:sz="0" w:space="0" w:color="auto"/>
        <w:right w:val="none" w:sz="0" w:space="0" w:color="auto"/>
      </w:divBdr>
    </w:div>
    <w:div w:id="1832018564">
      <w:bodyDiv w:val="1"/>
      <w:marLeft w:val="0"/>
      <w:marRight w:val="0"/>
      <w:marTop w:val="0"/>
      <w:marBottom w:val="0"/>
      <w:divBdr>
        <w:top w:val="none" w:sz="0" w:space="0" w:color="auto"/>
        <w:left w:val="none" w:sz="0" w:space="0" w:color="auto"/>
        <w:bottom w:val="none" w:sz="0" w:space="0" w:color="auto"/>
        <w:right w:val="none" w:sz="0" w:space="0" w:color="auto"/>
      </w:divBdr>
    </w:div>
    <w:div w:id="1874031337">
      <w:bodyDiv w:val="1"/>
      <w:marLeft w:val="0"/>
      <w:marRight w:val="0"/>
      <w:marTop w:val="0"/>
      <w:marBottom w:val="0"/>
      <w:divBdr>
        <w:top w:val="none" w:sz="0" w:space="0" w:color="auto"/>
        <w:left w:val="none" w:sz="0" w:space="0" w:color="auto"/>
        <w:bottom w:val="none" w:sz="0" w:space="0" w:color="auto"/>
        <w:right w:val="none" w:sz="0" w:space="0" w:color="auto"/>
      </w:divBdr>
    </w:div>
    <w:div w:id="1907302452">
      <w:bodyDiv w:val="1"/>
      <w:marLeft w:val="0"/>
      <w:marRight w:val="0"/>
      <w:marTop w:val="0"/>
      <w:marBottom w:val="0"/>
      <w:divBdr>
        <w:top w:val="none" w:sz="0" w:space="0" w:color="auto"/>
        <w:left w:val="none" w:sz="0" w:space="0" w:color="auto"/>
        <w:bottom w:val="none" w:sz="0" w:space="0" w:color="auto"/>
        <w:right w:val="none" w:sz="0" w:space="0" w:color="auto"/>
      </w:divBdr>
    </w:div>
    <w:div w:id="1915119193">
      <w:bodyDiv w:val="1"/>
      <w:marLeft w:val="0"/>
      <w:marRight w:val="0"/>
      <w:marTop w:val="0"/>
      <w:marBottom w:val="0"/>
      <w:divBdr>
        <w:top w:val="none" w:sz="0" w:space="0" w:color="auto"/>
        <w:left w:val="none" w:sz="0" w:space="0" w:color="auto"/>
        <w:bottom w:val="none" w:sz="0" w:space="0" w:color="auto"/>
        <w:right w:val="none" w:sz="0" w:space="0" w:color="auto"/>
      </w:divBdr>
    </w:div>
    <w:div w:id="1922443062">
      <w:bodyDiv w:val="1"/>
      <w:marLeft w:val="0"/>
      <w:marRight w:val="0"/>
      <w:marTop w:val="0"/>
      <w:marBottom w:val="0"/>
      <w:divBdr>
        <w:top w:val="none" w:sz="0" w:space="0" w:color="auto"/>
        <w:left w:val="none" w:sz="0" w:space="0" w:color="auto"/>
        <w:bottom w:val="none" w:sz="0" w:space="0" w:color="auto"/>
        <w:right w:val="none" w:sz="0" w:space="0" w:color="auto"/>
      </w:divBdr>
    </w:div>
    <w:div w:id="1958221329">
      <w:bodyDiv w:val="1"/>
      <w:marLeft w:val="0"/>
      <w:marRight w:val="0"/>
      <w:marTop w:val="0"/>
      <w:marBottom w:val="0"/>
      <w:divBdr>
        <w:top w:val="none" w:sz="0" w:space="0" w:color="auto"/>
        <w:left w:val="none" w:sz="0" w:space="0" w:color="auto"/>
        <w:bottom w:val="none" w:sz="0" w:space="0" w:color="auto"/>
        <w:right w:val="none" w:sz="0" w:space="0" w:color="auto"/>
      </w:divBdr>
    </w:div>
    <w:div w:id="1995258509">
      <w:bodyDiv w:val="1"/>
      <w:marLeft w:val="0"/>
      <w:marRight w:val="0"/>
      <w:marTop w:val="0"/>
      <w:marBottom w:val="0"/>
      <w:divBdr>
        <w:top w:val="none" w:sz="0" w:space="0" w:color="auto"/>
        <w:left w:val="none" w:sz="0" w:space="0" w:color="auto"/>
        <w:bottom w:val="none" w:sz="0" w:space="0" w:color="auto"/>
        <w:right w:val="none" w:sz="0" w:space="0" w:color="auto"/>
      </w:divBdr>
    </w:div>
    <w:div w:id="2022975761">
      <w:bodyDiv w:val="1"/>
      <w:marLeft w:val="0"/>
      <w:marRight w:val="0"/>
      <w:marTop w:val="0"/>
      <w:marBottom w:val="0"/>
      <w:divBdr>
        <w:top w:val="none" w:sz="0" w:space="0" w:color="auto"/>
        <w:left w:val="none" w:sz="0" w:space="0" w:color="auto"/>
        <w:bottom w:val="none" w:sz="0" w:space="0" w:color="auto"/>
        <w:right w:val="none" w:sz="0" w:space="0" w:color="auto"/>
      </w:divBdr>
    </w:div>
    <w:div w:id="2042585439">
      <w:bodyDiv w:val="1"/>
      <w:marLeft w:val="0"/>
      <w:marRight w:val="0"/>
      <w:marTop w:val="0"/>
      <w:marBottom w:val="0"/>
      <w:divBdr>
        <w:top w:val="none" w:sz="0" w:space="0" w:color="auto"/>
        <w:left w:val="none" w:sz="0" w:space="0" w:color="auto"/>
        <w:bottom w:val="none" w:sz="0" w:space="0" w:color="auto"/>
        <w:right w:val="none" w:sz="0" w:space="0" w:color="auto"/>
      </w:divBdr>
    </w:div>
    <w:div w:id="2062287896">
      <w:bodyDiv w:val="1"/>
      <w:marLeft w:val="0"/>
      <w:marRight w:val="0"/>
      <w:marTop w:val="0"/>
      <w:marBottom w:val="0"/>
      <w:divBdr>
        <w:top w:val="none" w:sz="0" w:space="0" w:color="auto"/>
        <w:left w:val="none" w:sz="0" w:space="0" w:color="auto"/>
        <w:bottom w:val="none" w:sz="0" w:space="0" w:color="auto"/>
        <w:right w:val="none" w:sz="0" w:space="0" w:color="auto"/>
      </w:divBdr>
    </w:div>
    <w:div w:id="2068603864">
      <w:bodyDiv w:val="1"/>
      <w:marLeft w:val="0"/>
      <w:marRight w:val="0"/>
      <w:marTop w:val="0"/>
      <w:marBottom w:val="0"/>
      <w:divBdr>
        <w:top w:val="none" w:sz="0" w:space="0" w:color="auto"/>
        <w:left w:val="none" w:sz="0" w:space="0" w:color="auto"/>
        <w:bottom w:val="none" w:sz="0" w:space="0" w:color="auto"/>
        <w:right w:val="none" w:sz="0" w:space="0" w:color="auto"/>
      </w:divBdr>
    </w:div>
    <w:div w:id="2088264910">
      <w:bodyDiv w:val="1"/>
      <w:marLeft w:val="0"/>
      <w:marRight w:val="0"/>
      <w:marTop w:val="0"/>
      <w:marBottom w:val="0"/>
      <w:divBdr>
        <w:top w:val="none" w:sz="0" w:space="0" w:color="auto"/>
        <w:left w:val="none" w:sz="0" w:space="0" w:color="auto"/>
        <w:bottom w:val="none" w:sz="0" w:space="0" w:color="auto"/>
        <w:right w:val="none" w:sz="0" w:space="0" w:color="auto"/>
      </w:divBdr>
    </w:div>
    <w:div w:id="210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chart" Target="charts/chart5.xml"/><Relationship Id="rId39"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chart" Target="charts/chart13.xml"/><Relationship Id="rId42" Type="http://schemas.openxmlformats.org/officeDocument/2006/relationships/chart" Target="charts/chart21.xml"/><Relationship Id="rId47" Type="http://schemas.openxmlformats.org/officeDocument/2006/relationships/header" Target="header9.xml"/><Relationship Id="rId50"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hart" Target="charts/chart4.xml"/><Relationship Id="rId33" Type="http://schemas.openxmlformats.org/officeDocument/2006/relationships/chart" Target="charts/chart12.xml"/><Relationship Id="rId38" Type="http://schemas.openxmlformats.org/officeDocument/2006/relationships/chart" Target="charts/chart17.xml"/><Relationship Id="rId46"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chart" Target="charts/chart8.xml"/><Relationship Id="rId41" Type="http://schemas.openxmlformats.org/officeDocument/2006/relationships/chart" Target="charts/chart20.xm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chart" Target="charts/chart16.xml"/><Relationship Id="rId40" Type="http://schemas.openxmlformats.org/officeDocument/2006/relationships/chart" Target="charts/chart19.xm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chart" Target="charts/chart15.xml"/><Relationship Id="rId49"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chart" Target="charts/chart10.xml"/><Relationship Id="rId44" Type="http://schemas.openxmlformats.org/officeDocument/2006/relationships/header" Target="header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nernoc.com" TargetMode="External"/><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chart" Target="charts/chart14.xml"/><Relationship Id="rId43" Type="http://schemas.openxmlformats.org/officeDocument/2006/relationships/header" Target="header7.xml"/><Relationship Id="rId48" Type="http://schemas.openxmlformats.org/officeDocument/2006/relationships/footer" Target="footer9.xml"/><Relationship Id="rId8" Type="http://schemas.openxmlformats.org/officeDocument/2006/relationships/image" Target="media/image1.jpeg"/><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arrin\AppData\Local\Microsoft\Windows\Temporary%20Internet%20Files\Content.Outlook\X07M859F\EnerNOC%20Consulting%20Report%20Template%20(Aug%202012).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jshishido\Desktop\Loadshapes%20and%20Model%20Residuals_1232013%20JS.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kmarrin\Desktop\SDG&amp;E%20Load%20Shapes%20and%20Savings.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kmarrin\Desktop\SDG&amp;E%20Load%20Shapes%20and%20Savings.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kmarrin\Desktop\SDG&amp;E%20Load%20Shapes%20and%20Savings.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kmarrin\Desktop\SDG&amp;E%20Load%20Shapes%20and%20Savings.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kmarrin\Desktop\SDG&amp;E%20Load%20Shapes%20and%20Savings.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1" Type="http://schemas.openxmlformats.org/officeDocument/2006/relationships/oleObject" Target="file:///C:\Users\kmarrin\Desktop\SDG&amp;E%20Load%20Shapes%20and%20Savings.xlsx" TargetMode="External"/></Relationships>
</file>

<file path=word/charts/_rels/chart16.xml.rels><?xml version="1.0" encoding="UTF-8" standalone="yes"?>
<Relationships xmlns="http://schemas.openxmlformats.org/package/2006/relationships"><Relationship Id="rId2" Type="http://schemas.openxmlformats.org/officeDocument/2006/relationships/oleObject" Target="file:///C:\Users\kmarrin\Desktop\SDG&amp;E%20Load%20Shapes%20and%20Savings.xlsx" TargetMode="External"/><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1" Type="http://schemas.openxmlformats.org/officeDocument/2006/relationships/oleObject" Target="file:///C:\Users\kmarrin\Desktop\SDG&amp;E%20Load%20Shapes%20and%20Savings.xlsx" TargetMode="External"/></Relationships>
</file>

<file path=word/charts/_rels/chart18.xml.rels><?xml version="1.0" encoding="UTF-8" standalone="yes"?>
<Relationships xmlns="http://schemas.openxmlformats.org/package/2006/relationships"><Relationship Id="rId2" Type="http://schemas.openxmlformats.org/officeDocument/2006/relationships/oleObject" Target="file:///C:\Users\kmarrin\Desktop\SDG&amp;E%20Load%20Shapes%20and%20Savings.xlsx" TargetMode="External"/><Relationship Id="rId1" Type="http://schemas.openxmlformats.org/officeDocument/2006/relationships/themeOverride" Target="../theme/themeOverride16.xml"/></Relationships>
</file>

<file path=word/charts/_rels/chart19.xml.rels><?xml version="1.0" encoding="UTF-8" standalone="yes"?>
<Relationships xmlns="http://schemas.openxmlformats.org/package/2006/relationships"><Relationship Id="rId1" Type="http://schemas.openxmlformats.org/officeDocument/2006/relationships/oleObject" Target="file:///C:\Users\kmarrin\Desktop\SDG&amp;E%20Load%20Shapes%20and%20Savings.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jshishido\Desktop\Loadshapes%20and%20Model%20Residuals_1232013%20JS.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C:\Users\kmarrin\Desktop\SDG&amp;E%20Load%20Shapes%20and%20Savings.xlsx" TargetMode="External"/><Relationship Id="rId1" Type="http://schemas.openxmlformats.org/officeDocument/2006/relationships/themeOverride" Target="../theme/themeOverride17.xml"/></Relationships>
</file>

<file path=word/charts/_rels/chart21.xml.rels><?xml version="1.0" encoding="UTF-8" standalone="yes"?>
<Relationships xmlns="http://schemas.openxmlformats.org/package/2006/relationships"><Relationship Id="rId2" Type="http://schemas.openxmlformats.org/officeDocument/2006/relationships/oleObject" Target="file:///C:\Users\kmarrin\Desktop\SDG&amp;E%20Load%20Shapes%20and%20Savings.xlsx" TargetMode="External"/><Relationship Id="rId1" Type="http://schemas.openxmlformats.org/officeDocument/2006/relationships/themeOverride" Target="../theme/themeOverride18.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jshishido\Desktop\Loadshapes%20and%20Model%20Residuals_1232013%20J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jshishido\Desktop\Loadshapes%20and%20Model%20Residuals_1232013%20J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jshishido\Desktop\Loadshapes%20and%20Model%20Residuals_1232013%20J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jshishido\Desktop\Loadshapes%20and%20Model%20Residuals_1232013%20J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kmarrin\Documents\Kelly_Work_Documents\9999%20-%20SDG&amp;E%20SCom%20PTR\Matched%20Control%20Group%20Analysis_%20SDG&amp;E%20Small%20Comm%20PTR_3012013.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kmarrin\Desktop\SDG&amp;E%20Load%20Shapes%20and%20Savings.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kmarrin\Desktop\SDG&amp;E%20Load%20Shapes%20and%20Savings.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'Load shapes final'!$B$2</c:f>
              <c:strCache>
                <c:ptCount val="1"/>
                <c:pt idx="0">
                  <c:v>Non-Event</c:v>
                </c:pt>
              </c:strCache>
            </c:strRef>
          </c:tx>
          <c:spPr>
            <a:ln>
              <a:solidFill>
                <a:srgbClr val="FF9900"/>
              </a:solidFill>
            </a:ln>
          </c:spPr>
          <c:marker>
            <c:symbol val="none"/>
          </c:marker>
          <c:val>
            <c:numRef>
              <c:f>'Load shapes final'!$J$2:$AG$2</c:f>
              <c:numCache>
                <c:formatCode>General</c:formatCode>
                <c:ptCount val="24"/>
                <c:pt idx="0">
                  <c:v>2.2818339686000049</c:v>
                </c:pt>
                <c:pt idx="1">
                  <c:v>2.1962441541999977</c:v>
                </c:pt>
                <c:pt idx="2">
                  <c:v>2.1260309044999999</c:v>
                </c:pt>
                <c:pt idx="3">
                  <c:v>2.1036484939999949</c:v>
                </c:pt>
                <c:pt idx="4">
                  <c:v>2.092091081</c:v>
                </c:pt>
                <c:pt idx="5">
                  <c:v>2.1470679370000001</c:v>
                </c:pt>
                <c:pt idx="6">
                  <c:v>2.2543255848000001</c:v>
                </c:pt>
                <c:pt idx="7">
                  <c:v>2.6836083783000002</c:v>
                </c:pt>
                <c:pt idx="8">
                  <c:v>3.4299297238999999</c:v>
                </c:pt>
                <c:pt idx="9">
                  <c:v>4.0907852576999799</c:v>
                </c:pt>
                <c:pt idx="10">
                  <c:v>4.5988195126999889</c:v>
                </c:pt>
                <c:pt idx="11">
                  <c:v>4.8895787336999996</c:v>
                </c:pt>
                <c:pt idx="12">
                  <c:v>4.9872509057999999</c:v>
                </c:pt>
                <c:pt idx="13">
                  <c:v>5.067455872599977</c:v>
                </c:pt>
                <c:pt idx="14">
                  <c:v>5.1187677275999945</c:v>
                </c:pt>
                <c:pt idx="15">
                  <c:v>5.0068057425000001</c:v>
                </c:pt>
                <c:pt idx="16">
                  <c:v>4.6793106380999889</c:v>
                </c:pt>
                <c:pt idx="17">
                  <c:v>4.1127398936999899</c:v>
                </c:pt>
                <c:pt idx="18">
                  <c:v>3.6016139083000001</c:v>
                </c:pt>
                <c:pt idx="19">
                  <c:v>3.3758042436999998</c:v>
                </c:pt>
                <c:pt idx="20">
                  <c:v>3.3140628586999998</c:v>
                </c:pt>
                <c:pt idx="21">
                  <c:v>2.9040247780000059</c:v>
                </c:pt>
                <c:pt idx="22">
                  <c:v>2.5472855014000002</c:v>
                </c:pt>
                <c:pt idx="23">
                  <c:v>2.3452934165999997</c:v>
                </c:pt>
              </c:numCache>
            </c:numRef>
          </c:val>
        </c:ser>
        <c:ser>
          <c:idx val="1"/>
          <c:order val="1"/>
          <c:tx>
            <c:strRef>
              <c:f>'Load shapes final'!$B$3</c:f>
              <c:strCache>
                <c:ptCount val="1"/>
                <c:pt idx="0">
                  <c:v>Event</c:v>
                </c:pt>
              </c:strCache>
            </c:strRef>
          </c:tx>
          <c:spPr>
            <a:ln>
              <a:solidFill>
                <a:srgbClr val="003E74"/>
              </a:solidFill>
            </a:ln>
          </c:spPr>
          <c:marker>
            <c:symbol val="none"/>
          </c:marker>
          <c:val>
            <c:numRef>
              <c:f>'Load shapes final'!$J$3:$AG$3</c:f>
              <c:numCache>
                <c:formatCode>General</c:formatCode>
                <c:ptCount val="24"/>
                <c:pt idx="0">
                  <c:v>2.1107570561000002</c:v>
                </c:pt>
                <c:pt idx="1">
                  <c:v>2.0499833950999999</c:v>
                </c:pt>
                <c:pt idx="2">
                  <c:v>1.9860141260000046</c:v>
                </c:pt>
                <c:pt idx="3">
                  <c:v>1.9530205869999999</c:v>
                </c:pt>
                <c:pt idx="4">
                  <c:v>1.9482651511000026</c:v>
                </c:pt>
                <c:pt idx="5">
                  <c:v>2.0242093572000002</c:v>
                </c:pt>
                <c:pt idx="6">
                  <c:v>2.1135721458000001</c:v>
                </c:pt>
                <c:pt idx="7">
                  <c:v>2.5202917237000002</c:v>
                </c:pt>
                <c:pt idx="8">
                  <c:v>3.2302602468000012</c:v>
                </c:pt>
                <c:pt idx="9">
                  <c:v>3.8310333900999987</c:v>
                </c:pt>
                <c:pt idx="10">
                  <c:v>4.2885659357000003</c:v>
                </c:pt>
                <c:pt idx="11">
                  <c:v>4.5340566395999868</c:v>
                </c:pt>
                <c:pt idx="12">
                  <c:v>4.5847869054999899</c:v>
                </c:pt>
                <c:pt idx="13">
                  <c:v>4.6364539213000002</c:v>
                </c:pt>
                <c:pt idx="14">
                  <c:v>4.6414076896000003</c:v>
                </c:pt>
                <c:pt idx="15">
                  <c:v>4.5137008564999839</c:v>
                </c:pt>
                <c:pt idx="16">
                  <c:v>4.244729457</c:v>
                </c:pt>
                <c:pt idx="17">
                  <c:v>3.7623425757</c:v>
                </c:pt>
                <c:pt idx="18">
                  <c:v>3.2686050620000002</c:v>
                </c:pt>
                <c:pt idx="19">
                  <c:v>3.0466765549999999</c:v>
                </c:pt>
                <c:pt idx="20">
                  <c:v>2.9908571334999938</c:v>
                </c:pt>
                <c:pt idx="21">
                  <c:v>2.6628982743999998</c:v>
                </c:pt>
                <c:pt idx="22">
                  <c:v>2.3729746690999987</c:v>
                </c:pt>
                <c:pt idx="23">
                  <c:v>2.1897301275000012</c:v>
                </c:pt>
              </c:numCache>
            </c:numRef>
          </c:val>
        </c:ser>
        <c:marker val="1"/>
        <c:axId val="152073344"/>
        <c:axId val="152074880"/>
      </c:lineChart>
      <c:lineChart>
        <c:grouping val="standard"/>
        <c:ser>
          <c:idx val="2"/>
          <c:order val="2"/>
          <c:tx>
            <c:strRef>
              <c:f>'Load shapes final'!$B$2</c:f>
              <c:strCache>
                <c:ptCount val="1"/>
                <c:pt idx="0">
                  <c:v>Non-Event</c:v>
                </c:pt>
              </c:strCache>
            </c:strRef>
          </c:tx>
          <c:spPr>
            <a:ln w="19050">
              <a:solidFill>
                <a:srgbClr val="FF9900"/>
              </a:solidFill>
              <a:prstDash val="sysDash"/>
            </a:ln>
          </c:spPr>
          <c:marker>
            <c:symbol val="none"/>
          </c:marker>
          <c:val>
            <c:numRef>
              <c:f>'Load shapes final'!$AH$2:$BE$2</c:f>
              <c:numCache>
                <c:formatCode>General</c:formatCode>
                <c:ptCount val="24"/>
                <c:pt idx="0">
                  <c:v>68</c:v>
                </c:pt>
                <c:pt idx="1">
                  <c:v>67</c:v>
                </c:pt>
                <c:pt idx="2">
                  <c:v>67</c:v>
                </c:pt>
                <c:pt idx="3">
                  <c:v>66</c:v>
                </c:pt>
                <c:pt idx="4">
                  <c:v>66</c:v>
                </c:pt>
                <c:pt idx="5">
                  <c:v>66</c:v>
                </c:pt>
                <c:pt idx="6">
                  <c:v>67</c:v>
                </c:pt>
                <c:pt idx="7">
                  <c:v>72</c:v>
                </c:pt>
                <c:pt idx="8">
                  <c:v>76</c:v>
                </c:pt>
                <c:pt idx="9">
                  <c:v>80</c:v>
                </c:pt>
                <c:pt idx="10">
                  <c:v>83</c:v>
                </c:pt>
                <c:pt idx="11">
                  <c:v>85</c:v>
                </c:pt>
                <c:pt idx="12">
                  <c:v>86</c:v>
                </c:pt>
                <c:pt idx="13">
                  <c:v>86</c:v>
                </c:pt>
                <c:pt idx="14">
                  <c:v>86</c:v>
                </c:pt>
                <c:pt idx="15">
                  <c:v>85</c:v>
                </c:pt>
                <c:pt idx="16">
                  <c:v>83</c:v>
                </c:pt>
                <c:pt idx="17">
                  <c:v>80</c:v>
                </c:pt>
                <c:pt idx="18">
                  <c:v>77</c:v>
                </c:pt>
                <c:pt idx="19">
                  <c:v>72</c:v>
                </c:pt>
                <c:pt idx="20">
                  <c:v>71</c:v>
                </c:pt>
                <c:pt idx="21">
                  <c:v>70</c:v>
                </c:pt>
                <c:pt idx="22">
                  <c:v>69</c:v>
                </c:pt>
                <c:pt idx="23">
                  <c:v>68</c:v>
                </c:pt>
              </c:numCache>
            </c:numRef>
          </c:val>
        </c:ser>
        <c:ser>
          <c:idx val="3"/>
          <c:order val="3"/>
          <c:tx>
            <c:strRef>
              <c:f>'Load shapes final'!$B$3</c:f>
              <c:strCache>
                <c:ptCount val="1"/>
                <c:pt idx="0">
                  <c:v>Event</c:v>
                </c:pt>
              </c:strCache>
            </c:strRef>
          </c:tx>
          <c:spPr>
            <a:ln w="19050">
              <a:solidFill>
                <a:srgbClr val="003E74"/>
              </a:solidFill>
              <a:prstDash val="sysDash"/>
            </a:ln>
          </c:spPr>
          <c:marker>
            <c:symbol val="none"/>
          </c:marker>
          <c:val>
            <c:numRef>
              <c:f>'Load shapes final'!$AH$3:$BE$3</c:f>
              <c:numCache>
                <c:formatCode>General</c:formatCode>
                <c:ptCount val="24"/>
                <c:pt idx="0">
                  <c:v>69</c:v>
                </c:pt>
                <c:pt idx="1">
                  <c:v>69</c:v>
                </c:pt>
                <c:pt idx="2">
                  <c:v>68</c:v>
                </c:pt>
                <c:pt idx="3">
                  <c:v>67</c:v>
                </c:pt>
                <c:pt idx="4">
                  <c:v>67</c:v>
                </c:pt>
                <c:pt idx="5">
                  <c:v>67</c:v>
                </c:pt>
                <c:pt idx="6">
                  <c:v>68</c:v>
                </c:pt>
                <c:pt idx="7">
                  <c:v>71</c:v>
                </c:pt>
                <c:pt idx="8">
                  <c:v>76</c:v>
                </c:pt>
                <c:pt idx="9">
                  <c:v>79</c:v>
                </c:pt>
                <c:pt idx="10">
                  <c:v>81</c:v>
                </c:pt>
                <c:pt idx="11">
                  <c:v>83</c:v>
                </c:pt>
                <c:pt idx="12">
                  <c:v>84</c:v>
                </c:pt>
                <c:pt idx="13">
                  <c:v>84</c:v>
                </c:pt>
                <c:pt idx="14">
                  <c:v>83</c:v>
                </c:pt>
                <c:pt idx="15">
                  <c:v>82</c:v>
                </c:pt>
                <c:pt idx="16">
                  <c:v>81</c:v>
                </c:pt>
                <c:pt idx="17">
                  <c:v>79</c:v>
                </c:pt>
                <c:pt idx="18">
                  <c:v>76</c:v>
                </c:pt>
                <c:pt idx="19">
                  <c:v>73</c:v>
                </c:pt>
                <c:pt idx="20">
                  <c:v>72</c:v>
                </c:pt>
                <c:pt idx="21">
                  <c:v>71</c:v>
                </c:pt>
                <c:pt idx="22">
                  <c:v>70</c:v>
                </c:pt>
                <c:pt idx="23">
                  <c:v>69</c:v>
                </c:pt>
              </c:numCache>
            </c:numRef>
          </c:val>
        </c:ser>
        <c:marker val="1"/>
        <c:axId val="164949376"/>
        <c:axId val="152078976"/>
      </c:lineChart>
      <c:catAx>
        <c:axId val="152073344"/>
        <c:scaling>
          <c:orientation val="minMax"/>
        </c:scaling>
        <c:axPos val="b"/>
        <c:tickLblPos val="nextTo"/>
        <c:crossAx val="152074880"/>
        <c:crosses val="autoZero"/>
        <c:auto val="1"/>
        <c:lblAlgn val="ctr"/>
        <c:lblOffset val="100"/>
      </c:catAx>
      <c:valAx>
        <c:axId val="152074880"/>
        <c:scaling>
          <c:orientation val="minMax"/>
        </c:scaling>
        <c:axPos val="l"/>
        <c:majorGridlines/>
        <c:title>
          <c:tx>
            <c:rich>
              <a:bodyPr rot="-5400000" vert="horz"/>
              <a:lstStyle/>
              <a:p>
                <a:pPr>
                  <a:defRPr/>
                </a:pPr>
                <a:r>
                  <a:rPr lang="en-US"/>
                  <a:t>kW</a:t>
                </a:r>
              </a:p>
            </c:rich>
          </c:tx>
        </c:title>
        <c:numFmt formatCode="General" sourceLinked="1"/>
        <c:tickLblPos val="nextTo"/>
        <c:crossAx val="152073344"/>
        <c:crosses val="autoZero"/>
        <c:crossBetween val="midCat"/>
      </c:valAx>
      <c:valAx>
        <c:axId val="152078976"/>
        <c:scaling>
          <c:orientation val="minMax"/>
        </c:scaling>
        <c:axPos val="r"/>
        <c:title>
          <c:tx>
            <c:rich>
              <a:bodyPr rot="-5400000" vert="horz"/>
              <a:lstStyle/>
              <a:p>
                <a:pPr>
                  <a:defRPr/>
                </a:pPr>
                <a:r>
                  <a:rPr lang="en-US"/>
                  <a:t>Temperature</a:t>
                </a:r>
              </a:p>
            </c:rich>
          </c:tx>
        </c:title>
        <c:numFmt formatCode="General" sourceLinked="1"/>
        <c:tickLblPos val="nextTo"/>
        <c:crossAx val="164949376"/>
        <c:crosses val="max"/>
        <c:crossBetween val="between"/>
      </c:valAx>
      <c:catAx>
        <c:axId val="164949376"/>
        <c:scaling>
          <c:orientation val="minMax"/>
        </c:scaling>
        <c:delete val="1"/>
        <c:axPos val="b"/>
        <c:tickLblPos val="none"/>
        <c:crossAx val="152078976"/>
        <c:crosses val="autoZero"/>
        <c:auto val="1"/>
        <c:lblAlgn val="ctr"/>
        <c:lblOffset val="100"/>
      </c:catAx>
    </c:plotArea>
    <c:legend>
      <c:legendPos val="b"/>
    </c:legend>
  </c:chart>
  <c:txPr>
    <a:bodyPr/>
    <a:lstStyle/>
    <a:p>
      <a:pPr>
        <a:defRPr sz="900" b="0">
          <a:latin typeface="Calibri" pitchFamily="34" charset="0"/>
        </a:defRPr>
      </a:pPr>
      <a:endParaRPr lang="en-US"/>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lineChart>
        <c:grouping val="standard"/>
        <c:ser>
          <c:idx val="0"/>
          <c:order val="0"/>
          <c:tx>
            <c:strRef>
              <c:f>Aug09Event!$B$2</c:f>
              <c:strCache>
                <c:ptCount val="1"/>
                <c:pt idx="0">
                  <c:v>Adjusted Control</c:v>
                </c:pt>
              </c:strCache>
            </c:strRef>
          </c:tx>
          <c:spPr>
            <a:ln>
              <a:solidFill>
                <a:srgbClr val="FF9900"/>
              </a:solidFill>
            </a:ln>
          </c:spPr>
          <c:marker>
            <c:symbol val="none"/>
          </c:marker>
          <c:val>
            <c:numRef>
              <c:f>Aug09Event!$C$2:$Z$2</c:f>
              <c:numCache>
                <c:formatCode>0.0000</c:formatCode>
                <c:ptCount val="24"/>
                <c:pt idx="0">
                  <c:v>1.289612871757704</c:v>
                </c:pt>
                <c:pt idx="1">
                  <c:v>1.2534472157992498</c:v>
                </c:pt>
                <c:pt idx="2">
                  <c:v>1.1919798196839937</c:v>
                </c:pt>
                <c:pt idx="3">
                  <c:v>1.2276136484386178</c:v>
                </c:pt>
                <c:pt idx="4">
                  <c:v>1.1927075157838321</c:v>
                </c:pt>
                <c:pt idx="5">
                  <c:v>1.3326583390479785</c:v>
                </c:pt>
                <c:pt idx="6">
                  <c:v>1.4471210908636241</c:v>
                </c:pt>
                <c:pt idx="7">
                  <c:v>1.9947569598247266</c:v>
                </c:pt>
                <c:pt idx="8">
                  <c:v>2.7633172039741503</c:v>
                </c:pt>
                <c:pt idx="9">
                  <c:v>3.5271874277289292</c:v>
                </c:pt>
                <c:pt idx="10">
                  <c:v>4.240272877671007</c:v>
                </c:pt>
                <c:pt idx="11">
                  <c:v>4.5377348455871385</c:v>
                </c:pt>
                <c:pt idx="12">
                  <c:v>4.5667607816383553</c:v>
                </c:pt>
                <c:pt idx="13">
                  <c:v>4.4025575182698375</c:v>
                </c:pt>
                <c:pt idx="14">
                  <c:v>4.4608457601082625</c:v>
                </c:pt>
                <c:pt idx="15">
                  <c:v>4.3105099549472845</c:v>
                </c:pt>
                <c:pt idx="16">
                  <c:v>3.7832839403875367</c:v>
                </c:pt>
                <c:pt idx="17">
                  <c:v>3.2000118259441805</c:v>
                </c:pt>
                <c:pt idx="18">
                  <c:v>2.4498695727979092</c:v>
                </c:pt>
                <c:pt idx="19">
                  <c:v>1.9327259697460926</c:v>
                </c:pt>
                <c:pt idx="20">
                  <c:v>1.8031291282476118</c:v>
                </c:pt>
                <c:pt idx="21">
                  <c:v>1.6008102991690019</c:v>
                </c:pt>
                <c:pt idx="22">
                  <c:v>1.3986382188339395</c:v>
                </c:pt>
                <c:pt idx="23">
                  <c:v>1.3032503351418889</c:v>
                </c:pt>
              </c:numCache>
            </c:numRef>
          </c:val>
        </c:ser>
        <c:ser>
          <c:idx val="1"/>
          <c:order val="1"/>
          <c:tx>
            <c:strRef>
              <c:f>Aug09Event!$B$3</c:f>
              <c:strCache>
                <c:ptCount val="1"/>
                <c:pt idx="0">
                  <c:v>Opt-in Alert</c:v>
                </c:pt>
              </c:strCache>
            </c:strRef>
          </c:tx>
          <c:spPr>
            <a:ln>
              <a:solidFill>
                <a:srgbClr val="003E74"/>
              </a:solidFill>
            </a:ln>
          </c:spPr>
          <c:marker>
            <c:symbol val="none"/>
          </c:marker>
          <c:val>
            <c:numRef>
              <c:f>Aug09Event!$C$3:$Z$3</c:f>
              <c:numCache>
                <c:formatCode>0.0000</c:formatCode>
                <c:ptCount val="24"/>
                <c:pt idx="0">
                  <c:v>1.2658745762711858</c:v>
                </c:pt>
                <c:pt idx="1">
                  <c:v>1.218857627118644</c:v>
                </c:pt>
                <c:pt idx="2">
                  <c:v>1.1428576271186441</c:v>
                </c:pt>
                <c:pt idx="3">
                  <c:v>1.1763999999999988</c:v>
                </c:pt>
                <c:pt idx="4">
                  <c:v>1.1609593220338985</c:v>
                </c:pt>
                <c:pt idx="5">
                  <c:v>1.2359423728813554</c:v>
                </c:pt>
                <c:pt idx="6">
                  <c:v>1.3869389830508481</c:v>
                </c:pt>
                <c:pt idx="7">
                  <c:v>2.0605694915254231</c:v>
                </c:pt>
                <c:pt idx="8">
                  <c:v>2.976481355932203</c:v>
                </c:pt>
                <c:pt idx="9">
                  <c:v>3.8378033898305031</c:v>
                </c:pt>
                <c:pt idx="10">
                  <c:v>4.4534508474576215</c:v>
                </c:pt>
                <c:pt idx="11">
                  <c:v>4.8759389830508484</c:v>
                </c:pt>
                <c:pt idx="12">
                  <c:v>4.5585118644067704</c:v>
                </c:pt>
                <c:pt idx="13">
                  <c:v>4.2521830508474485</c:v>
                </c:pt>
                <c:pt idx="14">
                  <c:v>4.2597016949152584</c:v>
                </c:pt>
                <c:pt idx="15">
                  <c:v>4.2376474576271184</c:v>
                </c:pt>
                <c:pt idx="16">
                  <c:v>3.9243830508474615</c:v>
                </c:pt>
                <c:pt idx="17">
                  <c:v>3.2811694915254241</c:v>
                </c:pt>
                <c:pt idx="18">
                  <c:v>2.5260474576271181</c:v>
                </c:pt>
                <c:pt idx="19">
                  <c:v>2.031857627118641</c:v>
                </c:pt>
                <c:pt idx="20">
                  <c:v>1.8853796610169495</c:v>
                </c:pt>
                <c:pt idx="21">
                  <c:v>1.56682372881356</c:v>
                </c:pt>
                <c:pt idx="22">
                  <c:v>1.3810745762711867</c:v>
                </c:pt>
                <c:pt idx="23">
                  <c:v>1.2847186440677967</c:v>
                </c:pt>
              </c:numCache>
            </c:numRef>
          </c:val>
        </c:ser>
        <c:ser>
          <c:idx val="2"/>
          <c:order val="2"/>
          <c:marker>
            <c:symbol val="none"/>
          </c:marker>
          <c:errBars>
            <c:errDir val="y"/>
            <c:errBarType val="plus"/>
            <c:errValType val="fixedVal"/>
            <c:noEndCap val="1"/>
            <c:val val="10"/>
            <c:spPr>
              <a:ln w="6350">
                <a:solidFill>
                  <a:schemeClr val="bg1">
                    <a:lumMod val="50000"/>
                  </a:schemeClr>
                </a:solidFill>
                <a:prstDash val="sysDash"/>
              </a:ln>
            </c:spPr>
          </c:errBars>
          <c:val>
            <c:numRef>
              <c:f>Aug09Event!$C$4:$Z$4</c:f>
              <c:numCache>
                <c:formatCode>General</c:formatCode>
                <c:ptCount val="24"/>
                <c:pt idx="11">
                  <c:v>0</c:v>
                </c:pt>
                <c:pt idx="13">
                  <c:v>0</c:v>
                </c:pt>
                <c:pt idx="17">
                  <c:v>0</c:v>
                </c:pt>
              </c:numCache>
            </c:numRef>
          </c:val>
        </c:ser>
        <c:marker val="1"/>
        <c:axId val="152132224"/>
        <c:axId val="152162688"/>
      </c:lineChart>
      <c:catAx>
        <c:axId val="152132224"/>
        <c:scaling>
          <c:orientation val="minMax"/>
        </c:scaling>
        <c:axPos val="b"/>
        <c:tickLblPos val="nextTo"/>
        <c:txPr>
          <a:bodyPr/>
          <a:lstStyle/>
          <a:p>
            <a:pPr>
              <a:defRPr sz="800">
                <a:latin typeface="Calibri" pitchFamily="34" charset="0"/>
              </a:defRPr>
            </a:pPr>
            <a:endParaRPr lang="en-US"/>
          </a:p>
        </c:txPr>
        <c:crossAx val="152162688"/>
        <c:crosses val="autoZero"/>
        <c:auto val="1"/>
        <c:lblAlgn val="ctr"/>
        <c:lblOffset val="100"/>
        <c:tickLblSkip val="2"/>
      </c:catAx>
      <c:valAx>
        <c:axId val="152162688"/>
        <c:scaling>
          <c:orientation val="minMax"/>
          <c:max val="5"/>
        </c:scaling>
        <c:axPos val="l"/>
        <c:majorGridlines/>
        <c:numFmt formatCode="0.00" sourceLinked="0"/>
        <c:tickLblPos val="nextTo"/>
        <c:txPr>
          <a:bodyPr/>
          <a:lstStyle/>
          <a:p>
            <a:pPr>
              <a:defRPr sz="800">
                <a:latin typeface="Calibri" pitchFamily="34" charset="0"/>
              </a:defRPr>
            </a:pPr>
            <a:endParaRPr lang="en-US"/>
          </a:p>
        </c:txPr>
        <c:crossAx val="152132224"/>
        <c:crosses val="autoZero"/>
        <c:crossBetween val="midCat"/>
      </c:valAx>
    </c:plotArea>
    <c:legend>
      <c:legendPos val="b"/>
      <c:legendEntry>
        <c:idx val="2"/>
        <c:delete val="1"/>
      </c:legendEntry>
      <c:txPr>
        <a:bodyPr/>
        <a:lstStyle/>
        <a:p>
          <a:pPr>
            <a:defRPr sz="800">
              <a:latin typeface="Calibri" pitchFamily="34" charset="0"/>
            </a:defRPr>
          </a:pPr>
          <a:endParaRPr lang="en-US"/>
        </a:p>
      </c:txPr>
    </c:legend>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lineChart>
        <c:grouping val="standard"/>
        <c:ser>
          <c:idx val="0"/>
          <c:order val="0"/>
          <c:spPr>
            <a:ln>
              <a:solidFill>
                <a:srgbClr val="003E74"/>
              </a:solidFill>
            </a:ln>
          </c:spPr>
          <c:marker>
            <c:symbol val="none"/>
          </c:marker>
          <c:val>
            <c:numRef>
              <c:f>Aug09Event!$C$6:$Z$6</c:f>
              <c:numCache>
                <c:formatCode>0.0000</c:formatCode>
                <c:ptCount val="24"/>
                <c:pt idx="0">
                  <c:v>2.37383E-2</c:v>
                </c:pt>
                <c:pt idx="1">
                  <c:v>3.4589590000000003E-2</c:v>
                </c:pt>
                <c:pt idx="2">
                  <c:v>4.9122190000000024E-2</c:v>
                </c:pt>
                <c:pt idx="3">
                  <c:v>5.1213649999999999E-2</c:v>
                </c:pt>
                <c:pt idx="4">
                  <c:v>3.1748190000000009E-2</c:v>
                </c:pt>
                <c:pt idx="5">
                  <c:v>9.6715970000000026E-2</c:v>
                </c:pt>
                <c:pt idx="6">
                  <c:v>6.0182109999999997E-2</c:v>
                </c:pt>
                <c:pt idx="7">
                  <c:v>-6.5812500000000093E-2</c:v>
                </c:pt>
                <c:pt idx="8">
                  <c:v>-0.21316420000000019</c:v>
                </c:pt>
                <c:pt idx="9">
                  <c:v>-0.31061600000000045</c:v>
                </c:pt>
                <c:pt idx="10">
                  <c:v>-0.21317800000000001</c:v>
                </c:pt>
                <c:pt idx="11">
                  <c:v>-0.33820410000000045</c:v>
                </c:pt>
                <c:pt idx="12">
                  <c:v>8.2489200000000016E-3</c:v>
                </c:pt>
                <c:pt idx="13">
                  <c:v>0.15037447000000001</c:v>
                </c:pt>
                <c:pt idx="14">
                  <c:v>0.20114407000000001</c:v>
                </c:pt>
                <c:pt idx="15">
                  <c:v>7.2862500000000108E-2</c:v>
                </c:pt>
                <c:pt idx="16">
                  <c:v>-0.14109910000000025</c:v>
                </c:pt>
                <c:pt idx="17">
                  <c:v>-8.1157700000000041E-2</c:v>
                </c:pt>
                <c:pt idx="18">
                  <c:v>-7.6177900000000007E-2</c:v>
                </c:pt>
                <c:pt idx="19">
                  <c:v>-9.9131700000000003E-2</c:v>
                </c:pt>
                <c:pt idx="20">
                  <c:v>-8.2250500000000004E-2</c:v>
                </c:pt>
                <c:pt idx="21">
                  <c:v>3.3986570000000001E-2</c:v>
                </c:pt>
                <c:pt idx="22">
                  <c:v>1.7563639999999998E-2</c:v>
                </c:pt>
                <c:pt idx="23">
                  <c:v>1.853169E-2</c:v>
                </c:pt>
              </c:numCache>
            </c:numRef>
          </c:val>
        </c:ser>
        <c:ser>
          <c:idx val="1"/>
          <c:order val="1"/>
          <c:spPr>
            <a:ln w="19050">
              <a:solidFill>
                <a:srgbClr val="4F81BD"/>
              </a:solidFill>
              <a:prstDash val="sysDash"/>
            </a:ln>
          </c:spPr>
          <c:marker>
            <c:symbol val="none"/>
          </c:marker>
          <c:val>
            <c:numRef>
              <c:f>Aug09Event!$C$8:$Z$8</c:f>
              <c:numCache>
                <c:formatCode>0.0000</c:formatCode>
                <c:ptCount val="24"/>
                <c:pt idx="0">
                  <c:v>0.19996332999999999</c:v>
                </c:pt>
                <c:pt idx="1">
                  <c:v>0.20613801000000001</c:v>
                </c:pt>
                <c:pt idx="2">
                  <c:v>0.21433083000000022</c:v>
                </c:pt>
                <c:pt idx="3">
                  <c:v>0.21799198000000042</c:v>
                </c:pt>
                <c:pt idx="4">
                  <c:v>0.19725031000000001</c:v>
                </c:pt>
                <c:pt idx="5">
                  <c:v>0.27843425000000005</c:v>
                </c:pt>
                <c:pt idx="6">
                  <c:v>0.27690839000000045</c:v>
                </c:pt>
                <c:pt idx="7">
                  <c:v>0.22584348000000029</c:v>
                </c:pt>
                <c:pt idx="8">
                  <c:v>0.14138481</c:v>
                </c:pt>
                <c:pt idx="9">
                  <c:v>9.6076370000000064E-2</c:v>
                </c:pt>
                <c:pt idx="10">
                  <c:v>0.24054564000000025</c:v>
                </c:pt>
                <c:pt idx="11">
                  <c:v>0.14075497000000001</c:v>
                </c:pt>
                <c:pt idx="12">
                  <c:v>0.47648239000000053</c:v>
                </c:pt>
                <c:pt idx="13">
                  <c:v>0.60863780999999995</c:v>
                </c:pt>
                <c:pt idx="14">
                  <c:v>0.65231271999999996</c:v>
                </c:pt>
                <c:pt idx="15">
                  <c:v>0.52216366999999908</c:v>
                </c:pt>
                <c:pt idx="16">
                  <c:v>0.27969682000000001</c:v>
                </c:pt>
                <c:pt idx="17">
                  <c:v>0.31043756000000039</c:v>
                </c:pt>
                <c:pt idx="18">
                  <c:v>0.25137307000000031</c:v>
                </c:pt>
                <c:pt idx="19">
                  <c:v>0.17670807999999999</c:v>
                </c:pt>
                <c:pt idx="20">
                  <c:v>0.18476897000000025</c:v>
                </c:pt>
                <c:pt idx="21">
                  <c:v>0.25378995999999998</c:v>
                </c:pt>
                <c:pt idx="22">
                  <c:v>0.20205329999999999</c:v>
                </c:pt>
                <c:pt idx="23">
                  <c:v>0.19685284</c:v>
                </c:pt>
              </c:numCache>
            </c:numRef>
          </c:val>
        </c:ser>
        <c:ser>
          <c:idx val="2"/>
          <c:order val="2"/>
          <c:spPr>
            <a:ln w="19050">
              <a:solidFill>
                <a:srgbClr val="4F81BD"/>
              </a:solidFill>
              <a:prstDash val="sysDash"/>
            </a:ln>
          </c:spPr>
          <c:marker>
            <c:symbol val="none"/>
          </c:marker>
          <c:val>
            <c:numRef>
              <c:f>Aug09Event!$C$10:$Z$10</c:f>
              <c:numCache>
                <c:formatCode>0.0000</c:formatCode>
                <c:ptCount val="24"/>
                <c:pt idx="0">
                  <c:v>-0.15248670000000022</c:v>
                </c:pt>
                <c:pt idx="1">
                  <c:v>-0.13695879999999999</c:v>
                </c:pt>
                <c:pt idx="2">
                  <c:v>-0.11608640000000002</c:v>
                </c:pt>
                <c:pt idx="3">
                  <c:v>-0.11556470000000015</c:v>
                </c:pt>
                <c:pt idx="4">
                  <c:v>-0.13375390000000001</c:v>
                </c:pt>
                <c:pt idx="5">
                  <c:v>-8.5002300000000044E-2</c:v>
                </c:pt>
                <c:pt idx="6">
                  <c:v>-0.15654420000000033</c:v>
                </c:pt>
                <c:pt idx="7">
                  <c:v>-0.35746850000000052</c:v>
                </c:pt>
                <c:pt idx="8">
                  <c:v>-0.56771309999999997</c:v>
                </c:pt>
                <c:pt idx="9">
                  <c:v>-0.71730830000000001</c:v>
                </c:pt>
                <c:pt idx="10">
                  <c:v>-0.66690160000000143</c:v>
                </c:pt>
                <c:pt idx="11">
                  <c:v>-0.81716319999999909</c:v>
                </c:pt>
                <c:pt idx="12">
                  <c:v>-0.45998460000000052</c:v>
                </c:pt>
                <c:pt idx="13">
                  <c:v>-0.30788890000000091</c:v>
                </c:pt>
                <c:pt idx="14">
                  <c:v>-0.25002460000000032</c:v>
                </c:pt>
                <c:pt idx="15">
                  <c:v>-0.37643870000000051</c:v>
                </c:pt>
                <c:pt idx="16">
                  <c:v>-0.56189500000000103</c:v>
                </c:pt>
                <c:pt idx="17">
                  <c:v>-0.47275290000000031</c:v>
                </c:pt>
                <c:pt idx="18">
                  <c:v>-0.40372880000000039</c:v>
                </c:pt>
                <c:pt idx="19">
                  <c:v>-0.37497140000000045</c:v>
                </c:pt>
                <c:pt idx="20">
                  <c:v>-0.34927000000000002</c:v>
                </c:pt>
                <c:pt idx="21">
                  <c:v>-0.18581680000000025</c:v>
                </c:pt>
                <c:pt idx="22">
                  <c:v>-0.16692599999999999</c:v>
                </c:pt>
                <c:pt idx="23">
                  <c:v>-0.15978950000000022</c:v>
                </c:pt>
              </c:numCache>
            </c:numRef>
          </c:val>
        </c:ser>
        <c:ser>
          <c:idx val="3"/>
          <c:order val="3"/>
          <c:marker>
            <c:symbol val="none"/>
          </c:marker>
          <c:errBars>
            <c:errDir val="y"/>
            <c:errBarType val="both"/>
            <c:errValType val="fixedVal"/>
            <c:noEndCap val="1"/>
            <c:val val="5"/>
            <c:spPr>
              <a:ln>
                <a:solidFill>
                  <a:schemeClr val="bg1">
                    <a:lumMod val="50000"/>
                  </a:schemeClr>
                </a:solidFill>
                <a:prstDash val="sysDash"/>
              </a:ln>
            </c:spPr>
          </c:errBars>
          <c:val>
            <c:numRef>
              <c:f>Aug09Event!$C$4:$Z$4</c:f>
              <c:numCache>
                <c:formatCode>General</c:formatCode>
                <c:ptCount val="24"/>
                <c:pt idx="11">
                  <c:v>0</c:v>
                </c:pt>
                <c:pt idx="13">
                  <c:v>0</c:v>
                </c:pt>
                <c:pt idx="17">
                  <c:v>0</c:v>
                </c:pt>
              </c:numCache>
            </c:numRef>
          </c:val>
        </c:ser>
        <c:marker val="1"/>
        <c:axId val="152058880"/>
        <c:axId val="152183552"/>
      </c:lineChart>
      <c:catAx>
        <c:axId val="152058880"/>
        <c:scaling>
          <c:orientation val="minMax"/>
        </c:scaling>
        <c:axPos val="b"/>
        <c:tickLblPos val="nextTo"/>
        <c:txPr>
          <a:bodyPr/>
          <a:lstStyle/>
          <a:p>
            <a:pPr>
              <a:defRPr sz="800">
                <a:latin typeface="Calibri" pitchFamily="34" charset="0"/>
              </a:defRPr>
            </a:pPr>
            <a:endParaRPr lang="en-US"/>
          </a:p>
        </c:txPr>
        <c:crossAx val="152183552"/>
        <c:crosses val="autoZero"/>
        <c:auto val="1"/>
        <c:lblAlgn val="ctr"/>
        <c:lblOffset val="100"/>
      </c:catAx>
      <c:valAx>
        <c:axId val="152183552"/>
        <c:scaling>
          <c:orientation val="minMax"/>
          <c:max val="1"/>
          <c:min val="-1"/>
        </c:scaling>
        <c:axPos val="l"/>
        <c:majorGridlines/>
        <c:numFmt formatCode="0.00" sourceLinked="0"/>
        <c:tickLblPos val="nextTo"/>
        <c:txPr>
          <a:bodyPr/>
          <a:lstStyle/>
          <a:p>
            <a:pPr>
              <a:defRPr sz="800">
                <a:latin typeface="Calibri" pitchFamily="34" charset="0"/>
              </a:defRPr>
            </a:pPr>
            <a:endParaRPr lang="en-US"/>
          </a:p>
        </c:txPr>
        <c:crossAx val="152058880"/>
        <c:crosses val="autoZero"/>
        <c:crossBetween val="midCat"/>
      </c:valAx>
    </c:plotArea>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lineChart>
        <c:grouping val="standard"/>
        <c:ser>
          <c:idx val="0"/>
          <c:order val="0"/>
          <c:tx>
            <c:strRef>
              <c:f>Aug10Event!$B$2</c:f>
              <c:strCache>
                <c:ptCount val="1"/>
                <c:pt idx="0">
                  <c:v>Adjusted Control</c:v>
                </c:pt>
              </c:strCache>
            </c:strRef>
          </c:tx>
          <c:spPr>
            <a:ln>
              <a:solidFill>
                <a:srgbClr val="FF9900"/>
              </a:solidFill>
            </a:ln>
          </c:spPr>
          <c:marker>
            <c:symbol val="none"/>
          </c:marker>
          <c:val>
            <c:numRef>
              <c:f>Aug10Event!$C$2:$Z$2</c:f>
              <c:numCache>
                <c:formatCode>0.0000</c:formatCode>
                <c:ptCount val="24"/>
                <c:pt idx="0">
                  <c:v>1.2274365912827512</c:v>
                </c:pt>
                <c:pt idx="1">
                  <c:v>1.1724966958807514</c:v>
                </c:pt>
                <c:pt idx="2">
                  <c:v>1.1473732276092388</c:v>
                </c:pt>
                <c:pt idx="3">
                  <c:v>1.1780267289557285</c:v>
                </c:pt>
                <c:pt idx="4">
                  <c:v>1.1586534688506474</c:v>
                </c:pt>
                <c:pt idx="5">
                  <c:v>1.2419358104173295</c:v>
                </c:pt>
                <c:pt idx="6">
                  <c:v>1.3987545307568356</c:v>
                </c:pt>
                <c:pt idx="7">
                  <c:v>2.0199993103481537</c:v>
                </c:pt>
                <c:pt idx="8">
                  <c:v>2.8705339713457447</c:v>
                </c:pt>
                <c:pt idx="9">
                  <c:v>3.5615397691186548</c:v>
                </c:pt>
                <c:pt idx="10">
                  <c:v>4.1425912574925388</c:v>
                </c:pt>
                <c:pt idx="11">
                  <c:v>4.3403814239613414</c:v>
                </c:pt>
                <c:pt idx="12">
                  <c:v>4.2988134058215834</c:v>
                </c:pt>
                <c:pt idx="13">
                  <c:v>4.2999881811659293</c:v>
                </c:pt>
                <c:pt idx="14">
                  <c:v>4.354977267871897</c:v>
                </c:pt>
                <c:pt idx="15">
                  <c:v>4.1182840538723147</c:v>
                </c:pt>
                <c:pt idx="16">
                  <c:v>3.6322838876930903</c:v>
                </c:pt>
                <c:pt idx="17">
                  <c:v>3.0843990334900209</c:v>
                </c:pt>
                <c:pt idx="18">
                  <c:v>2.4076566257733827</c:v>
                </c:pt>
                <c:pt idx="19">
                  <c:v>1.957200562242404</c:v>
                </c:pt>
                <c:pt idx="20">
                  <c:v>1.773081834985474</c:v>
                </c:pt>
                <c:pt idx="21">
                  <c:v>1.5798101586504878</c:v>
                </c:pt>
                <c:pt idx="22">
                  <c:v>1.427975015363131</c:v>
                </c:pt>
                <c:pt idx="23">
                  <c:v>1.2945334448165897</c:v>
                </c:pt>
              </c:numCache>
            </c:numRef>
          </c:val>
        </c:ser>
        <c:ser>
          <c:idx val="1"/>
          <c:order val="1"/>
          <c:tx>
            <c:strRef>
              <c:f>Aug10Event!$B$3</c:f>
              <c:strCache>
                <c:ptCount val="1"/>
                <c:pt idx="0">
                  <c:v>Opt-In Alert</c:v>
                </c:pt>
              </c:strCache>
            </c:strRef>
          </c:tx>
          <c:spPr>
            <a:ln>
              <a:solidFill>
                <a:srgbClr val="003E74"/>
              </a:solidFill>
            </a:ln>
          </c:spPr>
          <c:marker>
            <c:symbol val="none"/>
          </c:marker>
          <c:val>
            <c:numRef>
              <c:f>Aug10Event!$C$3:$Z$3</c:f>
              <c:numCache>
                <c:formatCode>0.0000</c:formatCode>
                <c:ptCount val="24"/>
                <c:pt idx="0">
                  <c:v>1.2639313725490164</c:v>
                </c:pt>
                <c:pt idx="1">
                  <c:v>1.199401960784314</c:v>
                </c:pt>
                <c:pt idx="2">
                  <c:v>1.1527516339869281</c:v>
                </c:pt>
                <c:pt idx="3">
                  <c:v>1.1734738562091498</c:v>
                </c:pt>
                <c:pt idx="4">
                  <c:v>1.160643790849673</c:v>
                </c:pt>
                <c:pt idx="5">
                  <c:v>1.2693562091503259</c:v>
                </c:pt>
                <c:pt idx="6">
                  <c:v>1.4553986928104536</c:v>
                </c:pt>
                <c:pt idx="7">
                  <c:v>2.0401209150326811</c:v>
                </c:pt>
                <c:pt idx="8">
                  <c:v>2.8551209150326797</c:v>
                </c:pt>
                <c:pt idx="9">
                  <c:v>3.74451307189543</c:v>
                </c:pt>
                <c:pt idx="10">
                  <c:v>4.0685294117647093</c:v>
                </c:pt>
                <c:pt idx="11">
                  <c:v>4.2232320261437906</c:v>
                </c:pt>
                <c:pt idx="12">
                  <c:v>4.2873790849673323</c:v>
                </c:pt>
                <c:pt idx="13">
                  <c:v>4.3959999999999955</c:v>
                </c:pt>
                <c:pt idx="14">
                  <c:v>4.4364673202614426</c:v>
                </c:pt>
                <c:pt idx="15">
                  <c:v>4.2762777777777794</c:v>
                </c:pt>
                <c:pt idx="16">
                  <c:v>3.754290849673203</c:v>
                </c:pt>
                <c:pt idx="17">
                  <c:v>3.0633562091503292</c:v>
                </c:pt>
                <c:pt idx="18">
                  <c:v>2.3677222222222252</c:v>
                </c:pt>
                <c:pt idx="19">
                  <c:v>2.0014313725490211</c:v>
                </c:pt>
                <c:pt idx="20">
                  <c:v>1.8930620915032701</c:v>
                </c:pt>
                <c:pt idx="21">
                  <c:v>1.6794379084967344</c:v>
                </c:pt>
                <c:pt idx="22">
                  <c:v>1.450598039215685</c:v>
                </c:pt>
                <c:pt idx="23">
                  <c:v>1.2815620915032668</c:v>
                </c:pt>
              </c:numCache>
            </c:numRef>
          </c:val>
        </c:ser>
        <c:ser>
          <c:idx val="2"/>
          <c:order val="2"/>
          <c:marker>
            <c:symbol val="none"/>
          </c:marker>
          <c:errBars>
            <c:errDir val="y"/>
            <c:errBarType val="plus"/>
            <c:errValType val="fixedVal"/>
            <c:noEndCap val="1"/>
            <c:val val="10"/>
            <c:spPr>
              <a:ln w="6350">
                <a:solidFill>
                  <a:schemeClr val="bg1">
                    <a:lumMod val="50000"/>
                  </a:schemeClr>
                </a:solidFill>
                <a:prstDash val="sysDash"/>
              </a:ln>
            </c:spPr>
          </c:errBars>
          <c:val>
            <c:numRef>
              <c:f>Aug10Event!$C$4:$Z$4</c:f>
              <c:numCache>
                <c:formatCode>General</c:formatCode>
                <c:ptCount val="24"/>
                <c:pt idx="11">
                  <c:v>0</c:v>
                </c:pt>
                <c:pt idx="13">
                  <c:v>0</c:v>
                </c:pt>
                <c:pt idx="17">
                  <c:v>0</c:v>
                </c:pt>
              </c:numCache>
            </c:numRef>
          </c:val>
        </c:ser>
        <c:marker val="1"/>
        <c:axId val="152204416"/>
        <c:axId val="152205952"/>
      </c:lineChart>
      <c:catAx>
        <c:axId val="152204416"/>
        <c:scaling>
          <c:orientation val="minMax"/>
        </c:scaling>
        <c:axPos val="b"/>
        <c:tickLblPos val="nextTo"/>
        <c:txPr>
          <a:bodyPr/>
          <a:lstStyle/>
          <a:p>
            <a:pPr>
              <a:defRPr sz="800">
                <a:latin typeface="Calibri" pitchFamily="34" charset="0"/>
              </a:defRPr>
            </a:pPr>
            <a:endParaRPr lang="en-US"/>
          </a:p>
        </c:txPr>
        <c:crossAx val="152205952"/>
        <c:crosses val="autoZero"/>
        <c:auto val="1"/>
        <c:lblAlgn val="ctr"/>
        <c:lblOffset val="100"/>
        <c:tickLblSkip val="2"/>
      </c:catAx>
      <c:valAx>
        <c:axId val="152205952"/>
        <c:scaling>
          <c:orientation val="minMax"/>
          <c:max val="5"/>
        </c:scaling>
        <c:axPos val="l"/>
        <c:majorGridlines/>
        <c:numFmt formatCode="0.00" sourceLinked="0"/>
        <c:tickLblPos val="nextTo"/>
        <c:txPr>
          <a:bodyPr/>
          <a:lstStyle/>
          <a:p>
            <a:pPr>
              <a:defRPr sz="800">
                <a:latin typeface="Calibri" pitchFamily="34" charset="0"/>
              </a:defRPr>
            </a:pPr>
            <a:endParaRPr lang="en-US"/>
          </a:p>
        </c:txPr>
        <c:crossAx val="152204416"/>
        <c:crosses val="autoZero"/>
        <c:crossBetween val="midCat"/>
      </c:valAx>
    </c:plotArea>
    <c:legend>
      <c:legendPos val="b"/>
      <c:legendEntry>
        <c:idx val="2"/>
        <c:delete val="1"/>
      </c:legendEntry>
      <c:txPr>
        <a:bodyPr/>
        <a:lstStyle/>
        <a:p>
          <a:pPr>
            <a:defRPr sz="800">
              <a:latin typeface="Calibri" pitchFamily="34" charset="0"/>
            </a:defRPr>
          </a:pPr>
          <a:endParaRPr lang="en-US"/>
        </a:p>
      </c:txPr>
    </c:legend>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lineChart>
        <c:grouping val="standard"/>
        <c:ser>
          <c:idx val="0"/>
          <c:order val="0"/>
          <c:spPr>
            <a:ln>
              <a:solidFill>
                <a:srgbClr val="003E74"/>
              </a:solidFill>
            </a:ln>
          </c:spPr>
          <c:marker>
            <c:symbol val="none"/>
          </c:marker>
          <c:val>
            <c:numRef>
              <c:f>Aug10Event!$C$6:$Z$6</c:f>
              <c:numCache>
                <c:formatCode>0.0000</c:formatCode>
                <c:ptCount val="24"/>
                <c:pt idx="0">
                  <c:v>-3.6494800000000015E-2</c:v>
                </c:pt>
                <c:pt idx="1">
                  <c:v>-2.6905300000000052E-2</c:v>
                </c:pt>
                <c:pt idx="2">
                  <c:v>-5.3784000000000071E-3</c:v>
                </c:pt>
                <c:pt idx="3">
                  <c:v>4.5528700000000014E-3</c:v>
                </c:pt>
                <c:pt idx="4">
                  <c:v>-1.990300000000003E-3</c:v>
                </c:pt>
                <c:pt idx="5">
                  <c:v>-2.7420400000000001E-2</c:v>
                </c:pt>
                <c:pt idx="6">
                  <c:v>-5.6644199999999936E-2</c:v>
                </c:pt>
                <c:pt idx="7">
                  <c:v>-2.01216E-2</c:v>
                </c:pt>
                <c:pt idx="8">
                  <c:v>1.5413060000000001E-2</c:v>
                </c:pt>
                <c:pt idx="9">
                  <c:v>-0.18297330000000026</c:v>
                </c:pt>
                <c:pt idx="10">
                  <c:v>7.4061849999999999E-2</c:v>
                </c:pt>
                <c:pt idx="11">
                  <c:v>0.1171494</c:v>
                </c:pt>
                <c:pt idx="12">
                  <c:v>1.1434320000000001E-2</c:v>
                </c:pt>
                <c:pt idx="13">
                  <c:v>-9.6011800000000008E-2</c:v>
                </c:pt>
                <c:pt idx="14">
                  <c:v>-8.149010000000001E-2</c:v>
                </c:pt>
                <c:pt idx="15">
                  <c:v>-0.15799370000000026</c:v>
                </c:pt>
                <c:pt idx="16">
                  <c:v>-0.122007</c:v>
                </c:pt>
                <c:pt idx="17">
                  <c:v>2.1042820000000011E-2</c:v>
                </c:pt>
                <c:pt idx="18">
                  <c:v>3.9934400000000002E-2</c:v>
                </c:pt>
                <c:pt idx="19">
                  <c:v>-4.4230800000000001E-2</c:v>
                </c:pt>
                <c:pt idx="20">
                  <c:v>-0.1199803</c:v>
                </c:pt>
                <c:pt idx="21">
                  <c:v>-9.9627700000000138E-2</c:v>
                </c:pt>
                <c:pt idx="22">
                  <c:v>-2.2623000000000032E-2</c:v>
                </c:pt>
                <c:pt idx="23">
                  <c:v>1.2971350000000001E-2</c:v>
                </c:pt>
              </c:numCache>
            </c:numRef>
          </c:val>
        </c:ser>
        <c:ser>
          <c:idx val="1"/>
          <c:order val="1"/>
          <c:spPr>
            <a:ln w="19050">
              <a:solidFill>
                <a:srgbClr val="4F81BD"/>
              </a:solidFill>
              <a:prstDash val="sysDash"/>
            </a:ln>
          </c:spPr>
          <c:marker>
            <c:symbol val="none"/>
          </c:marker>
          <c:val>
            <c:numRef>
              <c:f>Aug10Event!$C$8:$Z$8</c:f>
              <c:numCache>
                <c:formatCode>0.0000</c:formatCode>
                <c:ptCount val="24"/>
                <c:pt idx="0">
                  <c:v>0.13757456999999987</c:v>
                </c:pt>
                <c:pt idx="1">
                  <c:v>0.14155422000000001</c:v>
                </c:pt>
                <c:pt idx="2">
                  <c:v>0.15786992000000019</c:v>
                </c:pt>
                <c:pt idx="3">
                  <c:v>0.17047227000000001</c:v>
                </c:pt>
                <c:pt idx="4">
                  <c:v>0.16372416000000001</c:v>
                </c:pt>
                <c:pt idx="5">
                  <c:v>0.15246810000000038</c:v>
                </c:pt>
                <c:pt idx="6">
                  <c:v>0.16595583999999999</c:v>
                </c:pt>
                <c:pt idx="7">
                  <c:v>0.28221702000000004</c:v>
                </c:pt>
                <c:pt idx="8">
                  <c:v>0.37733477000000076</c:v>
                </c:pt>
                <c:pt idx="9">
                  <c:v>0.23132133999999999</c:v>
                </c:pt>
                <c:pt idx="10">
                  <c:v>0.52097788</c:v>
                </c:pt>
                <c:pt idx="11">
                  <c:v>0.56219905000000103</c:v>
                </c:pt>
                <c:pt idx="12">
                  <c:v>0.47108341000000031</c:v>
                </c:pt>
                <c:pt idx="13">
                  <c:v>0.36132638000000078</c:v>
                </c:pt>
                <c:pt idx="14">
                  <c:v>0.37835236000000078</c:v>
                </c:pt>
                <c:pt idx="15">
                  <c:v>0.28094357000000031</c:v>
                </c:pt>
                <c:pt idx="16">
                  <c:v>0.30316270000000045</c:v>
                </c:pt>
                <c:pt idx="17">
                  <c:v>0.39733807000000076</c:v>
                </c:pt>
                <c:pt idx="18">
                  <c:v>0.35842208000000053</c:v>
                </c:pt>
                <c:pt idx="19">
                  <c:v>0.22759133000000026</c:v>
                </c:pt>
                <c:pt idx="20">
                  <c:v>0.13679055000000001</c:v>
                </c:pt>
                <c:pt idx="21">
                  <c:v>0.12682138000000001</c:v>
                </c:pt>
                <c:pt idx="22">
                  <c:v>0.17636552999999988</c:v>
                </c:pt>
                <c:pt idx="23">
                  <c:v>0.19287341999999988</c:v>
                </c:pt>
              </c:numCache>
            </c:numRef>
          </c:val>
        </c:ser>
        <c:ser>
          <c:idx val="2"/>
          <c:order val="2"/>
          <c:spPr>
            <a:ln w="19050">
              <a:solidFill>
                <a:srgbClr val="4F81BD"/>
              </a:solidFill>
              <a:prstDash val="sysDash"/>
            </a:ln>
          </c:spPr>
          <c:marker>
            <c:symbol val="none"/>
          </c:marker>
          <c:val>
            <c:numRef>
              <c:f>Aug10Event!$C$10:$Z$10</c:f>
              <c:numCache>
                <c:formatCode>0.0000</c:formatCode>
                <c:ptCount val="24"/>
                <c:pt idx="0">
                  <c:v>-0.21056410000000025</c:v>
                </c:pt>
                <c:pt idx="1">
                  <c:v>-0.1953647</c:v>
                </c:pt>
                <c:pt idx="2">
                  <c:v>-0.16862669999999988</c:v>
                </c:pt>
                <c:pt idx="3">
                  <c:v>-0.1613665</c:v>
                </c:pt>
                <c:pt idx="4">
                  <c:v>-0.16770479999999999</c:v>
                </c:pt>
                <c:pt idx="5">
                  <c:v>-0.20730889999999999</c:v>
                </c:pt>
                <c:pt idx="6">
                  <c:v>-0.2792442</c:v>
                </c:pt>
                <c:pt idx="7">
                  <c:v>-0.32246020000000053</c:v>
                </c:pt>
                <c:pt idx="8">
                  <c:v>-0.34650870000000039</c:v>
                </c:pt>
                <c:pt idx="9">
                  <c:v>-0.59726789999999896</c:v>
                </c:pt>
                <c:pt idx="10">
                  <c:v>-0.37285420000000052</c:v>
                </c:pt>
                <c:pt idx="11">
                  <c:v>-0.32790030000000053</c:v>
                </c:pt>
                <c:pt idx="12">
                  <c:v>-0.44821480000000002</c:v>
                </c:pt>
                <c:pt idx="13">
                  <c:v>-0.55335000000000001</c:v>
                </c:pt>
                <c:pt idx="14">
                  <c:v>-0.54133249999999922</c:v>
                </c:pt>
                <c:pt idx="15">
                  <c:v>-0.59693099999999921</c:v>
                </c:pt>
                <c:pt idx="16">
                  <c:v>-0.54717660000000001</c:v>
                </c:pt>
                <c:pt idx="17">
                  <c:v>-0.35525240000000002</c:v>
                </c:pt>
                <c:pt idx="18">
                  <c:v>-0.2785533</c:v>
                </c:pt>
                <c:pt idx="19">
                  <c:v>-0.31605290000000064</c:v>
                </c:pt>
                <c:pt idx="20">
                  <c:v>-0.37675110000000001</c:v>
                </c:pt>
                <c:pt idx="21">
                  <c:v>-0.32607690000000078</c:v>
                </c:pt>
                <c:pt idx="22">
                  <c:v>-0.22161159999999988</c:v>
                </c:pt>
                <c:pt idx="23">
                  <c:v>-0.16693069999999999</c:v>
                </c:pt>
              </c:numCache>
            </c:numRef>
          </c:val>
        </c:ser>
        <c:ser>
          <c:idx val="3"/>
          <c:order val="3"/>
          <c:marker>
            <c:symbol val="none"/>
          </c:marker>
          <c:errBars>
            <c:errDir val="y"/>
            <c:errBarType val="both"/>
            <c:errValType val="fixedVal"/>
            <c:noEndCap val="1"/>
            <c:val val="5"/>
            <c:spPr>
              <a:ln>
                <a:solidFill>
                  <a:schemeClr val="bg1">
                    <a:lumMod val="50000"/>
                  </a:schemeClr>
                </a:solidFill>
                <a:prstDash val="sysDash"/>
              </a:ln>
            </c:spPr>
          </c:errBars>
          <c:val>
            <c:numRef>
              <c:f>Aug10Event!$C$4:$Z$4</c:f>
              <c:numCache>
                <c:formatCode>General</c:formatCode>
                <c:ptCount val="24"/>
                <c:pt idx="11">
                  <c:v>0</c:v>
                </c:pt>
                <c:pt idx="13">
                  <c:v>0</c:v>
                </c:pt>
                <c:pt idx="17">
                  <c:v>0</c:v>
                </c:pt>
              </c:numCache>
            </c:numRef>
          </c:val>
        </c:ser>
        <c:marker val="1"/>
        <c:axId val="152237568"/>
        <c:axId val="152239104"/>
      </c:lineChart>
      <c:catAx>
        <c:axId val="152237568"/>
        <c:scaling>
          <c:orientation val="minMax"/>
        </c:scaling>
        <c:axPos val="b"/>
        <c:tickLblPos val="nextTo"/>
        <c:txPr>
          <a:bodyPr/>
          <a:lstStyle/>
          <a:p>
            <a:pPr>
              <a:defRPr sz="800">
                <a:latin typeface="Calibri" pitchFamily="34" charset="0"/>
              </a:defRPr>
            </a:pPr>
            <a:endParaRPr lang="en-US"/>
          </a:p>
        </c:txPr>
        <c:crossAx val="152239104"/>
        <c:crosses val="autoZero"/>
        <c:auto val="1"/>
        <c:lblAlgn val="ctr"/>
        <c:lblOffset val="100"/>
      </c:catAx>
      <c:valAx>
        <c:axId val="152239104"/>
        <c:scaling>
          <c:orientation val="minMax"/>
          <c:max val="1"/>
          <c:min val="-1"/>
        </c:scaling>
        <c:axPos val="l"/>
        <c:majorGridlines/>
        <c:numFmt formatCode="0.00" sourceLinked="0"/>
        <c:tickLblPos val="nextTo"/>
        <c:txPr>
          <a:bodyPr/>
          <a:lstStyle/>
          <a:p>
            <a:pPr>
              <a:defRPr sz="800">
                <a:latin typeface="Calibri" pitchFamily="34" charset="0"/>
              </a:defRPr>
            </a:pPr>
            <a:endParaRPr lang="en-US"/>
          </a:p>
        </c:txPr>
        <c:crossAx val="152237568"/>
        <c:crosses val="autoZero"/>
        <c:crossBetween val="midCat"/>
      </c:valAx>
    </c:plotArea>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lineChart>
        <c:grouping val="standard"/>
        <c:ser>
          <c:idx val="0"/>
          <c:order val="0"/>
          <c:tx>
            <c:strRef>
              <c:f>Aug11Event!$B$2</c:f>
              <c:strCache>
                <c:ptCount val="1"/>
                <c:pt idx="0">
                  <c:v>Adjusted Control</c:v>
                </c:pt>
              </c:strCache>
            </c:strRef>
          </c:tx>
          <c:spPr>
            <a:ln>
              <a:solidFill>
                <a:srgbClr val="FF9900"/>
              </a:solidFill>
            </a:ln>
          </c:spPr>
          <c:marker>
            <c:symbol val="none"/>
          </c:marker>
          <c:val>
            <c:numRef>
              <c:f>Aug11Event!$C$2:$Z$2</c:f>
              <c:numCache>
                <c:formatCode>0.0000</c:formatCode>
                <c:ptCount val="24"/>
                <c:pt idx="0">
                  <c:v>1.2364106981933578</c:v>
                </c:pt>
                <c:pt idx="1">
                  <c:v>1.2014736817901324</c:v>
                </c:pt>
                <c:pt idx="2">
                  <c:v>1.1318618752414698</c:v>
                </c:pt>
                <c:pt idx="3">
                  <c:v>1.1252084633731021</c:v>
                </c:pt>
                <c:pt idx="4">
                  <c:v>1.1338989620130873</c:v>
                </c:pt>
                <c:pt idx="5">
                  <c:v>1.1690813205095441</c:v>
                </c:pt>
                <c:pt idx="6">
                  <c:v>1.130044302142367</c:v>
                </c:pt>
                <c:pt idx="7">
                  <c:v>1.2609196674770138</c:v>
                </c:pt>
                <c:pt idx="8">
                  <c:v>1.6929483869301161</c:v>
                </c:pt>
                <c:pt idx="9">
                  <c:v>2.1189755640884798</c:v>
                </c:pt>
                <c:pt idx="10">
                  <c:v>2.6647998860512851</c:v>
                </c:pt>
                <c:pt idx="11">
                  <c:v>2.9977822075635054</c:v>
                </c:pt>
                <c:pt idx="12">
                  <c:v>3.0522782673341977</c:v>
                </c:pt>
                <c:pt idx="13">
                  <c:v>2.8872808098332867</c:v>
                </c:pt>
                <c:pt idx="14">
                  <c:v>2.8439322720764704</c:v>
                </c:pt>
                <c:pt idx="15">
                  <c:v>2.6170356937463835</c:v>
                </c:pt>
                <c:pt idx="16">
                  <c:v>2.4996994969883182</c:v>
                </c:pt>
                <c:pt idx="17">
                  <c:v>2.3211453656879808</c:v>
                </c:pt>
                <c:pt idx="18">
                  <c:v>2.0795143846781547</c:v>
                </c:pt>
                <c:pt idx="19">
                  <c:v>1.760539761845092</c:v>
                </c:pt>
                <c:pt idx="20">
                  <c:v>1.7654262526071633</c:v>
                </c:pt>
                <c:pt idx="21">
                  <c:v>1.4738900233573755</c:v>
                </c:pt>
                <c:pt idx="22">
                  <c:v>1.3713436791444138</c:v>
                </c:pt>
                <c:pt idx="23">
                  <c:v>1.279429752343445</c:v>
                </c:pt>
              </c:numCache>
            </c:numRef>
          </c:val>
        </c:ser>
        <c:ser>
          <c:idx val="1"/>
          <c:order val="1"/>
          <c:tx>
            <c:strRef>
              <c:f>Aug11Event!$B$3</c:f>
              <c:strCache>
                <c:ptCount val="1"/>
                <c:pt idx="0">
                  <c:v>Opt-in Alert</c:v>
                </c:pt>
              </c:strCache>
            </c:strRef>
          </c:tx>
          <c:spPr>
            <a:ln>
              <a:solidFill>
                <a:srgbClr val="003E74"/>
              </a:solidFill>
            </a:ln>
          </c:spPr>
          <c:marker>
            <c:symbol val="none"/>
          </c:marker>
          <c:val>
            <c:numRef>
              <c:f>Aug11Event!$C$3:$Z$3</c:f>
              <c:numCache>
                <c:formatCode>0.0000</c:formatCode>
                <c:ptCount val="24"/>
                <c:pt idx="0">
                  <c:v>1.2095062499999973</c:v>
                </c:pt>
                <c:pt idx="1">
                  <c:v>1.1800718749999985</c:v>
                </c:pt>
                <c:pt idx="2">
                  <c:v>1.1246031250000019</c:v>
                </c:pt>
                <c:pt idx="3">
                  <c:v>1.1244906249999993</c:v>
                </c:pt>
                <c:pt idx="4">
                  <c:v>1.1235718749999999</c:v>
                </c:pt>
                <c:pt idx="5">
                  <c:v>1.112150000000002</c:v>
                </c:pt>
                <c:pt idx="6">
                  <c:v>1.1482562500000002</c:v>
                </c:pt>
                <c:pt idx="7">
                  <c:v>1.2887749999999996</c:v>
                </c:pt>
                <c:pt idx="8">
                  <c:v>1.6076968749999978</c:v>
                </c:pt>
                <c:pt idx="9">
                  <c:v>2.1570375000000035</c:v>
                </c:pt>
                <c:pt idx="10">
                  <c:v>2.6317687500000018</c:v>
                </c:pt>
                <c:pt idx="11">
                  <c:v>2.8703031249999977</c:v>
                </c:pt>
                <c:pt idx="12">
                  <c:v>2.9142531249999957</c:v>
                </c:pt>
                <c:pt idx="13">
                  <c:v>2.8650125000000024</c:v>
                </c:pt>
                <c:pt idx="14">
                  <c:v>2.905762500000002</c:v>
                </c:pt>
                <c:pt idx="15">
                  <c:v>2.7645531249999999</c:v>
                </c:pt>
                <c:pt idx="16">
                  <c:v>2.4941031249999988</c:v>
                </c:pt>
                <c:pt idx="17">
                  <c:v>2.3270625000000007</c:v>
                </c:pt>
                <c:pt idx="18">
                  <c:v>2.0791875000000006</c:v>
                </c:pt>
                <c:pt idx="19">
                  <c:v>2.0059624999999977</c:v>
                </c:pt>
                <c:pt idx="20">
                  <c:v>1.7895812499999983</c:v>
                </c:pt>
                <c:pt idx="21">
                  <c:v>1.555215625</c:v>
                </c:pt>
                <c:pt idx="22">
                  <c:v>1.3931812499999996</c:v>
                </c:pt>
                <c:pt idx="23">
                  <c:v>1.2887406250000002</c:v>
                </c:pt>
              </c:numCache>
            </c:numRef>
          </c:val>
        </c:ser>
        <c:ser>
          <c:idx val="2"/>
          <c:order val="2"/>
          <c:marker>
            <c:symbol val="none"/>
          </c:marker>
          <c:errBars>
            <c:errDir val="y"/>
            <c:errBarType val="plus"/>
            <c:errValType val="fixedVal"/>
            <c:noEndCap val="1"/>
            <c:val val="10"/>
            <c:spPr>
              <a:ln w="6350">
                <a:solidFill>
                  <a:schemeClr val="bg1">
                    <a:lumMod val="50000"/>
                  </a:schemeClr>
                </a:solidFill>
                <a:prstDash val="sysDash"/>
              </a:ln>
            </c:spPr>
          </c:errBars>
          <c:val>
            <c:numRef>
              <c:f>Aug11Event!$C$4:$Z$4</c:f>
              <c:numCache>
                <c:formatCode>General</c:formatCode>
                <c:ptCount val="24"/>
                <c:pt idx="11">
                  <c:v>0</c:v>
                </c:pt>
                <c:pt idx="13">
                  <c:v>0</c:v>
                </c:pt>
                <c:pt idx="17">
                  <c:v>0</c:v>
                </c:pt>
              </c:numCache>
            </c:numRef>
          </c:val>
        </c:ser>
        <c:marker val="1"/>
        <c:axId val="152255872"/>
        <c:axId val="152274048"/>
      </c:lineChart>
      <c:catAx>
        <c:axId val="152255872"/>
        <c:scaling>
          <c:orientation val="minMax"/>
        </c:scaling>
        <c:axPos val="b"/>
        <c:tickLblPos val="nextTo"/>
        <c:txPr>
          <a:bodyPr/>
          <a:lstStyle/>
          <a:p>
            <a:pPr>
              <a:defRPr sz="800">
                <a:latin typeface="Calibri" pitchFamily="34" charset="0"/>
              </a:defRPr>
            </a:pPr>
            <a:endParaRPr lang="en-US"/>
          </a:p>
        </c:txPr>
        <c:crossAx val="152274048"/>
        <c:crosses val="autoZero"/>
        <c:auto val="1"/>
        <c:lblAlgn val="ctr"/>
        <c:lblOffset val="100"/>
        <c:tickLblSkip val="2"/>
      </c:catAx>
      <c:valAx>
        <c:axId val="152274048"/>
        <c:scaling>
          <c:orientation val="minMax"/>
          <c:max val="5"/>
        </c:scaling>
        <c:axPos val="l"/>
        <c:majorGridlines/>
        <c:numFmt formatCode="0.00" sourceLinked="0"/>
        <c:tickLblPos val="nextTo"/>
        <c:txPr>
          <a:bodyPr/>
          <a:lstStyle/>
          <a:p>
            <a:pPr>
              <a:defRPr sz="800">
                <a:latin typeface="Calibri" pitchFamily="34" charset="0"/>
              </a:defRPr>
            </a:pPr>
            <a:endParaRPr lang="en-US"/>
          </a:p>
        </c:txPr>
        <c:crossAx val="152255872"/>
        <c:crosses val="autoZero"/>
        <c:crossBetween val="midCat"/>
      </c:valAx>
    </c:plotArea>
    <c:legend>
      <c:legendPos val="b"/>
      <c:legendEntry>
        <c:idx val="2"/>
        <c:delete val="1"/>
      </c:legendEntry>
      <c:txPr>
        <a:bodyPr/>
        <a:lstStyle/>
        <a:p>
          <a:pPr>
            <a:defRPr sz="800">
              <a:latin typeface="Calibri" pitchFamily="34" charset="0"/>
            </a:defRPr>
          </a:pPr>
          <a:endParaRPr lang="en-US"/>
        </a:p>
      </c:txPr>
    </c:legend>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spPr>
            <a:ln>
              <a:solidFill>
                <a:schemeClr val="tx2"/>
              </a:solidFill>
            </a:ln>
          </c:spPr>
          <c:marker>
            <c:symbol val="none"/>
          </c:marker>
          <c:val>
            <c:numRef>
              <c:f>Aug11Event!$C$6:$Z$6</c:f>
              <c:numCache>
                <c:formatCode>0.0000</c:formatCode>
                <c:ptCount val="24"/>
                <c:pt idx="0">
                  <c:v>2.690445E-2</c:v>
                </c:pt>
                <c:pt idx="1">
                  <c:v>2.1401810000000056E-2</c:v>
                </c:pt>
                <c:pt idx="2">
                  <c:v>7.2587500000000083E-3</c:v>
                </c:pt>
                <c:pt idx="3">
                  <c:v>7.1784000000000095E-4</c:v>
                </c:pt>
                <c:pt idx="4">
                  <c:v>1.0327090000000001E-2</c:v>
                </c:pt>
                <c:pt idx="5">
                  <c:v>5.6931320000000001E-2</c:v>
                </c:pt>
                <c:pt idx="6">
                  <c:v>-1.82119E-2</c:v>
                </c:pt>
                <c:pt idx="7">
                  <c:v>-2.7855300000000058E-2</c:v>
                </c:pt>
                <c:pt idx="8">
                  <c:v>8.5251510000000003E-2</c:v>
                </c:pt>
                <c:pt idx="9">
                  <c:v>-3.806190000000001E-2</c:v>
                </c:pt>
                <c:pt idx="10">
                  <c:v>3.3031140000000049E-2</c:v>
                </c:pt>
                <c:pt idx="11">
                  <c:v>0.12747907999999997</c:v>
                </c:pt>
                <c:pt idx="12">
                  <c:v>0.13802513999999999</c:v>
                </c:pt>
                <c:pt idx="13">
                  <c:v>2.2268309999999999E-2</c:v>
                </c:pt>
                <c:pt idx="14">
                  <c:v>-6.1830200000000023E-2</c:v>
                </c:pt>
                <c:pt idx="15">
                  <c:v>-0.14751740000000033</c:v>
                </c:pt>
                <c:pt idx="16">
                  <c:v>5.5963700000000102E-3</c:v>
                </c:pt>
                <c:pt idx="17">
                  <c:v>-5.9171000000000024E-3</c:v>
                </c:pt>
                <c:pt idx="18">
                  <c:v>3.2688000000000058E-4</c:v>
                </c:pt>
                <c:pt idx="19">
                  <c:v>-0.24542269999999999</c:v>
                </c:pt>
                <c:pt idx="20">
                  <c:v>-2.4154999999999979E-2</c:v>
                </c:pt>
                <c:pt idx="21">
                  <c:v>-8.1325600000000026E-2</c:v>
                </c:pt>
                <c:pt idx="22">
                  <c:v>-2.1837600000000033E-2</c:v>
                </c:pt>
                <c:pt idx="23">
                  <c:v>-9.3109000000000143E-3</c:v>
                </c:pt>
              </c:numCache>
            </c:numRef>
          </c:val>
        </c:ser>
        <c:ser>
          <c:idx val="1"/>
          <c:order val="1"/>
          <c:spPr>
            <a:ln w="19050">
              <a:solidFill>
                <a:srgbClr val="4F81BD"/>
              </a:solidFill>
              <a:prstDash val="sysDash"/>
            </a:ln>
          </c:spPr>
          <c:marker>
            <c:symbol val="none"/>
          </c:marker>
          <c:val>
            <c:numRef>
              <c:f>Aug11Event!$C$8:$Z$8</c:f>
              <c:numCache>
                <c:formatCode>0.0000</c:formatCode>
                <c:ptCount val="24"/>
                <c:pt idx="0">
                  <c:v>0.20050449000000026</c:v>
                </c:pt>
                <c:pt idx="1">
                  <c:v>0.18986727000000025</c:v>
                </c:pt>
                <c:pt idx="2">
                  <c:v>0.17073268999999999</c:v>
                </c:pt>
                <c:pt idx="3">
                  <c:v>0.16394647000000029</c:v>
                </c:pt>
                <c:pt idx="4">
                  <c:v>0.17309995000000022</c:v>
                </c:pt>
                <c:pt idx="5">
                  <c:v>0.21806086999999999</c:v>
                </c:pt>
                <c:pt idx="6">
                  <c:v>0.14151135000000026</c:v>
                </c:pt>
                <c:pt idx="7">
                  <c:v>0.14080403000000019</c:v>
                </c:pt>
                <c:pt idx="8">
                  <c:v>0.31478828000000053</c:v>
                </c:pt>
                <c:pt idx="9">
                  <c:v>0.23967791999999988</c:v>
                </c:pt>
                <c:pt idx="10">
                  <c:v>0.35265895000000008</c:v>
                </c:pt>
                <c:pt idx="11">
                  <c:v>0.48774078000000032</c:v>
                </c:pt>
                <c:pt idx="12">
                  <c:v>0.51600613999999956</c:v>
                </c:pt>
                <c:pt idx="13">
                  <c:v>0.39236250000000078</c:v>
                </c:pt>
                <c:pt idx="14">
                  <c:v>0.30496485000000045</c:v>
                </c:pt>
                <c:pt idx="15">
                  <c:v>0.20723059999999999</c:v>
                </c:pt>
                <c:pt idx="16">
                  <c:v>0.34091308000000031</c:v>
                </c:pt>
                <c:pt idx="17">
                  <c:v>0.31604837000000052</c:v>
                </c:pt>
                <c:pt idx="18">
                  <c:v>0.30482682000000078</c:v>
                </c:pt>
                <c:pt idx="19">
                  <c:v>4.711340000000009E-2</c:v>
                </c:pt>
                <c:pt idx="20">
                  <c:v>0.22512539000000001</c:v>
                </c:pt>
                <c:pt idx="21">
                  <c:v>0.12735463</c:v>
                </c:pt>
                <c:pt idx="22">
                  <c:v>0.16746117999999999</c:v>
                </c:pt>
                <c:pt idx="23">
                  <c:v>0.16756799999999999</c:v>
                </c:pt>
              </c:numCache>
            </c:numRef>
          </c:val>
        </c:ser>
        <c:ser>
          <c:idx val="2"/>
          <c:order val="2"/>
          <c:spPr>
            <a:ln w="19050">
              <a:solidFill>
                <a:srgbClr val="4F81BD"/>
              </a:solidFill>
              <a:prstDash val="sysDash"/>
            </a:ln>
          </c:spPr>
          <c:marker>
            <c:symbol val="none"/>
          </c:marker>
          <c:val>
            <c:numRef>
              <c:f>Aug11Event!$C$10:$Z$10</c:f>
              <c:numCache>
                <c:formatCode>0.0000</c:formatCode>
                <c:ptCount val="24"/>
                <c:pt idx="0">
                  <c:v>-0.14669560000000001</c:v>
                </c:pt>
                <c:pt idx="1">
                  <c:v>-0.14706369999999999</c:v>
                </c:pt>
                <c:pt idx="2">
                  <c:v>-0.15621520000000041</c:v>
                </c:pt>
                <c:pt idx="3">
                  <c:v>-0.16251080000000001</c:v>
                </c:pt>
                <c:pt idx="4">
                  <c:v>-0.15244580000000033</c:v>
                </c:pt>
                <c:pt idx="5">
                  <c:v>-0.10419820000000012</c:v>
                </c:pt>
                <c:pt idx="6">
                  <c:v>-0.17793520000000032</c:v>
                </c:pt>
                <c:pt idx="7">
                  <c:v>-0.19651469999999999</c:v>
                </c:pt>
                <c:pt idx="8">
                  <c:v>-0.14428530000000026</c:v>
                </c:pt>
                <c:pt idx="9">
                  <c:v>-0.31580180000000052</c:v>
                </c:pt>
                <c:pt idx="10">
                  <c:v>-0.28659670000000032</c:v>
                </c:pt>
                <c:pt idx="11">
                  <c:v>-0.23278260000000001</c:v>
                </c:pt>
                <c:pt idx="12">
                  <c:v>-0.23995590000000022</c:v>
                </c:pt>
                <c:pt idx="13">
                  <c:v>-0.34782590000000052</c:v>
                </c:pt>
                <c:pt idx="14">
                  <c:v>-0.42862530000000032</c:v>
                </c:pt>
                <c:pt idx="15">
                  <c:v>-0.50226549999999959</c:v>
                </c:pt>
                <c:pt idx="16">
                  <c:v>-0.32972030000000052</c:v>
                </c:pt>
                <c:pt idx="17">
                  <c:v>-0.32788260000000091</c:v>
                </c:pt>
                <c:pt idx="18">
                  <c:v>-0.30417310000000031</c:v>
                </c:pt>
                <c:pt idx="19">
                  <c:v>-0.53795890000000002</c:v>
                </c:pt>
                <c:pt idx="20">
                  <c:v>-0.2734354</c:v>
                </c:pt>
                <c:pt idx="21">
                  <c:v>-0.29000580000000031</c:v>
                </c:pt>
                <c:pt idx="22">
                  <c:v>-0.21113630000000022</c:v>
                </c:pt>
                <c:pt idx="23">
                  <c:v>-0.18618970000000001</c:v>
                </c:pt>
              </c:numCache>
            </c:numRef>
          </c:val>
        </c:ser>
        <c:ser>
          <c:idx val="3"/>
          <c:order val="3"/>
          <c:marker>
            <c:symbol val="none"/>
          </c:marker>
          <c:errBars>
            <c:errDir val="y"/>
            <c:errBarType val="both"/>
            <c:errValType val="fixedVal"/>
            <c:noEndCap val="1"/>
            <c:val val="5"/>
            <c:spPr>
              <a:ln>
                <a:solidFill>
                  <a:schemeClr val="bg1">
                    <a:lumMod val="50000"/>
                  </a:schemeClr>
                </a:solidFill>
                <a:prstDash val="sysDash"/>
              </a:ln>
            </c:spPr>
          </c:errBars>
          <c:val>
            <c:numRef>
              <c:f>Aug11Event!$C$4:$Z$4</c:f>
              <c:numCache>
                <c:formatCode>General</c:formatCode>
                <c:ptCount val="24"/>
                <c:pt idx="11">
                  <c:v>0</c:v>
                </c:pt>
                <c:pt idx="13">
                  <c:v>0</c:v>
                </c:pt>
                <c:pt idx="17">
                  <c:v>0</c:v>
                </c:pt>
              </c:numCache>
            </c:numRef>
          </c:val>
        </c:ser>
        <c:marker val="1"/>
        <c:axId val="152309760"/>
        <c:axId val="152311296"/>
      </c:lineChart>
      <c:catAx>
        <c:axId val="152309760"/>
        <c:scaling>
          <c:orientation val="minMax"/>
        </c:scaling>
        <c:axPos val="b"/>
        <c:tickLblPos val="nextTo"/>
        <c:txPr>
          <a:bodyPr/>
          <a:lstStyle/>
          <a:p>
            <a:pPr>
              <a:defRPr sz="800">
                <a:latin typeface="Calibri" pitchFamily="34" charset="0"/>
              </a:defRPr>
            </a:pPr>
            <a:endParaRPr lang="en-US"/>
          </a:p>
        </c:txPr>
        <c:crossAx val="152311296"/>
        <c:crosses val="autoZero"/>
        <c:auto val="1"/>
        <c:lblAlgn val="ctr"/>
        <c:lblOffset val="100"/>
      </c:catAx>
      <c:valAx>
        <c:axId val="152311296"/>
        <c:scaling>
          <c:orientation val="minMax"/>
          <c:max val="1"/>
          <c:min val="-1"/>
        </c:scaling>
        <c:axPos val="l"/>
        <c:majorGridlines/>
        <c:numFmt formatCode="0.00" sourceLinked="0"/>
        <c:tickLblPos val="nextTo"/>
        <c:txPr>
          <a:bodyPr/>
          <a:lstStyle/>
          <a:p>
            <a:pPr>
              <a:defRPr sz="800">
                <a:latin typeface="Calibri" pitchFamily="34" charset="0"/>
              </a:defRPr>
            </a:pPr>
            <a:endParaRPr lang="en-US"/>
          </a:p>
        </c:txPr>
        <c:crossAx val="152309760"/>
        <c:crosses val="autoZero"/>
        <c:crossBetween val="midCat"/>
      </c:valAx>
    </c:plotArea>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lineChart>
        <c:grouping val="standard"/>
        <c:ser>
          <c:idx val="0"/>
          <c:order val="0"/>
          <c:tx>
            <c:strRef>
              <c:f>Aug14Event!$B$2</c:f>
              <c:strCache>
                <c:ptCount val="1"/>
                <c:pt idx="0">
                  <c:v>Adjusted Control</c:v>
                </c:pt>
              </c:strCache>
            </c:strRef>
          </c:tx>
          <c:spPr>
            <a:ln>
              <a:solidFill>
                <a:srgbClr val="FF9900"/>
              </a:solidFill>
            </a:ln>
          </c:spPr>
          <c:marker>
            <c:symbol val="none"/>
          </c:marker>
          <c:val>
            <c:numRef>
              <c:f>Aug14Event!$C$2:$Z$2</c:f>
              <c:numCache>
                <c:formatCode>0.0000</c:formatCode>
                <c:ptCount val="24"/>
                <c:pt idx="0">
                  <c:v>1.3133878680545481</c:v>
                </c:pt>
                <c:pt idx="1">
                  <c:v>1.2786410759681146</c:v>
                </c:pt>
                <c:pt idx="2">
                  <c:v>1.2169850966799938</c:v>
                </c:pt>
                <c:pt idx="3">
                  <c:v>1.2401937291673988</c:v>
                </c:pt>
                <c:pt idx="4">
                  <c:v>1.2210057308630777</c:v>
                </c:pt>
                <c:pt idx="5">
                  <c:v>1.3235672784643595</c:v>
                </c:pt>
                <c:pt idx="6">
                  <c:v>1.4135481016768401</c:v>
                </c:pt>
                <c:pt idx="7">
                  <c:v>2.084427841916269</c:v>
                </c:pt>
                <c:pt idx="8">
                  <c:v>2.8624971402798778</c:v>
                </c:pt>
                <c:pt idx="9">
                  <c:v>3.6847471411047232</c:v>
                </c:pt>
                <c:pt idx="10">
                  <c:v>4.3610375791966947</c:v>
                </c:pt>
                <c:pt idx="11">
                  <c:v>4.6647180702945814</c:v>
                </c:pt>
                <c:pt idx="12">
                  <c:v>4.6430365185661984</c:v>
                </c:pt>
                <c:pt idx="13">
                  <c:v>4.5659128545163119</c:v>
                </c:pt>
                <c:pt idx="14">
                  <c:v>4.5277923235803392</c:v>
                </c:pt>
                <c:pt idx="15">
                  <c:v>4.3133300927046534</c:v>
                </c:pt>
                <c:pt idx="16">
                  <c:v>3.9716351105845367</c:v>
                </c:pt>
                <c:pt idx="17">
                  <c:v>3.4702139256331113</c:v>
                </c:pt>
                <c:pt idx="18">
                  <c:v>2.5923476316040062</c:v>
                </c:pt>
                <c:pt idx="19">
                  <c:v>2.0727205075923401</c:v>
                </c:pt>
                <c:pt idx="20">
                  <c:v>1.8770782654124738</c:v>
                </c:pt>
                <c:pt idx="21">
                  <c:v>1.6543486638557179</c:v>
                </c:pt>
                <c:pt idx="22">
                  <c:v>1.4502708473334218</c:v>
                </c:pt>
                <c:pt idx="23">
                  <c:v>1.3182432991472213</c:v>
                </c:pt>
              </c:numCache>
            </c:numRef>
          </c:val>
        </c:ser>
        <c:ser>
          <c:idx val="1"/>
          <c:order val="1"/>
          <c:tx>
            <c:strRef>
              <c:f>Aug14Event!$B$3</c:f>
              <c:strCache>
                <c:ptCount val="1"/>
                <c:pt idx="0">
                  <c:v>Opt-In Alert</c:v>
                </c:pt>
              </c:strCache>
            </c:strRef>
          </c:tx>
          <c:spPr>
            <a:ln>
              <a:solidFill>
                <a:srgbClr val="003E74"/>
              </a:solidFill>
            </a:ln>
          </c:spPr>
          <c:marker>
            <c:symbol val="none"/>
          </c:marker>
          <c:val>
            <c:numRef>
              <c:f>Aug14Event!$C$3:$Z$3</c:f>
              <c:numCache>
                <c:formatCode>0.0000</c:formatCode>
                <c:ptCount val="24"/>
                <c:pt idx="0">
                  <c:v>1.2449138461538469</c:v>
                </c:pt>
                <c:pt idx="1">
                  <c:v>1.2003138461538461</c:v>
                </c:pt>
                <c:pt idx="2">
                  <c:v>1.1667138461538471</c:v>
                </c:pt>
                <c:pt idx="3">
                  <c:v>1.1834800000000021</c:v>
                </c:pt>
                <c:pt idx="4">
                  <c:v>1.2040984615384609</c:v>
                </c:pt>
                <c:pt idx="5">
                  <c:v>1.3483292307692298</c:v>
                </c:pt>
                <c:pt idx="6">
                  <c:v>1.5431415384615381</c:v>
                </c:pt>
                <c:pt idx="7">
                  <c:v>2.0907107692307694</c:v>
                </c:pt>
                <c:pt idx="8">
                  <c:v>2.95165230769231</c:v>
                </c:pt>
                <c:pt idx="9">
                  <c:v>3.8209107692307711</c:v>
                </c:pt>
                <c:pt idx="10">
                  <c:v>4.3637138461538445</c:v>
                </c:pt>
                <c:pt idx="11">
                  <c:v>4.5064676923076989</c:v>
                </c:pt>
                <c:pt idx="12">
                  <c:v>4.69967076923077</c:v>
                </c:pt>
                <c:pt idx="13">
                  <c:v>4.6788769230769134</c:v>
                </c:pt>
                <c:pt idx="14">
                  <c:v>4.6784184615384605</c:v>
                </c:pt>
                <c:pt idx="15">
                  <c:v>4.4945015384615346</c:v>
                </c:pt>
                <c:pt idx="16">
                  <c:v>4.1486799999999979</c:v>
                </c:pt>
                <c:pt idx="17">
                  <c:v>3.4753938461538487</c:v>
                </c:pt>
                <c:pt idx="18">
                  <c:v>2.7382215384615414</c:v>
                </c:pt>
                <c:pt idx="19">
                  <c:v>2.1230246153846188</c:v>
                </c:pt>
                <c:pt idx="20">
                  <c:v>1.9177723076923079</c:v>
                </c:pt>
                <c:pt idx="21">
                  <c:v>1.6520523076923108</c:v>
                </c:pt>
                <c:pt idx="22">
                  <c:v>1.4386523076923079</c:v>
                </c:pt>
                <c:pt idx="23">
                  <c:v>1.3328092307692312</c:v>
                </c:pt>
              </c:numCache>
            </c:numRef>
          </c:val>
        </c:ser>
        <c:ser>
          <c:idx val="2"/>
          <c:order val="2"/>
          <c:marker>
            <c:symbol val="none"/>
          </c:marker>
          <c:errBars>
            <c:errDir val="y"/>
            <c:errBarType val="plus"/>
            <c:errValType val="fixedVal"/>
            <c:noEndCap val="1"/>
            <c:val val="10"/>
            <c:spPr>
              <a:ln w="6350">
                <a:solidFill>
                  <a:schemeClr val="bg1">
                    <a:lumMod val="50000"/>
                  </a:schemeClr>
                </a:solidFill>
                <a:prstDash val="sysDash"/>
              </a:ln>
            </c:spPr>
          </c:errBars>
          <c:val>
            <c:numRef>
              <c:f>Aug14Event!$C$4:$Z$4</c:f>
              <c:numCache>
                <c:formatCode>General</c:formatCode>
                <c:ptCount val="24"/>
                <c:pt idx="11">
                  <c:v>0</c:v>
                </c:pt>
                <c:pt idx="13">
                  <c:v>0</c:v>
                </c:pt>
                <c:pt idx="17">
                  <c:v>0</c:v>
                </c:pt>
              </c:numCache>
            </c:numRef>
          </c:val>
        </c:ser>
        <c:marker val="1"/>
        <c:axId val="152336256"/>
        <c:axId val="152337792"/>
      </c:lineChart>
      <c:catAx>
        <c:axId val="152336256"/>
        <c:scaling>
          <c:orientation val="minMax"/>
        </c:scaling>
        <c:axPos val="b"/>
        <c:tickLblPos val="nextTo"/>
        <c:txPr>
          <a:bodyPr/>
          <a:lstStyle/>
          <a:p>
            <a:pPr>
              <a:defRPr sz="800"/>
            </a:pPr>
            <a:endParaRPr lang="en-US"/>
          </a:p>
        </c:txPr>
        <c:crossAx val="152337792"/>
        <c:crosses val="autoZero"/>
        <c:auto val="1"/>
        <c:lblAlgn val="ctr"/>
        <c:lblOffset val="100"/>
        <c:tickLblSkip val="2"/>
      </c:catAx>
      <c:valAx>
        <c:axId val="152337792"/>
        <c:scaling>
          <c:orientation val="minMax"/>
          <c:max val="5"/>
        </c:scaling>
        <c:axPos val="l"/>
        <c:majorGridlines/>
        <c:numFmt formatCode="0.00" sourceLinked="0"/>
        <c:tickLblPos val="nextTo"/>
        <c:crossAx val="152336256"/>
        <c:crosses val="autoZero"/>
        <c:crossBetween val="midCat"/>
      </c:valAx>
    </c:plotArea>
    <c:legend>
      <c:legendPos val="b"/>
      <c:legendEntry>
        <c:idx val="2"/>
        <c:delete val="1"/>
      </c:legendEntry>
    </c:legend>
  </c:chart>
  <c:txPr>
    <a:bodyPr/>
    <a:lstStyle/>
    <a:p>
      <a:pPr>
        <a:defRPr sz="800">
          <a:latin typeface="Calibri" pitchFamily="34" charset="0"/>
        </a:defRPr>
      </a:pPr>
      <a:endParaRPr lang="en-US"/>
    </a:p>
  </c:tx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spPr>
            <a:ln>
              <a:solidFill>
                <a:schemeClr val="tx2"/>
              </a:solidFill>
            </a:ln>
          </c:spPr>
          <c:marker>
            <c:symbol val="none"/>
          </c:marker>
          <c:val>
            <c:numRef>
              <c:f>Aug14Event!$C$6:$Z$6</c:f>
              <c:numCache>
                <c:formatCode>0.0000</c:formatCode>
                <c:ptCount val="24"/>
                <c:pt idx="0">
                  <c:v>6.8474019999999997E-2</c:v>
                </c:pt>
                <c:pt idx="1">
                  <c:v>7.8327230000000095E-2</c:v>
                </c:pt>
                <c:pt idx="2">
                  <c:v>5.0271249999999941E-2</c:v>
                </c:pt>
                <c:pt idx="3">
                  <c:v>5.6713730000000087E-2</c:v>
                </c:pt>
                <c:pt idx="4">
                  <c:v>1.6907270000000023E-2</c:v>
                </c:pt>
                <c:pt idx="5">
                  <c:v>-2.4761999999999999E-2</c:v>
                </c:pt>
                <c:pt idx="6">
                  <c:v>-0.12959340000000019</c:v>
                </c:pt>
                <c:pt idx="7">
                  <c:v>-6.2829000000000071E-3</c:v>
                </c:pt>
                <c:pt idx="8">
                  <c:v>-8.9155200000000157E-2</c:v>
                </c:pt>
                <c:pt idx="9">
                  <c:v>-0.1361636</c:v>
                </c:pt>
                <c:pt idx="10">
                  <c:v>-2.6762999999999999E-3</c:v>
                </c:pt>
                <c:pt idx="11">
                  <c:v>0.15825038000000038</c:v>
                </c:pt>
                <c:pt idx="12">
                  <c:v>-5.6634299999999999E-2</c:v>
                </c:pt>
                <c:pt idx="13">
                  <c:v>-0.11296410000000009</c:v>
                </c:pt>
                <c:pt idx="14">
                  <c:v>-0.15062610000000001</c:v>
                </c:pt>
                <c:pt idx="15">
                  <c:v>-0.18117140000000001</c:v>
                </c:pt>
                <c:pt idx="16">
                  <c:v>-0.17704490000000025</c:v>
                </c:pt>
                <c:pt idx="17">
                  <c:v>-5.1799000000000072E-3</c:v>
                </c:pt>
                <c:pt idx="18">
                  <c:v>-0.1458739</c:v>
                </c:pt>
                <c:pt idx="19">
                  <c:v>-5.0304100000000004E-2</c:v>
                </c:pt>
                <c:pt idx="20">
                  <c:v>-4.0694000000000001E-2</c:v>
                </c:pt>
                <c:pt idx="21">
                  <c:v>2.2963599999999999E-3</c:v>
                </c:pt>
                <c:pt idx="22">
                  <c:v>1.161854E-2</c:v>
                </c:pt>
                <c:pt idx="23">
                  <c:v>-1.45659E-2</c:v>
                </c:pt>
              </c:numCache>
            </c:numRef>
          </c:val>
        </c:ser>
        <c:ser>
          <c:idx val="1"/>
          <c:order val="1"/>
          <c:spPr>
            <a:ln w="19050">
              <a:solidFill>
                <a:srgbClr val="4F81BD"/>
              </a:solidFill>
              <a:prstDash val="sysDash"/>
            </a:ln>
          </c:spPr>
          <c:marker>
            <c:symbol val="none"/>
          </c:marker>
          <c:val>
            <c:numRef>
              <c:f>Aug14Event!$C$8:$Z$8</c:f>
              <c:numCache>
                <c:formatCode>0.0000</c:formatCode>
                <c:ptCount val="24"/>
                <c:pt idx="0">
                  <c:v>0.24442460999999999</c:v>
                </c:pt>
                <c:pt idx="1">
                  <c:v>0.24964726000000029</c:v>
                </c:pt>
                <c:pt idx="2">
                  <c:v>0.21690907000000026</c:v>
                </c:pt>
                <c:pt idx="3">
                  <c:v>0.22487695999999988</c:v>
                </c:pt>
                <c:pt idx="4">
                  <c:v>0.18550066000000001</c:v>
                </c:pt>
                <c:pt idx="5">
                  <c:v>0.15751479000000032</c:v>
                </c:pt>
                <c:pt idx="6">
                  <c:v>8.4669420000000162E-2</c:v>
                </c:pt>
                <c:pt idx="7">
                  <c:v>0.28527516000000008</c:v>
                </c:pt>
                <c:pt idx="8">
                  <c:v>0.2681154</c:v>
                </c:pt>
                <c:pt idx="9">
                  <c:v>0.27895657000000051</c:v>
                </c:pt>
                <c:pt idx="10">
                  <c:v>0.45087959000000039</c:v>
                </c:pt>
                <c:pt idx="11">
                  <c:v>0.61592813000000091</c:v>
                </c:pt>
                <c:pt idx="12">
                  <c:v>0.41445189000000032</c:v>
                </c:pt>
                <c:pt idx="13">
                  <c:v>0.36353306000000002</c:v>
                </c:pt>
                <c:pt idx="14">
                  <c:v>0.32094922000000031</c:v>
                </c:pt>
                <c:pt idx="15">
                  <c:v>0.27010951</c:v>
                </c:pt>
                <c:pt idx="16">
                  <c:v>0.26272025999999998</c:v>
                </c:pt>
                <c:pt idx="17">
                  <c:v>0.40600413000000002</c:v>
                </c:pt>
                <c:pt idx="18">
                  <c:v>0.20091905000000032</c:v>
                </c:pt>
                <c:pt idx="19">
                  <c:v>0.24116130000000019</c:v>
                </c:pt>
                <c:pt idx="20">
                  <c:v>0.23378077</c:v>
                </c:pt>
                <c:pt idx="21">
                  <c:v>0.21993606000000032</c:v>
                </c:pt>
                <c:pt idx="22">
                  <c:v>0.20092386000000001</c:v>
                </c:pt>
                <c:pt idx="23">
                  <c:v>0.16870288999999999</c:v>
                </c:pt>
              </c:numCache>
            </c:numRef>
          </c:val>
        </c:ser>
        <c:ser>
          <c:idx val="2"/>
          <c:order val="2"/>
          <c:spPr>
            <a:ln w="19050">
              <a:solidFill>
                <a:srgbClr val="4F81BD"/>
              </a:solidFill>
              <a:prstDash val="sysDash"/>
            </a:ln>
          </c:spPr>
          <c:marker>
            <c:symbol val="none"/>
          </c:marker>
          <c:val>
            <c:numRef>
              <c:f>Aug14Event!$C$10:$Z$10</c:f>
              <c:numCache>
                <c:formatCode>0.0000</c:formatCode>
                <c:ptCount val="24"/>
                <c:pt idx="0">
                  <c:v>-0.10747660000000013</c:v>
                </c:pt>
                <c:pt idx="1">
                  <c:v>-9.29928E-2</c:v>
                </c:pt>
                <c:pt idx="2">
                  <c:v>-0.1163666000000001</c:v>
                </c:pt>
                <c:pt idx="3">
                  <c:v>-0.11144950000000001</c:v>
                </c:pt>
                <c:pt idx="4">
                  <c:v>-0.15168609999999999</c:v>
                </c:pt>
                <c:pt idx="5">
                  <c:v>-0.20703869999999999</c:v>
                </c:pt>
                <c:pt idx="6">
                  <c:v>-0.34385630000000045</c:v>
                </c:pt>
                <c:pt idx="7">
                  <c:v>-0.29784100000000002</c:v>
                </c:pt>
                <c:pt idx="8">
                  <c:v>-0.44642570000000031</c:v>
                </c:pt>
                <c:pt idx="9">
                  <c:v>-0.55128379999999921</c:v>
                </c:pt>
                <c:pt idx="10">
                  <c:v>-0.45623209999999997</c:v>
                </c:pt>
                <c:pt idx="11">
                  <c:v>-0.29942740000000045</c:v>
                </c:pt>
                <c:pt idx="12">
                  <c:v>-0.52772039999999998</c:v>
                </c:pt>
                <c:pt idx="13">
                  <c:v>-0.58946119999999869</c:v>
                </c:pt>
                <c:pt idx="14">
                  <c:v>-0.62220150000000063</c:v>
                </c:pt>
                <c:pt idx="15">
                  <c:v>-0.63245240000000003</c:v>
                </c:pt>
                <c:pt idx="16">
                  <c:v>-0.61681000000000064</c:v>
                </c:pt>
                <c:pt idx="17">
                  <c:v>-0.41636400000000046</c:v>
                </c:pt>
                <c:pt idx="18">
                  <c:v>-0.49266690000000052</c:v>
                </c:pt>
                <c:pt idx="19">
                  <c:v>-0.3417695</c:v>
                </c:pt>
                <c:pt idx="20">
                  <c:v>-0.31516890000000053</c:v>
                </c:pt>
                <c:pt idx="21">
                  <c:v>-0.21534330000000032</c:v>
                </c:pt>
                <c:pt idx="22">
                  <c:v>-0.17768680000000001</c:v>
                </c:pt>
                <c:pt idx="23">
                  <c:v>-0.19783480000000001</c:v>
                </c:pt>
              </c:numCache>
            </c:numRef>
          </c:val>
        </c:ser>
        <c:ser>
          <c:idx val="3"/>
          <c:order val="3"/>
          <c:marker>
            <c:symbol val="none"/>
          </c:marker>
          <c:errBars>
            <c:errDir val="y"/>
            <c:errBarType val="both"/>
            <c:errValType val="fixedVal"/>
            <c:noEndCap val="1"/>
            <c:val val="5"/>
            <c:spPr>
              <a:ln>
                <a:solidFill>
                  <a:schemeClr val="bg1">
                    <a:lumMod val="50000"/>
                  </a:schemeClr>
                </a:solidFill>
                <a:prstDash val="sysDash"/>
              </a:ln>
            </c:spPr>
          </c:errBars>
          <c:val>
            <c:numRef>
              <c:f>Aug14Event!$C$4:$Z$4</c:f>
              <c:numCache>
                <c:formatCode>General</c:formatCode>
                <c:ptCount val="24"/>
                <c:pt idx="11">
                  <c:v>0</c:v>
                </c:pt>
                <c:pt idx="13">
                  <c:v>0</c:v>
                </c:pt>
                <c:pt idx="17">
                  <c:v>0</c:v>
                </c:pt>
              </c:numCache>
            </c:numRef>
          </c:val>
        </c:ser>
        <c:marker val="1"/>
        <c:axId val="152389888"/>
        <c:axId val="152403968"/>
      </c:lineChart>
      <c:catAx>
        <c:axId val="152389888"/>
        <c:scaling>
          <c:orientation val="minMax"/>
        </c:scaling>
        <c:axPos val="b"/>
        <c:tickLblPos val="nextTo"/>
        <c:txPr>
          <a:bodyPr/>
          <a:lstStyle/>
          <a:p>
            <a:pPr>
              <a:defRPr sz="800">
                <a:latin typeface="Calibri" pitchFamily="34" charset="0"/>
              </a:defRPr>
            </a:pPr>
            <a:endParaRPr lang="en-US"/>
          </a:p>
        </c:txPr>
        <c:crossAx val="152403968"/>
        <c:crosses val="autoZero"/>
        <c:auto val="1"/>
        <c:lblAlgn val="ctr"/>
        <c:lblOffset val="100"/>
      </c:catAx>
      <c:valAx>
        <c:axId val="152403968"/>
        <c:scaling>
          <c:orientation val="minMax"/>
          <c:max val="1"/>
          <c:min val="-1"/>
        </c:scaling>
        <c:axPos val="l"/>
        <c:majorGridlines/>
        <c:numFmt formatCode="0.00" sourceLinked="0"/>
        <c:tickLblPos val="nextTo"/>
        <c:txPr>
          <a:bodyPr/>
          <a:lstStyle/>
          <a:p>
            <a:pPr>
              <a:defRPr sz="800">
                <a:latin typeface="Calibri" pitchFamily="34" charset="0"/>
              </a:defRPr>
            </a:pPr>
            <a:endParaRPr lang="en-US"/>
          </a:p>
        </c:txPr>
        <c:crossAx val="152389888"/>
        <c:crosses val="autoZero"/>
        <c:crossBetween val="midCat"/>
      </c:valAx>
    </c:plotArea>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lineChart>
        <c:grouping val="standard"/>
        <c:ser>
          <c:idx val="0"/>
          <c:order val="0"/>
          <c:tx>
            <c:strRef>
              <c:f>Aug21Event!$B$2</c:f>
              <c:strCache>
                <c:ptCount val="1"/>
                <c:pt idx="0">
                  <c:v>Adjusted Control</c:v>
                </c:pt>
              </c:strCache>
            </c:strRef>
          </c:tx>
          <c:spPr>
            <a:ln>
              <a:solidFill>
                <a:srgbClr val="FF9900"/>
              </a:solidFill>
            </a:ln>
          </c:spPr>
          <c:marker>
            <c:symbol val="none"/>
          </c:marker>
          <c:val>
            <c:numRef>
              <c:f>Aug21Event!$C$2:$Z$2</c:f>
              <c:numCache>
                <c:formatCode>0.0000</c:formatCode>
                <c:ptCount val="24"/>
                <c:pt idx="0">
                  <c:v>1.2351542828239326</c:v>
                </c:pt>
                <c:pt idx="1">
                  <c:v>1.1882386175762403</c:v>
                </c:pt>
                <c:pt idx="2">
                  <c:v>1.2032992351063458</c:v>
                </c:pt>
                <c:pt idx="3">
                  <c:v>1.1751355694180214</c:v>
                </c:pt>
                <c:pt idx="4">
                  <c:v>1.1986575315261674</c:v>
                </c:pt>
                <c:pt idx="5">
                  <c:v>1.2621328093581361</c:v>
                </c:pt>
                <c:pt idx="6">
                  <c:v>1.4270525278617741</c:v>
                </c:pt>
                <c:pt idx="7">
                  <c:v>2.0070278890034792</c:v>
                </c:pt>
                <c:pt idx="8">
                  <c:v>2.6461001525621231</c:v>
                </c:pt>
                <c:pt idx="9">
                  <c:v>3.2503576272550192</c:v>
                </c:pt>
                <c:pt idx="10">
                  <c:v>3.7897324454206402</c:v>
                </c:pt>
                <c:pt idx="11">
                  <c:v>4.1369414399382629</c:v>
                </c:pt>
                <c:pt idx="12">
                  <c:v>4.1196764190843194</c:v>
                </c:pt>
                <c:pt idx="13">
                  <c:v>4.3008946259740712</c:v>
                </c:pt>
                <c:pt idx="14">
                  <c:v>4.1553049907311879</c:v>
                </c:pt>
                <c:pt idx="15">
                  <c:v>4.0540501327892526</c:v>
                </c:pt>
                <c:pt idx="16">
                  <c:v>3.7779984178977499</c:v>
                </c:pt>
                <c:pt idx="17">
                  <c:v>3.1147501349011066</c:v>
                </c:pt>
                <c:pt idx="18">
                  <c:v>2.3274230675815692</c:v>
                </c:pt>
                <c:pt idx="19">
                  <c:v>1.9569075216996155</c:v>
                </c:pt>
                <c:pt idx="20">
                  <c:v>1.6813752550004322</c:v>
                </c:pt>
                <c:pt idx="21">
                  <c:v>1.4072017551161362</c:v>
                </c:pt>
                <c:pt idx="22">
                  <c:v>1.2583807314759523</c:v>
                </c:pt>
                <c:pt idx="23">
                  <c:v>1.1749635483422227</c:v>
                </c:pt>
              </c:numCache>
            </c:numRef>
          </c:val>
        </c:ser>
        <c:ser>
          <c:idx val="1"/>
          <c:order val="1"/>
          <c:tx>
            <c:strRef>
              <c:f>Aug21Event!$B$3</c:f>
              <c:strCache>
                <c:ptCount val="1"/>
                <c:pt idx="0">
                  <c:v>Opt-In Alert</c:v>
                </c:pt>
              </c:strCache>
            </c:strRef>
          </c:tx>
          <c:spPr>
            <a:ln>
              <a:solidFill>
                <a:srgbClr val="003E74"/>
              </a:solidFill>
            </a:ln>
          </c:spPr>
          <c:marker>
            <c:symbol val="none"/>
          </c:marker>
          <c:val>
            <c:numRef>
              <c:f>Aug21Event!$C$3:$Z$3</c:f>
              <c:numCache>
                <c:formatCode>0.0000</c:formatCode>
                <c:ptCount val="24"/>
                <c:pt idx="0">
                  <c:v>1.2335548780487806</c:v>
                </c:pt>
                <c:pt idx="1">
                  <c:v>1.171975609756098</c:v>
                </c:pt>
                <c:pt idx="2">
                  <c:v>1.129353658536586</c:v>
                </c:pt>
                <c:pt idx="3">
                  <c:v>1.1380579268292723</c:v>
                </c:pt>
                <c:pt idx="4">
                  <c:v>1.1432835365853669</c:v>
                </c:pt>
                <c:pt idx="5">
                  <c:v>1.2932256097560966</c:v>
                </c:pt>
                <c:pt idx="6">
                  <c:v>1.4370365853658538</c:v>
                </c:pt>
                <c:pt idx="7">
                  <c:v>1.9479085365853661</c:v>
                </c:pt>
                <c:pt idx="8">
                  <c:v>2.6849115853658576</c:v>
                </c:pt>
                <c:pt idx="9">
                  <c:v>3.480097560975612</c:v>
                </c:pt>
                <c:pt idx="10">
                  <c:v>3.9639603658536582</c:v>
                </c:pt>
                <c:pt idx="11">
                  <c:v>4.1447591463414568</c:v>
                </c:pt>
                <c:pt idx="12">
                  <c:v>4.1601920731707285</c:v>
                </c:pt>
                <c:pt idx="13">
                  <c:v>4.124746951219505</c:v>
                </c:pt>
                <c:pt idx="14">
                  <c:v>3.9856707317073212</c:v>
                </c:pt>
                <c:pt idx="15">
                  <c:v>3.8308628048780387</c:v>
                </c:pt>
                <c:pt idx="16">
                  <c:v>3.5668262195121962</c:v>
                </c:pt>
                <c:pt idx="17">
                  <c:v>2.9239695121951232</c:v>
                </c:pt>
                <c:pt idx="18">
                  <c:v>2.3434451219512171</c:v>
                </c:pt>
                <c:pt idx="19">
                  <c:v>1.9747987804878042</c:v>
                </c:pt>
                <c:pt idx="20">
                  <c:v>1.8453445121951204</c:v>
                </c:pt>
                <c:pt idx="21">
                  <c:v>1.5314298780487798</c:v>
                </c:pt>
                <c:pt idx="22">
                  <c:v>1.3373262195121931</c:v>
                </c:pt>
                <c:pt idx="23">
                  <c:v>1.264704268292681</c:v>
                </c:pt>
              </c:numCache>
            </c:numRef>
          </c:val>
        </c:ser>
        <c:ser>
          <c:idx val="2"/>
          <c:order val="2"/>
          <c:marker>
            <c:symbol val="none"/>
          </c:marker>
          <c:errBars>
            <c:errDir val="y"/>
            <c:errBarType val="plus"/>
            <c:errValType val="fixedVal"/>
            <c:noEndCap val="1"/>
            <c:val val="10"/>
            <c:spPr>
              <a:ln w="6350">
                <a:solidFill>
                  <a:schemeClr val="bg1">
                    <a:lumMod val="50000"/>
                  </a:schemeClr>
                </a:solidFill>
                <a:prstDash val="sysDash"/>
              </a:ln>
            </c:spPr>
          </c:errBars>
          <c:val>
            <c:numRef>
              <c:f>Aug21Event!$C$4:$Z$4</c:f>
              <c:numCache>
                <c:formatCode>General</c:formatCode>
                <c:ptCount val="24"/>
                <c:pt idx="11">
                  <c:v>0</c:v>
                </c:pt>
                <c:pt idx="13">
                  <c:v>0</c:v>
                </c:pt>
                <c:pt idx="17">
                  <c:v>0</c:v>
                </c:pt>
              </c:numCache>
            </c:numRef>
          </c:val>
        </c:ser>
        <c:marker val="1"/>
        <c:axId val="152457600"/>
        <c:axId val="152459136"/>
      </c:lineChart>
      <c:catAx>
        <c:axId val="152457600"/>
        <c:scaling>
          <c:orientation val="minMax"/>
        </c:scaling>
        <c:axPos val="b"/>
        <c:tickLblPos val="nextTo"/>
        <c:txPr>
          <a:bodyPr/>
          <a:lstStyle/>
          <a:p>
            <a:pPr>
              <a:defRPr sz="800">
                <a:latin typeface="Calibri" pitchFamily="34" charset="0"/>
              </a:defRPr>
            </a:pPr>
            <a:endParaRPr lang="en-US"/>
          </a:p>
        </c:txPr>
        <c:crossAx val="152459136"/>
        <c:crosses val="autoZero"/>
        <c:auto val="1"/>
        <c:lblAlgn val="ctr"/>
        <c:lblOffset val="100"/>
        <c:tickLblSkip val="2"/>
      </c:catAx>
      <c:valAx>
        <c:axId val="152459136"/>
        <c:scaling>
          <c:orientation val="minMax"/>
          <c:max val="5"/>
        </c:scaling>
        <c:axPos val="l"/>
        <c:majorGridlines/>
        <c:numFmt formatCode="0.00" sourceLinked="0"/>
        <c:tickLblPos val="nextTo"/>
        <c:txPr>
          <a:bodyPr/>
          <a:lstStyle/>
          <a:p>
            <a:pPr>
              <a:defRPr sz="800">
                <a:latin typeface="Calibri" pitchFamily="34" charset="0"/>
              </a:defRPr>
            </a:pPr>
            <a:endParaRPr lang="en-US"/>
          </a:p>
        </c:txPr>
        <c:crossAx val="152457600"/>
        <c:crosses val="autoZero"/>
        <c:crossBetween val="midCat"/>
      </c:valAx>
    </c:plotArea>
    <c:legend>
      <c:legendPos val="b"/>
      <c:legendEntry>
        <c:idx val="2"/>
        <c:delete val="1"/>
      </c:legendEntry>
      <c:txPr>
        <a:bodyPr/>
        <a:lstStyle/>
        <a:p>
          <a:pPr>
            <a:defRPr sz="800">
              <a:latin typeface="Calibri" pitchFamily="34" charset="0"/>
            </a:defRPr>
          </a:pPr>
          <a:endParaRPr lang="en-US"/>
        </a:p>
      </c:txPr>
    </c:legend>
  </c:chart>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spPr>
            <a:ln>
              <a:solidFill>
                <a:schemeClr val="tx2"/>
              </a:solidFill>
            </a:ln>
          </c:spPr>
          <c:marker>
            <c:symbol val="none"/>
          </c:marker>
          <c:val>
            <c:numRef>
              <c:f>Aug21Event!$C$6:$Z$6</c:f>
              <c:numCache>
                <c:formatCode>0.0000</c:formatCode>
                <c:ptCount val="24"/>
                <c:pt idx="0">
                  <c:v>1.5994000000000015E-3</c:v>
                </c:pt>
                <c:pt idx="1">
                  <c:v>1.6263010000000001E-2</c:v>
                </c:pt>
                <c:pt idx="2">
                  <c:v>7.3945579999999997E-2</c:v>
                </c:pt>
                <c:pt idx="3">
                  <c:v>3.7077640000000064E-2</c:v>
                </c:pt>
                <c:pt idx="4">
                  <c:v>5.5373990000000081E-2</c:v>
                </c:pt>
                <c:pt idx="5">
                  <c:v>-3.1092800000000032E-2</c:v>
                </c:pt>
                <c:pt idx="6">
                  <c:v>-9.9841000000000027E-3</c:v>
                </c:pt>
                <c:pt idx="7">
                  <c:v>5.9119350000000001E-2</c:v>
                </c:pt>
                <c:pt idx="8">
                  <c:v>-3.881140000000001E-2</c:v>
                </c:pt>
                <c:pt idx="9">
                  <c:v>-0.22973990000000019</c:v>
                </c:pt>
                <c:pt idx="10">
                  <c:v>-0.17422789999999999</c:v>
                </c:pt>
                <c:pt idx="11">
                  <c:v>-7.8177000000000003E-3</c:v>
                </c:pt>
                <c:pt idx="12">
                  <c:v>-4.0515700000000002E-2</c:v>
                </c:pt>
                <c:pt idx="13">
                  <c:v>0.17614767000000001</c:v>
                </c:pt>
                <c:pt idx="14">
                  <c:v>0.16963426000000001</c:v>
                </c:pt>
                <c:pt idx="15">
                  <c:v>0.22318732999999988</c:v>
                </c:pt>
                <c:pt idx="16">
                  <c:v>0.2111722</c:v>
                </c:pt>
                <c:pt idx="17">
                  <c:v>0.19078061999999987</c:v>
                </c:pt>
                <c:pt idx="18">
                  <c:v>-1.6022100000000025E-2</c:v>
                </c:pt>
                <c:pt idx="19">
                  <c:v>-1.7891299999999999E-2</c:v>
                </c:pt>
                <c:pt idx="20">
                  <c:v>-0.16396930000000029</c:v>
                </c:pt>
                <c:pt idx="21">
                  <c:v>-0.12422809999999999</c:v>
                </c:pt>
                <c:pt idx="22">
                  <c:v>-7.8945500000000002E-2</c:v>
                </c:pt>
                <c:pt idx="23">
                  <c:v>-8.9740700000000007E-2</c:v>
                </c:pt>
              </c:numCache>
            </c:numRef>
          </c:val>
        </c:ser>
        <c:ser>
          <c:idx val="1"/>
          <c:order val="1"/>
          <c:spPr>
            <a:ln w="19050">
              <a:solidFill>
                <a:srgbClr val="4F81BD"/>
              </a:solidFill>
              <a:prstDash val="sysDash"/>
            </a:ln>
          </c:spPr>
          <c:marker>
            <c:symbol val="none"/>
          </c:marker>
          <c:val>
            <c:numRef>
              <c:f>Aug21Event!$C$8:$Z$8</c:f>
              <c:numCache>
                <c:formatCode>0.0000</c:formatCode>
                <c:ptCount val="24"/>
                <c:pt idx="0">
                  <c:v>0.16222432000000001</c:v>
                </c:pt>
                <c:pt idx="1">
                  <c:v>0.17423538000000038</c:v>
                </c:pt>
                <c:pt idx="2">
                  <c:v>0.22834739000000029</c:v>
                </c:pt>
                <c:pt idx="3">
                  <c:v>0.19238846000000001</c:v>
                </c:pt>
                <c:pt idx="4">
                  <c:v>0.21209349000000038</c:v>
                </c:pt>
                <c:pt idx="5">
                  <c:v>0.13740332999999999</c:v>
                </c:pt>
                <c:pt idx="6">
                  <c:v>0.18888247999999999</c:v>
                </c:pt>
                <c:pt idx="7">
                  <c:v>0.32315064000000032</c:v>
                </c:pt>
                <c:pt idx="8">
                  <c:v>0.27059703999999996</c:v>
                </c:pt>
                <c:pt idx="9">
                  <c:v>0.12488785999999998</c:v>
                </c:pt>
                <c:pt idx="10">
                  <c:v>0.21619147000000019</c:v>
                </c:pt>
                <c:pt idx="11">
                  <c:v>0.39557113000000038</c:v>
                </c:pt>
                <c:pt idx="12">
                  <c:v>0.36692731000000045</c:v>
                </c:pt>
                <c:pt idx="13">
                  <c:v>0.58861764999999922</c:v>
                </c:pt>
                <c:pt idx="14">
                  <c:v>0.56810505000000089</c:v>
                </c:pt>
                <c:pt idx="15">
                  <c:v>0.61296452000000001</c:v>
                </c:pt>
                <c:pt idx="16">
                  <c:v>0.59588501000000005</c:v>
                </c:pt>
                <c:pt idx="17">
                  <c:v>0.54268981000000105</c:v>
                </c:pt>
                <c:pt idx="18">
                  <c:v>0.27331951000000032</c:v>
                </c:pt>
                <c:pt idx="19">
                  <c:v>0.23147101</c:v>
                </c:pt>
                <c:pt idx="20">
                  <c:v>7.5301649999999998E-2</c:v>
                </c:pt>
                <c:pt idx="21">
                  <c:v>6.7608979999999999E-2</c:v>
                </c:pt>
                <c:pt idx="22">
                  <c:v>9.1879520000000006E-2</c:v>
                </c:pt>
                <c:pt idx="23">
                  <c:v>7.4258220000000014E-2</c:v>
                </c:pt>
              </c:numCache>
            </c:numRef>
          </c:val>
        </c:ser>
        <c:ser>
          <c:idx val="2"/>
          <c:order val="2"/>
          <c:spPr>
            <a:ln w="19050">
              <a:solidFill>
                <a:srgbClr val="4F81BD"/>
              </a:solidFill>
              <a:prstDash val="sysDash"/>
            </a:ln>
          </c:spPr>
          <c:marker>
            <c:symbol val="none"/>
          </c:marker>
          <c:val>
            <c:numRef>
              <c:f>Aug21Event!$C$10:$Z$10</c:f>
              <c:numCache>
                <c:formatCode>0.0000</c:formatCode>
                <c:ptCount val="24"/>
                <c:pt idx="0">
                  <c:v>-0.15902550000000001</c:v>
                </c:pt>
                <c:pt idx="1">
                  <c:v>-0.14170940000000029</c:v>
                </c:pt>
                <c:pt idx="2">
                  <c:v>-8.0456200000000005E-2</c:v>
                </c:pt>
                <c:pt idx="3">
                  <c:v>-0.11823320000000016</c:v>
                </c:pt>
                <c:pt idx="4">
                  <c:v>-0.10134550000000002</c:v>
                </c:pt>
                <c:pt idx="5">
                  <c:v>-0.19958890000000001</c:v>
                </c:pt>
                <c:pt idx="6">
                  <c:v>-0.2088506</c:v>
                </c:pt>
                <c:pt idx="7">
                  <c:v>-0.20491190000000026</c:v>
                </c:pt>
                <c:pt idx="8">
                  <c:v>-0.34821990000000008</c:v>
                </c:pt>
                <c:pt idx="9">
                  <c:v>-0.58436769999999882</c:v>
                </c:pt>
                <c:pt idx="10">
                  <c:v>-0.56464730000000063</c:v>
                </c:pt>
                <c:pt idx="11">
                  <c:v>-0.41120650000000031</c:v>
                </c:pt>
                <c:pt idx="12">
                  <c:v>-0.44795860000000032</c:v>
                </c:pt>
                <c:pt idx="13">
                  <c:v>-0.23632230000000001</c:v>
                </c:pt>
                <c:pt idx="14">
                  <c:v>-0.2288365</c:v>
                </c:pt>
                <c:pt idx="15">
                  <c:v>-0.16658990000000001</c:v>
                </c:pt>
                <c:pt idx="16">
                  <c:v>-0.17354059999999999</c:v>
                </c:pt>
                <c:pt idx="17">
                  <c:v>-0.16112859999999987</c:v>
                </c:pt>
                <c:pt idx="18">
                  <c:v>-0.30536360000000046</c:v>
                </c:pt>
                <c:pt idx="19">
                  <c:v>-0.26725349999999998</c:v>
                </c:pt>
                <c:pt idx="20">
                  <c:v>-0.40324020000000005</c:v>
                </c:pt>
                <c:pt idx="21">
                  <c:v>-0.31606520000000032</c:v>
                </c:pt>
                <c:pt idx="22">
                  <c:v>-0.24977050000000001</c:v>
                </c:pt>
                <c:pt idx="23">
                  <c:v>-0.25373969999999996</c:v>
                </c:pt>
              </c:numCache>
            </c:numRef>
          </c:val>
        </c:ser>
        <c:ser>
          <c:idx val="3"/>
          <c:order val="3"/>
          <c:marker>
            <c:symbol val="none"/>
          </c:marker>
          <c:errBars>
            <c:errDir val="y"/>
            <c:errBarType val="both"/>
            <c:errValType val="fixedVal"/>
            <c:noEndCap val="1"/>
            <c:val val="5"/>
            <c:spPr>
              <a:ln>
                <a:solidFill>
                  <a:schemeClr val="bg1">
                    <a:lumMod val="50000"/>
                  </a:schemeClr>
                </a:solidFill>
                <a:prstDash val="sysDash"/>
              </a:ln>
            </c:spPr>
          </c:errBars>
          <c:val>
            <c:numRef>
              <c:f>Aug21Event!$C$4:$Z$4</c:f>
              <c:numCache>
                <c:formatCode>General</c:formatCode>
                <c:ptCount val="24"/>
                <c:pt idx="11">
                  <c:v>0</c:v>
                </c:pt>
                <c:pt idx="13">
                  <c:v>0</c:v>
                </c:pt>
                <c:pt idx="17">
                  <c:v>0</c:v>
                </c:pt>
              </c:numCache>
            </c:numRef>
          </c:val>
        </c:ser>
        <c:marker val="1"/>
        <c:axId val="152486656"/>
        <c:axId val="152488192"/>
      </c:lineChart>
      <c:catAx>
        <c:axId val="152486656"/>
        <c:scaling>
          <c:orientation val="minMax"/>
        </c:scaling>
        <c:axPos val="b"/>
        <c:tickLblPos val="nextTo"/>
        <c:txPr>
          <a:bodyPr/>
          <a:lstStyle/>
          <a:p>
            <a:pPr>
              <a:defRPr sz="800">
                <a:latin typeface="Calibri" pitchFamily="34" charset="0"/>
              </a:defRPr>
            </a:pPr>
            <a:endParaRPr lang="en-US"/>
          </a:p>
        </c:txPr>
        <c:crossAx val="152488192"/>
        <c:crosses val="autoZero"/>
        <c:auto val="1"/>
        <c:lblAlgn val="ctr"/>
        <c:lblOffset val="100"/>
      </c:catAx>
      <c:valAx>
        <c:axId val="152488192"/>
        <c:scaling>
          <c:orientation val="minMax"/>
          <c:max val="1"/>
          <c:min val="-1"/>
        </c:scaling>
        <c:axPos val="l"/>
        <c:majorGridlines/>
        <c:numFmt formatCode="0.00" sourceLinked="0"/>
        <c:tickLblPos val="nextTo"/>
        <c:txPr>
          <a:bodyPr/>
          <a:lstStyle/>
          <a:p>
            <a:pPr>
              <a:defRPr sz="800">
                <a:latin typeface="Calibri" pitchFamily="34" charset="0"/>
              </a:defRPr>
            </a:pPr>
            <a:endParaRPr lang="en-US"/>
          </a:p>
        </c:txPr>
        <c:crossAx val="152486656"/>
        <c:crosses val="autoZero"/>
        <c:crossBetween val="midCat"/>
      </c:valAx>
    </c:plotArea>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'Load shapes final'!$B$4</c:f>
              <c:strCache>
                <c:ptCount val="1"/>
                <c:pt idx="0">
                  <c:v>Non-Event</c:v>
                </c:pt>
              </c:strCache>
            </c:strRef>
          </c:tx>
          <c:spPr>
            <a:ln>
              <a:solidFill>
                <a:srgbClr val="FF9900"/>
              </a:solidFill>
            </a:ln>
          </c:spPr>
          <c:marker>
            <c:symbol val="none"/>
          </c:marker>
          <c:val>
            <c:numRef>
              <c:f>'Load shapes final'!$J$4:$AG$4</c:f>
              <c:numCache>
                <c:formatCode>General</c:formatCode>
                <c:ptCount val="24"/>
                <c:pt idx="0">
                  <c:v>2.3350936614999998</c:v>
                </c:pt>
                <c:pt idx="1">
                  <c:v>2.2720050972999997</c:v>
                </c:pt>
                <c:pt idx="2">
                  <c:v>2.1922920301999977</c:v>
                </c:pt>
                <c:pt idx="3">
                  <c:v>2.1605573027000053</c:v>
                </c:pt>
                <c:pt idx="4">
                  <c:v>2.096478129299991</c:v>
                </c:pt>
                <c:pt idx="5">
                  <c:v>2.1022483815999977</c:v>
                </c:pt>
                <c:pt idx="6">
                  <c:v>2.0186479113999987</c:v>
                </c:pt>
                <c:pt idx="7">
                  <c:v>2.1899175934000001</c:v>
                </c:pt>
                <c:pt idx="8">
                  <c:v>2.6508245444000011</c:v>
                </c:pt>
                <c:pt idx="9">
                  <c:v>3.1350339396999987</c:v>
                </c:pt>
                <c:pt idx="10">
                  <c:v>3.5575726537999999</c:v>
                </c:pt>
                <c:pt idx="11">
                  <c:v>3.7663177434000059</c:v>
                </c:pt>
                <c:pt idx="12">
                  <c:v>3.8291886513</c:v>
                </c:pt>
                <c:pt idx="13">
                  <c:v>3.8283381915999999</c:v>
                </c:pt>
                <c:pt idx="14">
                  <c:v>3.7726198251999987</c:v>
                </c:pt>
                <c:pt idx="15">
                  <c:v>3.7087100051000048</c:v>
                </c:pt>
                <c:pt idx="16">
                  <c:v>3.5800389188000001</c:v>
                </c:pt>
                <c:pt idx="17">
                  <c:v>3.4356221412999997</c:v>
                </c:pt>
                <c:pt idx="18">
                  <c:v>3.2168878329999999</c:v>
                </c:pt>
                <c:pt idx="19">
                  <c:v>3.1087667196000002</c:v>
                </c:pt>
                <c:pt idx="20">
                  <c:v>3.1084037803000002</c:v>
                </c:pt>
                <c:pt idx="21">
                  <c:v>2.8179572636999999</c:v>
                </c:pt>
                <c:pt idx="22">
                  <c:v>2.5563284871999987</c:v>
                </c:pt>
                <c:pt idx="23">
                  <c:v>2.3398236908999968</c:v>
                </c:pt>
              </c:numCache>
            </c:numRef>
          </c:val>
        </c:ser>
        <c:ser>
          <c:idx val="1"/>
          <c:order val="1"/>
          <c:tx>
            <c:strRef>
              <c:f>'Load shapes final'!$B$5</c:f>
              <c:strCache>
                <c:ptCount val="1"/>
                <c:pt idx="0">
                  <c:v>Event</c:v>
                </c:pt>
              </c:strCache>
            </c:strRef>
          </c:tx>
          <c:spPr>
            <a:ln>
              <a:solidFill>
                <a:srgbClr val="003E74"/>
              </a:solidFill>
            </a:ln>
          </c:spPr>
          <c:marker>
            <c:symbol val="none"/>
          </c:marker>
          <c:val>
            <c:numRef>
              <c:f>'Load shapes final'!$J$5:$AG$5</c:f>
              <c:numCache>
                <c:formatCode>General</c:formatCode>
                <c:ptCount val="24"/>
                <c:pt idx="0">
                  <c:v>2.1130898632999999</c:v>
                </c:pt>
                <c:pt idx="1">
                  <c:v>2.0524283951999949</c:v>
                </c:pt>
                <c:pt idx="2">
                  <c:v>1.9812567112999999</c:v>
                </c:pt>
                <c:pt idx="3">
                  <c:v>1.9299787923999967</c:v>
                </c:pt>
                <c:pt idx="4">
                  <c:v>1.9266560523</c:v>
                </c:pt>
                <c:pt idx="5">
                  <c:v>1.9390298297999999</c:v>
                </c:pt>
                <c:pt idx="6">
                  <c:v>1.8480788625000026</c:v>
                </c:pt>
                <c:pt idx="7">
                  <c:v>1.913462872</c:v>
                </c:pt>
                <c:pt idx="8">
                  <c:v>2.3773168012000001</c:v>
                </c:pt>
                <c:pt idx="9">
                  <c:v>2.9017088927999999</c:v>
                </c:pt>
                <c:pt idx="10">
                  <c:v>3.3290090804999997</c:v>
                </c:pt>
                <c:pt idx="11">
                  <c:v>3.5063046991999998</c:v>
                </c:pt>
                <c:pt idx="12">
                  <c:v>3.5852114411000002</c:v>
                </c:pt>
                <c:pt idx="13">
                  <c:v>3.5240550330999967</c:v>
                </c:pt>
                <c:pt idx="14">
                  <c:v>3.4588655145999967</c:v>
                </c:pt>
                <c:pt idx="15">
                  <c:v>3.3609984717999999</c:v>
                </c:pt>
                <c:pt idx="16">
                  <c:v>3.2482196362</c:v>
                </c:pt>
                <c:pt idx="17">
                  <c:v>3.0597470326999998</c:v>
                </c:pt>
                <c:pt idx="18">
                  <c:v>2.8815033841999997</c:v>
                </c:pt>
                <c:pt idx="19">
                  <c:v>2.9038487873999999</c:v>
                </c:pt>
                <c:pt idx="20">
                  <c:v>2.8222730354999968</c:v>
                </c:pt>
                <c:pt idx="21">
                  <c:v>2.5610792591</c:v>
                </c:pt>
                <c:pt idx="22">
                  <c:v>2.3141207409000049</c:v>
                </c:pt>
                <c:pt idx="23">
                  <c:v>2.1515516239999997</c:v>
                </c:pt>
              </c:numCache>
            </c:numRef>
          </c:val>
        </c:ser>
        <c:marker val="1"/>
        <c:axId val="165469568"/>
        <c:axId val="165471360"/>
      </c:lineChart>
      <c:lineChart>
        <c:grouping val="standard"/>
        <c:ser>
          <c:idx val="2"/>
          <c:order val="2"/>
          <c:tx>
            <c:strRef>
              <c:f>'Load shapes final'!$B$4</c:f>
              <c:strCache>
                <c:ptCount val="1"/>
                <c:pt idx="0">
                  <c:v>Non-Event</c:v>
                </c:pt>
              </c:strCache>
            </c:strRef>
          </c:tx>
          <c:spPr>
            <a:ln w="19050">
              <a:solidFill>
                <a:srgbClr val="FF9900"/>
              </a:solidFill>
              <a:prstDash val="sysDash"/>
            </a:ln>
          </c:spPr>
          <c:marker>
            <c:symbol val="none"/>
          </c:marker>
          <c:val>
            <c:numRef>
              <c:f>'Load shapes final'!$AH$4:$BE$4</c:f>
              <c:numCache>
                <c:formatCode>General</c:formatCode>
                <c:ptCount val="24"/>
                <c:pt idx="0">
                  <c:v>72</c:v>
                </c:pt>
                <c:pt idx="1">
                  <c:v>71</c:v>
                </c:pt>
                <c:pt idx="2">
                  <c:v>70</c:v>
                </c:pt>
                <c:pt idx="3">
                  <c:v>70</c:v>
                </c:pt>
                <c:pt idx="4">
                  <c:v>69</c:v>
                </c:pt>
                <c:pt idx="5">
                  <c:v>69</c:v>
                </c:pt>
                <c:pt idx="6">
                  <c:v>71</c:v>
                </c:pt>
                <c:pt idx="7">
                  <c:v>75</c:v>
                </c:pt>
                <c:pt idx="8">
                  <c:v>81</c:v>
                </c:pt>
                <c:pt idx="9">
                  <c:v>84</c:v>
                </c:pt>
                <c:pt idx="10">
                  <c:v>86</c:v>
                </c:pt>
                <c:pt idx="11">
                  <c:v>88</c:v>
                </c:pt>
                <c:pt idx="12">
                  <c:v>89</c:v>
                </c:pt>
                <c:pt idx="13">
                  <c:v>88</c:v>
                </c:pt>
                <c:pt idx="14">
                  <c:v>87</c:v>
                </c:pt>
                <c:pt idx="15">
                  <c:v>86</c:v>
                </c:pt>
                <c:pt idx="16">
                  <c:v>85</c:v>
                </c:pt>
                <c:pt idx="17">
                  <c:v>83</c:v>
                </c:pt>
                <c:pt idx="18">
                  <c:v>79</c:v>
                </c:pt>
                <c:pt idx="19">
                  <c:v>76</c:v>
                </c:pt>
                <c:pt idx="20">
                  <c:v>74</c:v>
                </c:pt>
                <c:pt idx="21">
                  <c:v>73</c:v>
                </c:pt>
                <c:pt idx="22">
                  <c:v>71</c:v>
                </c:pt>
                <c:pt idx="23">
                  <c:v>71</c:v>
                </c:pt>
              </c:numCache>
            </c:numRef>
          </c:val>
        </c:ser>
        <c:ser>
          <c:idx val="3"/>
          <c:order val="3"/>
          <c:tx>
            <c:strRef>
              <c:f>'Load shapes final'!$B$5</c:f>
              <c:strCache>
                <c:ptCount val="1"/>
                <c:pt idx="0">
                  <c:v>Event</c:v>
                </c:pt>
              </c:strCache>
            </c:strRef>
          </c:tx>
          <c:spPr>
            <a:ln w="19050">
              <a:solidFill>
                <a:srgbClr val="003E74"/>
              </a:solidFill>
              <a:prstDash val="sysDash"/>
            </a:ln>
          </c:spPr>
          <c:marker>
            <c:symbol val="none"/>
          </c:marker>
          <c:val>
            <c:numRef>
              <c:f>'Load shapes final'!$AH$5:$BE$5</c:f>
              <c:numCache>
                <c:formatCode>General</c:formatCode>
                <c:ptCount val="24"/>
                <c:pt idx="0">
                  <c:v>71</c:v>
                </c:pt>
                <c:pt idx="1">
                  <c:v>70</c:v>
                </c:pt>
                <c:pt idx="2">
                  <c:v>70</c:v>
                </c:pt>
                <c:pt idx="3">
                  <c:v>70</c:v>
                </c:pt>
                <c:pt idx="4">
                  <c:v>69</c:v>
                </c:pt>
                <c:pt idx="5">
                  <c:v>68</c:v>
                </c:pt>
                <c:pt idx="6">
                  <c:v>69</c:v>
                </c:pt>
                <c:pt idx="7">
                  <c:v>75</c:v>
                </c:pt>
                <c:pt idx="8">
                  <c:v>83</c:v>
                </c:pt>
                <c:pt idx="9">
                  <c:v>88</c:v>
                </c:pt>
                <c:pt idx="10">
                  <c:v>91</c:v>
                </c:pt>
                <c:pt idx="11">
                  <c:v>92</c:v>
                </c:pt>
                <c:pt idx="12">
                  <c:v>92</c:v>
                </c:pt>
                <c:pt idx="13">
                  <c:v>91</c:v>
                </c:pt>
                <c:pt idx="14">
                  <c:v>91</c:v>
                </c:pt>
                <c:pt idx="15">
                  <c:v>90</c:v>
                </c:pt>
                <c:pt idx="16">
                  <c:v>90</c:v>
                </c:pt>
                <c:pt idx="17">
                  <c:v>87</c:v>
                </c:pt>
                <c:pt idx="18">
                  <c:v>83</c:v>
                </c:pt>
                <c:pt idx="19">
                  <c:v>78</c:v>
                </c:pt>
                <c:pt idx="20">
                  <c:v>75</c:v>
                </c:pt>
                <c:pt idx="21">
                  <c:v>73</c:v>
                </c:pt>
                <c:pt idx="22">
                  <c:v>72</c:v>
                </c:pt>
                <c:pt idx="23">
                  <c:v>70</c:v>
                </c:pt>
              </c:numCache>
            </c:numRef>
          </c:val>
        </c:ser>
        <c:marker val="1"/>
        <c:axId val="165543936"/>
        <c:axId val="165524608"/>
      </c:lineChart>
      <c:catAx>
        <c:axId val="165469568"/>
        <c:scaling>
          <c:orientation val="minMax"/>
        </c:scaling>
        <c:axPos val="b"/>
        <c:tickLblPos val="nextTo"/>
        <c:crossAx val="165471360"/>
        <c:crosses val="autoZero"/>
        <c:auto val="1"/>
        <c:lblAlgn val="ctr"/>
        <c:lblOffset val="100"/>
      </c:catAx>
      <c:valAx>
        <c:axId val="165471360"/>
        <c:scaling>
          <c:orientation val="minMax"/>
        </c:scaling>
        <c:axPos val="l"/>
        <c:majorGridlines/>
        <c:title>
          <c:tx>
            <c:rich>
              <a:bodyPr rot="-5400000" vert="horz"/>
              <a:lstStyle/>
              <a:p>
                <a:pPr>
                  <a:defRPr/>
                </a:pPr>
                <a:r>
                  <a:rPr lang="en-US"/>
                  <a:t>kW</a:t>
                </a:r>
              </a:p>
            </c:rich>
          </c:tx>
        </c:title>
        <c:numFmt formatCode="General" sourceLinked="1"/>
        <c:tickLblPos val="nextTo"/>
        <c:crossAx val="165469568"/>
        <c:crosses val="autoZero"/>
        <c:crossBetween val="midCat"/>
      </c:valAx>
      <c:valAx>
        <c:axId val="165524608"/>
        <c:scaling>
          <c:orientation val="minMax"/>
        </c:scaling>
        <c:axPos val="r"/>
        <c:title>
          <c:tx>
            <c:rich>
              <a:bodyPr rot="-5400000" vert="horz"/>
              <a:lstStyle/>
              <a:p>
                <a:pPr>
                  <a:defRPr/>
                </a:pPr>
                <a:r>
                  <a:rPr lang="en-US"/>
                  <a:t>Temperature</a:t>
                </a:r>
              </a:p>
            </c:rich>
          </c:tx>
        </c:title>
        <c:numFmt formatCode="General" sourceLinked="1"/>
        <c:tickLblPos val="nextTo"/>
        <c:crossAx val="165543936"/>
        <c:crosses val="max"/>
        <c:crossBetween val="between"/>
      </c:valAx>
      <c:catAx>
        <c:axId val="165543936"/>
        <c:scaling>
          <c:orientation val="minMax"/>
        </c:scaling>
        <c:delete val="1"/>
        <c:axPos val="b"/>
        <c:tickLblPos val="none"/>
        <c:crossAx val="165524608"/>
        <c:crosses val="autoZero"/>
        <c:auto val="1"/>
        <c:lblAlgn val="ctr"/>
        <c:lblOffset val="100"/>
      </c:catAx>
    </c:plotArea>
    <c:legend>
      <c:legendPos val="b"/>
    </c:legend>
  </c:chart>
  <c:txPr>
    <a:bodyPr/>
    <a:lstStyle/>
    <a:p>
      <a:pPr>
        <a:defRPr sz="900" b="0">
          <a:latin typeface="Calibri" pitchFamily="34" charset="0"/>
        </a:defRPr>
      </a:pPr>
      <a:endParaRPr lang="en-US"/>
    </a:p>
  </c:txPr>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lineChart>
        <c:grouping val="standard"/>
        <c:ser>
          <c:idx val="0"/>
          <c:order val="0"/>
          <c:tx>
            <c:strRef>
              <c:f>Sep15Event!$B$2</c:f>
              <c:strCache>
                <c:ptCount val="1"/>
                <c:pt idx="0">
                  <c:v>Adjusted Control</c:v>
                </c:pt>
              </c:strCache>
            </c:strRef>
          </c:tx>
          <c:spPr>
            <a:ln>
              <a:solidFill>
                <a:srgbClr val="FF9900"/>
              </a:solidFill>
            </a:ln>
          </c:spPr>
          <c:marker>
            <c:symbol val="none"/>
          </c:marker>
          <c:val>
            <c:numRef>
              <c:f>Sep15Event!$C$2:$Z$2</c:f>
              <c:numCache>
                <c:formatCode>0.0000</c:formatCode>
                <c:ptCount val="24"/>
                <c:pt idx="0">
                  <c:v>1.205125781369544</c:v>
                </c:pt>
                <c:pt idx="1">
                  <c:v>1.2030381523593496</c:v>
                </c:pt>
                <c:pt idx="2">
                  <c:v>1.072002557079659</c:v>
                </c:pt>
                <c:pt idx="3">
                  <c:v>1.0490029136491019</c:v>
                </c:pt>
                <c:pt idx="4">
                  <c:v>1.1176692748479498</c:v>
                </c:pt>
                <c:pt idx="5">
                  <c:v>1.0877007988411638</c:v>
                </c:pt>
                <c:pt idx="6">
                  <c:v>1.1254539845564631</c:v>
                </c:pt>
                <c:pt idx="7">
                  <c:v>1.2979992331901304</c:v>
                </c:pt>
                <c:pt idx="8">
                  <c:v>1.5567031537981939</c:v>
                </c:pt>
                <c:pt idx="9">
                  <c:v>2.1602797037476082</c:v>
                </c:pt>
                <c:pt idx="10">
                  <c:v>2.7285426430217448</c:v>
                </c:pt>
                <c:pt idx="11">
                  <c:v>2.9905301713703012</c:v>
                </c:pt>
                <c:pt idx="12">
                  <c:v>2.9345254046449365</c:v>
                </c:pt>
                <c:pt idx="13">
                  <c:v>2.9825591831048204</c:v>
                </c:pt>
                <c:pt idx="14">
                  <c:v>2.8536320143404268</c:v>
                </c:pt>
                <c:pt idx="15">
                  <c:v>2.7413971018812306</c:v>
                </c:pt>
                <c:pt idx="16">
                  <c:v>2.7381401135198327</c:v>
                </c:pt>
                <c:pt idx="17">
                  <c:v>2.5081036486560633</c:v>
                </c:pt>
                <c:pt idx="18">
                  <c:v>2.117748922012638</c:v>
                </c:pt>
                <c:pt idx="19">
                  <c:v>1.8354815137728895</c:v>
                </c:pt>
                <c:pt idx="20">
                  <c:v>1.8170980551691962</c:v>
                </c:pt>
                <c:pt idx="21">
                  <c:v>1.693233101349084</c:v>
                </c:pt>
                <c:pt idx="22">
                  <c:v>1.5122901044985424</c:v>
                </c:pt>
                <c:pt idx="23">
                  <c:v>1.3212826370950994</c:v>
                </c:pt>
              </c:numCache>
            </c:numRef>
          </c:val>
        </c:ser>
        <c:ser>
          <c:idx val="1"/>
          <c:order val="1"/>
          <c:tx>
            <c:strRef>
              <c:f>Sep15Event!$B$3</c:f>
              <c:strCache>
                <c:ptCount val="1"/>
                <c:pt idx="0">
                  <c:v>Opt-in Alert</c:v>
                </c:pt>
              </c:strCache>
            </c:strRef>
          </c:tx>
          <c:spPr>
            <a:ln>
              <a:solidFill>
                <a:srgbClr val="003E74"/>
              </a:solidFill>
            </a:ln>
          </c:spPr>
          <c:marker>
            <c:symbol val="none"/>
          </c:marker>
          <c:val>
            <c:numRef>
              <c:f>Sep15Event!$C$3:$Z$3</c:f>
              <c:numCache>
                <c:formatCode>0.0000</c:formatCode>
                <c:ptCount val="24"/>
                <c:pt idx="0">
                  <c:v>1.252450151057402</c:v>
                </c:pt>
                <c:pt idx="1">
                  <c:v>1.2097492447129889</c:v>
                </c:pt>
                <c:pt idx="2">
                  <c:v>1.1683746223564955</c:v>
                </c:pt>
                <c:pt idx="3">
                  <c:v>1.1184864048338405</c:v>
                </c:pt>
                <c:pt idx="4">
                  <c:v>1.1275438066465282</c:v>
                </c:pt>
                <c:pt idx="5">
                  <c:v>1.1301691842900301</c:v>
                </c:pt>
                <c:pt idx="6">
                  <c:v>1.1502296072507558</c:v>
                </c:pt>
                <c:pt idx="7">
                  <c:v>1.2095045317220554</c:v>
                </c:pt>
                <c:pt idx="8">
                  <c:v>1.5653806646525701</c:v>
                </c:pt>
                <c:pt idx="9">
                  <c:v>2.1018972809667682</c:v>
                </c:pt>
                <c:pt idx="10">
                  <c:v>2.6798429003021127</c:v>
                </c:pt>
                <c:pt idx="11">
                  <c:v>2.9506102719033245</c:v>
                </c:pt>
                <c:pt idx="12">
                  <c:v>3.0204561933534699</c:v>
                </c:pt>
                <c:pt idx="13">
                  <c:v>2.9645981873111782</c:v>
                </c:pt>
                <c:pt idx="14">
                  <c:v>2.9096102719033232</c:v>
                </c:pt>
                <c:pt idx="15">
                  <c:v>2.7856888217522644</c:v>
                </c:pt>
                <c:pt idx="16">
                  <c:v>2.5926404833836751</c:v>
                </c:pt>
                <c:pt idx="17">
                  <c:v>2.3458429003021095</c:v>
                </c:pt>
                <c:pt idx="18">
                  <c:v>2.1419244712990952</c:v>
                </c:pt>
                <c:pt idx="19">
                  <c:v>2.0788580060422928</c:v>
                </c:pt>
                <c:pt idx="20">
                  <c:v>1.9456858006042301</c:v>
                </c:pt>
                <c:pt idx="21">
                  <c:v>1.6247039274924469</c:v>
                </c:pt>
                <c:pt idx="22">
                  <c:v>1.374211480362538</c:v>
                </c:pt>
                <c:pt idx="23">
                  <c:v>1.2405407854984898</c:v>
                </c:pt>
              </c:numCache>
            </c:numRef>
          </c:val>
        </c:ser>
        <c:ser>
          <c:idx val="2"/>
          <c:order val="2"/>
          <c:marker>
            <c:symbol val="none"/>
          </c:marker>
          <c:errBars>
            <c:errDir val="y"/>
            <c:errBarType val="plus"/>
            <c:errValType val="fixedVal"/>
            <c:noEndCap val="1"/>
            <c:val val="10"/>
            <c:spPr>
              <a:ln w="6350">
                <a:solidFill>
                  <a:schemeClr val="bg1">
                    <a:lumMod val="50000"/>
                  </a:schemeClr>
                </a:solidFill>
                <a:prstDash val="sysDash"/>
              </a:ln>
            </c:spPr>
          </c:errBars>
          <c:val>
            <c:numRef>
              <c:f>Sep15Event!$C$4:$Z$4</c:f>
              <c:numCache>
                <c:formatCode>General</c:formatCode>
                <c:ptCount val="24"/>
                <c:pt idx="11">
                  <c:v>0</c:v>
                </c:pt>
                <c:pt idx="13">
                  <c:v>0</c:v>
                </c:pt>
                <c:pt idx="17">
                  <c:v>0</c:v>
                </c:pt>
              </c:numCache>
            </c:numRef>
          </c:val>
        </c:ser>
        <c:marker val="1"/>
        <c:axId val="152541824"/>
        <c:axId val="152551808"/>
      </c:lineChart>
      <c:catAx>
        <c:axId val="152541824"/>
        <c:scaling>
          <c:orientation val="minMax"/>
        </c:scaling>
        <c:axPos val="b"/>
        <c:tickLblPos val="nextTo"/>
        <c:txPr>
          <a:bodyPr/>
          <a:lstStyle/>
          <a:p>
            <a:pPr>
              <a:defRPr sz="800"/>
            </a:pPr>
            <a:endParaRPr lang="en-US"/>
          </a:p>
        </c:txPr>
        <c:crossAx val="152551808"/>
        <c:crosses val="autoZero"/>
        <c:auto val="1"/>
        <c:lblAlgn val="ctr"/>
        <c:lblOffset val="100"/>
        <c:tickLblSkip val="2"/>
        <c:tickMarkSkip val="1"/>
      </c:catAx>
      <c:valAx>
        <c:axId val="152551808"/>
        <c:scaling>
          <c:orientation val="minMax"/>
          <c:max val="5"/>
        </c:scaling>
        <c:axPos val="l"/>
        <c:majorGridlines/>
        <c:numFmt formatCode="0.00" sourceLinked="0"/>
        <c:tickLblPos val="nextTo"/>
        <c:txPr>
          <a:bodyPr/>
          <a:lstStyle/>
          <a:p>
            <a:pPr>
              <a:defRPr sz="800">
                <a:latin typeface="Calibri" pitchFamily="34" charset="0"/>
              </a:defRPr>
            </a:pPr>
            <a:endParaRPr lang="en-US"/>
          </a:p>
        </c:txPr>
        <c:crossAx val="152541824"/>
        <c:crosses val="autoZero"/>
        <c:crossBetween val="midCat"/>
      </c:valAx>
    </c:plotArea>
    <c:legend>
      <c:legendPos val="b"/>
      <c:legendEntry>
        <c:idx val="2"/>
        <c:delete val="1"/>
      </c:legendEntry>
      <c:txPr>
        <a:bodyPr/>
        <a:lstStyle/>
        <a:p>
          <a:pPr>
            <a:defRPr sz="800">
              <a:latin typeface="Calibri" pitchFamily="34" charset="0"/>
            </a:defRPr>
          </a:pPr>
          <a:endParaRPr lang="en-US"/>
        </a:p>
      </c:txPr>
    </c:legend>
  </c:chart>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lineChart>
        <c:grouping val="standard"/>
        <c:ser>
          <c:idx val="0"/>
          <c:order val="0"/>
          <c:spPr>
            <a:ln>
              <a:solidFill>
                <a:srgbClr val="003E74"/>
              </a:solidFill>
            </a:ln>
          </c:spPr>
          <c:marker>
            <c:symbol val="none"/>
          </c:marker>
          <c:val>
            <c:numRef>
              <c:f>Sep15Event!$C$6:$Z$6</c:f>
              <c:numCache>
                <c:formatCode>0.0000</c:formatCode>
                <c:ptCount val="24"/>
                <c:pt idx="0">
                  <c:v>-4.7324400000000093E-2</c:v>
                </c:pt>
                <c:pt idx="1">
                  <c:v>-6.7111000000000089E-3</c:v>
                </c:pt>
                <c:pt idx="2">
                  <c:v>-9.6372099999999988E-2</c:v>
                </c:pt>
                <c:pt idx="3">
                  <c:v>-6.9483500000000128E-2</c:v>
                </c:pt>
                <c:pt idx="4">
                  <c:v>-9.8745000000000274E-3</c:v>
                </c:pt>
                <c:pt idx="5">
                  <c:v>-4.2468400000000101E-2</c:v>
                </c:pt>
                <c:pt idx="6">
                  <c:v>-2.4775599999999998E-2</c:v>
                </c:pt>
                <c:pt idx="7">
                  <c:v>8.8494700000000023E-2</c:v>
                </c:pt>
                <c:pt idx="8">
                  <c:v>-8.6775000000000047E-3</c:v>
                </c:pt>
                <c:pt idx="9">
                  <c:v>5.8382420000000143E-2</c:v>
                </c:pt>
                <c:pt idx="10">
                  <c:v>4.8699739999999998E-2</c:v>
                </c:pt>
                <c:pt idx="11">
                  <c:v>3.9919900000000001E-2</c:v>
                </c:pt>
                <c:pt idx="12">
                  <c:v>-8.5930800000000043E-2</c:v>
                </c:pt>
                <c:pt idx="13">
                  <c:v>1.7961000000000001E-2</c:v>
                </c:pt>
                <c:pt idx="14">
                  <c:v>-5.5978299999999995E-2</c:v>
                </c:pt>
                <c:pt idx="15">
                  <c:v>-4.4291700000000003E-2</c:v>
                </c:pt>
                <c:pt idx="16">
                  <c:v>0.14549962999999999</c:v>
                </c:pt>
                <c:pt idx="17">
                  <c:v>0.16226075000000001</c:v>
                </c:pt>
                <c:pt idx="18">
                  <c:v>-2.4175499999999989E-2</c:v>
                </c:pt>
                <c:pt idx="19">
                  <c:v>-0.2433765</c:v>
                </c:pt>
                <c:pt idx="20">
                  <c:v>-0.1285877</c:v>
                </c:pt>
                <c:pt idx="21">
                  <c:v>6.852917E-2</c:v>
                </c:pt>
                <c:pt idx="22">
                  <c:v>0.13807861999999987</c:v>
                </c:pt>
                <c:pt idx="23">
                  <c:v>8.0741850000000004E-2</c:v>
                </c:pt>
              </c:numCache>
            </c:numRef>
          </c:val>
        </c:ser>
        <c:ser>
          <c:idx val="1"/>
          <c:order val="1"/>
          <c:spPr>
            <a:ln w="19050">
              <a:solidFill>
                <a:srgbClr val="4F81BD"/>
              </a:solidFill>
              <a:prstDash val="sysDash"/>
            </a:ln>
          </c:spPr>
          <c:marker>
            <c:symbol val="none"/>
          </c:marker>
          <c:val>
            <c:numRef>
              <c:f>Sep15Event!$C$8:$Z$8</c:f>
              <c:numCache>
                <c:formatCode>0.0000</c:formatCode>
                <c:ptCount val="24"/>
                <c:pt idx="0">
                  <c:v>0.13421768000000031</c:v>
                </c:pt>
                <c:pt idx="1">
                  <c:v>0.17050910000000025</c:v>
                </c:pt>
                <c:pt idx="2">
                  <c:v>7.3916690000000174E-2</c:v>
                </c:pt>
                <c:pt idx="3">
                  <c:v>0.10245687000000002</c:v>
                </c:pt>
                <c:pt idx="4">
                  <c:v>0.16045477999999988</c:v>
                </c:pt>
                <c:pt idx="5">
                  <c:v>0.12678110000000001</c:v>
                </c:pt>
                <c:pt idx="6">
                  <c:v>0.14443592999999999</c:v>
                </c:pt>
                <c:pt idx="7">
                  <c:v>0.2714178800000005</c:v>
                </c:pt>
                <c:pt idx="8">
                  <c:v>0.25816906000000001</c:v>
                </c:pt>
                <c:pt idx="9">
                  <c:v>0.37554115999999998</c:v>
                </c:pt>
                <c:pt idx="10">
                  <c:v>0.40434958000000032</c:v>
                </c:pt>
                <c:pt idx="11">
                  <c:v>0.42495867000000087</c:v>
                </c:pt>
                <c:pt idx="12">
                  <c:v>0.30476835000000002</c:v>
                </c:pt>
                <c:pt idx="13">
                  <c:v>0.40423084999999997</c:v>
                </c:pt>
                <c:pt idx="14">
                  <c:v>0.32381761000000076</c:v>
                </c:pt>
                <c:pt idx="15">
                  <c:v>0.32278031000000063</c:v>
                </c:pt>
                <c:pt idx="16">
                  <c:v>0.50546212999999751</c:v>
                </c:pt>
                <c:pt idx="17">
                  <c:v>0.51564173000000113</c:v>
                </c:pt>
                <c:pt idx="18">
                  <c:v>0.29111148000000031</c:v>
                </c:pt>
                <c:pt idx="19">
                  <c:v>3.800709E-2</c:v>
                </c:pt>
                <c:pt idx="20">
                  <c:v>0.14227022</c:v>
                </c:pt>
                <c:pt idx="21">
                  <c:v>0.29848278000000106</c:v>
                </c:pt>
                <c:pt idx="22">
                  <c:v>0.34397814000000032</c:v>
                </c:pt>
                <c:pt idx="23">
                  <c:v>0.2664064800000005</c:v>
                </c:pt>
              </c:numCache>
            </c:numRef>
          </c:val>
        </c:ser>
        <c:ser>
          <c:idx val="2"/>
          <c:order val="2"/>
          <c:spPr>
            <a:ln w="19050">
              <a:solidFill>
                <a:srgbClr val="4F81BD"/>
              </a:solidFill>
              <a:prstDash val="sysDash"/>
            </a:ln>
          </c:spPr>
          <c:marker>
            <c:symbol val="none"/>
          </c:marker>
          <c:val>
            <c:numRef>
              <c:f>Sep15Event!$C$10:$Z$10</c:f>
              <c:numCache>
                <c:formatCode>0.0000</c:formatCode>
                <c:ptCount val="24"/>
                <c:pt idx="0">
                  <c:v>-0.22886640000000025</c:v>
                </c:pt>
                <c:pt idx="1">
                  <c:v>-0.18393130000000044</c:v>
                </c:pt>
                <c:pt idx="2">
                  <c:v>-0.26666080000000031</c:v>
                </c:pt>
                <c:pt idx="3">
                  <c:v>-0.24142379999999999</c:v>
                </c:pt>
                <c:pt idx="4">
                  <c:v>-0.18020380000000025</c:v>
                </c:pt>
                <c:pt idx="5">
                  <c:v>-0.21171790000000032</c:v>
                </c:pt>
                <c:pt idx="6">
                  <c:v>-0.19398720000000028</c:v>
                </c:pt>
                <c:pt idx="7">
                  <c:v>-9.442850000000004E-2</c:v>
                </c:pt>
                <c:pt idx="8">
                  <c:v>-0.27552410000000038</c:v>
                </c:pt>
                <c:pt idx="9">
                  <c:v>-0.25877630000000001</c:v>
                </c:pt>
                <c:pt idx="10">
                  <c:v>-0.30695010000000056</c:v>
                </c:pt>
                <c:pt idx="11">
                  <c:v>-0.34511890000000056</c:v>
                </c:pt>
                <c:pt idx="12">
                  <c:v>-0.47662990000000038</c:v>
                </c:pt>
                <c:pt idx="13">
                  <c:v>-0.36830890000000094</c:v>
                </c:pt>
                <c:pt idx="14">
                  <c:v>-0.4357741000000005</c:v>
                </c:pt>
                <c:pt idx="15">
                  <c:v>-0.4113637000000005</c:v>
                </c:pt>
                <c:pt idx="16">
                  <c:v>-0.21446290000000037</c:v>
                </c:pt>
                <c:pt idx="17">
                  <c:v>-0.19112019999999988</c:v>
                </c:pt>
                <c:pt idx="18">
                  <c:v>-0.33946260000000106</c:v>
                </c:pt>
                <c:pt idx="19">
                  <c:v>-0.52476009999999951</c:v>
                </c:pt>
                <c:pt idx="20">
                  <c:v>-0.39944570000000063</c:v>
                </c:pt>
                <c:pt idx="21">
                  <c:v>-0.16142440000000025</c:v>
                </c:pt>
                <c:pt idx="22">
                  <c:v>-6.7820900000000003E-2</c:v>
                </c:pt>
                <c:pt idx="23">
                  <c:v>-0.10492280000000002</c:v>
                </c:pt>
              </c:numCache>
            </c:numRef>
          </c:val>
        </c:ser>
        <c:ser>
          <c:idx val="3"/>
          <c:order val="3"/>
          <c:marker>
            <c:symbol val="none"/>
          </c:marker>
          <c:errBars>
            <c:errDir val="y"/>
            <c:errBarType val="both"/>
            <c:errValType val="fixedVal"/>
            <c:noEndCap val="1"/>
            <c:val val="5"/>
            <c:spPr>
              <a:ln>
                <a:solidFill>
                  <a:schemeClr val="bg1">
                    <a:lumMod val="50000"/>
                  </a:schemeClr>
                </a:solidFill>
                <a:prstDash val="sysDash"/>
              </a:ln>
            </c:spPr>
          </c:errBars>
          <c:val>
            <c:numRef>
              <c:f>Sep15Event!$C$4:$Z$4</c:f>
              <c:numCache>
                <c:formatCode>General</c:formatCode>
                <c:ptCount val="24"/>
                <c:pt idx="11">
                  <c:v>0</c:v>
                </c:pt>
                <c:pt idx="13">
                  <c:v>0</c:v>
                </c:pt>
                <c:pt idx="17">
                  <c:v>0</c:v>
                </c:pt>
              </c:numCache>
            </c:numRef>
          </c:val>
        </c:ser>
        <c:marker val="1"/>
        <c:axId val="152529920"/>
        <c:axId val="152593152"/>
      </c:lineChart>
      <c:catAx>
        <c:axId val="152529920"/>
        <c:scaling>
          <c:orientation val="minMax"/>
        </c:scaling>
        <c:axPos val="b"/>
        <c:tickLblPos val="nextTo"/>
        <c:txPr>
          <a:bodyPr/>
          <a:lstStyle/>
          <a:p>
            <a:pPr>
              <a:defRPr sz="800">
                <a:latin typeface="Calibri" pitchFamily="34" charset="0"/>
              </a:defRPr>
            </a:pPr>
            <a:endParaRPr lang="en-US"/>
          </a:p>
        </c:txPr>
        <c:crossAx val="152593152"/>
        <c:crosses val="autoZero"/>
        <c:auto val="1"/>
        <c:lblAlgn val="ctr"/>
        <c:lblOffset val="100"/>
      </c:catAx>
      <c:valAx>
        <c:axId val="152593152"/>
        <c:scaling>
          <c:orientation val="minMax"/>
          <c:max val="1"/>
          <c:min val="-1"/>
        </c:scaling>
        <c:axPos val="l"/>
        <c:majorGridlines/>
        <c:numFmt formatCode="0.00" sourceLinked="0"/>
        <c:tickLblPos val="nextTo"/>
        <c:txPr>
          <a:bodyPr/>
          <a:lstStyle/>
          <a:p>
            <a:pPr>
              <a:defRPr sz="800">
                <a:latin typeface="Calibri" pitchFamily="34" charset="0"/>
              </a:defRPr>
            </a:pPr>
            <a:endParaRPr lang="en-US"/>
          </a:p>
        </c:txPr>
        <c:crossAx val="152529920"/>
        <c:crosses val="autoZero"/>
        <c:crossBetween val="midCat"/>
      </c:valAx>
    </c:plotArea>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'Load shapes final'!$B$6</c:f>
              <c:strCache>
                <c:ptCount val="1"/>
                <c:pt idx="0">
                  <c:v>Non-Event</c:v>
                </c:pt>
              </c:strCache>
            </c:strRef>
          </c:tx>
          <c:spPr>
            <a:ln>
              <a:solidFill>
                <a:srgbClr val="FF9900"/>
              </a:solidFill>
            </a:ln>
          </c:spPr>
          <c:marker>
            <c:symbol val="none"/>
          </c:marker>
          <c:val>
            <c:numRef>
              <c:f>'Load shapes final'!$J$6:$AG$6</c:f>
              <c:numCache>
                <c:formatCode>General</c:formatCode>
                <c:ptCount val="24"/>
                <c:pt idx="0">
                  <c:v>2.6703025804</c:v>
                </c:pt>
                <c:pt idx="1">
                  <c:v>2.5981920106</c:v>
                </c:pt>
                <c:pt idx="2">
                  <c:v>2.5642738043</c:v>
                </c:pt>
                <c:pt idx="3">
                  <c:v>2.5536714323999998</c:v>
                </c:pt>
                <c:pt idx="4">
                  <c:v>2.6289827898000002</c:v>
                </c:pt>
                <c:pt idx="5">
                  <c:v>2.7675646243000012</c:v>
                </c:pt>
                <c:pt idx="6">
                  <c:v>2.9988728914999987</c:v>
                </c:pt>
                <c:pt idx="7">
                  <c:v>3.4627781142999967</c:v>
                </c:pt>
                <c:pt idx="8">
                  <c:v>4.2585253914000001</c:v>
                </c:pt>
                <c:pt idx="9">
                  <c:v>5.0757425513000003</c:v>
                </c:pt>
                <c:pt idx="10">
                  <c:v>5.6442592754999872</c:v>
                </c:pt>
                <c:pt idx="11">
                  <c:v>5.9881400392000002</c:v>
                </c:pt>
                <c:pt idx="12">
                  <c:v>6.0875731078999955</c:v>
                </c:pt>
                <c:pt idx="13">
                  <c:v>6.1563012677999831</c:v>
                </c:pt>
                <c:pt idx="14">
                  <c:v>6.2199101379999879</c:v>
                </c:pt>
                <c:pt idx="15">
                  <c:v>6.0926881806999997</c:v>
                </c:pt>
                <c:pt idx="16">
                  <c:v>5.7236440905999997</c:v>
                </c:pt>
                <c:pt idx="17">
                  <c:v>5.1156306226999879</c:v>
                </c:pt>
                <c:pt idx="18">
                  <c:v>4.4856722848000166</c:v>
                </c:pt>
                <c:pt idx="19">
                  <c:v>4.193013341799988</c:v>
                </c:pt>
                <c:pt idx="20">
                  <c:v>3.9998999637999977</c:v>
                </c:pt>
                <c:pt idx="21">
                  <c:v>3.5751370641000002</c:v>
                </c:pt>
                <c:pt idx="22">
                  <c:v>3.1216388517000002</c:v>
                </c:pt>
                <c:pt idx="23">
                  <c:v>2.8633863587000072</c:v>
                </c:pt>
              </c:numCache>
            </c:numRef>
          </c:val>
        </c:ser>
        <c:ser>
          <c:idx val="1"/>
          <c:order val="1"/>
          <c:tx>
            <c:strRef>
              <c:f>'Load shapes final'!$B$7</c:f>
              <c:strCache>
                <c:ptCount val="1"/>
                <c:pt idx="0">
                  <c:v>Event</c:v>
                </c:pt>
              </c:strCache>
            </c:strRef>
          </c:tx>
          <c:spPr>
            <a:ln>
              <a:solidFill>
                <a:srgbClr val="003E74"/>
              </a:solidFill>
            </a:ln>
          </c:spPr>
          <c:marker>
            <c:symbol val="none"/>
          </c:marker>
          <c:val>
            <c:numRef>
              <c:f>'Load shapes final'!$J$7:$AG$7</c:f>
              <c:numCache>
                <c:formatCode>General</c:formatCode>
                <c:ptCount val="24"/>
                <c:pt idx="0">
                  <c:v>2.4028120100999977</c:v>
                </c:pt>
                <c:pt idx="1">
                  <c:v>2.3478303463000012</c:v>
                </c:pt>
                <c:pt idx="2">
                  <c:v>2.2963573520000002</c:v>
                </c:pt>
                <c:pt idx="3">
                  <c:v>2.2663825902000001</c:v>
                </c:pt>
                <c:pt idx="4">
                  <c:v>2.3089936981000001</c:v>
                </c:pt>
                <c:pt idx="5">
                  <c:v>2.4445211563000062</c:v>
                </c:pt>
                <c:pt idx="6">
                  <c:v>2.6627236566000012</c:v>
                </c:pt>
                <c:pt idx="7">
                  <c:v>3.1093787337999998</c:v>
                </c:pt>
                <c:pt idx="8">
                  <c:v>3.8906686608999967</c:v>
                </c:pt>
                <c:pt idx="9">
                  <c:v>4.6477644037000001</c:v>
                </c:pt>
                <c:pt idx="10">
                  <c:v>5.2090751525999996</c:v>
                </c:pt>
                <c:pt idx="11">
                  <c:v>5.504840067899984</c:v>
                </c:pt>
                <c:pt idx="12">
                  <c:v>5.5851189807999955</c:v>
                </c:pt>
                <c:pt idx="13">
                  <c:v>5.6363021491999996</c:v>
                </c:pt>
                <c:pt idx="14">
                  <c:v>5.6604882436999784</c:v>
                </c:pt>
                <c:pt idx="15">
                  <c:v>5.4849393015999945</c:v>
                </c:pt>
                <c:pt idx="16">
                  <c:v>5.216884753099988</c:v>
                </c:pt>
                <c:pt idx="17">
                  <c:v>4.6530906159000001</c:v>
                </c:pt>
                <c:pt idx="18">
                  <c:v>3.9995701629</c:v>
                </c:pt>
                <c:pt idx="19">
                  <c:v>3.7007281205</c:v>
                </c:pt>
                <c:pt idx="20">
                  <c:v>3.5432273379000012</c:v>
                </c:pt>
                <c:pt idx="21">
                  <c:v>3.1726125821999998</c:v>
                </c:pt>
                <c:pt idx="22">
                  <c:v>2.7935932371000063</c:v>
                </c:pt>
                <c:pt idx="23">
                  <c:v>2.5359201636999997</c:v>
                </c:pt>
              </c:numCache>
            </c:numRef>
          </c:val>
        </c:ser>
        <c:marker val="1"/>
        <c:axId val="166080512"/>
        <c:axId val="166082048"/>
      </c:lineChart>
      <c:lineChart>
        <c:grouping val="standard"/>
        <c:ser>
          <c:idx val="2"/>
          <c:order val="2"/>
          <c:tx>
            <c:strRef>
              <c:f>'Load shapes final'!$B$6</c:f>
              <c:strCache>
                <c:ptCount val="1"/>
                <c:pt idx="0">
                  <c:v>Non-Event</c:v>
                </c:pt>
              </c:strCache>
            </c:strRef>
          </c:tx>
          <c:spPr>
            <a:ln w="19050">
              <a:solidFill>
                <a:srgbClr val="FF9900"/>
              </a:solidFill>
              <a:prstDash val="sysDash"/>
            </a:ln>
          </c:spPr>
          <c:marker>
            <c:symbol val="none"/>
          </c:marker>
          <c:val>
            <c:numRef>
              <c:f>'Load shapes final'!$AH$6:$BE$6</c:f>
              <c:numCache>
                <c:formatCode>General</c:formatCode>
                <c:ptCount val="24"/>
                <c:pt idx="0">
                  <c:v>68</c:v>
                </c:pt>
                <c:pt idx="1">
                  <c:v>68</c:v>
                </c:pt>
                <c:pt idx="2">
                  <c:v>67</c:v>
                </c:pt>
                <c:pt idx="3">
                  <c:v>67</c:v>
                </c:pt>
                <c:pt idx="4">
                  <c:v>66</c:v>
                </c:pt>
                <c:pt idx="5">
                  <c:v>66</c:v>
                </c:pt>
                <c:pt idx="6">
                  <c:v>67</c:v>
                </c:pt>
                <c:pt idx="7">
                  <c:v>72</c:v>
                </c:pt>
                <c:pt idx="8">
                  <c:v>76</c:v>
                </c:pt>
                <c:pt idx="9">
                  <c:v>80</c:v>
                </c:pt>
                <c:pt idx="10">
                  <c:v>83</c:v>
                </c:pt>
                <c:pt idx="11">
                  <c:v>85</c:v>
                </c:pt>
                <c:pt idx="12">
                  <c:v>86</c:v>
                </c:pt>
                <c:pt idx="13">
                  <c:v>86</c:v>
                </c:pt>
                <c:pt idx="14">
                  <c:v>86</c:v>
                </c:pt>
                <c:pt idx="15">
                  <c:v>85</c:v>
                </c:pt>
                <c:pt idx="16">
                  <c:v>83</c:v>
                </c:pt>
                <c:pt idx="17">
                  <c:v>80</c:v>
                </c:pt>
                <c:pt idx="18">
                  <c:v>77</c:v>
                </c:pt>
                <c:pt idx="19">
                  <c:v>72</c:v>
                </c:pt>
                <c:pt idx="20">
                  <c:v>71</c:v>
                </c:pt>
                <c:pt idx="21">
                  <c:v>70</c:v>
                </c:pt>
                <c:pt idx="22">
                  <c:v>69</c:v>
                </c:pt>
                <c:pt idx="23">
                  <c:v>69</c:v>
                </c:pt>
              </c:numCache>
            </c:numRef>
          </c:val>
        </c:ser>
        <c:ser>
          <c:idx val="3"/>
          <c:order val="3"/>
          <c:tx>
            <c:strRef>
              <c:f>'Load shapes final'!$B$7</c:f>
              <c:strCache>
                <c:ptCount val="1"/>
                <c:pt idx="0">
                  <c:v>Event</c:v>
                </c:pt>
              </c:strCache>
            </c:strRef>
          </c:tx>
          <c:spPr>
            <a:ln w="19050">
              <a:solidFill>
                <a:srgbClr val="003E74"/>
              </a:solidFill>
              <a:prstDash val="sysDash"/>
            </a:ln>
          </c:spPr>
          <c:marker>
            <c:symbol val="none"/>
          </c:marker>
          <c:val>
            <c:numRef>
              <c:f>'Load shapes final'!$AH$7:$BE$7</c:f>
              <c:numCache>
                <c:formatCode>General</c:formatCode>
                <c:ptCount val="24"/>
                <c:pt idx="0">
                  <c:v>69</c:v>
                </c:pt>
                <c:pt idx="1">
                  <c:v>69</c:v>
                </c:pt>
                <c:pt idx="2">
                  <c:v>68</c:v>
                </c:pt>
                <c:pt idx="3">
                  <c:v>68</c:v>
                </c:pt>
                <c:pt idx="4">
                  <c:v>67</c:v>
                </c:pt>
                <c:pt idx="5">
                  <c:v>67</c:v>
                </c:pt>
                <c:pt idx="6">
                  <c:v>68</c:v>
                </c:pt>
                <c:pt idx="7">
                  <c:v>71</c:v>
                </c:pt>
                <c:pt idx="8">
                  <c:v>76</c:v>
                </c:pt>
                <c:pt idx="9">
                  <c:v>79</c:v>
                </c:pt>
                <c:pt idx="10">
                  <c:v>81</c:v>
                </c:pt>
                <c:pt idx="11">
                  <c:v>83</c:v>
                </c:pt>
                <c:pt idx="12">
                  <c:v>84</c:v>
                </c:pt>
                <c:pt idx="13">
                  <c:v>84</c:v>
                </c:pt>
                <c:pt idx="14">
                  <c:v>83</c:v>
                </c:pt>
                <c:pt idx="15">
                  <c:v>82</c:v>
                </c:pt>
                <c:pt idx="16">
                  <c:v>81</c:v>
                </c:pt>
                <c:pt idx="17">
                  <c:v>79</c:v>
                </c:pt>
                <c:pt idx="18">
                  <c:v>76</c:v>
                </c:pt>
                <c:pt idx="19">
                  <c:v>73</c:v>
                </c:pt>
                <c:pt idx="20">
                  <c:v>72</c:v>
                </c:pt>
                <c:pt idx="21">
                  <c:v>71</c:v>
                </c:pt>
                <c:pt idx="22">
                  <c:v>70</c:v>
                </c:pt>
                <c:pt idx="23">
                  <c:v>69</c:v>
                </c:pt>
              </c:numCache>
            </c:numRef>
          </c:val>
        </c:ser>
        <c:marker val="1"/>
        <c:axId val="166365440"/>
        <c:axId val="166114432"/>
      </c:lineChart>
      <c:catAx>
        <c:axId val="166080512"/>
        <c:scaling>
          <c:orientation val="minMax"/>
        </c:scaling>
        <c:axPos val="b"/>
        <c:tickLblPos val="nextTo"/>
        <c:crossAx val="166082048"/>
        <c:crosses val="autoZero"/>
        <c:auto val="1"/>
        <c:lblAlgn val="ctr"/>
        <c:lblOffset val="100"/>
      </c:catAx>
      <c:valAx>
        <c:axId val="166082048"/>
        <c:scaling>
          <c:orientation val="minMax"/>
        </c:scaling>
        <c:axPos val="l"/>
        <c:majorGridlines/>
        <c:title>
          <c:tx>
            <c:rich>
              <a:bodyPr rot="-5400000" vert="horz"/>
              <a:lstStyle/>
              <a:p>
                <a:pPr>
                  <a:defRPr/>
                </a:pPr>
                <a:r>
                  <a:rPr lang="en-US"/>
                  <a:t>kW</a:t>
                </a:r>
              </a:p>
            </c:rich>
          </c:tx>
        </c:title>
        <c:numFmt formatCode="General" sourceLinked="1"/>
        <c:tickLblPos val="nextTo"/>
        <c:crossAx val="166080512"/>
        <c:crosses val="autoZero"/>
        <c:crossBetween val="midCat"/>
      </c:valAx>
      <c:valAx>
        <c:axId val="166114432"/>
        <c:scaling>
          <c:orientation val="minMax"/>
        </c:scaling>
        <c:axPos val="r"/>
        <c:title>
          <c:tx>
            <c:rich>
              <a:bodyPr rot="-5400000" vert="horz"/>
              <a:lstStyle/>
              <a:p>
                <a:pPr>
                  <a:defRPr/>
                </a:pPr>
                <a:r>
                  <a:rPr lang="en-US"/>
                  <a:t>Temperature</a:t>
                </a:r>
              </a:p>
            </c:rich>
          </c:tx>
        </c:title>
        <c:numFmt formatCode="General" sourceLinked="1"/>
        <c:tickLblPos val="nextTo"/>
        <c:crossAx val="166365440"/>
        <c:crosses val="max"/>
        <c:crossBetween val="between"/>
      </c:valAx>
      <c:catAx>
        <c:axId val="166365440"/>
        <c:scaling>
          <c:orientation val="minMax"/>
        </c:scaling>
        <c:delete val="1"/>
        <c:axPos val="b"/>
        <c:tickLblPos val="none"/>
        <c:crossAx val="166114432"/>
        <c:crosses val="autoZero"/>
        <c:auto val="1"/>
        <c:lblAlgn val="ctr"/>
        <c:lblOffset val="100"/>
      </c:catAx>
    </c:plotArea>
    <c:legend>
      <c:legendPos val="b"/>
    </c:legend>
  </c:chart>
  <c:txPr>
    <a:bodyPr/>
    <a:lstStyle/>
    <a:p>
      <a:pPr>
        <a:defRPr sz="900" b="0">
          <a:latin typeface="Calibri" pitchFamily="34" charset="0"/>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'Load shapes final'!$B$8</c:f>
              <c:strCache>
                <c:ptCount val="1"/>
                <c:pt idx="0">
                  <c:v>Non-Event</c:v>
                </c:pt>
              </c:strCache>
            </c:strRef>
          </c:tx>
          <c:spPr>
            <a:ln>
              <a:solidFill>
                <a:srgbClr val="FF9900"/>
              </a:solidFill>
            </a:ln>
          </c:spPr>
          <c:marker>
            <c:symbol val="none"/>
          </c:marker>
          <c:val>
            <c:numRef>
              <c:f>'Load shapes final'!$J$8:$AG$8</c:f>
              <c:numCache>
                <c:formatCode>General</c:formatCode>
                <c:ptCount val="24"/>
                <c:pt idx="0">
                  <c:v>2.6881879236000001</c:v>
                </c:pt>
                <c:pt idx="1">
                  <c:v>2.6080595446000001</c:v>
                </c:pt>
                <c:pt idx="2">
                  <c:v>2.5433675735000012</c:v>
                </c:pt>
                <c:pt idx="3">
                  <c:v>2.5199984269999987</c:v>
                </c:pt>
                <c:pt idx="4">
                  <c:v>2.5370286892999987</c:v>
                </c:pt>
                <c:pt idx="5">
                  <c:v>2.6247485599</c:v>
                </c:pt>
                <c:pt idx="6">
                  <c:v>2.5900182929</c:v>
                </c:pt>
                <c:pt idx="7">
                  <c:v>2.7360761213999987</c:v>
                </c:pt>
                <c:pt idx="8">
                  <c:v>3.2090289426000012</c:v>
                </c:pt>
                <c:pt idx="9">
                  <c:v>3.8303675998999998</c:v>
                </c:pt>
                <c:pt idx="10">
                  <c:v>4.3038673934000125</c:v>
                </c:pt>
                <c:pt idx="11">
                  <c:v>4.492005769199988</c:v>
                </c:pt>
                <c:pt idx="12">
                  <c:v>4.5856813099</c:v>
                </c:pt>
                <c:pt idx="13">
                  <c:v>4.6134425007999882</c:v>
                </c:pt>
                <c:pt idx="14">
                  <c:v>4.595770571599985</c:v>
                </c:pt>
                <c:pt idx="15">
                  <c:v>4.5064358561999764</c:v>
                </c:pt>
                <c:pt idx="16">
                  <c:v>4.3610702871999871</c:v>
                </c:pt>
                <c:pt idx="17">
                  <c:v>4.0981283034000002</c:v>
                </c:pt>
                <c:pt idx="18">
                  <c:v>3.8260873053999997</c:v>
                </c:pt>
                <c:pt idx="19">
                  <c:v>3.713510125</c:v>
                </c:pt>
                <c:pt idx="20">
                  <c:v>3.6256788849999997</c:v>
                </c:pt>
                <c:pt idx="21">
                  <c:v>3.2927207150000002</c:v>
                </c:pt>
                <c:pt idx="22">
                  <c:v>2.9561916159999999</c:v>
                </c:pt>
                <c:pt idx="23">
                  <c:v>2.7234035923000057</c:v>
                </c:pt>
              </c:numCache>
            </c:numRef>
          </c:val>
        </c:ser>
        <c:ser>
          <c:idx val="1"/>
          <c:order val="1"/>
          <c:tx>
            <c:strRef>
              <c:f>'Load shapes final'!$B$9</c:f>
              <c:strCache>
                <c:ptCount val="1"/>
                <c:pt idx="0">
                  <c:v>Event</c:v>
                </c:pt>
              </c:strCache>
            </c:strRef>
          </c:tx>
          <c:spPr>
            <a:ln>
              <a:solidFill>
                <a:srgbClr val="003E74"/>
              </a:solidFill>
            </a:ln>
          </c:spPr>
          <c:marker>
            <c:symbol val="none"/>
          </c:marker>
          <c:val>
            <c:numRef>
              <c:f>'Load shapes final'!$J$9:$AG$9</c:f>
              <c:numCache>
                <c:formatCode>General</c:formatCode>
                <c:ptCount val="24"/>
                <c:pt idx="0">
                  <c:v>2.4842541116999999</c:v>
                </c:pt>
                <c:pt idx="1">
                  <c:v>2.3899855835999997</c:v>
                </c:pt>
                <c:pt idx="2">
                  <c:v>2.3352543723999997</c:v>
                </c:pt>
                <c:pt idx="3">
                  <c:v>2.3239207684000101</c:v>
                </c:pt>
                <c:pt idx="4">
                  <c:v>2.2938204301999998</c:v>
                </c:pt>
                <c:pt idx="5">
                  <c:v>2.3406974530999998</c:v>
                </c:pt>
                <c:pt idx="6">
                  <c:v>2.3008817957000001</c:v>
                </c:pt>
                <c:pt idx="7">
                  <c:v>2.3992968348999977</c:v>
                </c:pt>
                <c:pt idx="8">
                  <c:v>2.8905171747999998</c:v>
                </c:pt>
                <c:pt idx="9">
                  <c:v>3.5510033367999987</c:v>
                </c:pt>
                <c:pt idx="10">
                  <c:v>4.1033019909000004</c:v>
                </c:pt>
                <c:pt idx="11">
                  <c:v>4.3471140046999803</c:v>
                </c:pt>
                <c:pt idx="12">
                  <c:v>4.4385505916000003</c:v>
                </c:pt>
                <c:pt idx="13">
                  <c:v>4.3942489284999882</c:v>
                </c:pt>
                <c:pt idx="14">
                  <c:v>4.3662875766999765</c:v>
                </c:pt>
                <c:pt idx="15">
                  <c:v>4.2725639605000003</c:v>
                </c:pt>
                <c:pt idx="16">
                  <c:v>4.1111850168999764</c:v>
                </c:pt>
                <c:pt idx="17">
                  <c:v>3.8943568073999999</c:v>
                </c:pt>
                <c:pt idx="18">
                  <c:v>3.6499195673000062</c:v>
                </c:pt>
                <c:pt idx="19">
                  <c:v>3.5633850243</c:v>
                </c:pt>
                <c:pt idx="20">
                  <c:v>3.3795643575000001</c:v>
                </c:pt>
                <c:pt idx="21">
                  <c:v>3.0745197563000057</c:v>
                </c:pt>
                <c:pt idx="22">
                  <c:v>2.7572008884000012</c:v>
                </c:pt>
                <c:pt idx="23">
                  <c:v>2.5590490705999978</c:v>
                </c:pt>
              </c:numCache>
            </c:numRef>
          </c:val>
        </c:ser>
        <c:marker val="1"/>
        <c:axId val="151583744"/>
        <c:axId val="151720704"/>
      </c:lineChart>
      <c:lineChart>
        <c:grouping val="standard"/>
        <c:ser>
          <c:idx val="2"/>
          <c:order val="2"/>
          <c:tx>
            <c:strRef>
              <c:f>'Load shapes final'!$B$8</c:f>
              <c:strCache>
                <c:ptCount val="1"/>
                <c:pt idx="0">
                  <c:v>Non-Event</c:v>
                </c:pt>
              </c:strCache>
            </c:strRef>
          </c:tx>
          <c:spPr>
            <a:ln w="19050">
              <a:solidFill>
                <a:srgbClr val="FF9900"/>
              </a:solidFill>
              <a:prstDash val="sysDash"/>
            </a:ln>
          </c:spPr>
          <c:marker>
            <c:symbol val="none"/>
          </c:marker>
          <c:val>
            <c:numRef>
              <c:f>'Load shapes final'!$AH$8:$BE$8</c:f>
              <c:numCache>
                <c:formatCode>General</c:formatCode>
                <c:ptCount val="24"/>
                <c:pt idx="0">
                  <c:v>72</c:v>
                </c:pt>
                <c:pt idx="1">
                  <c:v>71</c:v>
                </c:pt>
                <c:pt idx="2">
                  <c:v>71</c:v>
                </c:pt>
                <c:pt idx="3">
                  <c:v>70</c:v>
                </c:pt>
                <c:pt idx="4">
                  <c:v>70</c:v>
                </c:pt>
                <c:pt idx="5">
                  <c:v>69</c:v>
                </c:pt>
                <c:pt idx="6">
                  <c:v>71</c:v>
                </c:pt>
                <c:pt idx="7">
                  <c:v>75</c:v>
                </c:pt>
                <c:pt idx="8">
                  <c:v>81</c:v>
                </c:pt>
                <c:pt idx="9">
                  <c:v>84</c:v>
                </c:pt>
                <c:pt idx="10">
                  <c:v>86</c:v>
                </c:pt>
                <c:pt idx="11">
                  <c:v>88</c:v>
                </c:pt>
                <c:pt idx="12">
                  <c:v>89</c:v>
                </c:pt>
                <c:pt idx="13">
                  <c:v>88</c:v>
                </c:pt>
                <c:pt idx="14">
                  <c:v>87</c:v>
                </c:pt>
                <c:pt idx="15">
                  <c:v>86</c:v>
                </c:pt>
                <c:pt idx="16">
                  <c:v>85</c:v>
                </c:pt>
                <c:pt idx="17">
                  <c:v>83</c:v>
                </c:pt>
                <c:pt idx="18">
                  <c:v>79</c:v>
                </c:pt>
                <c:pt idx="19">
                  <c:v>76</c:v>
                </c:pt>
                <c:pt idx="20">
                  <c:v>74</c:v>
                </c:pt>
                <c:pt idx="21">
                  <c:v>73</c:v>
                </c:pt>
                <c:pt idx="22">
                  <c:v>72</c:v>
                </c:pt>
                <c:pt idx="23">
                  <c:v>71</c:v>
                </c:pt>
              </c:numCache>
            </c:numRef>
          </c:val>
        </c:ser>
        <c:ser>
          <c:idx val="3"/>
          <c:order val="3"/>
          <c:tx>
            <c:strRef>
              <c:f>'Load shapes final'!$B$9</c:f>
              <c:strCache>
                <c:ptCount val="1"/>
                <c:pt idx="0">
                  <c:v>Event</c:v>
                </c:pt>
              </c:strCache>
            </c:strRef>
          </c:tx>
          <c:spPr>
            <a:ln w="19050">
              <a:solidFill>
                <a:srgbClr val="003E74"/>
              </a:solidFill>
              <a:prstDash val="sysDash"/>
            </a:ln>
          </c:spPr>
          <c:marker>
            <c:symbol val="none"/>
          </c:marker>
          <c:val>
            <c:numRef>
              <c:f>'Load shapes final'!$AH$9:$BE$9</c:f>
              <c:numCache>
                <c:formatCode>General</c:formatCode>
                <c:ptCount val="24"/>
                <c:pt idx="0">
                  <c:v>72</c:v>
                </c:pt>
                <c:pt idx="1">
                  <c:v>71</c:v>
                </c:pt>
                <c:pt idx="2">
                  <c:v>70</c:v>
                </c:pt>
                <c:pt idx="3">
                  <c:v>70</c:v>
                </c:pt>
                <c:pt idx="4">
                  <c:v>69</c:v>
                </c:pt>
                <c:pt idx="5">
                  <c:v>69</c:v>
                </c:pt>
                <c:pt idx="6">
                  <c:v>69</c:v>
                </c:pt>
                <c:pt idx="7">
                  <c:v>76</c:v>
                </c:pt>
                <c:pt idx="8">
                  <c:v>83</c:v>
                </c:pt>
                <c:pt idx="9">
                  <c:v>88</c:v>
                </c:pt>
                <c:pt idx="10">
                  <c:v>92</c:v>
                </c:pt>
                <c:pt idx="11">
                  <c:v>92</c:v>
                </c:pt>
                <c:pt idx="12">
                  <c:v>93</c:v>
                </c:pt>
                <c:pt idx="13">
                  <c:v>92</c:v>
                </c:pt>
                <c:pt idx="14">
                  <c:v>91</c:v>
                </c:pt>
                <c:pt idx="15">
                  <c:v>90</c:v>
                </c:pt>
                <c:pt idx="16">
                  <c:v>90</c:v>
                </c:pt>
                <c:pt idx="17">
                  <c:v>87</c:v>
                </c:pt>
                <c:pt idx="18">
                  <c:v>83</c:v>
                </c:pt>
                <c:pt idx="19">
                  <c:v>78</c:v>
                </c:pt>
                <c:pt idx="20">
                  <c:v>75</c:v>
                </c:pt>
                <c:pt idx="21">
                  <c:v>73</c:v>
                </c:pt>
                <c:pt idx="22">
                  <c:v>72</c:v>
                </c:pt>
                <c:pt idx="23">
                  <c:v>71</c:v>
                </c:pt>
              </c:numCache>
            </c:numRef>
          </c:val>
        </c:ser>
        <c:marker val="1"/>
        <c:axId val="151724800"/>
        <c:axId val="151722624"/>
      </c:lineChart>
      <c:catAx>
        <c:axId val="151583744"/>
        <c:scaling>
          <c:orientation val="minMax"/>
        </c:scaling>
        <c:axPos val="b"/>
        <c:tickLblPos val="nextTo"/>
        <c:crossAx val="151720704"/>
        <c:crosses val="autoZero"/>
        <c:auto val="1"/>
        <c:lblAlgn val="ctr"/>
        <c:lblOffset val="100"/>
      </c:catAx>
      <c:valAx>
        <c:axId val="151720704"/>
        <c:scaling>
          <c:orientation val="minMax"/>
        </c:scaling>
        <c:axPos val="l"/>
        <c:majorGridlines/>
        <c:title>
          <c:tx>
            <c:rich>
              <a:bodyPr rot="-5400000" vert="horz"/>
              <a:lstStyle/>
              <a:p>
                <a:pPr>
                  <a:defRPr/>
                </a:pPr>
                <a:r>
                  <a:rPr lang="en-US"/>
                  <a:t>kW</a:t>
                </a:r>
              </a:p>
            </c:rich>
          </c:tx>
        </c:title>
        <c:numFmt formatCode="General" sourceLinked="1"/>
        <c:tickLblPos val="nextTo"/>
        <c:crossAx val="151583744"/>
        <c:crosses val="autoZero"/>
        <c:crossBetween val="midCat"/>
      </c:valAx>
      <c:valAx>
        <c:axId val="151722624"/>
        <c:scaling>
          <c:orientation val="minMax"/>
        </c:scaling>
        <c:axPos val="r"/>
        <c:title>
          <c:tx>
            <c:rich>
              <a:bodyPr rot="-5400000" vert="horz"/>
              <a:lstStyle/>
              <a:p>
                <a:pPr>
                  <a:defRPr/>
                </a:pPr>
                <a:r>
                  <a:rPr lang="en-US"/>
                  <a:t>Temperature</a:t>
                </a:r>
              </a:p>
            </c:rich>
          </c:tx>
        </c:title>
        <c:numFmt formatCode="General" sourceLinked="1"/>
        <c:tickLblPos val="nextTo"/>
        <c:crossAx val="151724800"/>
        <c:crosses val="max"/>
        <c:crossBetween val="between"/>
      </c:valAx>
      <c:catAx>
        <c:axId val="151724800"/>
        <c:scaling>
          <c:orientation val="minMax"/>
        </c:scaling>
        <c:delete val="1"/>
        <c:axPos val="b"/>
        <c:tickLblPos val="none"/>
        <c:crossAx val="151722624"/>
        <c:crosses val="autoZero"/>
        <c:auto val="1"/>
        <c:lblAlgn val="ctr"/>
        <c:lblOffset val="100"/>
      </c:catAx>
    </c:plotArea>
    <c:legend>
      <c:legendPos val="b"/>
    </c:legend>
  </c:chart>
  <c:txPr>
    <a:bodyPr/>
    <a:lstStyle/>
    <a:p>
      <a:pPr>
        <a:defRPr sz="900" b="0">
          <a:latin typeface="Calibri" pitchFamily="34" charset="0"/>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'Load shapes final'!$B$10</c:f>
              <c:strCache>
                <c:ptCount val="1"/>
                <c:pt idx="0">
                  <c:v>Non-Event</c:v>
                </c:pt>
              </c:strCache>
            </c:strRef>
          </c:tx>
          <c:spPr>
            <a:ln>
              <a:solidFill>
                <a:srgbClr val="FF9900"/>
              </a:solidFill>
            </a:ln>
          </c:spPr>
          <c:marker>
            <c:symbol val="none"/>
          </c:marker>
          <c:val>
            <c:numRef>
              <c:f>'Load shapes final'!$J$10:$AG$10</c:f>
              <c:numCache>
                <c:formatCode>General</c:formatCode>
                <c:ptCount val="24"/>
                <c:pt idx="0">
                  <c:v>1.1677007480999972</c:v>
                </c:pt>
                <c:pt idx="1">
                  <c:v>1.12580798</c:v>
                </c:pt>
                <c:pt idx="2">
                  <c:v>1.1029763092</c:v>
                </c:pt>
                <c:pt idx="3">
                  <c:v>1.1091309226999999</c:v>
                </c:pt>
                <c:pt idx="4">
                  <c:v>1.1023192019999999</c:v>
                </c:pt>
                <c:pt idx="5">
                  <c:v>1.2344426434</c:v>
                </c:pt>
                <c:pt idx="6">
                  <c:v>1.3614663342</c:v>
                </c:pt>
                <c:pt idx="7">
                  <c:v>1.9241807980000001</c:v>
                </c:pt>
                <c:pt idx="8">
                  <c:v>2.5003840399000001</c:v>
                </c:pt>
                <c:pt idx="9">
                  <c:v>3.3160299251999938</c:v>
                </c:pt>
                <c:pt idx="10">
                  <c:v>3.7934042289000054</c:v>
                </c:pt>
                <c:pt idx="11">
                  <c:v>4.0956131841000118</c:v>
                </c:pt>
                <c:pt idx="12">
                  <c:v>4.0123681592000002</c:v>
                </c:pt>
                <c:pt idx="13">
                  <c:v>4.0942077114000002</c:v>
                </c:pt>
                <c:pt idx="14">
                  <c:v>4.0959241293999877</c:v>
                </c:pt>
                <c:pt idx="15">
                  <c:v>3.8895049750999999</c:v>
                </c:pt>
                <c:pt idx="16">
                  <c:v>3.4754426433999939</c:v>
                </c:pt>
                <c:pt idx="17">
                  <c:v>2.9146483790999929</c:v>
                </c:pt>
                <c:pt idx="18">
                  <c:v>2.4642556109999987</c:v>
                </c:pt>
                <c:pt idx="19">
                  <c:v>2.0741608479000053</c:v>
                </c:pt>
                <c:pt idx="20">
                  <c:v>1.8053403989999972</c:v>
                </c:pt>
                <c:pt idx="21">
                  <c:v>1.5283391520999969</c:v>
                </c:pt>
                <c:pt idx="22">
                  <c:v>1.3315872818000001</c:v>
                </c:pt>
                <c:pt idx="23">
                  <c:v>1.2250274314</c:v>
                </c:pt>
              </c:numCache>
            </c:numRef>
          </c:val>
        </c:ser>
        <c:ser>
          <c:idx val="1"/>
          <c:order val="1"/>
          <c:tx>
            <c:strRef>
              <c:f>'Load shapes final'!$B$11</c:f>
              <c:strCache>
                <c:ptCount val="1"/>
                <c:pt idx="0">
                  <c:v>Event</c:v>
                </c:pt>
              </c:strCache>
            </c:strRef>
          </c:tx>
          <c:spPr>
            <a:ln>
              <a:solidFill>
                <a:srgbClr val="003E74"/>
              </a:solidFill>
            </a:ln>
          </c:spPr>
          <c:marker>
            <c:symbol val="none"/>
          </c:marker>
          <c:val>
            <c:numRef>
              <c:f>'Load shapes final'!$J$11:$AG$11</c:f>
              <c:numCache>
                <c:formatCode>General</c:formatCode>
                <c:ptCount val="24"/>
                <c:pt idx="0">
                  <c:v>1.2661416716</c:v>
                </c:pt>
                <c:pt idx="1">
                  <c:v>1.2160569056999999</c:v>
                </c:pt>
                <c:pt idx="2">
                  <c:v>1.1740788382000029</c:v>
                </c:pt>
                <c:pt idx="3">
                  <c:v>1.1864036752</c:v>
                </c:pt>
                <c:pt idx="4">
                  <c:v>1.1858032008999972</c:v>
                </c:pt>
                <c:pt idx="5">
                  <c:v>1.3012294012999972</c:v>
                </c:pt>
                <c:pt idx="6">
                  <c:v>1.4486893893999973</c:v>
                </c:pt>
                <c:pt idx="7">
                  <c:v>1.9940883225000039</c:v>
                </c:pt>
                <c:pt idx="8">
                  <c:v>2.8082211025000001</c:v>
                </c:pt>
                <c:pt idx="9">
                  <c:v>3.5813906342999999</c:v>
                </c:pt>
                <c:pt idx="10">
                  <c:v>4.0834694724000107</c:v>
                </c:pt>
                <c:pt idx="11">
                  <c:v>4.2880717250000098</c:v>
                </c:pt>
                <c:pt idx="12">
                  <c:v>4.260436277399978</c:v>
                </c:pt>
                <c:pt idx="13">
                  <c:v>4.2205026674999839</c:v>
                </c:pt>
                <c:pt idx="14">
                  <c:v>4.1855832838999945</c:v>
                </c:pt>
                <c:pt idx="15">
                  <c:v>4.0814991108000118</c:v>
                </c:pt>
                <c:pt idx="16">
                  <c:v>3.7349751036999987</c:v>
                </c:pt>
                <c:pt idx="17">
                  <c:v>3.1305388263</c:v>
                </c:pt>
                <c:pt idx="18">
                  <c:v>2.4948435091999968</c:v>
                </c:pt>
                <c:pt idx="19">
                  <c:v>2.0528689981999939</c:v>
                </c:pt>
                <c:pt idx="20">
                  <c:v>1.8694422050999973</c:v>
                </c:pt>
                <c:pt idx="21">
                  <c:v>1.6108470658000029</c:v>
                </c:pt>
                <c:pt idx="22">
                  <c:v>1.4019419086999967</c:v>
                </c:pt>
                <c:pt idx="23">
                  <c:v>1.2957931239</c:v>
                </c:pt>
              </c:numCache>
            </c:numRef>
          </c:val>
        </c:ser>
        <c:marker val="1"/>
        <c:axId val="151772544"/>
        <c:axId val="151778432"/>
      </c:lineChart>
      <c:lineChart>
        <c:grouping val="standard"/>
        <c:ser>
          <c:idx val="2"/>
          <c:order val="2"/>
          <c:tx>
            <c:strRef>
              <c:f>'Load shapes final'!$B$10</c:f>
              <c:strCache>
                <c:ptCount val="1"/>
                <c:pt idx="0">
                  <c:v>Non-Event</c:v>
                </c:pt>
              </c:strCache>
            </c:strRef>
          </c:tx>
          <c:spPr>
            <a:ln w="19050">
              <a:solidFill>
                <a:srgbClr val="FF9900"/>
              </a:solidFill>
              <a:prstDash val="sysDash"/>
            </a:ln>
          </c:spPr>
          <c:marker>
            <c:symbol val="none"/>
          </c:marker>
          <c:val>
            <c:numRef>
              <c:f>'Load shapes final'!$AH$10:$BE$10</c:f>
              <c:numCache>
                <c:formatCode>General</c:formatCode>
                <c:ptCount val="24"/>
                <c:pt idx="0">
                  <c:v>69</c:v>
                </c:pt>
                <c:pt idx="1">
                  <c:v>68</c:v>
                </c:pt>
                <c:pt idx="2">
                  <c:v>68</c:v>
                </c:pt>
                <c:pt idx="3">
                  <c:v>67</c:v>
                </c:pt>
                <c:pt idx="4">
                  <c:v>66</c:v>
                </c:pt>
                <c:pt idx="5">
                  <c:v>67</c:v>
                </c:pt>
                <c:pt idx="6">
                  <c:v>68</c:v>
                </c:pt>
                <c:pt idx="7">
                  <c:v>72</c:v>
                </c:pt>
                <c:pt idx="8">
                  <c:v>76</c:v>
                </c:pt>
                <c:pt idx="9">
                  <c:v>80</c:v>
                </c:pt>
                <c:pt idx="10">
                  <c:v>82</c:v>
                </c:pt>
                <c:pt idx="11">
                  <c:v>84</c:v>
                </c:pt>
                <c:pt idx="12">
                  <c:v>84</c:v>
                </c:pt>
                <c:pt idx="13">
                  <c:v>84</c:v>
                </c:pt>
                <c:pt idx="14">
                  <c:v>84</c:v>
                </c:pt>
                <c:pt idx="15">
                  <c:v>83</c:v>
                </c:pt>
                <c:pt idx="16">
                  <c:v>81</c:v>
                </c:pt>
                <c:pt idx="17">
                  <c:v>78</c:v>
                </c:pt>
                <c:pt idx="18">
                  <c:v>75</c:v>
                </c:pt>
                <c:pt idx="19">
                  <c:v>72</c:v>
                </c:pt>
                <c:pt idx="20">
                  <c:v>71</c:v>
                </c:pt>
                <c:pt idx="21">
                  <c:v>70</c:v>
                </c:pt>
                <c:pt idx="22">
                  <c:v>70</c:v>
                </c:pt>
                <c:pt idx="23">
                  <c:v>69</c:v>
                </c:pt>
              </c:numCache>
            </c:numRef>
          </c:val>
        </c:ser>
        <c:ser>
          <c:idx val="3"/>
          <c:order val="3"/>
          <c:tx>
            <c:strRef>
              <c:f>'Load shapes final'!$B$11</c:f>
              <c:strCache>
                <c:ptCount val="1"/>
                <c:pt idx="0">
                  <c:v>Event</c:v>
                </c:pt>
              </c:strCache>
            </c:strRef>
          </c:tx>
          <c:spPr>
            <a:ln w="19050">
              <a:solidFill>
                <a:srgbClr val="003E74"/>
              </a:solidFill>
              <a:prstDash val="sysDash"/>
            </a:ln>
          </c:spPr>
          <c:marker>
            <c:symbol val="none"/>
          </c:marker>
          <c:val>
            <c:numRef>
              <c:f>'Load shapes final'!$AH$11:$BE$11</c:f>
              <c:numCache>
                <c:formatCode>General</c:formatCode>
                <c:ptCount val="24"/>
                <c:pt idx="0">
                  <c:v>69</c:v>
                </c:pt>
                <c:pt idx="1">
                  <c:v>69</c:v>
                </c:pt>
                <c:pt idx="2">
                  <c:v>68</c:v>
                </c:pt>
                <c:pt idx="3">
                  <c:v>68</c:v>
                </c:pt>
                <c:pt idx="4">
                  <c:v>67</c:v>
                </c:pt>
                <c:pt idx="5">
                  <c:v>67</c:v>
                </c:pt>
                <c:pt idx="6">
                  <c:v>68</c:v>
                </c:pt>
                <c:pt idx="7">
                  <c:v>71</c:v>
                </c:pt>
                <c:pt idx="8">
                  <c:v>75</c:v>
                </c:pt>
                <c:pt idx="9">
                  <c:v>78</c:v>
                </c:pt>
                <c:pt idx="10">
                  <c:v>80</c:v>
                </c:pt>
                <c:pt idx="11">
                  <c:v>82</c:v>
                </c:pt>
                <c:pt idx="12">
                  <c:v>82</c:v>
                </c:pt>
                <c:pt idx="13">
                  <c:v>82</c:v>
                </c:pt>
                <c:pt idx="14">
                  <c:v>81</c:v>
                </c:pt>
                <c:pt idx="15">
                  <c:v>81</c:v>
                </c:pt>
                <c:pt idx="16">
                  <c:v>79</c:v>
                </c:pt>
                <c:pt idx="17">
                  <c:v>78</c:v>
                </c:pt>
                <c:pt idx="18">
                  <c:v>75</c:v>
                </c:pt>
                <c:pt idx="19">
                  <c:v>72</c:v>
                </c:pt>
                <c:pt idx="20">
                  <c:v>72</c:v>
                </c:pt>
                <c:pt idx="21">
                  <c:v>71</c:v>
                </c:pt>
                <c:pt idx="22">
                  <c:v>70</c:v>
                </c:pt>
                <c:pt idx="23">
                  <c:v>69</c:v>
                </c:pt>
              </c:numCache>
            </c:numRef>
          </c:val>
        </c:ser>
        <c:marker val="1"/>
        <c:axId val="151786624"/>
        <c:axId val="151780352"/>
      </c:lineChart>
      <c:catAx>
        <c:axId val="151772544"/>
        <c:scaling>
          <c:orientation val="minMax"/>
        </c:scaling>
        <c:axPos val="b"/>
        <c:tickLblPos val="nextTo"/>
        <c:crossAx val="151778432"/>
        <c:crosses val="autoZero"/>
        <c:auto val="1"/>
        <c:lblAlgn val="ctr"/>
        <c:lblOffset val="100"/>
      </c:catAx>
      <c:valAx>
        <c:axId val="151778432"/>
        <c:scaling>
          <c:orientation val="minMax"/>
        </c:scaling>
        <c:axPos val="l"/>
        <c:majorGridlines/>
        <c:title>
          <c:tx>
            <c:rich>
              <a:bodyPr rot="-5400000" vert="horz"/>
              <a:lstStyle/>
              <a:p>
                <a:pPr>
                  <a:defRPr/>
                </a:pPr>
                <a:r>
                  <a:rPr lang="en-US"/>
                  <a:t>kW</a:t>
                </a:r>
              </a:p>
            </c:rich>
          </c:tx>
        </c:title>
        <c:numFmt formatCode="General" sourceLinked="1"/>
        <c:tickLblPos val="nextTo"/>
        <c:crossAx val="151772544"/>
        <c:crosses val="autoZero"/>
        <c:crossBetween val="midCat"/>
      </c:valAx>
      <c:valAx>
        <c:axId val="151780352"/>
        <c:scaling>
          <c:orientation val="minMax"/>
        </c:scaling>
        <c:axPos val="r"/>
        <c:title>
          <c:tx>
            <c:rich>
              <a:bodyPr rot="-5400000" vert="horz"/>
              <a:lstStyle/>
              <a:p>
                <a:pPr>
                  <a:defRPr/>
                </a:pPr>
                <a:r>
                  <a:rPr lang="en-US"/>
                  <a:t>Temperature</a:t>
                </a:r>
              </a:p>
            </c:rich>
          </c:tx>
        </c:title>
        <c:numFmt formatCode="General" sourceLinked="1"/>
        <c:tickLblPos val="nextTo"/>
        <c:crossAx val="151786624"/>
        <c:crosses val="max"/>
        <c:crossBetween val="between"/>
      </c:valAx>
      <c:catAx>
        <c:axId val="151786624"/>
        <c:scaling>
          <c:orientation val="minMax"/>
        </c:scaling>
        <c:delete val="1"/>
        <c:axPos val="b"/>
        <c:tickLblPos val="none"/>
        <c:crossAx val="151780352"/>
        <c:crosses val="autoZero"/>
        <c:auto val="1"/>
        <c:lblAlgn val="ctr"/>
        <c:lblOffset val="100"/>
      </c:catAx>
    </c:plotArea>
    <c:legend>
      <c:legendPos val="b"/>
    </c:legend>
  </c:chart>
  <c:txPr>
    <a:bodyPr/>
    <a:lstStyle/>
    <a:p>
      <a:pPr>
        <a:defRPr sz="900" b="0">
          <a:latin typeface="Calibri" pitchFamily="34" charset="0"/>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'Load shapes final'!$B$12</c:f>
              <c:strCache>
                <c:ptCount val="1"/>
                <c:pt idx="0">
                  <c:v>Non-Event</c:v>
                </c:pt>
              </c:strCache>
            </c:strRef>
          </c:tx>
          <c:spPr>
            <a:ln>
              <a:solidFill>
                <a:srgbClr val="FF9900"/>
              </a:solidFill>
            </a:ln>
          </c:spPr>
          <c:marker>
            <c:symbol val="none"/>
          </c:marker>
          <c:val>
            <c:numRef>
              <c:f>'Load shapes final'!$J$12:$AG$12</c:f>
              <c:numCache>
                <c:formatCode>General</c:formatCode>
                <c:ptCount val="24"/>
                <c:pt idx="0">
                  <c:v>1.2400529101000024</c:v>
                </c:pt>
                <c:pt idx="1">
                  <c:v>1.2301296295999975</c:v>
                </c:pt>
                <c:pt idx="2">
                  <c:v>1.1547751323000024</c:v>
                </c:pt>
                <c:pt idx="3">
                  <c:v>1.1612592593</c:v>
                </c:pt>
                <c:pt idx="4">
                  <c:v>1.1561640211999999</c:v>
                </c:pt>
                <c:pt idx="5">
                  <c:v>1.1625105820000001</c:v>
                </c:pt>
                <c:pt idx="6">
                  <c:v>1.1902883598000029</c:v>
                </c:pt>
                <c:pt idx="7">
                  <c:v>1.3780634920999972</c:v>
                </c:pt>
                <c:pt idx="8">
                  <c:v>1.6609100529</c:v>
                </c:pt>
                <c:pt idx="9">
                  <c:v>2.1389391534</c:v>
                </c:pt>
                <c:pt idx="10">
                  <c:v>2.5272222222000011</c:v>
                </c:pt>
                <c:pt idx="11">
                  <c:v>2.7432169312000001</c:v>
                </c:pt>
                <c:pt idx="12">
                  <c:v>2.7288835979000012</c:v>
                </c:pt>
                <c:pt idx="13">
                  <c:v>2.6921666666999999</c:v>
                </c:pt>
                <c:pt idx="14">
                  <c:v>2.6105714286000001</c:v>
                </c:pt>
                <c:pt idx="15">
                  <c:v>2.5145132275000002</c:v>
                </c:pt>
                <c:pt idx="16">
                  <c:v>2.4335052909999999</c:v>
                </c:pt>
                <c:pt idx="17">
                  <c:v>2.2391402116000001</c:v>
                </c:pt>
                <c:pt idx="18">
                  <c:v>1.9047751323000024</c:v>
                </c:pt>
                <c:pt idx="19">
                  <c:v>1.6521931217000037</c:v>
                </c:pt>
                <c:pt idx="20">
                  <c:v>1.6825767196000001</c:v>
                </c:pt>
                <c:pt idx="21">
                  <c:v>1.5841931217000029</c:v>
                </c:pt>
                <c:pt idx="22">
                  <c:v>1.4351693121999933</c:v>
                </c:pt>
                <c:pt idx="23">
                  <c:v>1.3123306877999972</c:v>
                </c:pt>
              </c:numCache>
            </c:numRef>
          </c:val>
        </c:ser>
        <c:ser>
          <c:idx val="1"/>
          <c:order val="1"/>
          <c:tx>
            <c:strRef>
              <c:f>'Load shapes final'!$B$13</c:f>
              <c:strCache>
                <c:ptCount val="1"/>
                <c:pt idx="0">
                  <c:v>Event</c:v>
                </c:pt>
              </c:strCache>
            </c:strRef>
          </c:tx>
          <c:spPr>
            <a:ln>
              <a:solidFill>
                <a:srgbClr val="003E74"/>
              </a:solidFill>
            </a:ln>
          </c:spPr>
          <c:marker>
            <c:symbol val="none"/>
          </c:marker>
          <c:val>
            <c:numRef>
              <c:f>'Load shapes final'!$J$13:$AG$13</c:f>
              <c:numCache>
                <c:formatCode>General</c:formatCode>
                <c:ptCount val="24"/>
                <c:pt idx="0">
                  <c:v>1.2572899408</c:v>
                </c:pt>
                <c:pt idx="1">
                  <c:v>1.2211464497</c:v>
                </c:pt>
                <c:pt idx="2">
                  <c:v>1.1734467456</c:v>
                </c:pt>
                <c:pt idx="3">
                  <c:v>1.1497130177999972</c:v>
                </c:pt>
                <c:pt idx="4">
                  <c:v>1.1523150888000027</c:v>
                </c:pt>
                <c:pt idx="5">
                  <c:v>1.147631656799996</c:v>
                </c:pt>
                <c:pt idx="6">
                  <c:v>1.1774230769</c:v>
                </c:pt>
                <c:pt idx="7">
                  <c:v>1.2743402367000001</c:v>
                </c:pt>
                <c:pt idx="8">
                  <c:v>1.6043994082999975</c:v>
                </c:pt>
                <c:pt idx="9">
                  <c:v>2.132204142</c:v>
                </c:pt>
                <c:pt idx="10">
                  <c:v>2.6493920118000012</c:v>
                </c:pt>
                <c:pt idx="11">
                  <c:v>2.9027573963999997</c:v>
                </c:pt>
                <c:pt idx="12">
                  <c:v>2.9615266272</c:v>
                </c:pt>
                <c:pt idx="13">
                  <c:v>2.9134112426000054</c:v>
                </c:pt>
                <c:pt idx="14">
                  <c:v>2.9084763313999997</c:v>
                </c:pt>
                <c:pt idx="15">
                  <c:v>2.7798520709999988</c:v>
                </c:pt>
                <c:pt idx="16">
                  <c:v>2.5593076923</c:v>
                </c:pt>
                <c:pt idx="17">
                  <c:v>2.3524837277999997</c:v>
                </c:pt>
                <c:pt idx="18">
                  <c:v>2.1264822485000012</c:v>
                </c:pt>
                <c:pt idx="19">
                  <c:v>2.0577662722000012</c:v>
                </c:pt>
                <c:pt idx="20">
                  <c:v>1.8862544378999999</c:v>
                </c:pt>
                <c:pt idx="21">
                  <c:v>1.615334319499997</c:v>
                </c:pt>
                <c:pt idx="22">
                  <c:v>1.4132869821999969</c:v>
                </c:pt>
                <c:pt idx="23">
                  <c:v>1.2933076922999958</c:v>
                </c:pt>
              </c:numCache>
            </c:numRef>
          </c:val>
        </c:ser>
        <c:marker val="1"/>
        <c:axId val="151920640"/>
        <c:axId val="151922176"/>
      </c:lineChart>
      <c:lineChart>
        <c:grouping val="standard"/>
        <c:ser>
          <c:idx val="2"/>
          <c:order val="2"/>
          <c:tx>
            <c:strRef>
              <c:f>'Load shapes final'!$B$12</c:f>
              <c:strCache>
                <c:ptCount val="1"/>
                <c:pt idx="0">
                  <c:v>Non-Event</c:v>
                </c:pt>
              </c:strCache>
            </c:strRef>
          </c:tx>
          <c:spPr>
            <a:ln w="19050">
              <a:solidFill>
                <a:srgbClr val="FF9900"/>
              </a:solidFill>
              <a:prstDash val="sysDash"/>
            </a:ln>
          </c:spPr>
          <c:marker>
            <c:symbol val="none"/>
          </c:marker>
          <c:val>
            <c:numRef>
              <c:f>'Load shapes final'!$AH$12:$BE$12</c:f>
              <c:numCache>
                <c:formatCode>General</c:formatCode>
                <c:ptCount val="24"/>
                <c:pt idx="0">
                  <c:v>73</c:v>
                </c:pt>
                <c:pt idx="1">
                  <c:v>72</c:v>
                </c:pt>
                <c:pt idx="2">
                  <c:v>72</c:v>
                </c:pt>
                <c:pt idx="3">
                  <c:v>71</c:v>
                </c:pt>
                <c:pt idx="4">
                  <c:v>71</c:v>
                </c:pt>
                <c:pt idx="5">
                  <c:v>70</c:v>
                </c:pt>
                <c:pt idx="6">
                  <c:v>72</c:v>
                </c:pt>
                <c:pt idx="7">
                  <c:v>75</c:v>
                </c:pt>
                <c:pt idx="8">
                  <c:v>81</c:v>
                </c:pt>
                <c:pt idx="9">
                  <c:v>84</c:v>
                </c:pt>
                <c:pt idx="10">
                  <c:v>86</c:v>
                </c:pt>
                <c:pt idx="11">
                  <c:v>88</c:v>
                </c:pt>
                <c:pt idx="12">
                  <c:v>88</c:v>
                </c:pt>
                <c:pt idx="13">
                  <c:v>87</c:v>
                </c:pt>
                <c:pt idx="14">
                  <c:v>87</c:v>
                </c:pt>
                <c:pt idx="15">
                  <c:v>85</c:v>
                </c:pt>
                <c:pt idx="16">
                  <c:v>84</c:v>
                </c:pt>
                <c:pt idx="17">
                  <c:v>83</c:v>
                </c:pt>
                <c:pt idx="18">
                  <c:v>79</c:v>
                </c:pt>
                <c:pt idx="19">
                  <c:v>76</c:v>
                </c:pt>
                <c:pt idx="20">
                  <c:v>74</c:v>
                </c:pt>
                <c:pt idx="21">
                  <c:v>74</c:v>
                </c:pt>
                <c:pt idx="22">
                  <c:v>72</c:v>
                </c:pt>
                <c:pt idx="23">
                  <c:v>72</c:v>
                </c:pt>
              </c:numCache>
            </c:numRef>
          </c:val>
        </c:ser>
        <c:ser>
          <c:idx val="3"/>
          <c:order val="3"/>
          <c:tx>
            <c:strRef>
              <c:f>'Load shapes final'!$B$13</c:f>
              <c:strCache>
                <c:ptCount val="1"/>
                <c:pt idx="0">
                  <c:v>Event</c:v>
                </c:pt>
              </c:strCache>
            </c:strRef>
          </c:tx>
          <c:spPr>
            <a:ln w="19050">
              <a:solidFill>
                <a:srgbClr val="003E74"/>
              </a:solidFill>
              <a:prstDash val="sysDash"/>
            </a:ln>
          </c:spPr>
          <c:marker>
            <c:symbol val="none"/>
          </c:marker>
          <c:val>
            <c:numRef>
              <c:f>'Load shapes final'!$AH$13:$BE$13</c:f>
              <c:numCache>
                <c:formatCode>General</c:formatCode>
                <c:ptCount val="24"/>
                <c:pt idx="0">
                  <c:v>71</c:v>
                </c:pt>
                <c:pt idx="1">
                  <c:v>70</c:v>
                </c:pt>
                <c:pt idx="2">
                  <c:v>70</c:v>
                </c:pt>
                <c:pt idx="3">
                  <c:v>70</c:v>
                </c:pt>
                <c:pt idx="4">
                  <c:v>69</c:v>
                </c:pt>
                <c:pt idx="5">
                  <c:v>69</c:v>
                </c:pt>
                <c:pt idx="6">
                  <c:v>69</c:v>
                </c:pt>
                <c:pt idx="7">
                  <c:v>76</c:v>
                </c:pt>
                <c:pt idx="8">
                  <c:v>83</c:v>
                </c:pt>
                <c:pt idx="9">
                  <c:v>88</c:v>
                </c:pt>
                <c:pt idx="10">
                  <c:v>91</c:v>
                </c:pt>
                <c:pt idx="11">
                  <c:v>91</c:v>
                </c:pt>
                <c:pt idx="12">
                  <c:v>92</c:v>
                </c:pt>
                <c:pt idx="13">
                  <c:v>91</c:v>
                </c:pt>
                <c:pt idx="14">
                  <c:v>90</c:v>
                </c:pt>
                <c:pt idx="15">
                  <c:v>90</c:v>
                </c:pt>
                <c:pt idx="16">
                  <c:v>90</c:v>
                </c:pt>
                <c:pt idx="17">
                  <c:v>87</c:v>
                </c:pt>
                <c:pt idx="18">
                  <c:v>83</c:v>
                </c:pt>
                <c:pt idx="19">
                  <c:v>77</c:v>
                </c:pt>
                <c:pt idx="20">
                  <c:v>75</c:v>
                </c:pt>
                <c:pt idx="21">
                  <c:v>73</c:v>
                </c:pt>
                <c:pt idx="22">
                  <c:v>72</c:v>
                </c:pt>
                <c:pt idx="23">
                  <c:v>71</c:v>
                </c:pt>
              </c:numCache>
            </c:numRef>
          </c:val>
        </c:ser>
        <c:marker val="1"/>
        <c:axId val="151942656"/>
        <c:axId val="151924096"/>
      </c:lineChart>
      <c:catAx>
        <c:axId val="151920640"/>
        <c:scaling>
          <c:orientation val="minMax"/>
        </c:scaling>
        <c:axPos val="b"/>
        <c:tickLblPos val="nextTo"/>
        <c:crossAx val="151922176"/>
        <c:crosses val="autoZero"/>
        <c:auto val="1"/>
        <c:lblAlgn val="ctr"/>
        <c:lblOffset val="100"/>
      </c:catAx>
      <c:valAx>
        <c:axId val="151922176"/>
        <c:scaling>
          <c:orientation val="minMax"/>
        </c:scaling>
        <c:axPos val="l"/>
        <c:majorGridlines/>
        <c:title>
          <c:tx>
            <c:rich>
              <a:bodyPr rot="-5400000" vert="horz"/>
              <a:lstStyle/>
              <a:p>
                <a:pPr>
                  <a:defRPr/>
                </a:pPr>
                <a:r>
                  <a:rPr lang="en-US"/>
                  <a:t>kW</a:t>
                </a:r>
              </a:p>
            </c:rich>
          </c:tx>
        </c:title>
        <c:numFmt formatCode="General" sourceLinked="1"/>
        <c:tickLblPos val="nextTo"/>
        <c:crossAx val="151920640"/>
        <c:crosses val="autoZero"/>
        <c:crossBetween val="midCat"/>
      </c:valAx>
      <c:valAx>
        <c:axId val="151924096"/>
        <c:scaling>
          <c:orientation val="minMax"/>
        </c:scaling>
        <c:axPos val="r"/>
        <c:title>
          <c:tx>
            <c:rich>
              <a:bodyPr rot="-5400000" vert="horz"/>
              <a:lstStyle/>
              <a:p>
                <a:pPr>
                  <a:defRPr/>
                </a:pPr>
                <a:r>
                  <a:rPr lang="en-US"/>
                  <a:t>Temperature</a:t>
                </a:r>
              </a:p>
            </c:rich>
          </c:tx>
        </c:title>
        <c:numFmt formatCode="General" sourceLinked="1"/>
        <c:tickLblPos val="nextTo"/>
        <c:crossAx val="151942656"/>
        <c:crosses val="max"/>
        <c:crossBetween val="between"/>
      </c:valAx>
      <c:catAx>
        <c:axId val="151942656"/>
        <c:scaling>
          <c:orientation val="minMax"/>
        </c:scaling>
        <c:delete val="1"/>
        <c:axPos val="b"/>
        <c:tickLblPos val="none"/>
        <c:crossAx val="151924096"/>
        <c:crosses val="autoZero"/>
        <c:auto val="1"/>
        <c:lblAlgn val="ctr"/>
        <c:lblOffset val="100"/>
      </c:catAx>
    </c:plotArea>
    <c:legend>
      <c:legendPos val="b"/>
    </c:legend>
  </c:chart>
  <c:txPr>
    <a:bodyPr/>
    <a:lstStyle/>
    <a:p>
      <a:pPr>
        <a:defRPr sz="900" b="0">
          <a:latin typeface="Calibri" pitchFamily="34" charset="0"/>
        </a:defRPr>
      </a:pPr>
      <a:endParaRPr lang="en-US"/>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9.3525793634672755E-2"/>
          <c:y val="5.1400554097404468E-2"/>
          <c:w val="0.86807615676960215"/>
          <c:h val="0.76620771361913398"/>
        </c:manualLayout>
      </c:layout>
      <c:lineChart>
        <c:grouping val="standard"/>
        <c:ser>
          <c:idx val="0"/>
          <c:order val="0"/>
          <c:tx>
            <c:strRef>
              <c:f>Match!$A$3</c:f>
              <c:strCache>
                <c:ptCount val="1"/>
                <c:pt idx="0">
                  <c:v>Opt-in Alert</c:v>
                </c:pt>
              </c:strCache>
            </c:strRef>
          </c:tx>
          <c:spPr>
            <a:ln>
              <a:solidFill>
                <a:srgbClr val="003E74"/>
              </a:solidFill>
            </a:ln>
          </c:spPr>
          <c:marker>
            <c:symbol val="none"/>
          </c:marker>
          <c:cat>
            <c:numRef>
              <c:f>Match!$B$1:$Y$1</c:f>
              <c:numCache>
                <c:formatCode>0</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Match!$D$3:$AA$3</c:f>
              <c:numCache>
                <c:formatCode>General</c:formatCode>
                <c:ptCount val="24"/>
                <c:pt idx="0">
                  <c:v>1.1136432540999985</c:v>
                </c:pt>
                <c:pt idx="1">
                  <c:v>1.0803943650999985</c:v>
                </c:pt>
                <c:pt idx="2">
                  <c:v>1.0511969381999984</c:v>
                </c:pt>
                <c:pt idx="3">
                  <c:v>1.0553068445</c:v>
                </c:pt>
                <c:pt idx="4">
                  <c:v>1.0543491463000001</c:v>
                </c:pt>
                <c:pt idx="5">
                  <c:v>1.1174190623</c:v>
                </c:pt>
                <c:pt idx="6">
                  <c:v>1.1998202833999978</c:v>
                </c:pt>
                <c:pt idx="7">
                  <c:v>1.5175160744</c:v>
                </c:pt>
                <c:pt idx="8">
                  <c:v>2.0233687529000046</c:v>
                </c:pt>
                <c:pt idx="9">
                  <c:v>2.5290318683000041</c:v>
                </c:pt>
                <c:pt idx="10">
                  <c:v>2.9698690390999967</c:v>
                </c:pt>
                <c:pt idx="11">
                  <c:v>3.2246800652000012</c:v>
                </c:pt>
                <c:pt idx="12">
                  <c:v>3.2486378533000035</c:v>
                </c:pt>
                <c:pt idx="13">
                  <c:v>3.2710161394999977</c:v>
                </c:pt>
                <c:pt idx="14">
                  <c:v>3.2749557728000012</c:v>
                </c:pt>
                <c:pt idx="15">
                  <c:v>3.2054958887000002</c:v>
                </c:pt>
                <c:pt idx="16">
                  <c:v>2.9442163186000001</c:v>
                </c:pt>
                <c:pt idx="17">
                  <c:v>2.5237123231999998</c:v>
                </c:pt>
                <c:pt idx="18">
                  <c:v>2.067320894900003</c:v>
                </c:pt>
                <c:pt idx="19">
                  <c:v>1.7641798344999999</c:v>
                </c:pt>
                <c:pt idx="20">
                  <c:v>1.5863601984</c:v>
                </c:pt>
                <c:pt idx="21">
                  <c:v>1.3891010739</c:v>
                </c:pt>
                <c:pt idx="22">
                  <c:v>1.2435075197000001</c:v>
                </c:pt>
                <c:pt idx="23">
                  <c:v>1.1549321219000028</c:v>
                </c:pt>
              </c:numCache>
            </c:numRef>
          </c:val>
        </c:ser>
        <c:ser>
          <c:idx val="1"/>
          <c:order val="1"/>
          <c:tx>
            <c:strRef>
              <c:f>Match!$A$7</c:f>
              <c:strCache>
                <c:ptCount val="1"/>
                <c:pt idx="0">
                  <c:v>Control  </c:v>
                </c:pt>
              </c:strCache>
            </c:strRef>
          </c:tx>
          <c:spPr>
            <a:ln>
              <a:solidFill>
                <a:srgbClr val="FF9900"/>
              </a:solidFill>
            </a:ln>
          </c:spPr>
          <c:marker>
            <c:symbol val="none"/>
          </c:marker>
          <c:cat>
            <c:numRef>
              <c:f>Match!$B$1:$Y$1</c:f>
              <c:numCache>
                <c:formatCode>0</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Match!$D$7:$AA$7</c:f>
              <c:numCache>
                <c:formatCode>General</c:formatCode>
                <c:ptCount val="24"/>
                <c:pt idx="0">
                  <c:v>1.3934050652000001</c:v>
                </c:pt>
                <c:pt idx="1">
                  <c:v>1.3628048081999984</c:v>
                </c:pt>
                <c:pt idx="2">
                  <c:v>1.3293709136</c:v>
                </c:pt>
                <c:pt idx="3">
                  <c:v>1.3140651603000015</c:v>
                </c:pt>
                <c:pt idx="4">
                  <c:v>1.3134847455999981</c:v>
                </c:pt>
                <c:pt idx="5">
                  <c:v>1.3583999559</c:v>
                </c:pt>
                <c:pt idx="6">
                  <c:v>1.4808113375999981</c:v>
                </c:pt>
                <c:pt idx="7">
                  <c:v>1.853194692299996</c:v>
                </c:pt>
                <c:pt idx="8">
                  <c:v>2.3277137211000012</c:v>
                </c:pt>
                <c:pt idx="9">
                  <c:v>2.7623751022</c:v>
                </c:pt>
                <c:pt idx="10">
                  <c:v>3.1050696652999998</c:v>
                </c:pt>
                <c:pt idx="11">
                  <c:v>3.2425283466000012</c:v>
                </c:pt>
                <c:pt idx="12">
                  <c:v>3.3498590134999966</c:v>
                </c:pt>
                <c:pt idx="13">
                  <c:v>3.367171300700003</c:v>
                </c:pt>
                <c:pt idx="14">
                  <c:v>3.3575563324999997</c:v>
                </c:pt>
                <c:pt idx="15">
                  <c:v>3.2460934184000001</c:v>
                </c:pt>
                <c:pt idx="16">
                  <c:v>3.0945330019000012</c:v>
                </c:pt>
                <c:pt idx="17">
                  <c:v>2.7435888722000037</c:v>
                </c:pt>
                <c:pt idx="18">
                  <c:v>2.2985040519000046</c:v>
                </c:pt>
                <c:pt idx="19">
                  <c:v>1.9836275317000021</c:v>
                </c:pt>
                <c:pt idx="20">
                  <c:v>1.8372491548000001</c:v>
                </c:pt>
                <c:pt idx="21">
                  <c:v>1.6690544827</c:v>
                </c:pt>
                <c:pt idx="22">
                  <c:v>1.5208367036999983</c:v>
                </c:pt>
                <c:pt idx="23">
                  <c:v>1.4373881062</c:v>
                </c:pt>
              </c:numCache>
            </c:numRef>
          </c:val>
        </c:ser>
        <c:marker val="1"/>
        <c:axId val="151984384"/>
        <c:axId val="151990272"/>
      </c:lineChart>
      <c:catAx>
        <c:axId val="151984384"/>
        <c:scaling>
          <c:orientation val="minMax"/>
        </c:scaling>
        <c:axPos val="b"/>
        <c:numFmt formatCode="0" sourceLinked="1"/>
        <c:tickLblPos val="nextTo"/>
        <c:txPr>
          <a:bodyPr/>
          <a:lstStyle/>
          <a:p>
            <a:pPr>
              <a:defRPr sz="900">
                <a:latin typeface="Calibri" pitchFamily="34" charset="0"/>
              </a:defRPr>
            </a:pPr>
            <a:endParaRPr lang="en-US"/>
          </a:p>
        </c:txPr>
        <c:crossAx val="151990272"/>
        <c:crosses val="autoZero"/>
        <c:auto val="1"/>
        <c:lblAlgn val="ctr"/>
        <c:lblOffset val="100"/>
      </c:catAx>
      <c:valAx>
        <c:axId val="151990272"/>
        <c:scaling>
          <c:orientation val="minMax"/>
        </c:scaling>
        <c:axPos val="l"/>
        <c:majorGridlines/>
        <c:title>
          <c:tx>
            <c:rich>
              <a:bodyPr rot="-5400000" vert="horz"/>
              <a:lstStyle/>
              <a:p>
                <a:pPr>
                  <a:defRPr sz="900" b="0">
                    <a:latin typeface="Calibri" pitchFamily="34" charset="0"/>
                  </a:defRPr>
                </a:pPr>
                <a:r>
                  <a:rPr lang="en-US" sz="900" b="0">
                    <a:latin typeface="Calibri" pitchFamily="34" charset="0"/>
                  </a:rPr>
                  <a:t>kW</a:t>
                </a:r>
              </a:p>
            </c:rich>
          </c:tx>
        </c:title>
        <c:numFmt formatCode="General" sourceLinked="1"/>
        <c:tickLblPos val="nextTo"/>
        <c:txPr>
          <a:bodyPr/>
          <a:lstStyle/>
          <a:p>
            <a:pPr>
              <a:defRPr sz="900">
                <a:latin typeface="Calibri" pitchFamily="34" charset="0"/>
              </a:defRPr>
            </a:pPr>
            <a:endParaRPr lang="en-US"/>
          </a:p>
        </c:txPr>
        <c:crossAx val="151984384"/>
        <c:crosses val="autoZero"/>
        <c:crossBetween val="between"/>
      </c:valAx>
    </c:plotArea>
    <c:legend>
      <c:legendPos val="b"/>
      <c:txPr>
        <a:bodyPr/>
        <a:lstStyle/>
        <a:p>
          <a:pPr>
            <a:defRPr sz="800">
              <a:latin typeface="Calibri" pitchFamily="34" charset="0"/>
            </a:defRPr>
          </a:pPr>
          <a:endParaRPr lang="en-US"/>
        </a:p>
      </c:txPr>
    </c:legend>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lineChart>
        <c:grouping val="standard"/>
        <c:ser>
          <c:idx val="0"/>
          <c:order val="0"/>
          <c:tx>
            <c:strRef>
              <c:f>Jul20Event!$B$2</c:f>
              <c:strCache>
                <c:ptCount val="1"/>
                <c:pt idx="0">
                  <c:v>Adjusted Control</c:v>
                </c:pt>
              </c:strCache>
            </c:strRef>
          </c:tx>
          <c:spPr>
            <a:ln>
              <a:solidFill>
                <a:srgbClr val="FF9900"/>
              </a:solidFill>
            </a:ln>
          </c:spPr>
          <c:marker>
            <c:symbol val="none"/>
          </c:marker>
          <c:val>
            <c:numRef>
              <c:f>Jul20Event!$C$2:$Z$2</c:f>
              <c:numCache>
                <c:formatCode>0.0000</c:formatCode>
                <c:ptCount val="24"/>
                <c:pt idx="0">
                  <c:v>1.2703716513963346</c:v>
                </c:pt>
                <c:pt idx="1">
                  <c:v>1.202350408372606</c:v>
                </c:pt>
                <c:pt idx="2">
                  <c:v>1.1606826211588614</c:v>
                </c:pt>
                <c:pt idx="3">
                  <c:v>1.1442111974733351</c:v>
                </c:pt>
                <c:pt idx="4">
                  <c:v>1.15926476058881</c:v>
                </c:pt>
                <c:pt idx="5">
                  <c:v>1.2140140561448778</c:v>
                </c:pt>
                <c:pt idx="6">
                  <c:v>1.3437251199896199</c:v>
                </c:pt>
                <c:pt idx="7">
                  <c:v>1.7818607125728689</c:v>
                </c:pt>
                <c:pt idx="8">
                  <c:v>2.548953523539558</c:v>
                </c:pt>
                <c:pt idx="9">
                  <c:v>3.1556153412469472</c:v>
                </c:pt>
                <c:pt idx="10">
                  <c:v>3.6114837241874489</c:v>
                </c:pt>
                <c:pt idx="11">
                  <c:v>4.0183757501013062</c:v>
                </c:pt>
                <c:pt idx="12">
                  <c:v>3.8900885436235648</c:v>
                </c:pt>
                <c:pt idx="13">
                  <c:v>3.9589225802085966</c:v>
                </c:pt>
                <c:pt idx="14">
                  <c:v>3.8882187055596531</c:v>
                </c:pt>
                <c:pt idx="15">
                  <c:v>3.7568815011350982</c:v>
                </c:pt>
                <c:pt idx="16">
                  <c:v>3.3378294986844397</c:v>
                </c:pt>
                <c:pt idx="17">
                  <c:v>2.7930930535392995</c:v>
                </c:pt>
                <c:pt idx="18">
                  <c:v>2.2441206686411839</c:v>
                </c:pt>
                <c:pt idx="19">
                  <c:v>1.8430435981729172</c:v>
                </c:pt>
                <c:pt idx="20">
                  <c:v>1.7362929520873718</c:v>
                </c:pt>
                <c:pt idx="21">
                  <c:v>1.5073186086962489</c:v>
                </c:pt>
                <c:pt idx="22">
                  <c:v>1.3251767126190415</c:v>
                </c:pt>
                <c:pt idx="23">
                  <c:v>1.2116594501887004</c:v>
                </c:pt>
              </c:numCache>
            </c:numRef>
          </c:val>
        </c:ser>
        <c:ser>
          <c:idx val="1"/>
          <c:order val="1"/>
          <c:tx>
            <c:strRef>
              <c:f>Jul20Event!$B$3</c:f>
              <c:strCache>
                <c:ptCount val="1"/>
                <c:pt idx="0">
                  <c:v>Opt-in Alert</c:v>
                </c:pt>
              </c:strCache>
            </c:strRef>
          </c:tx>
          <c:spPr>
            <a:ln>
              <a:solidFill>
                <a:srgbClr val="003E74"/>
              </a:solidFill>
            </a:ln>
          </c:spPr>
          <c:marker>
            <c:symbol val="none"/>
          </c:marker>
          <c:val>
            <c:numRef>
              <c:f>Jul20Event!$C$3:$Z$3</c:f>
              <c:numCache>
                <c:formatCode>0.0000</c:formatCode>
                <c:ptCount val="24"/>
                <c:pt idx="0">
                  <c:v>1.1322699619771861</c:v>
                </c:pt>
                <c:pt idx="1">
                  <c:v>1.0873688212927761</c:v>
                </c:pt>
                <c:pt idx="2">
                  <c:v>1.0612775665399243</c:v>
                </c:pt>
                <c:pt idx="3">
                  <c:v>1.0445171102661601</c:v>
                </c:pt>
                <c:pt idx="4">
                  <c:v>1.0258403041825102</c:v>
                </c:pt>
                <c:pt idx="5">
                  <c:v>1.1030532319391633</c:v>
                </c:pt>
                <c:pt idx="6">
                  <c:v>1.1443193916349799</c:v>
                </c:pt>
                <c:pt idx="7">
                  <c:v>1.7335627376425835</c:v>
                </c:pt>
                <c:pt idx="8">
                  <c:v>2.5524980988593162</c:v>
                </c:pt>
                <c:pt idx="9">
                  <c:v>3.1676425855513339</c:v>
                </c:pt>
                <c:pt idx="10">
                  <c:v>3.6841977186311858</c:v>
                </c:pt>
                <c:pt idx="11">
                  <c:v>3.7695551330798427</c:v>
                </c:pt>
                <c:pt idx="12">
                  <c:v>3.7100988593155888</c:v>
                </c:pt>
                <c:pt idx="13">
                  <c:v>3.7039961977186358</c:v>
                </c:pt>
                <c:pt idx="14">
                  <c:v>3.6339429657794677</c:v>
                </c:pt>
                <c:pt idx="15">
                  <c:v>3.6021330798479148</c:v>
                </c:pt>
                <c:pt idx="16">
                  <c:v>3.294437262357425</c:v>
                </c:pt>
                <c:pt idx="17">
                  <c:v>2.8314334600760427</c:v>
                </c:pt>
                <c:pt idx="18">
                  <c:v>2.494779467680607</c:v>
                </c:pt>
                <c:pt idx="19">
                  <c:v>2.0952357414448661</c:v>
                </c:pt>
                <c:pt idx="20">
                  <c:v>1.7896615969581726</c:v>
                </c:pt>
                <c:pt idx="21">
                  <c:v>1.5750836501901138</c:v>
                </c:pt>
                <c:pt idx="22">
                  <c:v>1.2735589353612193</c:v>
                </c:pt>
                <c:pt idx="23">
                  <c:v>1.1496653992395418</c:v>
                </c:pt>
              </c:numCache>
            </c:numRef>
          </c:val>
        </c:ser>
        <c:ser>
          <c:idx val="2"/>
          <c:order val="2"/>
          <c:marker>
            <c:symbol val="none"/>
          </c:marker>
          <c:errBars>
            <c:errDir val="y"/>
            <c:errBarType val="plus"/>
            <c:errValType val="fixedVal"/>
            <c:noEndCap val="1"/>
            <c:val val="10"/>
            <c:spPr>
              <a:ln w="6350">
                <a:solidFill>
                  <a:schemeClr val="bg1">
                    <a:lumMod val="50000"/>
                  </a:schemeClr>
                </a:solidFill>
                <a:prstDash val="sysDash"/>
              </a:ln>
            </c:spPr>
          </c:errBars>
          <c:val>
            <c:numRef>
              <c:f>Jul20Event!$C$4:$Z$4</c:f>
              <c:numCache>
                <c:formatCode>General</c:formatCode>
                <c:ptCount val="24"/>
                <c:pt idx="11">
                  <c:v>0</c:v>
                </c:pt>
                <c:pt idx="13">
                  <c:v>0</c:v>
                </c:pt>
                <c:pt idx="17">
                  <c:v>0</c:v>
                </c:pt>
              </c:numCache>
            </c:numRef>
          </c:val>
        </c:ser>
        <c:marker val="1"/>
        <c:axId val="152011136"/>
        <c:axId val="152012672"/>
      </c:lineChart>
      <c:catAx>
        <c:axId val="152011136"/>
        <c:scaling>
          <c:orientation val="minMax"/>
        </c:scaling>
        <c:axPos val="b"/>
        <c:tickLblPos val="nextTo"/>
        <c:txPr>
          <a:bodyPr/>
          <a:lstStyle/>
          <a:p>
            <a:pPr>
              <a:defRPr sz="800">
                <a:latin typeface="Calibri" pitchFamily="34" charset="0"/>
              </a:defRPr>
            </a:pPr>
            <a:endParaRPr lang="en-US"/>
          </a:p>
        </c:txPr>
        <c:crossAx val="152012672"/>
        <c:crosses val="autoZero"/>
        <c:auto val="1"/>
        <c:lblAlgn val="ctr"/>
        <c:lblOffset val="100"/>
        <c:tickLblSkip val="2"/>
      </c:catAx>
      <c:valAx>
        <c:axId val="152012672"/>
        <c:scaling>
          <c:orientation val="minMax"/>
          <c:max val="5"/>
        </c:scaling>
        <c:axPos val="l"/>
        <c:majorGridlines/>
        <c:numFmt formatCode="0.00" sourceLinked="0"/>
        <c:tickLblPos val="nextTo"/>
        <c:txPr>
          <a:bodyPr/>
          <a:lstStyle/>
          <a:p>
            <a:pPr>
              <a:defRPr sz="800">
                <a:latin typeface="Calibri" pitchFamily="34" charset="0"/>
              </a:defRPr>
            </a:pPr>
            <a:endParaRPr lang="en-US"/>
          </a:p>
        </c:txPr>
        <c:crossAx val="152011136"/>
        <c:crosses val="autoZero"/>
        <c:crossBetween val="midCat"/>
      </c:valAx>
    </c:plotArea>
    <c:legend>
      <c:legendPos val="b"/>
      <c:legendEntry>
        <c:idx val="2"/>
        <c:delete val="1"/>
      </c:legendEntry>
      <c:txPr>
        <a:bodyPr/>
        <a:lstStyle/>
        <a:p>
          <a:pPr>
            <a:defRPr sz="800">
              <a:latin typeface="Calibri" pitchFamily="34" charset="0"/>
            </a:defRPr>
          </a:pPr>
          <a:endParaRPr lang="en-US"/>
        </a:p>
      </c:txPr>
    </c:legend>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lineChart>
        <c:grouping val="standard"/>
        <c:ser>
          <c:idx val="0"/>
          <c:order val="0"/>
          <c:spPr>
            <a:ln>
              <a:solidFill>
                <a:srgbClr val="003E74"/>
              </a:solidFill>
            </a:ln>
          </c:spPr>
          <c:marker>
            <c:symbol val="none"/>
          </c:marker>
          <c:val>
            <c:numRef>
              <c:f>Jul20Event!$C$6:$Z$6</c:f>
              <c:numCache>
                <c:formatCode>0.0000</c:formatCode>
                <c:ptCount val="24"/>
                <c:pt idx="0">
                  <c:v>0.13810169</c:v>
                </c:pt>
                <c:pt idx="1">
                  <c:v>0.11498158999999998</c:v>
                </c:pt>
                <c:pt idx="2">
                  <c:v>9.9405050000000023E-2</c:v>
                </c:pt>
                <c:pt idx="3">
                  <c:v>9.9694090000000263E-2</c:v>
                </c:pt>
                <c:pt idx="4">
                  <c:v>0.13342445999999999</c:v>
                </c:pt>
                <c:pt idx="5">
                  <c:v>0.11096082</c:v>
                </c:pt>
                <c:pt idx="6">
                  <c:v>0.19940573000000023</c:v>
                </c:pt>
                <c:pt idx="7">
                  <c:v>4.8297970000000023E-2</c:v>
                </c:pt>
                <c:pt idx="8">
                  <c:v>-3.5446000000000037E-3</c:v>
                </c:pt>
                <c:pt idx="9">
                  <c:v>-1.20272E-2</c:v>
                </c:pt>
                <c:pt idx="10">
                  <c:v>-7.2714000000000112E-2</c:v>
                </c:pt>
                <c:pt idx="11">
                  <c:v>0.24882061999999988</c:v>
                </c:pt>
                <c:pt idx="12">
                  <c:v>0.17998968000000029</c:v>
                </c:pt>
                <c:pt idx="13">
                  <c:v>0.25492638000000045</c:v>
                </c:pt>
                <c:pt idx="14">
                  <c:v>0.25427573999999997</c:v>
                </c:pt>
                <c:pt idx="15">
                  <c:v>0.15474842000000039</c:v>
                </c:pt>
                <c:pt idx="16">
                  <c:v>4.3392240000000075E-2</c:v>
                </c:pt>
                <c:pt idx="17">
                  <c:v>-3.8340399999999997E-2</c:v>
                </c:pt>
                <c:pt idx="18">
                  <c:v>-0.25065880000000001</c:v>
                </c:pt>
                <c:pt idx="19">
                  <c:v>-0.25219209999999997</c:v>
                </c:pt>
                <c:pt idx="20">
                  <c:v>-5.3368600000000085E-2</c:v>
                </c:pt>
                <c:pt idx="21">
                  <c:v>-6.7765000000000034E-2</c:v>
                </c:pt>
                <c:pt idx="22">
                  <c:v>5.1617780000000023E-2</c:v>
                </c:pt>
                <c:pt idx="23">
                  <c:v>6.1994050000000002E-2</c:v>
                </c:pt>
              </c:numCache>
            </c:numRef>
          </c:val>
        </c:ser>
        <c:ser>
          <c:idx val="1"/>
          <c:order val="1"/>
          <c:spPr>
            <a:ln w="19050">
              <a:solidFill>
                <a:srgbClr val="4F81BD"/>
              </a:solidFill>
              <a:prstDash val="sysDash"/>
            </a:ln>
          </c:spPr>
          <c:marker>
            <c:symbol val="none"/>
          </c:marker>
          <c:val>
            <c:numRef>
              <c:f>Jul20Event!$C$8:$Z$8</c:f>
              <c:numCache>
                <c:formatCode>0.0000</c:formatCode>
                <c:ptCount val="24"/>
                <c:pt idx="0">
                  <c:v>0.29956912000000002</c:v>
                </c:pt>
                <c:pt idx="1">
                  <c:v>0.27207463000000032</c:v>
                </c:pt>
                <c:pt idx="2">
                  <c:v>0.25326390999999998</c:v>
                </c:pt>
                <c:pt idx="3">
                  <c:v>0.25395939000000001</c:v>
                </c:pt>
                <c:pt idx="4">
                  <c:v>0.28678117000000031</c:v>
                </c:pt>
                <c:pt idx="5">
                  <c:v>0.27568645000000008</c:v>
                </c:pt>
                <c:pt idx="6">
                  <c:v>0.38673633000000002</c:v>
                </c:pt>
                <c:pt idx="7">
                  <c:v>0.30047408000000053</c:v>
                </c:pt>
                <c:pt idx="8">
                  <c:v>0.30831786000000078</c:v>
                </c:pt>
                <c:pt idx="9">
                  <c:v>0.33873419000000032</c:v>
                </c:pt>
                <c:pt idx="10">
                  <c:v>0.30370710000000001</c:v>
                </c:pt>
                <c:pt idx="11">
                  <c:v>0.63734750000000062</c:v>
                </c:pt>
                <c:pt idx="12">
                  <c:v>0.56702631000000003</c:v>
                </c:pt>
                <c:pt idx="13">
                  <c:v>0.64300063000000118</c:v>
                </c:pt>
                <c:pt idx="14">
                  <c:v>0.64093570000000077</c:v>
                </c:pt>
                <c:pt idx="15">
                  <c:v>0.5319602999999995</c:v>
                </c:pt>
                <c:pt idx="16">
                  <c:v>0.41604947000000031</c:v>
                </c:pt>
                <c:pt idx="17">
                  <c:v>0.30713377000000008</c:v>
                </c:pt>
                <c:pt idx="18">
                  <c:v>5.7541790000000002E-2</c:v>
                </c:pt>
                <c:pt idx="19">
                  <c:v>1.7321030000000001E-2</c:v>
                </c:pt>
                <c:pt idx="20">
                  <c:v>0.18770877999999999</c:v>
                </c:pt>
                <c:pt idx="21">
                  <c:v>0.14074891000000025</c:v>
                </c:pt>
                <c:pt idx="22">
                  <c:v>0.22386127</c:v>
                </c:pt>
                <c:pt idx="23">
                  <c:v>0.22628965000000001</c:v>
                </c:pt>
              </c:numCache>
            </c:numRef>
          </c:val>
        </c:ser>
        <c:ser>
          <c:idx val="2"/>
          <c:order val="2"/>
          <c:spPr>
            <a:ln w="19050">
              <a:solidFill>
                <a:srgbClr val="4F81BD"/>
              </a:solidFill>
              <a:prstDash val="sysDash"/>
            </a:ln>
          </c:spPr>
          <c:marker>
            <c:symbol val="none"/>
          </c:marker>
          <c:val>
            <c:numRef>
              <c:f>Jul20Event!$C$10:$Z$10</c:f>
              <c:numCache>
                <c:formatCode>0.0000</c:formatCode>
                <c:ptCount val="24"/>
                <c:pt idx="0">
                  <c:v>-2.33657E-2</c:v>
                </c:pt>
                <c:pt idx="1">
                  <c:v>-4.2111500000000003E-2</c:v>
                </c:pt>
                <c:pt idx="2">
                  <c:v>-5.4453800000000024E-2</c:v>
                </c:pt>
                <c:pt idx="3">
                  <c:v>-5.45712E-2</c:v>
                </c:pt>
                <c:pt idx="4">
                  <c:v>-1.9932300000000003E-2</c:v>
                </c:pt>
                <c:pt idx="5">
                  <c:v>-5.3764800000000022E-2</c:v>
                </c:pt>
                <c:pt idx="6">
                  <c:v>1.207512E-2</c:v>
                </c:pt>
                <c:pt idx="7">
                  <c:v>-0.20387810000000001</c:v>
                </c:pt>
                <c:pt idx="8">
                  <c:v>-0.31540700000000038</c:v>
                </c:pt>
                <c:pt idx="9">
                  <c:v>-0.36278870000000052</c:v>
                </c:pt>
                <c:pt idx="10">
                  <c:v>-0.44913509999999995</c:v>
                </c:pt>
                <c:pt idx="11">
                  <c:v>-0.13970630000000026</c:v>
                </c:pt>
                <c:pt idx="12">
                  <c:v>-0.20704690000000026</c:v>
                </c:pt>
                <c:pt idx="13">
                  <c:v>-0.13314790000000001</c:v>
                </c:pt>
                <c:pt idx="14">
                  <c:v>-0.13238420000000001</c:v>
                </c:pt>
                <c:pt idx="15">
                  <c:v>-0.22246350000000001</c:v>
                </c:pt>
                <c:pt idx="16">
                  <c:v>-0.32926500000000031</c:v>
                </c:pt>
                <c:pt idx="17">
                  <c:v>-0.38381460000000089</c:v>
                </c:pt>
                <c:pt idx="18">
                  <c:v>-0.55885940000000089</c:v>
                </c:pt>
                <c:pt idx="19">
                  <c:v>-0.52170530000000004</c:v>
                </c:pt>
                <c:pt idx="20">
                  <c:v>-0.29444610000000032</c:v>
                </c:pt>
                <c:pt idx="21">
                  <c:v>-0.276279</c:v>
                </c:pt>
                <c:pt idx="22">
                  <c:v>-0.1206257000000002</c:v>
                </c:pt>
                <c:pt idx="23">
                  <c:v>-0.1023015</c:v>
                </c:pt>
              </c:numCache>
            </c:numRef>
          </c:val>
        </c:ser>
        <c:ser>
          <c:idx val="3"/>
          <c:order val="3"/>
          <c:marker>
            <c:symbol val="none"/>
          </c:marker>
          <c:errBars>
            <c:errDir val="y"/>
            <c:errBarType val="both"/>
            <c:errValType val="fixedVal"/>
            <c:noEndCap val="1"/>
            <c:val val="5"/>
            <c:spPr>
              <a:ln>
                <a:solidFill>
                  <a:schemeClr val="bg1">
                    <a:lumMod val="50000"/>
                  </a:schemeClr>
                </a:solidFill>
                <a:prstDash val="sysDash"/>
              </a:ln>
            </c:spPr>
          </c:errBars>
          <c:val>
            <c:numRef>
              <c:f>Jul20Event!$C$4:$Z$4</c:f>
              <c:numCache>
                <c:formatCode>General</c:formatCode>
                <c:ptCount val="24"/>
                <c:pt idx="11">
                  <c:v>0</c:v>
                </c:pt>
                <c:pt idx="13">
                  <c:v>0</c:v>
                </c:pt>
                <c:pt idx="17">
                  <c:v>0</c:v>
                </c:pt>
              </c:numCache>
            </c:numRef>
          </c:val>
        </c:ser>
        <c:marker val="1"/>
        <c:axId val="152064768"/>
        <c:axId val="152066304"/>
      </c:lineChart>
      <c:catAx>
        <c:axId val="152064768"/>
        <c:scaling>
          <c:orientation val="minMax"/>
        </c:scaling>
        <c:axPos val="b"/>
        <c:tickLblPos val="nextTo"/>
        <c:txPr>
          <a:bodyPr/>
          <a:lstStyle/>
          <a:p>
            <a:pPr>
              <a:defRPr sz="800">
                <a:latin typeface="Calibri" pitchFamily="34" charset="0"/>
              </a:defRPr>
            </a:pPr>
            <a:endParaRPr lang="en-US"/>
          </a:p>
        </c:txPr>
        <c:crossAx val="152066304"/>
        <c:crosses val="autoZero"/>
        <c:auto val="1"/>
        <c:lblAlgn val="ctr"/>
        <c:lblOffset val="100"/>
      </c:catAx>
      <c:valAx>
        <c:axId val="152066304"/>
        <c:scaling>
          <c:orientation val="minMax"/>
          <c:max val="1"/>
          <c:min val="-1"/>
        </c:scaling>
        <c:axPos val="l"/>
        <c:majorGridlines/>
        <c:numFmt formatCode="0.00" sourceLinked="0"/>
        <c:tickLblPos val="nextTo"/>
        <c:txPr>
          <a:bodyPr/>
          <a:lstStyle/>
          <a:p>
            <a:pPr>
              <a:defRPr sz="800">
                <a:latin typeface="Calibri" pitchFamily="34" charset="0"/>
              </a:defRPr>
            </a:pPr>
            <a:endParaRPr lang="en-US"/>
          </a:p>
        </c:txPr>
        <c:crossAx val="152064768"/>
        <c:crosses val="autoZero"/>
        <c:crossBetween val="midCat"/>
      </c:valAx>
    </c:plotArea>
  </c:chart>
  <c:externalData r:id="rId2"/>
</c:chartSpace>
</file>

<file path=word/theme/theme1.xml><?xml version="1.0" encoding="utf-8"?>
<a:theme xmlns:a="http://schemas.openxmlformats.org/drawingml/2006/main" name="Office Theme">
  <a:themeElements>
    <a:clrScheme name="EnerNOC">
      <a:dk1>
        <a:sysClr val="windowText" lastClr="000000"/>
      </a:dk1>
      <a:lt1>
        <a:sysClr val="window" lastClr="FFFFFF"/>
      </a:lt1>
      <a:dk2>
        <a:srgbClr val="003E74"/>
      </a:dk2>
      <a:lt2>
        <a:srgbClr val="EEECE1"/>
      </a:lt2>
      <a:accent1>
        <a:srgbClr val="4C789D"/>
      </a:accent1>
      <a:accent2>
        <a:srgbClr val="7F9EB9"/>
      </a:accent2>
      <a:accent3>
        <a:srgbClr val="CCD8E3"/>
      </a:accent3>
      <a:accent4>
        <a:srgbClr val="DEB408"/>
      </a:accent4>
      <a:accent5>
        <a:srgbClr val="919195"/>
      </a:accent5>
      <a:accent6>
        <a:srgbClr val="F2F5F8"/>
      </a:accent6>
      <a:hlink>
        <a:srgbClr val="0000FF"/>
      </a:hlink>
      <a:folHlink>
        <a:srgbClr val="800080"/>
      </a:folHlink>
    </a:clrScheme>
    <a:fontScheme name="EnerNOC">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9B68E-47C4-47DC-A576-172C375D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EnerNOC Consulting Report Template (Aug 2012)</Template>
  <TotalTime>6</TotalTime>
  <Pages>50</Pages>
  <Words>11362</Words>
  <Characters>64764</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REPORT TITLE</vt:lpstr>
    </vt:vector>
  </TitlesOfParts>
  <Company>GEP</Company>
  <LinksUpToDate>false</LinksUpToDate>
  <CharactersWithSpaces>75975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Rev'd 12/18/2006</dc:subject>
  <dc:creator>kmarrin</dc:creator>
  <cp:lastModifiedBy>kmarrin</cp:lastModifiedBy>
  <cp:revision>3</cp:revision>
  <cp:lastPrinted>2012-11-30T16:28:00Z</cp:lastPrinted>
  <dcterms:created xsi:type="dcterms:W3CDTF">2013-03-18T18:05:00Z</dcterms:created>
  <dcterms:modified xsi:type="dcterms:W3CDTF">2013-03-18T18:11:00Z</dcterms:modified>
</cp:coreProperties>
</file>