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56" w:rsidRDefault="00F33A7A" w:rsidP="00D14F56">
      <w:pPr>
        <w:rPr>
          <w:b/>
        </w:rPr>
      </w:pPr>
      <w:r>
        <w:rPr>
          <w:b/>
        </w:rPr>
        <w:t xml:space="preserve">UCAN </w:t>
      </w:r>
      <w:r w:rsidR="00A2138A">
        <w:rPr>
          <w:b/>
        </w:rPr>
        <w:t>Data Requests</w:t>
      </w:r>
      <w:r w:rsidR="006D02ED">
        <w:rPr>
          <w:b/>
        </w:rPr>
        <w:t xml:space="preserve"> in A.14-11-003, Set 2</w:t>
      </w:r>
    </w:p>
    <w:p w:rsidR="00CB3A34" w:rsidRPr="00C21FA0" w:rsidRDefault="00CB3A34" w:rsidP="00CB3A34">
      <w:pPr>
        <w:rPr>
          <w:rFonts w:asciiTheme="minorHAnsi" w:hAnsiTheme="minorHAnsi"/>
          <w:b/>
        </w:rPr>
      </w:pPr>
      <w:r w:rsidRPr="00C21FA0">
        <w:rPr>
          <w:rFonts w:asciiTheme="minorHAnsi" w:hAnsiTheme="minorHAnsi"/>
          <w:b/>
        </w:rPr>
        <w:t>UCAN Data Requests in A.14-11-003, Set 1</w:t>
      </w:r>
    </w:p>
    <w:p w:rsidR="00CB3A34" w:rsidRDefault="00CB3A34" w:rsidP="00CB3A34">
      <w:pPr>
        <w:contextualSpacing/>
        <w:rPr>
          <w:b/>
        </w:rPr>
      </w:pPr>
    </w:p>
    <w:p w:rsidR="00CB3A34" w:rsidRPr="00525464" w:rsidRDefault="00CB3A34" w:rsidP="00CB3A34">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Pr>
          <w:rFonts w:asciiTheme="minorHAnsi" w:hAnsiTheme="minorHAnsi"/>
        </w:rPr>
        <w:t>March 24, 2015</w:t>
      </w:r>
    </w:p>
    <w:p w:rsidR="00CB3A34" w:rsidRPr="00525464" w:rsidRDefault="00CB3A34" w:rsidP="00CB3A34">
      <w:pPr>
        <w:tabs>
          <w:tab w:val="left" w:pos="5040"/>
          <w:tab w:val="left" w:pos="9360"/>
        </w:tabs>
        <w:contextualSpacing/>
        <w:rPr>
          <w:rFonts w:asciiTheme="minorHAnsi" w:hAnsiTheme="minorHAnsi"/>
        </w:rPr>
      </w:pPr>
    </w:p>
    <w:p w:rsidR="00CB3A34" w:rsidRPr="00525464" w:rsidRDefault="00CB3A34" w:rsidP="00CB3A34">
      <w:pPr>
        <w:tabs>
          <w:tab w:val="left" w:pos="5040"/>
          <w:tab w:val="left" w:pos="9360"/>
        </w:tabs>
        <w:contextualSpacing/>
        <w:rPr>
          <w:rFonts w:asciiTheme="minorHAnsi" w:hAnsiTheme="minorHAnsi"/>
        </w:rPr>
      </w:pPr>
      <w:r w:rsidRPr="00525464">
        <w:rPr>
          <w:rFonts w:asciiTheme="minorHAnsi" w:hAnsiTheme="minorHAnsi"/>
        </w:rPr>
        <w:t>Responses</w:t>
      </w:r>
    </w:p>
    <w:p w:rsidR="00CB3A34" w:rsidRPr="00525464" w:rsidRDefault="00CB3A34" w:rsidP="00CB3A34">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Pr>
          <w:rFonts w:asciiTheme="minorHAnsi" w:hAnsiTheme="minorHAnsi"/>
        </w:rPr>
        <w:t>April 3, 2015</w:t>
      </w:r>
    </w:p>
    <w:p w:rsidR="00CB3A34" w:rsidRPr="00525464" w:rsidRDefault="00CB3A34" w:rsidP="00CB3A34">
      <w:pPr>
        <w:contextualSpacing/>
        <w:rPr>
          <w:rFonts w:asciiTheme="minorHAnsi" w:eastAsia="Calibri" w:hAnsiTheme="minorHAnsi"/>
        </w:rPr>
      </w:pPr>
    </w:p>
    <w:p w:rsidR="00CB3A34" w:rsidRDefault="00CB3A34" w:rsidP="00CB3A34">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CB3A34" w:rsidRPr="00525464" w:rsidRDefault="00CB3A34" w:rsidP="00CB3A34">
      <w:pPr>
        <w:ind w:left="1440"/>
        <w:contextualSpacing/>
        <w:rPr>
          <w:rFonts w:asciiTheme="minorHAnsi" w:eastAsia="Calibri" w:hAnsiTheme="minorHAnsi"/>
        </w:rPr>
      </w:pPr>
      <w:r>
        <w:rPr>
          <w:rFonts w:asciiTheme="minorHAnsi" w:eastAsia="Calibri" w:hAnsiTheme="minorHAnsi"/>
        </w:rPr>
        <w:t>John Pacheco</w:t>
      </w:r>
    </w:p>
    <w:p w:rsidR="00CB3A34" w:rsidRPr="00525464" w:rsidRDefault="00CB3A34" w:rsidP="00CB3A34">
      <w:pPr>
        <w:contextualSpacing/>
        <w:rPr>
          <w:rFonts w:asciiTheme="minorHAnsi" w:eastAsia="Calibri" w:hAnsiTheme="minorHAnsi"/>
        </w:rPr>
      </w:pPr>
    </w:p>
    <w:p w:rsidR="00CB3A34" w:rsidRPr="00525464" w:rsidRDefault="00CB3A34" w:rsidP="00CB3A34">
      <w:pPr>
        <w:ind w:left="1440"/>
        <w:contextualSpacing/>
        <w:rPr>
          <w:rFonts w:asciiTheme="minorHAnsi" w:eastAsia="Calibri" w:hAnsiTheme="minorHAnsi"/>
        </w:rPr>
      </w:pPr>
    </w:p>
    <w:p w:rsidR="00CB3A34" w:rsidRDefault="00CB3A34" w:rsidP="00CB3A34">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CB3A34" w:rsidRDefault="00CB3A34" w:rsidP="00CB3A34">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CB3A34" w:rsidRDefault="00CB3A34" w:rsidP="00CB3A34">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CB3A34" w:rsidRDefault="00CB3A34" w:rsidP="00CB3A34">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CB3A34" w:rsidRPr="00C21FA0" w:rsidRDefault="00CB3A34" w:rsidP="00CB3A34">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CB3A34" w:rsidRPr="00525464" w:rsidRDefault="00CB3A34" w:rsidP="00CB3A34">
      <w:pPr>
        <w:ind w:left="1440"/>
        <w:contextualSpacing/>
        <w:rPr>
          <w:rFonts w:asciiTheme="minorHAnsi" w:eastAsia="Calibri" w:hAnsiTheme="minorHAnsi"/>
        </w:rPr>
      </w:pPr>
      <w:r w:rsidRPr="00525464">
        <w:rPr>
          <w:rFonts w:asciiTheme="minorHAnsi" w:eastAsia="Calibri" w:hAnsiTheme="minorHAnsi"/>
        </w:rPr>
        <w:br/>
      </w:r>
    </w:p>
    <w:p w:rsidR="00CB3A34" w:rsidRPr="00525464" w:rsidRDefault="00CB3A34" w:rsidP="00CB3A34">
      <w:pPr>
        <w:contextualSpacing/>
        <w:rPr>
          <w:rFonts w:asciiTheme="minorHAnsi" w:eastAsia="Calibri" w:hAnsiTheme="minorHAnsi"/>
        </w:rPr>
      </w:pPr>
      <w:r>
        <w:rPr>
          <w:rFonts w:asciiTheme="minorHAnsi" w:eastAsia="Calibri" w:hAnsiTheme="minorHAnsi"/>
        </w:rPr>
        <w:t>Data Request No: 2</w:t>
      </w:r>
    </w:p>
    <w:p w:rsidR="00CB3A34" w:rsidRPr="00525464" w:rsidRDefault="00CB3A34" w:rsidP="00CB3A34">
      <w:pPr>
        <w:contextualSpacing/>
        <w:rPr>
          <w:rFonts w:asciiTheme="minorHAnsi" w:eastAsia="Calibri" w:hAnsiTheme="minorHAnsi"/>
        </w:rPr>
      </w:pPr>
      <w:r w:rsidRPr="00525464">
        <w:rPr>
          <w:rFonts w:asciiTheme="minorHAnsi" w:eastAsia="Calibri" w:hAnsiTheme="minorHAnsi"/>
        </w:rPr>
        <w:t>(Please see instructions below)</w:t>
      </w:r>
    </w:p>
    <w:p w:rsidR="00CB3A34" w:rsidRPr="00525464" w:rsidRDefault="00CB3A34" w:rsidP="00CB3A34">
      <w:pPr>
        <w:rPr>
          <w:rFonts w:asciiTheme="minorHAnsi" w:hAnsiTheme="minorHAnsi"/>
          <w:b/>
        </w:rPr>
      </w:pPr>
    </w:p>
    <w:p w:rsidR="00CB3A34" w:rsidRPr="00525464" w:rsidRDefault="00CB3A34" w:rsidP="00CB3A34">
      <w:pPr>
        <w:ind w:left="1440" w:hanging="1440"/>
        <w:rPr>
          <w:rFonts w:asciiTheme="minorHAnsi" w:hAnsiTheme="minorHAnsi"/>
          <w:b/>
        </w:rPr>
      </w:pPr>
    </w:p>
    <w:p w:rsidR="00CB3A34" w:rsidRPr="00525464" w:rsidRDefault="00CB3A34" w:rsidP="00CB3A34">
      <w:pPr>
        <w:rPr>
          <w:rFonts w:asciiTheme="minorHAnsi" w:hAnsiTheme="minorHAnsi"/>
          <w:b/>
        </w:rPr>
      </w:pPr>
      <w:r w:rsidRPr="00525464">
        <w:rPr>
          <w:rFonts w:asciiTheme="minorHAnsi" w:hAnsiTheme="minorHAnsi"/>
          <w:b/>
        </w:rPr>
        <w:t>INSTRUCTIONS:</w:t>
      </w:r>
    </w:p>
    <w:p w:rsidR="00CB3A34" w:rsidRPr="00525464" w:rsidRDefault="00CB3A34" w:rsidP="00CB3A34">
      <w:pPr>
        <w:rPr>
          <w:rFonts w:asciiTheme="minorHAnsi" w:hAnsiTheme="minorHAnsi"/>
        </w:rPr>
      </w:pPr>
    </w:p>
    <w:p w:rsidR="00CB3A34" w:rsidRPr="00525464" w:rsidRDefault="00CB3A34" w:rsidP="00CB3A34">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CB3A34" w:rsidRPr="00525464" w:rsidRDefault="00CB3A34" w:rsidP="00CB3A34">
      <w:pPr>
        <w:rPr>
          <w:rFonts w:asciiTheme="minorHAnsi" w:hAnsiTheme="minorHAnsi"/>
        </w:rPr>
      </w:pPr>
    </w:p>
    <w:p w:rsidR="00CB3A34" w:rsidRPr="00525464" w:rsidRDefault="00CB3A34" w:rsidP="00CB3A34">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CB3A34" w:rsidRPr="00525464" w:rsidRDefault="00CB3A34" w:rsidP="00CB3A34">
      <w:pPr>
        <w:pStyle w:val="DefaultText"/>
        <w:rPr>
          <w:rFonts w:asciiTheme="minorHAnsi" w:hAnsiTheme="minorHAnsi"/>
          <w:szCs w:val="24"/>
        </w:rPr>
      </w:pPr>
    </w:p>
    <w:p w:rsidR="00CB3A34" w:rsidRPr="00525464" w:rsidRDefault="00CB3A34" w:rsidP="00CB3A34">
      <w:pPr>
        <w:pStyle w:val="DefaultText"/>
        <w:ind w:firstLine="720"/>
        <w:rPr>
          <w:rFonts w:asciiTheme="minorHAnsi" w:hAnsiTheme="minorHAnsi"/>
          <w:szCs w:val="24"/>
        </w:rPr>
      </w:pPr>
      <w:r w:rsidRPr="00525464">
        <w:rPr>
          <w:rFonts w:asciiTheme="minorHAnsi" w:hAnsiTheme="minorHAnsi"/>
          <w:szCs w:val="24"/>
        </w:rPr>
        <w:t xml:space="preserve">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w:t>
      </w:r>
      <w:r w:rsidRPr="00525464">
        <w:rPr>
          <w:rFonts w:asciiTheme="minorHAnsi" w:hAnsiTheme="minorHAnsi"/>
          <w:szCs w:val="24"/>
        </w:rPr>
        <w:lastRenderedPageBreak/>
        <w:t>redaction.  Please identify the person who provides the response and his (her) phone number.  Provide electronic responses if possible.</w:t>
      </w:r>
    </w:p>
    <w:p w:rsidR="00CB3A34" w:rsidRPr="00525464" w:rsidRDefault="00CB3A34" w:rsidP="00CB3A34">
      <w:pPr>
        <w:pStyle w:val="DefaultText"/>
        <w:ind w:firstLine="720"/>
        <w:rPr>
          <w:rFonts w:asciiTheme="minorHAnsi" w:hAnsiTheme="minorHAnsi"/>
          <w:szCs w:val="24"/>
        </w:rPr>
      </w:pPr>
    </w:p>
    <w:p w:rsidR="00CB3A34" w:rsidRPr="00525464" w:rsidRDefault="00CB3A34" w:rsidP="00CB3A34">
      <w:pPr>
        <w:pStyle w:val="DefaultText"/>
        <w:ind w:firstLine="720"/>
        <w:rPr>
          <w:rFonts w:asciiTheme="minorHAnsi" w:hAnsiTheme="minorHAnsi"/>
          <w:szCs w:val="24"/>
        </w:rPr>
      </w:pPr>
      <w:r w:rsidRPr="00525464">
        <w:rPr>
          <w:rFonts w:asciiTheme="minorHAnsi" w:hAnsiTheme="minorHAnsi"/>
          <w:szCs w:val="24"/>
        </w:rPr>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CB3A34" w:rsidRPr="00525464" w:rsidRDefault="00CB3A34" w:rsidP="00CB3A34">
      <w:pPr>
        <w:pStyle w:val="DefaultText"/>
        <w:rPr>
          <w:rFonts w:asciiTheme="minorHAnsi" w:hAnsiTheme="minorHAnsi"/>
          <w:szCs w:val="24"/>
        </w:rPr>
      </w:pPr>
    </w:p>
    <w:p w:rsidR="00CB3A34" w:rsidRPr="00525464" w:rsidRDefault="00CB3A34" w:rsidP="00CB3A34">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CB3A34" w:rsidRDefault="00CB3A34" w:rsidP="00CB3A34">
      <w:pPr>
        <w:rPr>
          <w:b/>
        </w:rPr>
      </w:pPr>
    </w:p>
    <w:p w:rsidR="00B35BA2" w:rsidRDefault="00B35BA2" w:rsidP="00D14F56">
      <w:pPr>
        <w:rPr>
          <w:b/>
        </w:rPr>
      </w:pPr>
    </w:p>
    <w:p w:rsidR="00B35BA2" w:rsidRPr="00F50922" w:rsidRDefault="00B35BA2" w:rsidP="00B35BA2">
      <w:pPr>
        <w:pStyle w:val="ListParagraph"/>
        <w:numPr>
          <w:ilvl w:val="0"/>
          <w:numId w:val="5"/>
        </w:numPr>
      </w:pPr>
      <w:r>
        <w:t xml:space="preserve">SDG&amp;E’s 10-K was filed on February 26, 2015. Please provide updated responses to the following questions from UCAN Data Request-001: 16-18, 48-50, </w:t>
      </w:r>
      <w:r w:rsidR="00AF0FB4">
        <w:t>54-</w:t>
      </w:r>
      <w:r>
        <w:t>55.</w:t>
      </w:r>
    </w:p>
    <w:p w:rsidR="00F33A7A" w:rsidRDefault="00F33A7A" w:rsidP="00D14F56">
      <w:pPr>
        <w:rPr>
          <w:b/>
        </w:rPr>
      </w:pPr>
    </w:p>
    <w:p w:rsidR="0061481F" w:rsidRDefault="0061481F" w:rsidP="0061481F">
      <w:pPr>
        <w:keepNext/>
        <w:keepLines/>
        <w:rPr>
          <w:b/>
        </w:rPr>
      </w:pPr>
      <w:r w:rsidRPr="00F50922">
        <w:rPr>
          <w:b/>
        </w:rPr>
        <w:t xml:space="preserve">The </w:t>
      </w:r>
      <w:r>
        <w:rPr>
          <w:b/>
        </w:rPr>
        <w:t>following questions relate to Mr. Baugh’s testimony for SDG&amp;E (SDG&amp;E-14</w:t>
      </w:r>
      <w:r w:rsidRPr="00F50922">
        <w:rPr>
          <w:b/>
        </w:rPr>
        <w:t>)</w:t>
      </w:r>
    </w:p>
    <w:p w:rsidR="00703DC4" w:rsidRDefault="0061481F" w:rsidP="0061481F">
      <w:pPr>
        <w:pStyle w:val="ListParagraph"/>
        <w:numPr>
          <w:ilvl w:val="0"/>
          <w:numId w:val="5"/>
        </w:numPr>
        <w:spacing w:after="120"/>
        <w:contextualSpacing w:val="0"/>
      </w:pPr>
      <w:r w:rsidRPr="0061481F">
        <w:t xml:space="preserve">Regarding </w:t>
      </w:r>
      <w:r w:rsidR="00DC152B">
        <w:t>SDG&amp;E</w:t>
      </w:r>
      <w:r w:rsidR="00DC152B" w:rsidRPr="0061481F">
        <w:t xml:space="preserve"> </w:t>
      </w:r>
      <w:r w:rsidRPr="0061481F">
        <w:t xml:space="preserve">response to UCAN Data Request-001 Question 36b: </w:t>
      </w:r>
    </w:p>
    <w:p w:rsidR="00703DC4" w:rsidRDefault="0061481F" w:rsidP="00CE178A">
      <w:pPr>
        <w:pStyle w:val="ListParagraph"/>
        <w:numPr>
          <w:ilvl w:val="1"/>
          <w:numId w:val="5"/>
        </w:numPr>
        <w:spacing w:after="120"/>
        <w:contextualSpacing w:val="0"/>
      </w:pPr>
      <w:r w:rsidRPr="0061481F">
        <w:t>Has SDG&amp;E investigated the possibility of allowing payment processing via credit and debit card at all APL locations?</w:t>
      </w:r>
      <w:r>
        <w:t xml:space="preserve"> </w:t>
      </w:r>
      <w:r w:rsidR="00703DC4">
        <w:t>If so, please summarize the results of the investigation, including any plans for expanding options for credit and debit card payment.</w:t>
      </w:r>
    </w:p>
    <w:p w:rsidR="00703DC4" w:rsidRDefault="00703DC4" w:rsidP="00CE178A">
      <w:pPr>
        <w:pStyle w:val="ListParagraph"/>
        <w:numPr>
          <w:ilvl w:val="1"/>
          <w:numId w:val="5"/>
        </w:numPr>
        <w:spacing w:after="120"/>
        <w:contextualSpacing w:val="0"/>
      </w:pPr>
      <w:r>
        <w:t xml:space="preserve">Please describe the barriers to </w:t>
      </w:r>
      <w:r w:rsidRPr="0061481F">
        <w:t>allowing payment processing via credit and debit card at all APL locations</w:t>
      </w:r>
      <w:r>
        <w:t>.</w:t>
      </w:r>
    </w:p>
    <w:p w:rsidR="0061481F" w:rsidRPr="0061481F" w:rsidRDefault="00703DC4" w:rsidP="00CE178A">
      <w:pPr>
        <w:pStyle w:val="ListParagraph"/>
        <w:numPr>
          <w:ilvl w:val="1"/>
          <w:numId w:val="5"/>
        </w:numPr>
        <w:spacing w:after="120"/>
        <w:contextualSpacing w:val="0"/>
      </w:pPr>
      <w:r>
        <w:t>For each APL location that currently does not allow</w:t>
      </w:r>
      <w:r w:rsidRPr="0061481F">
        <w:t xml:space="preserve"> payment processing via credit and debit card</w:t>
      </w:r>
      <w:r>
        <w:t>, please provide the date (if any) at which these payment options will start to be accepted.</w:t>
      </w:r>
    </w:p>
    <w:p w:rsidR="0051221F" w:rsidRPr="009E3D96" w:rsidRDefault="0061481F" w:rsidP="0061481F">
      <w:pPr>
        <w:pStyle w:val="ListParagraph"/>
        <w:numPr>
          <w:ilvl w:val="0"/>
          <w:numId w:val="5"/>
        </w:numPr>
        <w:spacing w:after="120"/>
        <w:contextualSpacing w:val="0"/>
        <w:rPr>
          <w:b/>
        </w:rPr>
      </w:pPr>
      <w:r w:rsidRPr="0061481F">
        <w:t>Regarding S</w:t>
      </w:r>
      <w:r w:rsidR="00DC152B">
        <w:t>DG&amp;</w:t>
      </w:r>
      <w:r w:rsidRPr="0061481F">
        <w:t>E’s response to UCAN D</w:t>
      </w:r>
      <w:r>
        <w:t xml:space="preserve">ata Request-001 Question 14: </w:t>
      </w:r>
    </w:p>
    <w:p w:rsidR="0061481F" w:rsidRPr="009E3D96" w:rsidRDefault="0061481F" w:rsidP="009E3D96">
      <w:pPr>
        <w:pStyle w:val="ListParagraph"/>
        <w:numPr>
          <w:ilvl w:val="1"/>
          <w:numId w:val="5"/>
        </w:numPr>
        <w:spacing w:after="120"/>
        <w:contextualSpacing w:val="0"/>
        <w:rPr>
          <w:b/>
        </w:rPr>
      </w:pPr>
      <w:r>
        <w:t xml:space="preserve">Please provide all reports and documentation resulting from the four in-person focus groups that were conducted on the bill redesign </w:t>
      </w:r>
      <w:proofErr w:type="gramStart"/>
      <w:r>
        <w:t>project</w:t>
      </w:r>
      <w:proofErr w:type="gramEnd"/>
      <w:r>
        <w:t>.</w:t>
      </w:r>
    </w:p>
    <w:p w:rsidR="0051221F" w:rsidRPr="0061481F" w:rsidRDefault="0051221F" w:rsidP="009E3D96">
      <w:pPr>
        <w:pStyle w:val="ListParagraph"/>
        <w:numPr>
          <w:ilvl w:val="1"/>
          <w:numId w:val="5"/>
        </w:numPr>
        <w:spacing w:after="120"/>
        <w:contextualSpacing w:val="0"/>
        <w:rPr>
          <w:b/>
        </w:rPr>
      </w:pPr>
      <w:r>
        <w:t>Please provide a copy of all questionnaires and other materials provided to the focus group participants.</w:t>
      </w:r>
    </w:p>
    <w:p w:rsidR="0051221F" w:rsidRPr="009E3D96" w:rsidRDefault="0051221F" w:rsidP="0061481F">
      <w:pPr>
        <w:pStyle w:val="ListParagraph"/>
        <w:numPr>
          <w:ilvl w:val="0"/>
          <w:numId w:val="5"/>
        </w:numPr>
        <w:spacing w:after="120"/>
        <w:contextualSpacing w:val="0"/>
        <w:rPr>
          <w:b/>
        </w:rPr>
      </w:pPr>
      <w:r>
        <w:t>Regarding the Bill Redesign project:</w:t>
      </w:r>
    </w:p>
    <w:p w:rsidR="0061481F" w:rsidRPr="009E3D96" w:rsidRDefault="0061481F" w:rsidP="009E3D96">
      <w:pPr>
        <w:pStyle w:val="ListParagraph"/>
        <w:numPr>
          <w:ilvl w:val="1"/>
          <w:numId w:val="5"/>
        </w:numPr>
        <w:spacing w:after="120"/>
        <w:contextualSpacing w:val="0"/>
        <w:rPr>
          <w:b/>
        </w:rPr>
      </w:pPr>
      <w:r>
        <w:t>Please provide the total expenditure to date on the bill redesign project including cost</w:t>
      </w:r>
      <w:r w:rsidR="001F3C01">
        <w:t>s</w:t>
      </w:r>
      <w:r>
        <w:t xml:space="preserve"> for </w:t>
      </w:r>
      <w:r w:rsidR="001F3C01">
        <w:t>all focus groups, surveys and other efforts.</w:t>
      </w:r>
      <w:r w:rsidR="0051221F">
        <w:t xml:space="preserve"> </w:t>
      </w:r>
    </w:p>
    <w:p w:rsidR="0051221F" w:rsidRPr="009E3D96" w:rsidRDefault="0051221F" w:rsidP="009E3D96">
      <w:pPr>
        <w:pStyle w:val="ListParagraph"/>
        <w:numPr>
          <w:ilvl w:val="1"/>
          <w:numId w:val="5"/>
        </w:numPr>
        <w:spacing w:after="120"/>
        <w:contextualSpacing w:val="0"/>
        <w:rPr>
          <w:b/>
        </w:rPr>
      </w:pPr>
      <w:r>
        <w:t xml:space="preserve">Please provide a detailed breakdown of </w:t>
      </w:r>
      <w:r w:rsidR="00CE178A">
        <w:t>(</w:t>
      </w:r>
      <w:proofErr w:type="spellStart"/>
      <w:r w:rsidR="00CE178A">
        <w:t>i</w:t>
      </w:r>
      <w:proofErr w:type="spellEnd"/>
      <w:r w:rsidR="00CE178A">
        <w:t xml:space="preserve">) </w:t>
      </w:r>
      <w:r>
        <w:t xml:space="preserve">past and </w:t>
      </w:r>
      <w:r w:rsidR="00CE178A">
        <w:t xml:space="preserve">(ii) </w:t>
      </w:r>
      <w:r>
        <w:t xml:space="preserve">forecasted expenditures for the bill redesign project by general category </w:t>
      </w:r>
      <w:r>
        <w:lastRenderedPageBreak/>
        <w:t>including: focus groups, customer studies, bill design, implementation, etc. Please expand on this list of categories as appropriate.</w:t>
      </w:r>
    </w:p>
    <w:p w:rsidR="0051221F" w:rsidRPr="009E3D96" w:rsidRDefault="0051221F" w:rsidP="009E3D96">
      <w:pPr>
        <w:ind w:left="360"/>
        <w:rPr>
          <w:b/>
        </w:rPr>
      </w:pPr>
    </w:p>
    <w:p w:rsidR="008443B6" w:rsidRPr="008443B6" w:rsidRDefault="008443B6" w:rsidP="00F33A7A">
      <w:pPr>
        <w:rPr>
          <w:b/>
        </w:rPr>
      </w:pPr>
      <w:r>
        <w:rPr>
          <w:b/>
        </w:rPr>
        <w:t xml:space="preserve">The following questions relate to Mr. </w:t>
      </w:r>
      <w:proofErr w:type="spellStart"/>
      <w:r>
        <w:rPr>
          <w:b/>
        </w:rPr>
        <w:t>Schiermeyer’s</w:t>
      </w:r>
      <w:proofErr w:type="spellEnd"/>
      <w:r>
        <w:rPr>
          <w:b/>
        </w:rPr>
        <w:t xml:space="preserve"> testimony </w:t>
      </w:r>
      <w:r w:rsidR="00927C17">
        <w:rPr>
          <w:b/>
        </w:rPr>
        <w:t xml:space="preserve">for SDG&amp;E </w:t>
      </w:r>
      <w:r>
        <w:rPr>
          <w:b/>
        </w:rPr>
        <w:t>(SDG&amp;E-31)</w:t>
      </w:r>
    </w:p>
    <w:p w:rsidR="006D02ED" w:rsidRDefault="006D02ED" w:rsidP="003058FA">
      <w:pPr>
        <w:pStyle w:val="ListParagraph"/>
        <w:numPr>
          <w:ilvl w:val="0"/>
          <w:numId w:val="5"/>
        </w:numPr>
        <w:spacing w:after="120"/>
        <w:contextualSpacing w:val="0"/>
      </w:pPr>
      <w:r w:rsidRPr="006D02ED">
        <w:t xml:space="preserve">Please provide a copy of </w:t>
      </w:r>
      <w:r>
        <w:t xml:space="preserve">all of </w:t>
      </w:r>
      <w:r w:rsidRPr="006D02ED">
        <w:t xml:space="preserve">the data tables </w:t>
      </w:r>
      <w:r w:rsidR="009324BA">
        <w:t xml:space="preserve">and charts </w:t>
      </w:r>
      <w:r w:rsidRPr="006D02ED">
        <w:t xml:space="preserve">included in Mr. </w:t>
      </w:r>
      <w:proofErr w:type="spellStart"/>
      <w:r w:rsidRPr="006D02ED">
        <w:t>Schiermeyer’s</w:t>
      </w:r>
      <w:proofErr w:type="spellEnd"/>
      <w:r w:rsidRPr="006D02ED">
        <w:t xml:space="preserve"> </w:t>
      </w:r>
      <w:proofErr w:type="spellStart"/>
      <w:r w:rsidRPr="006D02ED">
        <w:t>workpapers</w:t>
      </w:r>
      <w:proofErr w:type="spellEnd"/>
      <w:r w:rsidRPr="006D02ED">
        <w:t xml:space="preserve"> in electronic format. If </w:t>
      </w:r>
      <w:r w:rsidR="00F0417D">
        <w:t>E</w:t>
      </w:r>
      <w:r w:rsidR="00F0417D" w:rsidRPr="006D02ED">
        <w:t xml:space="preserve">xcel </w:t>
      </w:r>
      <w:proofErr w:type="spellStart"/>
      <w:r w:rsidR="00F0417D">
        <w:t>workpapers</w:t>
      </w:r>
      <w:proofErr w:type="spellEnd"/>
      <w:r w:rsidR="00F0417D">
        <w:t xml:space="preserve"> are</w:t>
      </w:r>
      <w:r w:rsidRPr="006D02ED">
        <w:t xml:space="preserve"> unavailable please provi</w:t>
      </w:r>
      <w:r>
        <w:t>de the data tables as .</w:t>
      </w:r>
      <w:proofErr w:type="spellStart"/>
      <w:r>
        <w:t>csv</w:t>
      </w:r>
      <w:proofErr w:type="spellEnd"/>
      <w:r>
        <w:t xml:space="preserve"> files or in some other electronically readable format.</w:t>
      </w:r>
    </w:p>
    <w:p w:rsidR="00A60203" w:rsidRDefault="00A60203" w:rsidP="003058FA">
      <w:pPr>
        <w:pStyle w:val="ListParagraph"/>
        <w:numPr>
          <w:ilvl w:val="0"/>
          <w:numId w:val="5"/>
        </w:numPr>
        <w:spacing w:after="120"/>
        <w:contextualSpacing w:val="0"/>
      </w:pPr>
      <w:r>
        <w:t>Please provide the</w:t>
      </w:r>
      <w:r w:rsidR="00BF3144">
        <w:t xml:space="preserve"> STATA/SAS/other statistical software</w:t>
      </w:r>
      <w:r>
        <w:t xml:space="preserve"> code used to develop the electric customer forecast in .txt or similar format that enables copying and pasting.</w:t>
      </w:r>
    </w:p>
    <w:p w:rsidR="00596718" w:rsidRDefault="00A60203" w:rsidP="00596718">
      <w:pPr>
        <w:pStyle w:val="ListParagraph"/>
        <w:numPr>
          <w:ilvl w:val="0"/>
          <w:numId w:val="5"/>
        </w:numPr>
        <w:spacing w:after="120"/>
        <w:contextualSpacing w:val="0"/>
      </w:pPr>
      <w:r>
        <w:t>Please provide the log file generated during SDG&amp;E’s completion of</w:t>
      </w:r>
      <w:r w:rsidR="00596718">
        <w:t xml:space="preserve"> the electric customer forecast in .txt or similar format that enables copying and pasting.</w:t>
      </w:r>
    </w:p>
    <w:p w:rsidR="00F0417D" w:rsidRDefault="00097F46" w:rsidP="003058FA">
      <w:pPr>
        <w:pStyle w:val="ListParagraph"/>
        <w:numPr>
          <w:ilvl w:val="0"/>
          <w:numId w:val="5"/>
        </w:numPr>
        <w:spacing w:after="120"/>
        <w:contextualSpacing w:val="0"/>
      </w:pPr>
      <w:r>
        <w:t xml:space="preserve">Please provide a qualitative step-by-step description of the electric customer model that is outlined on page 3 of the </w:t>
      </w:r>
      <w:proofErr w:type="spellStart"/>
      <w:r>
        <w:t>workpapers</w:t>
      </w:r>
      <w:proofErr w:type="spellEnd"/>
      <w:r>
        <w:t xml:space="preserve">. Please clearly indicate the order of the steps to be taken to complete SDG&amp;E’s analysis. </w:t>
      </w:r>
    </w:p>
    <w:p w:rsidR="00097F46" w:rsidRDefault="00F0417D" w:rsidP="003058FA">
      <w:pPr>
        <w:pStyle w:val="ListParagraph"/>
        <w:numPr>
          <w:ilvl w:val="0"/>
          <w:numId w:val="5"/>
        </w:numPr>
        <w:spacing w:after="120"/>
        <w:contextualSpacing w:val="0"/>
      </w:pPr>
      <w:r>
        <w:t xml:space="preserve">For each </w:t>
      </w:r>
      <w:r w:rsidR="00097F46">
        <w:t xml:space="preserve">numerical value on page 3 </w:t>
      </w:r>
      <w:r>
        <w:t xml:space="preserve">of the </w:t>
      </w:r>
      <w:proofErr w:type="spellStart"/>
      <w:r>
        <w:t>workpapers</w:t>
      </w:r>
      <w:proofErr w:type="spellEnd"/>
      <w:r>
        <w:t xml:space="preserve">, </w:t>
      </w:r>
      <w:r w:rsidR="00097F46">
        <w:t>please indicate th</w:t>
      </w:r>
      <w:r w:rsidR="00936155">
        <w:t xml:space="preserve">e source of </w:t>
      </w:r>
      <w:r>
        <w:t>the</w:t>
      </w:r>
      <w:r w:rsidR="00936155">
        <w:t xml:space="preserve"> value including the mathematical steps required to derive the value.</w:t>
      </w:r>
    </w:p>
    <w:p w:rsidR="009C4344" w:rsidRDefault="009C4344" w:rsidP="009C4344">
      <w:pPr>
        <w:pStyle w:val="ListParagraph"/>
        <w:numPr>
          <w:ilvl w:val="0"/>
          <w:numId w:val="5"/>
        </w:numPr>
        <w:spacing w:after="120"/>
        <w:contextualSpacing w:val="0"/>
      </w:pPr>
      <w:r>
        <w:t xml:space="preserve">The documentation on page 3 of Mr. </w:t>
      </w:r>
      <w:proofErr w:type="spellStart"/>
      <w:r>
        <w:t>Schiermeyer’s</w:t>
      </w:r>
      <w:proofErr w:type="spellEnd"/>
      <w:r>
        <w:t xml:space="preserve"> </w:t>
      </w:r>
      <w:proofErr w:type="spellStart"/>
      <w:r>
        <w:t>workpapers</w:t>
      </w:r>
      <w:proofErr w:type="spellEnd"/>
      <w:r>
        <w:t xml:space="preserve"> appears to indicate that customer counts for tariffs PA, PATOU, CUST_ALTOUI, PAT1, </w:t>
      </w:r>
      <w:proofErr w:type="gramStart"/>
      <w:r>
        <w:t>A6TOU</w:t>
      </w:r>
      <w:proofErr w:type="gramEnd"/>
      <w:r>
        <w:t xml:space="preserve"> are held constant over the forecast period. Is this correct? If so please explain the reason for this approach and provide supporting documentation.</w:t>
      </w:r>
      <w:r w:rsidR="00F0417D">
        <w:t xml:space="preserve"> If not, please clarify the customer count forecast approach for these customer classes.</w:t>
      </w:r>
    </w:p>
    <w:p w:rsidR="00F0417D" w:rsidRDefault="006D02ED" w:rsidP="003058FA">
      <w:pPr>
        <w:pStyle w:val="ListParagraph"/>
        <w:numPr>
          <w:ilvl w:val="0"/>
          <w:numId w:val="5"/>
        </w:numPr>
        <w:spacing w:after="120"/>
        <w:contextualSpacing w:val="0"/>
      </w:pPr>
      <w:r>
        <w:t xml:space="preserve">Regarding SDG&amp;E’s response to UCAN </w:t>
      </w:r>
      <w:r w:rsidR="00936155">
        <w:t xml:space="preserve">Data Request-001 question 25a: </w:t>
      </w:r>
    </w:p>
    <w:p w:rsidR="00F0417D" w:rsidRDefault="00F0417D" w:rsidP="00CE178A">
      <w:pPr>
        <w:pStyle w:val="ListParagraph"/>
        <w:numPr>
          <w:ilvl w:val="1"/>
          <w:numId w:val="5"/>
        </w:numPr>
        <w:spacing w:after="120"/>
        <w:contextualSpacing w:val="0"/>
      </w:pPr>
      <w:r>
        <w:t xml:space="preserve">Please </w:t>
      </w:r>
      <w:r w:rsidR="006D4407">
        <w:t xml:space="preserve">explain why SDG&amp;E used a 5-year </w:t>
      </w:r>
      <w:r>
        <w:t xml:space="preserve">historic </w:t>
      </w:r>
      <w:r w:rsidR="006D4407">
        <w:t>period for the growth rate</w:t>
      </w:r>
      <w:r>
        <w:t xml:space="preserve"> forecast</w:t>
      </w:r>
      <w:r w:rsidR="006D4407">
        <w:t xml:space="preserve"> for </w:t>
      </w:r>
      <w:r w:rsidR="00936155">
        <w:t>th</w:t>
      </w:r>
      <w:r>
        <w:t>os</w:t>
      </w:r>
      <w:r w:rsidR="00936155">
        <w:t>e</w:t>
      </w:r>
      <w:r w:rsidR="006D4407">
        <w:t xml:space="preserve"> customer classes </w:t>
      </w:r>
      <w:r>
        <w:t>whose growth rates</w:t>
      </w:r>
      <w:r w:rsidR="006D4407">
        <w:t xml:space="preserve"> were forecasted usin</w:t>
      </w:r>
      <w:r w:rsidR="00936155">
        <w:t>g an exponential trend</w:t>
      </w:r>
      <w:r>
        <w:t xml:space="preserve">. </w:t>
      </w:r>
    </w:p>
    <w:p w:rsidR="00F0417D" w:rsidRDefault="00F0417D" w:rsidP="00CE178A">
      <w:pPr>
        <w:pStyle w:val="ListParagraph"/>
        <w:numPr>
          <w:ilvl w:val="1"/>
          <w:numId w:val="5"/>
        </w:numPr>
        <w:spacing w:after="120"/>
        <w:contextualSpacing w:val="0"/>
      </w:pPr>
      <w:r>
        <w:t xml:space="preserve">Please specify whether SDG&amp;E considered using a longer historic </w:t>
      </w:r>
      <w:r w:rsidR="00936155">
        <w:t>period</w:t>
      </w:r>
      <w:r>
        <w:t xml:space="preserve"> for these forecasts</w:t>
      </w:r>
      <w:r w:rsidR="00936155">
        <w:t>.</w:t>
      </w:r>
      <w:r>
        <w:t xml:space="preserve"> If so, please explain why SDG&amp;E chose not to use a longer historic period for these forecasts.</w:t>
      </w:r>
    </w:p>
    <w:p w:rsidR="006D02ED" w:rsidRDefault="00F0417D" w:rsidP="00CE178A">
      <w:pPr>
        <w:pStyle w:val="ListParagraph"/>
        <w:numPr>
          <w:ilvl w:val="1"/>
          <w:numId w:val="5"/>
        </w:numPr>
        <w:spacing w:after="120"/>
        <w:contextualSpacing w:val="0"/>
      </w:pPr>
      <w:r>
        <w:t xml:space="preserve">If SDG&amp;E </w:t>
      </w:r>
      <w:r w:rsidR="00E50084">
        <w:t>assessed</w:t>
      </w:r>
      <w:r>
        <w:t xml:space="preserve"> growth rate projections for any of these customer classes based on longer historic periods, please provide the results of these projections</w:t>
      </w:r>
      <w:r w:rsidR="001467A9">
        <w:t xml:space="preserve"> and explain why these projections were rejected in favor of the projections used in this application</w:t>
      </w:r>
      <w:r>
        <w:t>.</w:t>
      </w:r>
    </w:p>
    <w:p w:rsidR="006D4407" w:rsidRDefault="00936155" w:rsidP="003058FA">
      <w:pPr>
        <w:pStyle w:val="ListParagraph"/>
        <w:numPr>
          <w:ilvl w:val="0"/>
          <w:numId w:val="5"/>
        </w:numPr>
        <w:spacing w:after="120"/>
        <w:contextualSpacing w:val="0"/>
      </w:pPr>
      <w:r>
        <w:t xml:space="preserve">Please provide </w:t>
      </w:r>
      <w:r w:rsidR="003424E7">
        <w:t>monthly</w:t>
      </w:r>
      <w:r>
        <w:t xml:space="preserve"> customer count data for all tariffs defined in SDG&amp;E’s Electric Customer Model from </w:t>
      </w:r>
      <w:r w:rsidR="003424E7">
        <w:t>December 1993</w:t>
      </w:r>
      <w:r>
        <w:t xml:space="preserve"> to present. </w:t>
      </w:r>
    </w:p>
    <w:p w:rsidR="003424E7" w:rsidRDefault="003424E7" w:rsidP="003058FA">
      <w:pPr>
        <w:pStyle w:val="ListParagraph"/>
        <w:numPr>
          <w:ilvl w:val="0"/>
          <w:numId w:val="5"/>
        </w:numPr>
        <w:spacing w:after="120"/>
        <w:contextualSpacing w:val="0"/>
      </w:pPr>
      <w:r>
        <w:lastRenderedPageBreak/>
        <w:t>Please explain why SDG&amp;E forecasted LS-2 customer</w:t>
      </w:r>
      <w:r w:rsidR="00C42F32">
        <w:t xml:space="preserve"> count</w:t>
      </w:r>
      <w:r>
        <w:t>s based on residential customer</w:t>
      </w:r>
      <w:r w:rsidR="00C42F32">
        <w:t xml:space="preserve"> count growth</w:t>
      </w:r>
      <w:r>
        <w:t xml:space="preserve"> but forecasted </w:t>
      </w:r>
      <w:r w:rsidR="005B655C">
        <w:t>LS-1 and LS-3 customer</w:t>
      </w:r>
      <w:r w:rsidR="00C42F32">
        <w:t xml:space="preserve"> count</w:t>
      </w:r>
      <w:r w:rsidR="005B655C">
        <w:t>s using a</w:t>
      </w:r>
      <w:r w:rsidR="00C42F32">
        <w:t>n</w:t>
      </w:r>
      <w:r w:rsidR="005B655C">
        <w:t xml:space="preserve"> </w:t>
      </w:r>
      <w:r>
        <w:t>exponential trend approach.</w:t>
      </w:r>
    </w:p>
    <w:p w:rsidR="00936155" w:rsidRDefault="00D13602" w:rsidP="003058FA">
      <w:pPr>
        <w:pStyle w:val="ListParagraph"/>
        <w:numPr>
          <w:ilvl w:val="0"/>
          <w:numId w:val="5"/>
        </w:numPr>
        <w:spacing w:after="120"/>
        <w:contextualSpacing w:val="0"/>
      </w:pPr>
      <w:r>
        <w:t xml:space="preserve">Please explain SDG&amp;E’s </w:t>
      </w:r>
      <w:r w:rsidR="005B655C">
        <w:t>m</w:t>
      </w:r>
      <w:r>
        <w:t>ethodology for completing the customer forecast for EPEVL, EPEVM and EPEVH.</w:t>
      </w:r>
    </w:p>
    <w:p w:rsidR="005B655C" w:rsidRDefault="005B655C" w:rsidP="003058FA">
      <w:pPr>
        <w:pStyle w:val="ListParagraph"/>
        <w:numPr>
          <w:ilvl w:val="0"/>
          <w:numId w:val="5"/>
        </w:numPr>
        <w:spacing w:after="120"/>
        <w:contextualSpacing w:val="0"/>
      </w:pPr>
      <w:r>
        <w:t xml:space="preserve">When </w:t>
      </w:r>
      <w:proofErr w:type="gramStart"/>
      <w:r>
        <w:t>was the Domestic Experimental Plug-In Electric Vehicle Service tariff</w:t>
      </w:r>
      <w:proofErr w:type="gramEnd"/>
      <w:r>
        <w:t xml:space="preserve"> established, when was it open to customers</w:t>
      </w:r>
      <w:r w:rsidR="00C42F32">
        <w:t>,</w:t>
      </w:r>
      <w:r>
        <w:t xml:space="preserve"> and will the tariff be open to new customers throughout the GRC period?</w:t>
      </w:r>
    </w:p>
    <w:p w:rsidR="000102A4" w:rsidRDefault="000102A4" w:rsidP="003058FA">
      <w:pPr>
        <w:pStyle w:val="ListParagraph"/>
        <w:numPr>
          <w:ilvl w:val="0"/>
          <w:numId w:val="5"/>
        </w:numPr>
        <w:spacing w:after="120"/>
        <w:contextualSpacing w:val="0"/>
      </w:pPr>
      <w:r>
        <w:t>Please provide monthly customer counts for all Domestic Experimental Plug-In Electric Vehicle Service tariff customers since the opening of the tariff.</w:t>
      </w:r>
    </w:p>
    <w:p w:rsidR="00C600D1" w:rsidRDefault="00C600D1" w:rsidP="003058FA">
      <w:pPr>
        <w:pStyle w:val="ListParagraph"/>
        <w:numPr>
          <w:ilvl w:val="0"/>
          <w:numId w:val="5"/>
        </w:numPr>
        <w:spacing w:after="120"/>
        <w:contextualSpacing w:val="0"/>
      </w:pPr>
      <w:r>
        <w:t xml:space="preserve">Regarding SDG&amp;E’s </w:t>
      </w:r>
      <w:r w:rsidR="006119B5">
        <w:t>Original and Supplemental</w:t>
      </w:r>
      <w:r>
        <w:t xml:space="preserve"> Response</w:t>
      </w:r>
      <w:r w:rsidR="0011077F">
        <w:t>s</w:t>
      </w:r>
      <w:r>
        <w:t xml:space="preserve"> to UCAN Data Request-001 Questions 26-28:</w:t>
      </w:r>
    </w:p>
    <w:p w:rsidR="00C42F32" w:rsidRDefault="0031678F" w:rsidP="00C600D1">
      <w:pPr>
        <w:pStyle w:val="ListParagraph"/>
        <w:numPr>
          <w:ilvl w:val="1"/>
          <w:numId w:val="5"/>
        </w:numPr>
        <w:spacing w:after="120"/>
        <w:contextualSpacing w:val="0"/>
      </w:pPr>
      <w:r>
        <w:t xml:space="preserve">SDG&amp;E has indicated that the variable “HUSTS_SDGE” used in its model is based on the IHS variable “Housing Starts, Total Private” </w:t>
      </w:r>
      <w:r w:rsidRPr="0031678F">
        <w:t>modified to include the small portion of Orange County, CA that is included in SDG&amp;E’s service territory.</w:t>
      </w:r>
      <w:r>
        <w:t xml:space="preserve"> Please explain the methodology SDG&amp;E uses to modify the “Housing Starts. Total Private” data to account for SDG&amp;E’s Orange County service area. </w:t>
      </w:r>
    </w:p>
    <w:p w:rsidR="0031678F" w:rsidRDefault="0031678F" w:rsidP="00C600D1">
      <w:pPr>
        <w:pStyle w:val="ListParagraph"/>
        <w:numPr>
          <w:ilvl w:val="1"/>
          <w:numId w:val="5"/>
        </w:numPr>
        <w:spacing w:after="120"/>
        <w:contextualSpacing w:val="0"/>
      </w:pPr>
      <w:r>
        <w:t xml:space="preserve">Please provide updated values for “HUSTS_SDGE” </w:t>
      </w:r>
      <w:r w:rsidR="007E7B83">
        <w:t xml:space="preserve">for each quarter 2014-2018 </w:t>
      </w:r>
      <w:r>
        <w:t xml:space="preserve">based on the “Housing Starts, Total Private” data provided in SDG&amp;E’s supplemental response. </w:t>
      </w:r>
    </w:p>
    <w:p w:rsidR="00C42F32" w:rsidRDefault="0031678F" w:rsidP="00666F01">
      <w:pPr>
        <w:pStyle w:val="ListParagraph"/>
        <w:numPr>
          <w:ilvl w:val="1"/>
          <w:numId w:val="5"/>
        </w:numPr>
        <w:spacing w:after="120"/>
        <w:contextualSpacing w:val="0"/>
      </w:pPr>
      <w:r>
        <w:t xml:space="preserve">Please describe the relationship between “HUSTS_7320” in SDG&amp;E’s model and the IHS variable “Housing Starts, Total Private.” </w:t>
      </w:r>
    </w:p>
    <w:p w:rsidR="00E009C2" w:rsidRDefault="007E7B83" w:rsidP="00666F01">
      <w:pPr>
        <w:pStyle w:val="ListParagraph"/>
        <w:numPr>
          <w:ilvl w:val="1"/>
          <w:numId w:val="5"/>
        </w:numPr>
        <w:spacing w:after="120"/>
        <w:contextualSpacing w:val="0"/>
      </w:pPr>
      <w:r>
        <w:t>Please provide updated values for “HUSTS_7320” for each quarter 2014-2018 based on the “Housing Starts, Total Private” data provided in SDG&amp;E’s supplemental response.</w:t>
      </w:r>
    </w:p>
    <w:p w:rsidR="00961187" w:rsidRDefault="00945F64" w:rsidP="00961187">
      <w:pPr>
        <w:pStyle w:val="ListParagraph"/>
        <w:numPr>
          <w:ilvl w:val="1"/>
          <w:numId w:val="5"/>
        </w:numPr>
        <w:spacing w:after="120"/>
        <w:contextualSpacing w:val="0"/>
      </w:pPr>
      <w:r>
        <w:t>In the supplemental response the “Housing Starts, Total Private” data is listed quarterly but the Units are described as “Annual Rates, SA</w:t>
      </w:r>
      <w:r w:rsidR="00C42F32">
        <w:t>.</w:t>
      </w:r>
      <w:r>
        <w:t xml:space="preserve">” </w:t>
      </w:r>
      <w:r w:rsidR="00C42F32">
        <w:t xml:space="preserve">Please </w:t>
      </w:r>
      <w:r>
        <w:t>indicate the method for converting these units to quarterly rates.</w:t>
      </w:r>
    </w:p>
    <w:p w:rsidR="005D3549" w:rsidRDefault="006119B5" w:rsidP="00961187">
      <w:pPr>
        <w:pStyle w:val="ListParagraph"/>
        <w:numPr>
          <w:ilvl w:val="1"/>
          <w:numId w:val="5"/>
        </w:numPr>
        <w:spacing w:after="120"/>
        <w:contextualSpacing w:val="0"/>
      </w:pPr>
      <w:r>
        <w:t xml:space="preserve">SDG&amp;E has indicated that the variable “HH_7320” is </w:t>
      </w:r>
      <w:r w:rsidRPr="006C6C0F">
        <w:t>based on census year data from the California Department of Finance. Please provide the source data from the California Department of Finance that SDG&amp;E relied on and please describe any modifications that were made to the Department of Finance data to arrive at the final values for HH</w:t>
      </w:r>
      <w:r w:rsidR="002968D2">
        <w:t>_</w:t>
      </w:r>
      <w:r w:rsidRPr="006C6C0F">
        <w:t>7320. Please provide information on the exact source of the Department of Finance data including publication name and date.</w:t>
      </w:r>
    </w:p>
    <w:p w:rsidR="003B0593" w:rsidRDefault="003B0593" w:rsidP="003B0593">
      <w:pPr>
        <w:pStyle w:val="ListParagraph"/>
        <w:numPr>
          <w:ilvl w:val="0"/>
          <w:numId w:val="5"/>
        </w:numPr>
        <w:spacing w:after="120"/>
        <w:contextualSpacing w:val="0"/>
      </w:pPr>
      <w:r>
        <w:t xml:space="preserve">Please provide the full </w:t>
      </w:r>
      <w:r w:rsidR="002C3A83">
        <w:t xml:space="preserve">set of </w:t>
      </w:r>
      <w:r>
        <w:t xml:space="preserve">historic </w:t>
      </w:r>
      <w:r w:rsidR="002C3A83">
        <w:t xml:space="preserve">data that </w:t>
      </w:r>
      <w:r w:rsidR="00883701">
        <w:t>is</w:t>
      </w:r>
      <w:r w:rsidR="002C3A83">
        <w:t xml:space="preserve"> provided in the February 2015 IHS forecast for each of the following items: </w:t>
      </w:r>
      <w:r>
        <w:t>“Housing Starts, Total Private,” “Employment, Total Nonfarm,” “Employment, Construction, Natural Resources and Mining,” and “Employment, Manufacturing</w:t>
      </w:r>
      <w:r w:rsidR="002C3A83">
        <w:t>.</w:t>
      </w:r>
      <w:r>
        <w:t xml:space="preserve">” </w:t>
      </w:r>
    </w:p>
    <w:p w:rsidR="00F50922" w:rsidRDefault="00F50922" w:rsidP="00F50922">
      <w:pPr>
        <w:rPr>
          <w:b/>
        </w:rPr>
      </w:pPr>
    </w:p>
    <w:p w:rsidR="00F50922" w:rsidRDefault="00F50922" w:rsidP="0011077F">
      <w:pPr>
        <w:keepNext/>
        <w:keepLines/>
        <w:rPr>
          <w:b/>
        </w:rPr>
      </w:pPr>
      <w:r w:rsidRPr="00F50922">
        <w:rPr>
          <w:b/>
        </w:rPr>
        <w:t xml:space="preserve">The </w:t>
      </w:r>
      <w:r w:rsidR="0085516A">
        <w:rPr>
          <w:b/>
        </w:rPr>
        <w:t>following questions relate to Ms</w:t>
      </w:r>
      <w:r w:rsidRPr="00F50922">
        <w:rPr>
          <w:b/>
        </w:rPr>
        <w:t xml:space="preserve">. </w:t>
      </w:r>
      <w:proofErr w:type="spellStart"/>
      <w:r w:rsidR="0085516A">
        <w:rPr>
          <w:b/>
        </w:rPr>
        <w:t>Payan’s</w:t>
      </w:r>
      <w:proofErr w:type="spellEnd"/>
      <w:r w:rsidR="0085516A">
        <w:rPr>
          <w:b/>
        </w:rPr>
        <w:t xml:space="preserve"> testimony for SDG&amp;E (SDG&amp;E-32</w:t>
      </w:r>
      <w:r w:rsidRPr="00F50922">
        <w:rPr>
          <w:b/>
        </w:rPr>
        <w:t>)</w:t>
      </w:r>
    </w:p>
    <w:p w:rsidR="0085516A" w:rsidRDefault="0085516A" w:rsidP="0011077F">
      <w:pPr>
        <w:pStyle w:val="ListParagraph"/>
        <w:keepNext/>
        <w:keepLines/>
        <w:numPr>
          <w:ilvl w:val="0"/>
          <w:numId w:val="5"/>
        </w:numPr>
        <w:spacing w:after="120"/>
        <w:contextualSpacing w:val="0"/>
      </w:pPr>
      <w:r w:rsidRPr="006D02ED">
        <w:t xml:space="preserve">Please provide a copy of </w:t>
      </w:r>
      <w:r>
        <w:t xml:space="preserve">all of </w:t>
      </w:r>
      <w:r w:rsidRPr="006D02ED">
        <w:t xml:space="preserve">the data tables </w:t>
      </w:r>
      <w:r>
        <w:t>and charts included in Ms</w:t>
      </w:r>
      <w:r w:rsidRPr="006D02ED">
        <w:t xml:space="preserve">. </w:t>
      </w:r>
      <w:proofErr w:type="spellStart"/>
      <w:r>
        <w:t>Payan’s</w:t>
      </w:r>
      <w:proofErr w:type="spellEnd"/>
      <w:r w:rsidRPr="006D02ED">
        <w:t xml:space="preserve"> </w:t>
      </w:r>
      <w:proofErr w:type="spellStart"/>
      <w:r w:rsidRPr="006D02ED">
        <w:t>workpapers</w:t>
      </w:r>
      <w:proofErr w:type="spellEnd"/>
      <w:r w:rsidRPr="006D02ED">
        <w:t xml:space="preserve"> in electronic format. If </w:t>
      </w:r>
      <w:r w:rsidR="00883701">
        <w:t>E</w:t>
      </w:r>
      <w:r w:rsidR="00883701" w:rsidRPr="006D02ED">
        <w:t xml:space="preserve">xcel </w:t>
      </w:r>
      <w:proofErr w:type="spellStart"/>
      <w:r w:rsidR="00883701">
        <w:t>workpapers</w:t>
      </w:r>
      <w:proofErr w:type="spellEnd"/>
      <w:r w:rsidR="00883701">
        <w:t xml:space="preserve"> are</w:t>
      </w:r>
      <w:r w:rsidR="00883701" w:rsidRPr="006D02ED">
        <w:t xml:space="preserve"> </w:t>
      </w:r>
      <w:r w:rsidRPr="006D02ED">
        <w:t>unavailable please provi</w:t>
      </w:r>
      <w:r>
        <w:t>de the data tables as .</w:t>
      </w:r>
      <w:proofErr w:type="spellStart"/>
      <w:r>
        <w:t>csv</w:t>
      </w:r>
      <w:proofErr w:type="spellEnd"/>
      <w:r>
        <w:t xml:space="preserve"> files or in some other electronically readable format.</w:t>
      </w:r>
    </w:p>
    <w:p w:rsidR="00E87C05" w:rsidRDefault="00E87C05" w:rsidP="0085516A">
      <w:pPr>
        <w:pStyle w:val="ListParagraph"/>
        <w:numPr>
          <w:ilvl w:val="0"/>
          <w:numId w:val="5"/>
        </w:numPr>
        <w:spacing w:after="120"/>
        <w:contextualSpacing w:val="0"/>
      </w:pPr>
      <w:r>
        <w:t xml:space="preserve">Regarding </w:t>
      </w:r>
      <w:r w:rsidR="00883701">
        <w:t xml:space="preserve">SDG&amp;E’s </w:t>
      </w:r>
      <w:r>
        <w:t xml:space="preserve">response to UCAN Data Request-001 Question 36b: Please provide an updated forecast that uses the </w:t>
      </w:r>
      <w:r w:rsidR="00086A07">
        <w:t>historical</w:t>
      </w:r>
      <w:r>
        <w:t xml:space="preserve"> data from </w:t>
      </w:r>
      <w:r w:rsidR="00086A07" w:rsidRPr="00086A07">
        <w:t>the 4</w:t>
      </w:r>
      <w:r w:rsidR="00086A07" w:rsidRPr="00086A07">
        <w:rPr>
          <w:vertAlign w:val="superscript"/>
        </w:rPr>
        <w:t>th</w:t>
      </w:r>
      <w:r w:rsidR="00086A07" w:rsidRPr="00086A07">
        <w:t xml:space="preserve"> quarter 1987 through the 4</w:t>
      </w:r>
      <w:r w:rsidR="00086A07" w:rsidRPr="00086A07">
        <w:rPr>
          <w:vertAlign w:val="superscript"/>
        </w:rPr>
        <w:t>th</w:t>
      </w:r>
      <w:r w:rsidR="00086A07" w:rsidRPr="00086A07">
        <w:t xml:space="preserve"> quarter 1989</w:t>
      </w:r>
      <w:r w:rsidR="00086A07">
        <w:t>.</w:t>
      </w:r>
    </w:p>
    <w:p w:rsidR="00086A07" w:rsidRDefault="00086A07" w:rsidP="00086A07">
      <w:pPr>
        <w:pStyle w:val="ListParagraph"/>
        <w:numPr>
          <w:ilvl w:val="0"/>
          <w:numId w:val="5"/>
        </w:numPr>
        <w:spacing w:after="120"/>
        <w:contextualSpacing w:val="0"/>
      </w:pPr>
      <w:r>
        <w:t xml:space="preserve">Regarding </w:t>
      </w:r>
      <w:r w:rsidR="00883701">
        <w:t xml:space="preserve">SDG&amp;E’s </w:t>
      </w:r>
      <w:r>
        <w:t>response to UCAN Data Request-001 Question 37a: Did SDG&amp;E investigate the possible reason behind these outliers? If so, what were the findings?</w:t>
      </w:r>
    </w:p>
    <w:p w:rsidR="00086A07" w:rsidRDefault="00B3669D" w:rsidP="0085516A">
      <w:pPr>
        <w:pStyle w:val="ListParagraph"/>
        <w:numPr>
          <w:ilvl w:val="0"/>
          <w:numId w:val="5"/>
        </w:numPr>
        <w:spacing w:after="120"/>
        <w:contextualSpacing w:val="0"/>
      </w:pPr>
      <w:r>
        <w:t xml:space="preserve">In the residential model SDG&amp;E used variables “SEA2” and “SEA3” corresponding to </w:t>
      </w:r>
      <w:proofErr w:type="gramStart"/>
      <w:r>
        <w:t>Summer</w:t>
      </w:r>
      <w:proofErr w:type="gramEnd"/>
      <w:r>
        <w:t xml:space="preserve"> and Fall but did not include a third variable to differentiate Winter from Spring. Why wasn’t a third seasonal variable included in the model?</w:t>
      </w:r>
      <w:r w:rsidR="00494CD2">
        <w:t xml:space="preserve"> What regressions did SDG&amp;E run to arrive at the conclusion that a model combining </w:t>
      </w:r>
      <w:proofErr w:type="gramStart"/>
      <w:r w:rsidR="00494CD2">
        <w:t>Winter</w:t>
      </w:r>
      <w:proofErr w:type="gramEnd"/>
      <w:r w:rsidR="00494CD2">
        <w:t xml:space="preserve"> and Spring was the best fit for the data? Please </w:t>
      </w:r>
      <w:r w:rsidR="00780B4B">
        <w:t xml:space="preserve">detail these regressions and </w:t>
      </w:r>
      <w:r w:rsidR="00494CD2">
        <w:t>provide the</w:t>
      </w:r>
      <w:r w:rsidR="00780B4B">
        <w:t>ir</w:t>
      </w:r>
      <w:r w:rsidR="00494CD2">
        <w:t xml:space="preserve"> regression statistics.</w:t>
      </w:r>
    </w:p>
    <w:p w:rsidR="00751323" w:rsidRDefault="00751323" w:rsidP="0085516A">
      <w:pPr>
        <w:pStyle w:val="ListParagraph"/>
        <w:numPr>
          <w:ilvl w:val="0"/>
          <w:numId w:val="5"/>
        </w:numPr>
        <w:spacing w:after="120"/>
        <w:contextualSpacing w:val="0"/>
      </w:pPr>
      <w:r>
        <w:t>In SDG&amp;E’s model for new electric customers describe</w:t>
      </w:r>
      <w:r w:rsidR="004E1052">
        <w:t>d</w:t>
      </w:r>
      <w:r>
        <w:t xml:space="preserve"> in SDG&amp;E Exhibit 31, </w:t>
      </w:r>
      <w:r w:rsidR="004E1052">
        <w:t>SDG&amp;E used data on occupied households from the California Department of Finance. Why wasn’t this data used in the model for new gas customers?</w:t>
      </w:r>
    </w:p>
    <w:p w:rsidR="0011077F" w:rsidRDefault="0011077F" w:rsidP="0085516A">
      <w:pPr>
        <w:pStyle w:val="ListParagraph"/>
        <w:numPr>
          <w:ilvl w:val="0"/>
          <w:numId w:val="5"/>
        </w:numPr>
        <w:spacing w:after="120"/>
        <w:contextualSpacing w:val="0"/>
      </w:pPr>
      <w:r>
        <w:t xml:space="preserve">Regarding </w:t>
      </w:r>
      <w:r w:rsidR="00883701">
        <w:t>SDG&amp;E’s</w:t>
      </w:r>
      <w:r>
        <w:t xml:space="preserve"> response to UCAN Data Request-001 Question 38: Did SDG&amp;E test whether a non-logarithmic model would be a better fit for this year’s forecast? If so, what other models were tested and what were the results?</w:t>
      </w:r>
    </w:p>
    <w:p w:rsidR="002A2C59" w:rsidRDefault="002A2C59" w:rsidP="002A2C59">
      <w:pPr>
        <w:pStyle w:val="ListParagraph"/>
        <w:numPr>
          <w:ilvl w:val="0"/>
          <w:numId w:val="5"/>
        </w:numPr>
        <w:spacing w:after="120"/>
        <w:contextualSpacing w:val="0"/>
      </w:pPr>
      <w:r>
        <w:t xml:space="preserve">Regarding </w:t>
      </w:r>
      <w:r w:rsidR="00883701">
        <w:t xml:space="preserve">SDG&amp;E’s </w:t>
      </w:r>
      <w:r>
        <w:t xml:space="preserve">response to UCAN Data Request-001 Question 39c: SDG&amp;E described the “primary” differences between the housing start data used in Ms. </w:t>
      </w:r>
      <w:proofErr w:type="spellStart"/>
      <w:r>
        <w:t>Payan’s</w:t>
      </w:r>
      <w:proofErr w:type="spellEnd"/>
      <w:r>
        <w:t xml:space="preserve"> and Mr. </w:t>
      </w:r>
      <w:proofErr w:type="spellStart"/>
      <w:r>
        <w:t>Schiermeyer’s</w:t>
      </w:r>
      <w:proofErr w:type="spellEnd"/>
      <w:r>
        <w:t xml:space="preserve"> testimonies. Please describe all other differences not included in SDG&amp;E’s response.</w:t>
      </w:r>
    </w:p>
    <w:p w:rsidR="00605B0C" w:rsidRDefault="00605B0C" w:rsidP="00605B0C">
      <w:pPr>
        <w:pStyle w:val="ListParagraph"/>
        <w:numPr>
          <w:ilvl w:val="0"/>
          <w:numId w:val="5"/>
        </w:numPr>
        <w:spacing w:after="120"/>
        <w:contextualSpacing w:val="0"/>
      </w:pPr>
      <w:r>
        <w:t xml:space="preserve">The historical data provided in SDG&amp;E’s supplemental response to UCAN Data Request-001 Question 39d is inconsistent with the data used in SDG&amp;E’s </w:t>
      </w:r>
      <w:proofErr w:type="spellStart"/>
      <w:r>
        <w:t>workpapers</w:t>
      </w:r>
      <w:proofErr w:type="spellEnd"/>
      <w:r>
        <w:t xml:space="preserve"> and provided in SDG&amp;E’s original response to UCAN Data Request-001 Question 35. Please explain the reason for this discrepancy. Does IHS routinely </w:t>
      </w:r>
      <w:r w:rsidR="00DC152B">
        <w:t xml:space="preserve">make </w:t>
      </w:r>
      <w:r>
        <w:t xml:space="preserve">adjustments to the historic data </w:t>
      </w:r>
      <w:r w:rsidR="00DC152B">
        <w:t xml:space="preserve">in </w:t>
      </w:r>
      <w:r>
        <w:t>updates to their reports?</w:t>
      </w:r>
    </w:p>
    <w:p w:rsidR="00FB7E7F" w:rsidRDefault="00FB7E7F" w:rsidP="00FB7E7F">
      <w:pPr>
        <w:pStyle w:val="ListParagraph"/>
        <w:numPr>
          <w:ilvl w:val="0"/>
          <w:numId w:val="5"/>
        </w:numPr>
        <w:spacing w:after="120"/>
        <w:contextualSpacing w:val="0"/>
      </w:pPr>
      <w:r>
        <w:t xml:space="preserve">Regarding </w:t>
      </w:r>
      <w:r w:rsidR="00DC152B">
        <w:t xml:space="preserve">SDG&amp;E’s </w:t>
      </w:r>
      <w:r>
        <w:t>response to UCAN Data Request-001 Question 40: Was housing permit data considered for the 2016 GRC gas customer forecast? If so, why did SDG&amp;E decide not to include it in the final estimation model? Did SDG&amp;E consider using housing permit data for the 2016 GRC electric customer forecast?</w:t>
      </w:r>
    </w:p>
    <w:p w:rsidR="00D6771D" w:rsidRDefault="00D6771D" w:rsidP="00D6771D">
      <w:pPr>
        <w:pStyle w:val="ListParagraph"/>
        <w:numPr>
          <w:ilvl w:val="0"/>
          <w:numId w:val="5"/>
        </w:numPr>
        <w:spacing w:after="120"/>
        <w:contextualSpacing w:val="0"/>
      </w:pPr>
      <w:r>
        <w:lastRenderedPageBreak/>
        <w:t xml:space="preserve">Regarding </w:t>
      </w:r>
      <w:r w:rsidR="00DC152B">
        <w:t xml:space="preserve">SDG&amp;E’s </w:t>
      </w:r>
      <w:r>
        <w:t xml:space="preserve">response to UCAN Data Request-001 Question 41d: In SDG&amp;E’s model for non-residential electric customers SDG&amp;E based the forecast on IHS employment data </w:t>
      </w:r>
      <w:r w:rsidRPr="00296CCF">
        <w:t xml:space="preserve">Employment (Total Nonfarm), less Employment (Construction, Natural Resources, and Mining), less </w:t>
      </w:r>
      <w:r>
        <w:t>Employment (Manufacturing). In contrast the model for non-residential gas customers was based only on the IHS data for Employment (Total Nonfarm). Please explain why the electric model subtracted Construction, Natural Resources, Mining and Manufacturing employment while the gas model did not.</w:t>
      </w:r>
    </w:p>
    <w:p w:rsidR="00432841" w:rsidRDefault="00D6771D" w:rsidP="00FB7E7F">
      <w:pPr>
        <w:pStyle w:val="ListParagraph"/>
        <w:numPr>
          <w:ilvl w:val="0"/>
          <w:numId w:val="5"/>
        </w:numPr>
        <w:spacing w:after="120"/>
        <w:contextualSpacing w:val="0"/>
      </w:pPr>
      <w:r>
        <w:t xml:space="preserve">Regarding </w:t>
      </w:r>
      <w:r w:rsidR="00DC152B">
        <w:t xml:space="preserve">SDG&amp;E’s </w:t>
      </w:r>
      <w:r>
        <w:t>response to UCAN Data Request-001 Question 41d: SDG&amp;E used historic data for employment in San Diego County from the California Employment Development Department (EDD) and scaled that data to the IHS employment forecast in the gas customer forecast. In contrast, SDG&amp;E relied only on employment data from IHS in the electric customer forecast. Please explain why the gas customer forecast used the EDD data and the electric customer forecast did not.</w:t>
      </w:r>
    </w:p>
    <w:p w:rsidR="00F908F3" w:rsidRDefault="00F908F3" w:rsidP="009E3D96">
      <w:pPr>
        <w:rPr>
          <w:b/>
        </w:rPr>
      </w:pPr>
    </w:p>
    <w:p w:rsidR="00F908F3" w:rsidRPr="009E3D96" w:rsidRDefault="00F908F3" w:rsidP="009E3D96">
      <w:pPr>
        <w:rPr>
          <w:b/>
        </w:rPr>
      </w:pPr>
      <w:r w:rsidRPr="009E3D96">
        <w:rPr>
          <w:b/>
        </w:rPr>
        <w:t xml:space="preserve">The following questions relate to </w:t>
      </w:r>
      <w:r>
        <w:rPr>
          <w:b/>
        </w:rPr>
        <w:t xml:space="preserve">Ms. </w:t>
      </w:r>
      <w:proofErr w:type="spellStart"/>
      <w:r>
        <w:rPr>
          <w:b/>
        </w:rPr>
        <w:t>Sommerville’s</w:t>
      </w:r>
      <w:proofErr w:type="spellEnd"/>
      <w:r w:rsidRPr="009E3D96">
        <w:rPr>
          <w:b/>
        </w:rPr>
        <w:t xml:space="preserve"> testimony for SDG&amp;E </w:t>
      </w:r>
      <w:r w:rsidRPr="008359A8">
        <w:rPr>
          <w:b/>
        </w:rPr>
        <w:t>(SDG&amp;E-34</w:t>
      </w:r>
      <w:r w:rsidRPr="009E3D96">
        <w:rPr>
          <w:b/>
        </w:rPr>
        <w:t>)</w:t>
      </w:r>
    </w:p>
    <w:p w:rsidR="00F908F3" w:rsidRDefault="008359A8" w:rsidP="00FB7E7F">
      <w:pPr>
        <w:pStyle w:val="ListParagraph"/>
        <w:numPr>
          <w:ilvl w:val="0"/>
          <w:numId w:val="5"/>
        </w:numPr>
        <w:spacing w:after="120"/>
        <w:contextualSpacing w:val="0"/>
      </w:pPr>
      <w:r>
        <w:t xml:space="preserve">SDG&amp;E collects a $10 monthly charge for smart-meter opt-out customers but is proposing a $25 charge for a fielded service request. </w:t>
      </w:r>
    </w:p>
    <w:p w:rsidR="008359A8" w:rsidRDefault="008359A8" w:rsidP="009E3D96">
      <w:pPr>
        <w:pStyle w:val="ListParagraph"/>
        <w:numPr>
          <w:ilvl w:val="1"/>
          <w:numId w:val="5"/>
        </w:numPr>
        <w:spacing w:after="120"/>
        <w:contextualSpacing w:val="0"/>
      </w:pPr>
      <w:r>
        <w:t xml:space="preserve">What is the </w:t>
      </w:r>
      <w:r w:rsidR="00CE178A">
        <w:t xml:space="preserve">utility’s </w:t>
      </w:r>
      <w:r>
        <w:t xml:space="preserve">cost for monthly smart-meter opt-out </w:t>
      </w:r>
      <w:r w:rsidR="00CE178A">
        <w:t>(</w:t>
      </w:r>
      <w:proofErr w:type="spellStart"/>
      <w:r w:rsidR="00CE178A">
        <w:t>i</w:t>
      </w:r>
      <w:proofErr w:type="spellEnd"/>
      <w:r w:rsidR="00CE178A">
        <w:t xml:space="preserve">) </w:t>
      </w:r>
      <w:r>
        <w:t xml:space="preserve">meter reading and </w:t>
      </w:r>
      <w:r w:rsidR="00CE178A">
        <w:t xml:space="preserve">(ii) </w:t>
      </w:r>
      <w:r>
        <w:t>billing?</w:t>
      </w:r>
    </w:p>
    <w:p w:rsidR="00CE178A" w:rsidRDefault="008359A8" w:rsidP="009E3D96">
      <w:pPr>
        <w:pStyle w:val="ListParagraph"/>
        <w:numPr>
          <w:ilvl w:val="1"/>
          <w:numId w:val="5"/>
        </w:numPr>
        <w:spacing w:after="120"/>
        <w:contextualSpacing w:val="0"/>
      </w:pPr>
      <w:r>
        <w:t>Please describe the actions and time needed to read an opt-out customer’s meter</w:t>
      </w:r>
      <w:r w:rsidR="00CE178A">
        <w:t>.</w:t>
      </w:r>
    </w:p>
    <w:p w:rsidR="008359A8" w:rsidRDefault="008359A8" w:rsidP="009E3D96">
      <w:pPr>
        <w:pStyle w:val="ListParagraph"/>
        <w:numPr>
          <w:ilvl w:val="1"/>
          <w:numId w:val="5"/>
        </w:numPr>
        <w:spacing w:after="120"/>
        <w:contextualSpacing w:val="0"/>
      </w:pPr>
      <w:r>
        <w:t xml:space="preserve"> </w:t>
      </w:r>
      <w:r w:rsidR="00CE178A">
        <w:t xml:space="preserve">Please describe the actions and time needed </w:t>
      </w:r>
      <w:r>
        <w:t>to complete a fielded service establishment.</w:t>
      </w:r>
    </w:p>
    <w:p w:rsidR="00CE178A" w:rsidRDefault="00CE178A" w:rsidP="009E3D96">
      <w:pPr>
        <w:pStyle w:val="ListParagraph"/>
        <w:numPr>
          <w:ilvl w:val="1"/>
          <w:numId w:val="5"/>
        </w:numPr>
        <w:spacing w:after="120"/>
        <w:contextualSpacing w:val="0"/>
      </w:pPr>
      <w:r>
        <w:t>Please specify whether</w:t>
      </w:r>
      <w:r w:rsidR="008359A8">
        <w:t xml:space="preserve"> </w:t>
      </w:r>
      <w:r>
        <w:t xml:space="preserve">the cost of traveling to a customer site for </w:t>
      </w:r>
      <w:r w:rsidR="008359A8">
        <w:t xml:space="preserve">a fielded service request is more </w:t>
      </w:r>
      <w:r>
        <w:t>costly to the utility</w:t>
      </w:r>
      <w:r w:rsidR="008359A8">
        <w:t xml:space="preserve"> than </w:t>
      </w:r>
      <w:r>
        <w:t xml:space="preserve">the cost of traveling to a customer site </w:t>
      </w:r>
      <w:r w:rsidR="00563B52">
        <w:t xml:space="preserve">for </w:t>
      </w:r>
      <w:r w:rsidR="008359A8">
        <w:t xml:space="preserve">a </w:t>
      </w:r>
      <w:r>
        <w:t xml:space="preserve">fielded meter reading (for </w:t>
      </w:r>
      <w:r w:rsidR="008359A8">
        <w:t xml:space="preserve">smart-meter opt-out </w:t>
      </w:r>
      <w:r>
        <w:t>customers)</w:t>
      </w:r>
      <w:r w:rsidR="008359A8">
        <w:t>.</w:t>
      </w:r>
      <w:r>
        <w:t xml:space="preserve"> If so, please explain why and provide data demonstrating the extent of the cost difference. If not, please explain SDG&amp;E’s proposal for a $20 surcharge for a fielded service request (i.e., $25 for a fielded request </w:t>
      </w:r>
      <w:proofErr w:type="spellStart"/>
      <w:r>
        <w:t>vs</w:t>
      </w:r>
      <w:proofErr w:type="spellEnd"/>
      <w:r>
        <w:t xml:space="preserve"> $</w:t>
      </w:r>
      <w:r w:rsidR="00654864">
        <w:t>5</w:t>
      </w:r>
      <w:r>
        <w:t xml:space="preserve"> for a non-fielded request) in light of the $10 surcharge for fielded meter reading.</w:t>
      </w:r>
    </w:p>
    <w:p w:rsidR="00FC335F" w:rsidRDefault="00FC335F" w:rsidP="00FC335F">
      <w:pPr>
        <w:pStyle w:val="ListParagraph"/>
        <w:numPr>
          <w:ilvl w:val="0"/>
          <w:numId w:val="5"/>
        </w:numPr>
        <w:spacing w:after="120"/>
        <w:contextualSpacing w:val="0"/>
      </w:pPr>
      <w:r>
        <w:t xml:space="preserve">What number of the active legacy gas meters and legacy electric meters are in place due to customer opt-out and what number are in place because SDG&amp;E was unable to install smart meters at </w:t>
      </w:r>
      <w:r w:rsidR="00CE178A">
        <w:t>the customer</w:t>
      </w:r>
      <w:r>
        <w:t xml:space="preserve"> location?</w:t>
      </w:r>
      <w:r w:rsidR="00CE178A">
        <w:t xml:space="preserve"> Please answer separately for each major customer class.</w:t>
      </w:r>
    </w:p>
    <w:p w:rsidR="00954F1E" w:rsidRDefault="00954F1E" w:rsidP="009E3D96">
      <w:pPr>
        <w:rPr>
          <w:b/>
        </w:rPr>
      </w:pPr>
    </w:p>
    <w:p w:rsidR="00E873E9" w:rsidRDefault="00E873E9" w:rsidP="00E873E9">
      <w:pPr>
        <w:keepNext/>
        <w:keepLines/>
        <w:rPr>
          <w:b/>
        </w:rPr>
      </w:pPr>
      <w:r w:rsidRPr="00F50922">
        <w:rPr>
          <w:b/>
        </w:rPr>
        <w:lastRenderedPageBreak/>
        <w:t xml:space="preserve">The </w:t>
      </w:r>
      <w:r>
        <w:rPr>
          <w:b/>
        </w:rPr>
        <w:t>following questions relate to Ms</w:t>
      </w:r>
      <w:r w:rsidRPr="00F50922">
        <w:rPr>
          <w:b/>
        </w:rPr>
        <w:t xml:space="preserve">. </w:t>
      </w:r>
      <w:proofErr w:type="spellStart"/>
      <w:r>
        <w:rPr>
          <w:b/>
        </w:rPr>
        <w:t>Payan’s</w:t>
      </w:r>
      <w:proofErr w:type="spellEnd"/>
      <w:r>
        <w:rPr>
          <w:b/>
        </w:rPr>
        <w:t xml:space="preserve"> testimony for </w:t>
      </w:r>
      <w:proofErr w:type="spellStart"/>
      <w:r>
        <w:rPr>
          <w:b/>
        </w:rPr>
        <w:t>SoCalGas</w:t>
      </w:r>
      <w:proofErr w:type="spellEnd"/>
      <w:r>
        <w:rPr>
          <w:b/>
        </w:rPr>
        <w:t xml:space="preserve"> (SCG-30</w:t>
      </w:r>
      <w:r w:rsidRPr="00F50922">
        <w:rPr>
          <w:b/>
        </w:rPr>
        <w:t>)</w:t>
      </w:r>
    </w:p>
    <w:p w:rsidR="00EC3964" w:rsidRDefault="00EC3964" w:rsidP="009E3D96">
      <w:pPr>
        <w:pStyle w:val="ListParagraph"/>
        <w:keepNext/>
        <w:keepLines/>
        <w:numPr>
          <w:ilvl w:val="0"/>
          <w:numId w:val="5"/>
        </w:numPr>
        <w:spacing w:after="120"/>
        <w:contextualSpacing w:val="0"/>
      </w:pPr>
      <w:r w:rsidRPr="006D02ED">
        <w:t xml:space="preserve">Please provide a copy of </w:t>
      </w:r>
      <w:r>
        <w:t xml:space="preserve">all of </w:t>
      </w:r>
      <w:r w:rsidRPr="006D02ED">
        <w:t xml:space="preserve">the data tables </w:t>
      </w:r>
      <w:r>
        <w:t>and charts included in Ms</w:t>
      </w:r>
      <w:r w:rsidRPr="006D02ED">
        <w:t xml:space="preserve">. </w:t>
      </w:r>
      <w:proofErr w:type="spellStart"/>
      <w:r>
        <w:t>Payan’s</w:t>
      </w:r>
      <w:proofErr w:type="spellEnd"/>
      <w:r w:rsidRPr="006D02ED">
        <w:t xml:space="preserve"> </w:t>
      </w:r>
      <w:proofErr w:type="spellStart"/>
      <w:r w:rsidRPr="006D02ED">
        <w:t>workpapers</w:t>
      </w:r>
      <w:proofErr w:type="spellEnd"/>
      <w:r w:rsidRPr="006D02ED">
        <w:t xml:space="preserve"> in electronic format. If </w:t>
      </w:r>
      <w:r>
        <w:t>E</w:t>
      </w:r>
      <w:r w:rsidRPr="006D02ED">
        <w:t xml:space="preserve">xcel </w:t>
      </w:r>
      <w:proofErr w:type="spellStart"/>
      <w:r>
        <w:t>workpapers</w:t>
      </w:r>
      <w:proofErr w:type="spellEnd"/>
      <w:r>
        <w:t xml:space="preserve"> are</w:t>
      </w:r>
      <w:r w:rsidRPr="006D02ED">
        <w:t xml:space="preserve"> unavailable please provi</w:t>
      </w:r>
      <w:r>
        <w:t>de the data tables as .</w:t>
      </w:r>
      <w:proofErr w:type="spellStart"/>
      <w:r>
        <w:t>csv</w:t>
      </w:r>
      <w:proofErr w:type="spellEnd"/>
      <w:r>
        <w:t xml:space="preserve"> files or in some other electronically readable format.</w:t>
      </w:r>
    </w:p>
    <w:p w:rsidR="00E873E9" w:rsidRDefault="00E873E9" w:rsidP="009E3D96">
      <w:pPr>
        <w:pStyle w:val="ListParagraph"/>
        <w:numPr>
          <w:ilvl w:val="0"/>
          <w:numId w:val="5"/>
        </w:numPr>
        <w:spacing w:after="120"/>
        <w:contextualSpacing w:val="0"/>
      </w:pPr>
      <w:r w:rsidRPr="00C95FEB">
        <w:t xml:space="preserve">Please </w:t>
      </w:r>
      <w:r>
        <w:t xml:space="preserve">provide </w:t>
      </w:r>
      <w:proofErr w:type="spellStart"/>
      <w:r>
        <w:t>SoCalGas’s</w:t>
      </w:r>
      <w:proofErr w:type="spellEnd"/>
      <w:r>
        <w:t xml:space="preserve"> monthly count of total active gas meters from January 2013 through January 2015 for each of the following customer categories: Residential single-family, Residential multi-family, Residential master meter, Commercial, Industrial, and </w:t>
      </w:r>
      <w:proofErr w:type="gramStart"/>
      <w:r>
        <w:t>Total</w:t>
      </w:r>
      <w:proofErr w:type="gramEnd"/>
      <w:r>
        <w:t xml:space="preserve"> (defined consistent with the categories in Table SCG-RMP-2).</w:t>
      </w:r>
    </w:p>
    <w:p w:rsidR="00E873E9" w:rsidRDefault="00E873E9" w:rsidP="009E3D96">
      <w:pPr>
        <w:pStyle w:val="ListParagraph"/>
        <w:numPr>
          <w:ilvl w:val="0"/>
          <w:numId w:val="5"/>
        </w:numPr>
        <w:spacing w:after="120"/>
        <w:contextualSpacing w:val="0"/>
      </w:pPr>
      <w:r>
        <w:t xml:space="preserve">Please provide all the source data from IHS Global Insight that </w:t>
      </w:r>
      <w:proofErr w:type="gramStart"/>
      <w:r>
        <w:t>were</w:t>
      </w:r>
      <w:proofErr w:type="gramEnd"/>
      <w:r>
        <w:t xml:space="preserve"> used in Ms. </w:t>
      </w:r>
      <w:proofErr w:type="spellStart"/>
      <w:r>
        <w:t>Payan’s</w:t>
      </w:r>
      <w:proofErr w:type="spellEnd"/>
      <w:r>
        <w:t xml:space="preserve"> analysis.</w:t>
      </w:r>
    </w:p>
    <w:p w:rsidR="00B14364" w:rsidRDefault="00B14364" w:rsidP="009E3D96">
      <w:pPr>
        <w:pStyle w:val="ListParagraph"/>
        <w:numPr>
          <w:ilvl w:val="0"/>
          <w:numId w:val="5"/>
        </w:numPr>
        <w:spacing w:after="120"/>
        <w:contextualSpacing w:val="0"/>
      </w:pPr>
      <w:r>
        <w:t xml:space="preserve">Please provide updated data from IHS from </w:t>
      </w:r>
      <w:r w:rsidR="00CE178A">
        <w:t>February</w:t>
      </w:r>
      <w:r>
        <w:t xml:space="preserve"> 2015 including the full historical time series used in the analysis.</w:t>
      </w:r>
    </w:p>
    <w:p w:rsidR="00E873E9" w:rsidRDefault="00E873E9" w:rsidP="009E3D96">
      <w:pPr>
        <w:pStyle w:val="ListParagraph"/>
        <w:numPr>
          <w:ilvl w:val="0"/>
          <w:numId w:val="5"/>
        </w:numPr>
        <w:spacing w:after="120"/>
        <w:contextualSpacing w:val="0"/>
      </w:pPr>
      <w:r>
        <w:t>If the source data from IHS was modified to arriv</w:t>
      </w:r>
      <w:r w:rsidR="00EC3964">
        <w:t>e at the variables “HSSF</w:t>
      </w:r>
      <w:r w:rsidR="00B14364">
        <w:t>,</w:t>
      </w:r>
      <w:r w:rsidR="00EC3964">
        <w:t>” “HSMF”</w:t>
      </w:r>
      <w:r w:rsidR="00B14364">
        <w:t xml:space="preserve"> and “</w:t>
      </w:r>
      <w:proofErr w:type="spellStart"/>
      <w:r w:rsidR="00B14364">
        <w:t>EmpCom</w:t>
      </w:r>
      <w:proofErr w:type="spellEnd"/>
      <w:r w:rsidR="00B14364">
        <w:t>”</w:t>
      </w:r>
      <w:r w:rsidR="00EC3964">
        <w:t xml:space="preserve"> please provide a </w:t>
      </w:r>
      <w:proofErr w:type="spellStart"/>
      <w:r w:rsidR="00EC3964">
        <w:t>workpaper</w:t>
      </w:r>
      <w:proofErr w:type="spellEnd"/>
      <w:r w:rsidR="00EC3964">
        <w:t xml:space="preserve"> to demonstrate how the data was modified with formulas and links intact.</w:t>
      </w:r>
    </w:p>
    <w:p w:rsidR="00EB7E5D" w:rsidRDefault="00EB7E5D" w:rsidP="00EB7E5D">
      <w:pPr>
        <w:pStyle w:val="ListParagraph"/>
        <w:numPr>
          <w:ilvl w:val="0"/>
          <w:numId w:val="5"/>
        </w:numPr>
        <w:spacing w:after="120"/>
        <w:contextualSpacing w:val="0"/>
      </w:pPr>
      <w:r>
        <w:t xml:space="preserve">What is the reason for the dummy variables DUM9603, DUM0503, and DUM0711 in the Residential, Single Family forecast, and the dummy variables DUM8604, DUM9603, and DUM0303 in the Residential, Multi-Family forecast. If these dates were found to be outliers, did </w:t>
      </w:r>
      <w:proofErr w:type="spellStart"/>
      <w:r>
        <w:t>SoCalGas</w:t>
      </w:r>
      <w:proofErr w:type="spellEnd"/>
      <w:r>
        <w:t xml:space="preserve"> investigate the possible reason behind these outliers? If so, what were the findings?</w:t>
      </w:r>
    </w:p>
    <w:p w:rsidR="00EB7E5D" w:rsidRDefault="00EB7E5D" w:rsidP="00EB7E5D">
      <w:pPr>
        <w:pStyle w:val="ListParagraph"/>
        <w:numPr>
          <w:ilvl w:val="0"/>
          <w:numId w:val="5"/>
        </w:numPr>
        <w:spacing w:after="120"/>
        <w:contextualSpacing w:val="0"/>
      </w:pPr>
      <w:r>
        <w:t xml:space="preserve">In the residential model </w:t>
      </w:r>
      <w:proofErr w:type="spellStart"/>
      <w:r>
        <w:t>SoCalGas</w:t>
      </w:r>
      <w:proofErr w:type="spellEnd"/>
      <w:r>
        <w:t xml:space="preserve"> used variables “SEA2” and “SEA3” corresponding to </w:t>
      </w:r>
      <w:proofErr w:type="gramStart"/>
      <w:r>
        <w:t>Summer</w:t>
      </w:r>
      <w:proofErr w:type="gramEnd"/>
      <w:r>
        <w:t xml:space="preserve"> and Fall but did not include a third variable to differentiate Winter from Spring. Why wasn’t a third seasonal variable included in the model? What regressions did </w:t>
      </w:r>
      <w:proofErr w:type="spellStart"/>
      <w:r>
        <w:t>SoCalGas</w:t>
      </w:r>
      <w:proofErr w:type="spellEnd"/>
      <w:r>
        <w:t xml:space="preserve"> run to arrive at the conclusion that a model combining </w:t>
      </w:r>
      <w:proofErr w:type="gramStart"/>
      <w:r>
        <w:t>Winter</w:t>
      </w:r>
      <w:proofErr w:type="gramEnd"/>
      <w:r>
        <w:t xml:space="preserve"> and Spring was the best fit for the data? Please detail these regressions and provide their regression statistics.</w:t>
      </w:r>
    </w:p>
    <w:p w:rsidR="00E702AE" w:rsidRDefault="00E702AE" w:rsidP="00EB7E5D">
      <w:pPr>
        <w:pStyle w:val="ListParagraph"/>
        <w:numPr>
          <w:ilvl w:val="0"/>
          <w:numId w:val="5"/>
        </w:numPr>
        <w:spacing w:after="120"/>
        <w:contextualSpacing w:val="0"/>
      </w:pPr>
      <w:r>
        <w:t xml:space="preserve">Why </w:t>
      </w:r>
      <w:r w:rsidR="004A1E21">
        <w:t>weren’t seasonal dummy variables</w:t>
      </w:r>
      <w:r>
        <w:t xml:space="preserve"> used in </w:t>
      </w:r>
      <w:proofErr w:type="spellStart"/>
      <w:r>
        <w:t>in</w:t>
      </w:r>
      <w:proofErr w:type="spellEnd"/>
      <w:r>
        <w:t xml:space="preserve"> the residential multi-family forecast?</w:t>
      </w:r>
    </w:p>
    <w:p w:rsidR="00E873E9" w:rsidRPr="009E3D96" w:rsidRDefault="00E873E9" w:rsidP="009E3D96">
      <w:pPr>
        <w:pStyle w:val="ListParagraph"/>
        <w:numPr>
          <w:ilvl w:val="0"/>
          <w:numId w:val="5"/>
        </w:numPr>
        <w:spacing w:after="120"/>
        <w:contextualSpacing w:val="0"/>
        <w:rPr>
          <w:b/>
        </w:rPr>
      </w:pPr>
      <w:r>
        <w:t xml:space="preserve">Please explain the reason for the inclusion of residential housing starts from </w:t>
      </w:r>
      <w:r w:rsidR="00EB7E5D">
        <w:t xml:space="preserve">one quarter prior (“t-1”) and </w:t>
      </w:r>
      <w:r>
        <w:t>two years prior (“t-8”) as a parameter and not residential housing</w:t>
      </w:r>
      <w:r w:rsidR="00EB7E5D">
        <w:t xml:space="preserve"> starts from 2-7 quarters prior in the Residential Single Family forecast.</w:t>
      </w:r>
    </w:p>
    <w:p w:rsidR="00EB7E5D" w:rsidRPr="009E3D96" w:rsidRDefault="00EB7E5D" w:rsidP="009E3D96">
      <w:pPr>
        <w:pStyle w:val="ListParagraph"/>
        <w:keepNext/>
        <w:numPr>
          <w:ilvl w:val="0"/>
          <w:numId w:val="5"/>
        </w:numPr>
        <w:spacing w:after="120"/>
        <w:contextualSpacing w:val="0"/>
        <w:rPr>
          <w:b/>
        </w:rPr>
      </w:pPr>
      <w:r>
        <w:lastRenderedPageBreak/>
        <w:t>Please explain the reason for the inclusion of residential housing starts from one year prior (“t-4”) and two years prior (“t-8”) as a parameter in the Residential Multi Family forecast in contrast with</w:t>
      </w:r>
      <w:r w:rsidR="00CE178A">
        <w:t xml:space="preserve"> the t-1 and t-8</w:t>
      </w:r>
      <w:r>
        <w:t xml:space="preserve"> lagged housing start data used in the Residential Si</w:t>
      </w:r>
      <w:r w:rsidR="00432AA3">
        <w:t>ngle Family forecast discussed in the question above.</w:t>
      </w:r>
    </w:p>
    <w:p w:rsidR="004A1E21" w:rsidRDefault="004A1E21" w:rsidP="009E3D96">
      <w:pPr>
        <w:pStyle w:val="ListParagraph"/>
        <w:numPr>
          <w:ilvl w:val="0"/>
          <w:numId w:val="5"/>
        </w:numPr>
        <w:spacing w:after="120"/>
        <w:contextualSpacing w:val="0"/>
      </w:pPr>
      <w:r>
        <w:t xml:space="preserve">Please explain why the Residential Master Meter forecast is based on an exponential trend rather than housing start data and seasonal factors </w:t>
      </w:r>
      <w:r w:rsidR="00CE178A">
        <w:t>as were used in</w:t>
      </w:r>
      <w:r>
        <w:t xml:space="preserve"> the Residential Single Family and Residential Multi Family forecasts.</w:t>
      </w:r>
    </w:p>
    <w:p w:rsidR="0034164E" w:rsidRDefault="0034164E" w:rsidP="009E3D96">
      <w:pPr>
        <w:pStyle w:val="ListParagraph"/>
        <w:numPr>
          <w:ilvl w:val="0"/>
          <w:numId w:val="5"/>
        </w:numPr>
        <w:spacing w:after="120"/>
        <w:contextualSpacing w:val="0"/>
      </w:pPr>
      <w:r>
        <w:t xml:space="preserve">In SDG&amp;E’s model for new electric customers described in SDG&amp;E Exhibit 31, SDG&amp;E used data on occupied households from the California Department of Finance. Why wasn’t this data used in the model for </w:t>
      </w:r>
      <w:proofErr w:type="spellStart"/>
      <w:r>
        <w:t>SoCalGas</w:t>
      </w:r>
      <w:proofErr w:type="spellEnd"/>
      <w:r>
        <w:t>’ new gas customers?</w:t>
      </w:r>
    </w:p>
    <w:p w:rsidR="0034164E" w:rsidRDefault="0034164E" w:rsidP="0034164E">
      <w:pPr>
        <w:pStyle w:val="ListParagraph"/>
        <w:numPr>
          <w:ilvl w:val="0"/>
          <w:numId w:val="5"/>
        </w:numPr>
        <w:spacing w:after="120"/>
        <w:contextualSpacing w:val="0"/>
      </w:pPr>
      <w:r>
        <w:t xml:space="preserve">Why did </w:t>
      </w:r>
      <w:proofErr w:type="spellStart"/>
      <w:r>
        <w:t>SoCalGas</w:t>
      </w:r>
      <w:proofErr w:type="spellEnd"/>
      <w:r>
        <w:t xml:space="preserve"> use a logarithmic model to forecast commercial and industrial gas customers? Did </w:t>
      </w:r>
      <w:proofErr w:type="spellStart"/>
      <w:r>
        <w:t>SoCalGas</w:t>
      </w:r>
      <w:proofErr w:type="spellEnd"/>
      <w:r>
        <w:t xml:space="preserve"> test whether a non-logarithmic model would be a better fit for this year’s forecast? If so, what other models were tested and what were the results?</w:t>
      </w:r>
    </w:p>
    <w:p w:rsidR="0034164E" w:rsidRDefault="00E702AE" w:rsidP="009E3D96">
      <w:pPr>
        <w:pStyle w:val="ListParagraph"/>
        <w:numPr>
          <w:ilvl w:val="0"/>
          <w:numId w:val="5"/>
        </w:numPr>
        <w:spacing w:after="120"/>
        <w:contextualSpacing w:val="0"/>
      </w:pPr>
      <w:r>
        <w:t xml:space="preserve">In the Industrial model </w:t>
      </w:r>
      <w:proofErr w:type="spellStart"/>
      <w:r>
        <w:t>SoCalGas</w:t>
      </w:r>
      <w:proofErr w:type="spellEnd"/>
      <w:r>
        <w:t xml:space="preserve"> used variables “SEA3” and “SEA4” corresponding to </w:t>
      </w:r>
      <w:proofErr w:type="gramStart"/>
      <w:r>
        <w:t>Fall</w:t>
      </w:r>
      <w:proofErr w:type="gramEnd"/>
      <w:r>
        <w:t xml:space="preserve"> and Winter but did not include a third variable to differentiate Spring from Summer. Why wasn’t a third seasonal variable included in the model? What regressions did </w:t>
      </w:r>
      <w:proofErr w:type="spellStart"/>
      <w:r>
        <w:t>SoCalGas</w:t>
      </w:r>
      <w:proofErr w:type="spellEnd"/>
      <w:r>
        <w:t xml:space="preserve"> run to arrive at the conclusion that a model combining </w:t>
      </w:r>
      <w:proofErr w:type="gramStart"/>
      <w:r>
        <w:t>Spring</w:t>
      </w:r>
      <w:proofErr w:type="gramEnd"/>
      <w:r>
        <w:t xml:space="preserve"> and Summer was the best fit for the data? Please detail these regressions and provide their regression statistics.</w:t>
      </w:r>
    </w:p>
    <w:p w:rsidR="00711494" w:rsidRDefault="00711494" w:rsidP="009E3D96">
      <w:pPr>
        <w:pStyle w:val="ListParagraph"/>
        <w:numPr>
          <w:ilvl w:val="0"/>
          <w:numId w:val="5"/>
        </w:numPr>
        <w:spacing w:after="120"/>
        <w:contextualSpacing w:val="0"/>
      </w:pPr>
      <w:r>
        <w:t>Please explain the reason why employment data from both one and two quarters prior was used in the Commercial customer forecast but employment data from only one quarter prior was used in the Industrial customer forecast.</w:t>
      </w:r>
    </w:p>
    <w:p w:rsidR="004A1E21" w:rsidRDefault="004A1E21" w:rsidP="009E3D96">
      <w:pPr>
        <w:pStyle w:val="ListParagraph"/>
        <w:numPr>
          <w:ilvl w:val="0"/>
          <w:numId w:val="5"/>
        </w:numPr>
        <w:spacing w:after="120"/>
        <w:contextualSpacing w:val="0"/>
      </w:pPr>
      <w:r>
        <w:t xml:space="preserve">Please provide any additional customer count forecasts developed by Ms. </w:t>
      </w:r>
      <w:proofErr w:type="spellStart"/>
      <w:r>
        <w:t>Payan</w:t>
      </w:r>
      <w:proofErr w:type="spellEnd"/>
      <w:r>
        <w:t xml:space="preserve"> in preparing this GRC application that use different starting points for the analysis, different variables, or different source data, and please provide the associated regression statistics.</w:t>
      </w:r>
    </w:p>
    <w:p w:rsidR="00F50922" w:rsidRDefault="00F50922" w:rsidP="00F50922">
      <w:pPr>
        <w:ind w:left="360"/>
      </w:pPr>
    </w:p>
    <w:sectPr w:rsidR="00F50922" w:rsidSect="009C240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F3" w:rsidRDefault="007256F3" w:rsidP="00D14F56">
      <w:pPr>
        <w:spacing w:after="0"/>
      </w:pPr>
      <w:r>
        <w:separator/>
      </w:r>
    </w:p>
  </w:endnote>
  <w:endnote w:type="continuationSeparator" w:id="0">
    <w:p w:rsidR="007256F3" w:rsidRDefault="007256F3" w:rsidP="00D14F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4E" w:rsidRDefault="006309DA" w:rsidP="009A787E">
    <w:pPr>
      <w:pStyle w:val="Footer"/>
      <w:framePr w:wrap="around" w:vAnchor="text" w:hAnchor="margin" w:xAlign="right" w:y="1"/>
      <w:rPr>
        <w:rStyle w:val="PageNumber"/>
      </w:rPr>
    </w:pPr>
    <w:r>
      <w:rPr>
        <w:rStyle w:val="PageNumber"/>
      </w:rPr>
      <w:fldChar w:fldCharType="begin"/>
    </w:r>
    <w:r w:rsidR="0034164E">
      <w:rPr>
        <w:rStyle w:val="PageNumber"/>
      </w:rPr>
      <w:instrText xml:space="preserve">PAGE  </w:instrText>
    </w:r>
    <w:r>
      <w:rPr>
        <w:rStyle w:val="PageNumber"/>
      </w:rPr>
      <w:fldChar w:fldCharType="end"/>
    </w:r>
  </w:p>
  <w:p w:rsidR="0034164E" w:rsidRDefault="0034164E" w:rsidP="003F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4E" w:rsidRDefault="006309DA" w:rsidP="009A787E">
    <w:pPr>
      <w:pStyle w:val="Footer"/>
      <w:framePr w:wrap="around" w:vAnchor="text" w:hAnchor="margin" w:xAlign="right" w:y="1"/>
      <w:rPr>
        <w:rStyle w:val="PageNumber"/>
      </w:rPr>
    </w:pPr>
    <w:r>
      <w:rPr>
        <w:rStyle w:val="PageNumber"/>
      </w:rPr>
      <w:fldChar w:fldCharType="begin"/>
    </w:r>
    <w:r w:rsidR="0034164E">
      <w:rPr>
        <w:rStyle w:val="PageNumber"/>
      </w:rPr>
      <w:instrText xml:space="preserve">PAGE  </w:instrText>
    </w:r>
    <w:r>
      <w:rPr>
        <w:rStyle w:val="PageNumber"/>
      </w:rPr>
      <w:fldChar w:fldCharType="separate"/>
    </w:r>
    <w:r w:rsidR="00CB3A34">
      <w:rPr>
        <w:rStyle w:val="PageNumber"/>
        <w:noProof/>
      </w:rPr>
      <w:t>8</w:t>
    </w:r>
    <w:r>
      <w:rPr>
        <w:rStyle w:val="PageNumber"/>
      </w:rPr>
      <w:fldChar w:fldCharType="end"/>
    </w:r>
  </w:p>
  <w:p w:rsidR="0034164E" w:rsidRDefault="0034164E" w:rsidP="003F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F3" w:rsidRDefault="007256F3" w:rsidP="00D14F56">
      <w:pPr>
        <w:spacing w:after="0"/>
      </w:pPr>
      <w:r>
        <w:separator/>
      </w:r>
    </w:p>
  </w:footnote>
  <w:footnote w:type="continuationSeparator" w:id="0">
    <w:p w:rsidR="007256F3" w:rsidRDefault="007256F3" w:rsidP="00D14F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02"/>
    <w:multiLevelType w:val="hybridMultilevel"/>
    <w:tmpl w:val="495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1B24"/>
    <w:multiLevelType w:val="hybridMultilevel"/>
    <w:tmpl w:val="B78E4490"/>
    <w:lvl w:ilvl="0" w:tplc="8DD0F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B606626"/>
    <w:multiLevelType w:val="hybridMultilevel"/>
    <w:tmpl w:val="F668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C683A"/>
    <w:multiLevelType w:val="hybridMultilevel"/>
    <w:tmpl w:val="884A16A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B6A00"/>
    <w:multiLevelType w:val="hybridMultilevel"/>
    <w:tmpl w:val="7838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E06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5220C25"/>
    <w:multiLevelType w:val="hybridMultilevel"/>
    <w:tmpl w:val="16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44AE9"/>
    <w:multiLevelType w:val="hybridMultilevel"/>
    <w:tmpl w:val="FD6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D6CBE"/>
    <w:multiLevelType w:val="multilevel"/>
    <w:tmpl w:val="F7807332"/>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rPr>
        <w:b/>
        <w:i/>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5E483997"/>
    <w:multiLevelType w:val="hybridMultilevel"/>
    <w:tmpl w:val="3656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B515F"/>
    <w:multiLevelType w:val="hybridMultilevel"/>
    <w:tmpl w:val="EA9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2470C"/>
    <w:multiLevelType w:val="hybridMultilevel"/>
    <w:tmpl w:val="C74E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F00F22"/>
    <w:multiLevelType w:val="hybridMultilevel"/>
    <w:tmpl w:val="8A80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26156"/>
    <w:multiLevelType w:val="hybridMultilevel"/>
    <w:tmpl w:val="6A9EC13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67D00"/>
    <w:multiLevelType w:val="hybridMultilevel"/>
    <w:tmpl w:val="B35E8B4E"/>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008DD"/>
    <w:multiLevelType w:val="hybridMultilevel"/>
    <w:tmpl w:val="8B40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A017A"/>
    <w:multiLevelType w:val="hybridMultilevel"/>
    <w:tmpl w:val="B2CE3570"/>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C512FE"/>
    <w:multiLevelType w:val="hybridMultilevel"/>
    <w:tmpl w:val="2E6E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2"/>
  </w:num>
  <w:num w:numId="5">
    <w:abstractNumId w:val="15"/>
  </w:num>
  <w:num w:numId="6">
    <w:abstractNumId w:val="8"/>
  </w:num>
  <w:num w:numId="7">
    <w:abstractNumId w:val="6"/>
  </w:num>
  <w:num w:numId="8">
    <w:abstractNumId w:val="14"/>
  </w:num>
  <w:num w:numId="9">
    <w:abstractNumId w:val="7"/>
  </w:num>
  <w:num w:numId="10">
    <w:abstractNumId w:val="17"/>
  </w:num>
  <w:num w:numId="11">
    <w:abstractNumId w:val="0"/>
  </w:num>
  <w:num w:numId="12">
    <w:abstractNumId w:val="4"/>
  </w:num>
  <w:num w:numId="13">
    <w:abstractNumId w:val="11"/>
  </w:num>
  <w:num w:numId="14">
    <w:abstractNumId w:val="9"/>
  </w:num>
  <w:num w:numId="15">
    <w:abstractNumId w:val="13"/>
  </w:num>
  <w:num w:numId="16">
    <w:abstractNumId w:val="5"/>
  </w:num>
  <w:num w:numId="17">
    <w:abstractNumId w:val="2"/>
  </w:num>
  <w:num w:numId="18">
    <w:abstractNumId w:val="19"/>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E212A4"/>
    <w:rsid w:val="00006017"/>
    <w:rsid w:val="000102A4"/>
    <w:rsid w:val="00012428"/>
    <w:rsid w:val="000234EF"/>
    <w:rsid w:val="00024C96"/>
    <w:rsid w:val="00034EA6"/>
    <w:rsid w:val="00053971"/>
    <w:rsid w:val="00065A77"/>
    <w:rsid w:val="00071F27"/>
    <w:rsid w:val="0007325B"/>
    <w:rsid w:val="00086A07"/>
    <w:rsid w:val="0008729F"/>
    <w:rsid w:val="00087E65"/>
    <w:rsid w:val="00092862"/>
    <w:rsid w:val="00097F46"/>
    <w:rsid w:val="000A1739"/>
    <w:rsid w:val="000A48AC"/>
    <w:rsid w:val="000B5FEF"/>
    <w:rsid w:val="000C12F9"/>
    <w:rsid w:val="000F6CF5"/>
    <w:rsid w:val="00101A4E"/>
    <w:rsid w:val="0010657E"/>
    <w:rsid w:val="0011077F"/>
    <w:rsid w:val="001276AD"/>
    <w:rsid w:val="00146049"/>
    <w:rsid w:val="001467A9"/>
    <w:rsid w:val="00157950"/>
    <w:rsid w:val="00174030"/>
    <w:rsid w:val="001A7266"/>
    <w:rsid w:val="001B7AF3"/>
    <w:rsid w:val="001C3639"/>
    <w:rsid w:val="001D73BE"/>
    <w:rsid w:val="001F0375"/>
    <w:rsid w:val="001F3C01"/>
    <w:rsid w:val="001F4722"/>
    <w:rsid w:val="00212BF1"/>
    <w:rsid w:val="0021720F"/>
    <w:rsid w:val="00226F39"/>
    <w:rsid w:val="0023315A"/>
    <w:rsid w:val="00233A4C"/>
    <w:rsid w:val="00240170"/>
    <w:rsid w:val="00240F29"/>
    <w:rsid w:val="002442C1"/>
    <w:rsid w:val="00246EB1"/>
    <w:rsid w:val="002529DC"/>
    <w:rsid w:val="00253528"/>
    <w:rsid w:val="0025540F"/>
    <w:rsid w:val="0026219E"/>
    <w:rsid w:val="00262595"/>
    <w:rsid w:val="002675AB"/>
    <w:rsid w:val="00281A10"/>
    <w:rsid w:val="00283A38"/>
    <w:rsid w:val="00285BCE"/>
    <w:rsid w:val="00292D2E"/>
    <w:rsid w:val="00295518"/>
    <w:rsid w:val="002968D2"/>
    <w:rsid w:val="00296CCF"/>
    <w:rsid w:val="002A2C59"/>
    <w:rsid w:val="002A2D63"/>
    <w:rsid w:val="002A4EB1"/>
    <w:rsid w:val="002A6F0A"/>
    <w:rsid w:val="002B5F65"/>
    <w:rsid w:val="002C2628"/>
    <w:rsid w:val="002C3A83"/>
    <w:rsid w:val="002D2865"/>
    <w:rsid w:val="002D7F21"/>
    <w:rsid w:val="002F6F23"/>
    <w:rsid w:val="003058FA"/>
    <w:rsid w:val="00306CE1"/>
    <w:rsid w:val="00307888"/>
    <w:rsid w:val="0031678F"/>
    <w:rsid w:val="00316EB5"/>
    <w:rsid w:val="00335507"/>
    <w:rsid w:val="0034164E"/>
    <w:rsid w:val="003424E7"/>
    <w:rsid w:val="00353E55"/>
    <w:rsid w:val="00355A2B"/>
    <w:rsid w:val="00355FBB"/>
    <w:rsid w:val="00380D17"/>
    <w:rsid w:val="00384D4D"/>
    <w:rsid w:val="0038568B"/>
    <w:rsid w:val="00390E0F"/>
    <w:rsid w:val="0039145D"/>
    <w:rsid w:val="00396CEA"/>
    <w:rsid w:val="003A019A"/>
    <w:rsid w:val="003B0593"/>
    <w:rsid w:val="003C44C9"/>
    <w:rsid w:val="003E4172"/>
    <w:rsid w:val="003E4358"/>
    <w:rsid w:val="003E6D93"/>
    <w:rsid w:val="003F4121"/>
    <w:rsid w:val="003F5C7C"/>
    <w:rsid w:val="00402D11"/>
    <w:rsid w:val="0041141C"/>
    <w:rsid w:val="00417D27"/>
    <w:rsid w:val="0042478B"/>
    <w:rsid w:val="0042781B"/>
    <w:rsid w:val="004314DF"/>
    <w:rsid w:val="00432841"/>
    <w:rsid w:val="00432AA3"/>
    <w:rsid w:val="00433013"/>
    <w:rsid w:val="00437D27"/>
    <w:rsid w:val="00446A19"/>
    <w:rsid w:val="004636E5"/>
    <w:rsid w:val="00467078"/>
    <w:rsid w:val="00471172"/>
    <w:rsid w:val="004748C7"/>
    <w:rsid w:val="00494CD2"/>
    <w:rsid w:val="004A00C2"/>
    <w:rsid w:val="004A1E21"/>
    <w:rsid w:val="004E1052"/>
    <w:rsid w:val="004E2581"/>
    <w:rsid w:val="004E65DE"/>
    <w:rsid w:val="004F5728"/>
    <w:rsid w:val="004F6C3B"/>
    <w:rsid w:val="00506F9F"/>
    <w:rsid w:val="0051221F"/>
    <w:rsid w:val="00516011"/>
    <w:rsid w:val="00521BCA"/>
    <w:rsid w:val="00527548"/>
    <w:rsid w:val="00531E60"/>
    <w:rsid w:val="005361DA"/>
    <w:rsid w:val="005415EE"/>
    <w:rsid w:val="00542716"/>
    <w:rsid w:val="00551299"/>
    <w:rsid w:val="0055252D"/>
    <w:rsid w:val="00552B75"/>
    <w:rsid w:val="005531FF"/>
    <w:rsid w:val="0055459E"/>
    <w:rsid w:val="00560870"/>
    <w:rsid w:val="00561C58"/>
    <w:rsid w:val="00563822"/>
    <w:rsid w:val="00563B52"/>
    <w:rsid w:val="00563F0D"/>
    <w:rsid w:val="005819C5"/>
    <w:rsid w:val="00583009"/>
    <w:rsid w:val="00586D85"/>
    <w:rsid w:val="005913D4"/>
    <w:rsid w:val="00596718"/>
    <w:rsid w:val="005B14FC"/>
    <w:rsid w:val="005B3074"/>
    <w:rsid w:val="005B655C"/>
    <w:rsid w:val="005C24F1"/>
    <w:rsid w:val="005C3437"/>
    <w:rsid w:val="005D3549"/>
    <w:rsid w:val="005D4B36"/>
    <w:rsid w:val="005D4FAC"/>
    <w:rsid w:val="005D5091"/>
    <w:rsid w:val="005E30C9"/>
    <w:rsid w:val="005E642E"/>
    <w:rsid w:val="005F1F73"/>
    <w:rsid w:val="005F47B3"/>
    <w:rsid w:val="00605B0C"/>
    <w:rsid w:val="006119B5"/>
    <w:rsid w:val="00611FBF"/>
    <w:rsid w:val="0061481F"/>
    <w:rsid w:val="0061535F"/>
    <w:rsid w:val="00617C28"/>
    <w:rsid w:val="0062300C"/>
    <w:rsid w:val="006259BA"/>
    <w:rsid w:val="006309DA"/>
    <w:rsid w:val="00635B18"/>
    <w:rsid w:val="00654864"/>
    <w:rsid w:val="006614E9"/>
    <w:rsid w:val="00666F01"/>
    <w:rsid w:val="006702F0"/>
    <w:rsid w:val="00673514"/>
    <w:rsid w:val="00676EFE"/>
    <w:rsid w:val="00677D74"/>
    <w:rsid w:val="00687D8B"/>
    <w:rsid w:val="00691E45"/>
    <w:rsid w:val="006A6A57"/>
    <w:rsid w:val="006B4644"/>
    <w:rsid w:val="006C1BFB"/>
    <w:rsid w:val="006C5BF2"/>
    <w:rsid w:val="006C6C0F"/>
    <w:rsid w:val="006D02ED"/>
    <w:rsid w:val="006D1F54"/>
    <w:rsid w:val="006D4407"/>
    <w:rsid w:val="006D4F86"/>
    <w:rsid w:val="006F7A50"/>
    <w:rsid w:val="00703DC4"/>
    <w:rsid w:val="00711494"/>
    <w:rsid w:val="007137CD"/>
    <w:rsid w:val="00715D45"/>
    <w:rsid w:val="00724B86"/>
    <w:rsid w:val="007256F3"/>
    <w:rsid w:val="00741980"/>
    <w:rsid w:val="00751323"/>
    <w:rsid w:val="00752AE9"/>
    <w:rsid w:val="00770DD6"/>
    <w:rsid w:val="00774A7E"/>
    <w:rsid w:val="00780B4B"/>
    <w:rsid w:val="0079652B"/>
    <w:rsid w:val="007A3B1B"/>
    <w:rsid w:val="007B0501"/>
    <w:rsid w:val="007C2382"/>
    <w:rsid w:val="007D205B"/>
    <w:rsid w:val="007D2D95"/>
    <w:rsid w:val="007D3A77"/>
    <w:rsid w:val="007D755A"/>
    <w:rsid w:val="007E11DB"/>
    <w:rsid w:val="007E7B83"/>
    <w:rsid w:val="007F3655"/>
    <w:rsid w:val="00807BD4"/>
    <w:rsid w:val="00811B7E"/>
    <w:rsid w:val="00815086"/>
    <w:rsid w:val="00816F81"/>
    <w:rsid w:val="00824771"/>
    <w:rsid w:val="00831496"/>
    <w:rsid w:val="008359A8"/>
    <w:rsid w:val="00841A3B"/>
    <w:rsid w:val="008443B6"/>
    <w:rsid w:val="008545DB"/>
    <w:rsid w:val="00854774"/>
    <w:rsid w:val="0085516A"/>
    <w:rsid w:val="00861766"/>
    <w:rsid w:val="00877EFB"/>
    <w:rsid w:val="00883701"/>
    <w:rsid w:val="008A759D"/>
    <w:rsid w:val="008A7EA6"/>
    <w:rsid w:val="008B22F4"/>
    <w:rsid w:val="008B37D2"/>
    <w:rsid w:val="008E4B2D"/>
    <w:rsid w:val="00902DBF"/>
    <w:rsid w:val="009067F8"/>
    <w:rsid w:val="00910508"/>
    <w:rsid w:val="0091088F"/>
    <w:rsid w:val="00910E24"/>
    <w:rsid w:val="00911CEF"/>
    <w:rsid w:val="009145B6"/>
    <w:rsid w:val="00923247"/>
    <w:rsid w:val="0092443F"/>
    <w:rsid w:val="00924588"/>
    <w:rsid w:val="00927C17"/>
    <w:rsid w:val="00930018"/>
    <w:rsid w:val="00930E3E"/>
    <w:rsid w:val="009324BA"/>
    <w:rsid w:val="00936155"/>
    <w:rsid w:val="00940E1D"/>
    <w:rsid w:val="00942613"/>
    <w:rsid w:val="00945D90"/>
    <w:rsid w:val="00945F64"/>
    <w:rsid w:val="00952B02"/>
    <w:rsid w:val="00954F1E"/>
    <w:rsid w:val="00960351"/>
    <w:rsid w:val="00961187"/>
    <w:rsid w:val="00964639"/>
    <w:rsid w:val="00971069"/>
    <w:rsid w:val="00996A99"/>
    <w:rsid w:val="009A787E"/>
    <w:rsid w:val="009B0FAA"/>
    <w:rsid w:val="009C034E"/>
    <w:rsid w:val="009C240E"/>
    <w:rsid w:val="009C4344"/>
    <w:rsid w:val="009C43BE"/>
    <w:rsid w:val="009D73FF"/>
    <w:rsid w:val="009D7F59"/>
    <w:rsid w:val="009E3D96"/>
    <w:rsid w:val="009F4D14"/>
    <w:rsid w:val="009F6067"/>
    <w:rsid w:val="00A011E4"/>
    <w:rsid w:val="00A01683"/>
    <w:rsid w:val="00A025A2"/>
    <w:rsid w:val="00A1738C"/>
    <w:rsid w:val="00A20AB3"/>
    <w:rsid w:val="00A2138A"/>
    <w:rsid w:val="00A259BD"/>
    <w:rsid w:val="00A51704"/>
    <w:rsid w:val="00A560C0"/>
    <w:rsid w:val="00A60203"/>
    <w:rsid w:val="00A66165"/>
    <w:rsid w:val="00A73C45"/>
    <w:rsid w:val="00A7742B"/>
    <w:rsid w:val="00A80557"/>
    <w:rsid w:val="00A80834"/>
    <w:rsid w:val="00A8148C"/>
    <w:rsid w:val="00A86437"/>
    <w:rsid w:val="00A97C75"/>
    <w:rsid w:val="00AA27AF"/>
    <w:rsid w:val="00AB3A17"/>
    <w:rsid w:val="00AD1F90"/>
    <w:rsid w:val="00AE0842"/>
    <w:rsid w:val="00AE5BA4"/>
    <w:rsid w:val="00AE7D96"/>
    <w:rsid w:val="00AF0FB4"/>
    <w:rsid w:val="00AF18D0"/>
    <w:rsid w:val="00AF1FC3"/>
    <w:rsid w:val="00AF445B"/>
    <w:rsid w:val="00AF66FB"/>
    <w:rsid w:val="00B069B5"/>
    <w:rsid w:val="00B07EB6"/>
    <w:rsid w:val="00B140EF"/>
    <w:rsid w:val="00B14364"/>
    <w:rsid w:val="00B35BA2"/>
    <w:rsid w:val="00B3669D"/>
    <w:rsid w:val="00B4314A"/>
    <w:rsid w:val="00B5037D"/>
    <w:rsid w:val="00B52A20"/>
    <w:rsid w:val="00B55C6A"/>
    <w:rsid w:val="00B56971"/>
    <w:rsid w:val="00B56F98"/>
    <w:rsid w:val="00B73910"/>
    <w:rsid w:val="00B95B6B"/>
    <w:rsid w:val="00B97A38"/>
    <w:rsid w:val="00BA09B9"/>
    <w:rsid w:val="00BA177C"/>
    <w:rsid w:val="00BA28E8"/>
    <w:rsid w:val="00BA36D9"/>
    <w:rsid w:val="00BA6D1C"/>
    <w:rsid w:val="00BC7874"/>
    <w:rsid w:val="00BE35FB"/>
    <w:rsid w:val="00BF1747"/>
    <w:rsid w:val="00BF3144"/>
    <w:rsid w:val="00C07433"/>
    <w:rsid w:val="00C10639"/>
    <w:rsid w:val="00C16FDF"/>
    <w:rsid w:val="00C27024"/>
    <w:rsid w:val="00C317C1"/>
    <w:rsid w:val="00C420C9"/>
    <w:rsid w:val="00C42F32"/>
    <w:rsid w:val="00C4512A"/>
    <w:rsid w:val="00C50CCA"/>
    <w:rsid w:val="00C53B22"/>
    <w:rsid w:val="00C600D1"/>
    <w:rsid w:val="00C61E0F"/>
    <w:rsid w:val="00C75428"/>
    <w:rsid w:val="00C81EA6"/>
    <w:rsid w:val="00C87BB7"/>
    <w:rsid w:val="00C95FEB"/>
    <w:rsid w:val="00CA7B17"/>
    <w:rsid w:val="00CB3A34"/>
    <w:rsid w:val="00CC6F1A"/>
    <w:rsid w:val="00CD00D8"/>
    <w:rsid w:val="00CE178A"/>
    <w:rsid w:val="00CE5DD0"/>
    <w:rsid w:val="00CE6433"/>
    <w:rsid w:val="00CE6E49"/>
    <w:rsid w:val="00CE7535"/>
    <w:rsid w:val="00CF7EBE"/>
    <w:rsid w:val="00D05DDA"/>
    <w:rsid w:val="00D06CE5"/>
    <w:rsid w:val="00D076C9"/>
    <w:rsid w:val="00D13602"/>
    <w:rsid w:val="00D14F56"/>
    <w:rsid w:val="00D16356"/>
    <w:rsid w:val="00D34F17"/>
    <w:rsid w:val="00D37224"/>
    <w:rsid w:val="00D41BBE"/>
    <w:rsid w:val="00D46FA9"/>
    <w:rsid w:val="00D50ECD"/>
    <w:rsid w:val="00D66FEA"/>
    <w:rsid w:val="00D6771D"/>
    <w:rsid w:val="00D70D6A"/>
    <w:rsid w:val="00D77015"/>
    <w:rsid w:val="00D802CB"/>
    <w:rsid w:val="00D836A1"/>
    <w:rsid w:val="00D92970"/>
    <w:rsid w:val="00DB204C"/>
    <w:rsid w:val="00DC152B"/>
    <w:rsid w:val="00DC607F"/>
    <w:rsid w:val="00DC74D3"/>
    <w:rsid w:val="00DF51CC"/>
    <w:rsid w:val="00E009C2"/>
    <w:rsid w:val="00E01BE6"/>
    <w:rsid w:val="00E133F6"/>
    <w:rsid w:val="00E1535F"/>
    <w:rsid w:val="00E212A4"/>
    <w:rsid w:val="00E269CF"/>
    <w:rsid w:val="00E30A8E"/>
    <w:rsid w:val="00E332B9"/>
    <w:rsid w:val="00E412C7"/>
    <w:rsid w:val="00E47816"/>
    <w:rsid w:val="00E50084"/>
    <w:rsid w:val="00E50F06"/>
    <w:rsid w:val="00E702AE"/>
    <w:rsid w:val="00E743DF"/>
    <w:rsid w:val="00E873E9"/>
    <w:rsid w:val="00E87C05"/>
    <w:rsid w:val="00E908C8"/>
    <w:rsid w:val="00E96D94"/>
    <w:rsid w:val="00EA271C"/>
    <w:rsid w:val="00EB7E5D"/>
    <w:rsid w:val="00EC3964"/>
    <w:rsid w:val="00EC696D"/>
    <w:rsid w:val="00EE784C"/>
    <w:rsid w:val="00EF4987"/>
    <w:rsid w:val="00EF5683"/>
    <w:rsid w:val="00F00A84"/>
    <w:rsid w:val="00F0238A"/>
    <w:rsid w:val="00F0417D"/>
    <w:rsid w:val="00F13E05"/>
    <w:rsid w:val="00F16A0F"/>
    <w:rsid w:val="00F171F9"/>
    <w:rsid w:val="00F327CE"/>
    <w:rsid w:val="00F33A7A"/>
    <w:rsid w:val="00F35E8A"/>
    <w:rsid w:val="00F408B7"/>
    <w:rsid w:val="00F45150"/>
    <w:rsid w:val="00F47237"/>
    <w:rsid w:val="00F50339"/>
    <w:rsid w:val="00F50922"/>
    <w:rsid w:val="00F50939"/>
    <w:rsid w:val="00F5344A"/>
    <w:rsid w:val="00F5451D"/>
    <w:rsid w:val="00F604D2"/>
    <w:rsid w:val="00F70D05"/>
    <w:rsid w:val="00F75169"/>
    <w:rsid w:val="00F8133F"/>
    <w:rsid w:val="00F82858"/>
    <w:rsid w:val="00F90424"/>
    <w:rsid w:val="00F908F3"/>
    <w:rsid w:val="00F93D6A"/>
    <w:rsid w:val="00F94D78"/>
    <w:rsid w:val="00F961D4"/>
    <w:rsid w:val="00FB45E8"/>
    <w:rsid w:val="00FB7E7F"/>
    <w:rsid w:val="00FC335F"/>
    <w:rsid w:val="00FD605F"/>
    <w:rsid w:val="00FE4776"/>
    <w:rsid w:val="00FF144F"/>
    <w:rsid w:val="00FF4B8D"/>
    <w:rsid w:val="00FF5B52"/>
    <w:rsid w:val="00FF6F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CB3A34"/>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011810">
      <w:bodyDiv w:val="1"/>
      <w:marLeft w:val="0"/>
      <w:marRight w:val="0"/>
      <w:marTop w:val="0"/>
      <w:marBottom w:val="0"/>
      <w:divBdr>
        <w:top w:val="none" w:sz="0" w:space="0" w:color="auto"/>
        <w:left w:val="none" w:sz="0" w:space="0" w:color="auto"/>
        <w:bottom w:val="none" w:sz="0" w:space="0" w:color="auto"/>
        <w:right w:val="none" w:sz="0" w:space="0" w:color="auto"/>
      </w:divBdr>
    </w:div>
    <w:div w:id="1095126082">
      <w:bodyDiv w:val="1"/>
      <w:marLeft w:val="0"/>
      <w:marRight w:val="0"/>
      <w:marTop w:val="0"/>
      <w:marBottom w:val="0"/>
      <w:divBdr>
        <w:top w:val="none" w:sz="0" w:space="0" w:color="auto"/>
        <w:left w:val="none" w:sz="0" w:space="0" w:color="auto"/>
        <w:bottom w:val="none" w:sz="0" w:space="0" w:color="auto"/>
        <w:right w:val="none" w:sz="0" w:space="0" w:color="auto"/>
      </w:divBdr>
    </w:div>
    <w:div w:id="2001960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2594</Words>
  <Characters>14792</Characters>
  <Application>Microsoft Office Word</Application>
  <DocSecurity>0</DocSecurity>
  <Lines>123</Lines>
  <Paragraphs>34</Paragraphs>
  <ScaleCrop>false</ScaleCrop>
  <Company>MRW &amp; Associates, LLC</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Norin</dc:creator>
  <cp:lastModifiedBy>Fraud Squad</cp:lastModifiedBy>
  <cp:revision>2</cp:revision>
  <dcterms:created xsi:type="dcterms:W3CDTF">2015-03-24T22:16:00Z</dcterms:created>
  <dcterms:modified xsi:type="dcterms:W3CDTF">2015-03-24T22:16:00Z</dcterms:modified>
</cp:coreProperties>
</file>