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B47" w:rsidRPr="00600E6F" w:rsidRDefault="00513B47" w:rsidP="003408F4">
      <w:pPr>
        <w:spacing w:after="0" w:line="240" w:lineRule="auto"/>
        <w:ind w:left="360" w:hanging="360"/>
        <w:rPr>
          <w:rFonts w:ascii="Times New Roman" w:hAnsi="Times New Roman"/>
          <w:sz w:val="24"/>
        </w:rPr>
      </w:pPr>
      <w:bookmarkStart w:id="0" w:name="_GoBack"/>
      <w:bookmarkEnd w:id="0"/>
      <w:r w:rsidRPr="00600E6F">
        <w:rPr>
          <w:rFonts w:ascii="Times New Roman" w:hAnsi="Times New Roman"/>
          <w:b/>
          <w:sz w:val="24"/>
        </w:rPr>
        <w:t>1.</w:t>
      </w:r>
      <w:r w:rsidRPr="00600E6F">
        <w:rPr>
          <w:rFonts w:ascii="Times New Roman" w:hAnsi="Times New Roman"/>
          <w:b/>
          <w:sz w:val="24"/>
        </w:rPr>
        <w:tab/>
        <w:t>Program Name:</w:t>
      </w:r>
      <w:r w:rsidRPr="00600E6F">
        <w:rPr>
          <w:rFonts w:ascii="Times New Roman" w:hAnsi="Times New Roman"/>
          <w:sz w:val="24"/>
        </w:rPr>
        <w:tab/>
        <w:t>CalSPREE</w:t>
      </w:r>
      <w:r w:rsidRPr="00600E6F">
        <w:rPr>
          <w:rStyle w:val="FootnoteReference"/>
          <w:rFonts w:ascii="Times New Roman" w:hAnsi="Times New Roman"/>
          <w:sz w:val="24"/>
        </w:rPr>
        <w:footnoteReference w:id="2"/>
      </w:r>
      <w:r w:rsidRPr="00600E6F">
        <w:rPr>
          <w:rFonts w:ascii="Times New Roman" w:hAnsi="Times New Roman"/>
          <w:sz w:val="24"/>
        </w:rPr>
        <w:t xml:space="preserve"> Program</w:t>
      </w:r>
    </w:p>
    <w:p w:rsidR="00513B47" w:rsidRPr="00600E6F" w:rsidRDefault="00513B47" w:rsidP="003408F4">
      <w:pPr>
        <w:spacing w:after="0" w:line="240" w:lineRule="auto"/>
        <w:ind w:left="360"/>
        <w:rPr>
          <w:rFonts w:ascii="Times New Roman" w:hAnsi="Times New Roman"/>
          <w:b/>
          <w:sz w:val="24"/>
        </w:rPr>
      </w:pPr>
      <w:r w:rsidRPr="00600E6F">
        <w:rPr>
          <w:rFonts w:ascii="Times New Roman" w:hAnsi="Times New Roman"/>
          <w:b/>
          <w:sz w:val="24"/>
        </w:rPr>
        <w:t>Program ID:</w:t>
      </w:r>
      <w:r w:rsidRPr="00600E6F">
        <w:rPr>
          <w:rFonts w:ascii="Times New Roman" w:hAnsi="Times New Roman"/>
          <w:sz w:val="24"/>
        </w:rPr>
        <w:tab/>
      </w: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Program Type:</w:t>
      </w:r>
      <w:r w:rsidRPr="00600E6F">
        <w:rPr>
          <w:rFonts w:ascii="Times New Roman" w:hAnsi="Times New Roman"/>
          <w:sz w:val="24"/>
        </w:rPr>
        <w:tab/>
        <w:t>Core</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tabs>
          <w:tab w:val="left" w:pos="360"/>
        </w:tabs>
        <w:spacing w:after="0" w:line="240" w:lineRule="auto"/>
        <w:rPr>
          <w:rFonts w:ascii="Times New Roman" w:hAnsi="Times New Roman"/>
          <w:b/>
          <w:sz w:val="24"/>
        </w:rPr>
      </w:pPr>
      <w:r w:rsidRPr="00600E6F">
        <w:rPr>
          <w:rFonts w:ascii="Times New Roman" w:hAnsi="Times New Roman"/>
          <w:b/>
          <w:sz w:val="24"/>
        </w:rPr>
        <w:t>2.</w:t>
      </w:r>
      <w:r w:rsidRPr="00600E6F">
        <w:rPr>
          <w:rFonts w:ascii="Times New Roman" w:hAnsi="Times New Roman"/>
          <w:b/>
          <w:sz w:val="24"/>
        </w:rPr>
        <w:tab/>
        <w:t>Projected Program Budget Table</w:t>
      </w:r>
    </w:p>
    <w:p w:rsidR="00513B47" w:rsidRPr="00600E6F" w:rsidRDefault="00513B47" w:rsidP="003408F4">
      <w:pPr>
        <w:tabs>
          <w:tab w:val="num" w:pos="720"/>
        </w:tabs>
        <w:spacing w:after="0" w:line="240" w:lineRule="auto"/>
        <w:ind w:left="360"/>
        <w:rPr>
          <w:rFonts w:ascii="Times New Roman" w:hAnsi="Times New Roman"/>
          <w:b/>
          <w:sz w:val="24"/>
        </w:rPr>
      </w:pPr>
      <w:r w:rsidRPr="00600E6F">
        <w:rPr>
          <w:rFonts w:ascii="Times New Roman" w:hAnsi="Times New Roman"/>
          <w:b/>
          <w:sz w:val="24"/>
        </w:rPr>
        <w:t xml:space="preserve">Table </w:t>
      </w:r>
      <w:r w:rsidR="00E7041A" w:rsidRPr="00600E6F">
        <w:rPr>
          <w:rFonts w:ascii="Times New Roman" w:hAnsi="Times New Roman"/>
          <w:b/>
          <w:sz w:val="24"/>
        </w:rPr>
        <w:fldChar w:fldCharType="begin"/>
      </w:r>
      <w:r w:rsidRPr="00600E6F">
        <w:rPr>
          <w:rFonts w:ascii="Times New Roman" w:hAnsi="Times New Roman"/>
          <w:b/>
          <w:sz w:val="24"/>
        </w:rPr>
        <w:instrText xml:space="preserve"> SEQ Table \* ARABIC </w:instrText>
      </w:r>
      <w:r w:rsidR="00E7041A" w:rsidRPr="00600E6F">
        <w:rPr>
          <w:rFonts w:ascii="Times New Roman" w:hAnsi="Times New Roman"/>
          <w:b/>
          <w:sz w:val="24"/>
        </w:rPr>
        <w:fldChar w:fldCharType="separate"/>
      </w:r>
      <w:r w:rsidR="007E4BEC">
        <w:rPr>
          <w:rFonts w:ascii="Times New Roman" w:hAnsi="Times New Roman"/>
          <w:b/>
          <w:noProof/>
          <w:sz w:val="24"/>
        </w:rPr>
        <w:t>1</w:t>
      </w:r>
      <w:r w:rsidR="00E7041A" w:rsidRPr="00600E6F">
        <w:rPr>
          <w:rFonts w:ascii="Times New Roman" w:hAnsi="Times New Roman"/>
          <w:b/>
          <w:sz w:val="24"/>
        </w:rPr>
        <w:fldChar w:fldCharType="end"/>
      </w:r>
      <w:r w:rsidRPr="00600E6F">
        <w:rPr>
          <w:rStyle w:val="FootnoteReference"/>
          <w:rFonts w:ascii="Times New Roman" w:hAnsi="Times New Roman"/>
          <w:b/>
          <w:sz w:val="24"/>
        </w:rPr>
        <w:footnoteReference w:id="3"/>
      </w:r>
    </w:p>
    <w:p w:rsidR="00513B47" w:rsidRPr="00600E6F" w:rsidRDefault="008D705C" w:rsidP="00AB3CC6">
      <w:pPr>
        <w:tabs>
          <w:tab w:val="num" w:pos="720"/>
        </w:tabs>
        <w:spacing w:after="0" w:line="240" w:lineRule="auto"/>
        <w:ind w:left="-432" w:right="-432" w:firstLine="432"/>
        <w:rPr>
          <w:rFonts w:ascii="Times New Roman" w:hAnsi="Times New Roman"/>
          <w:sz w:val="24"/>
        </w:rPr>
      </w:pPr>
      <w:r>
        <w:rPr>
          <w:noProof/>
        </w:rPr>
        <w:drawing>
          <wp:inline distT="0" distB="0" distL="0" distR="0">
            <wp:extent cx="6381750" cy="1381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81750" cy="1381125"/>
                    </a:xfrm>
                    <a:prstGeom prst="rect">
                      <a:avLst/>
                    </a:prstGeom>
                    <a:noFill/>
                    <a:ln w="9525">
                      <a:noFill/>
                      <a:miter lim="800000"/>
                      <a:headEnd/>
                      <a:tailEnd/>
                    </a:ln>
                  </pic:spPr>
                </pic:pic>
              </a:graphicData>
            </a:graphic>
          </wp:inline>
        </w:drawing>
      </w:r>
    </w:p>
    <w:p w:rsidR="00513B47" w:rsidRPr="00600E6F" w:rsidRDefault="00513B47" w:rsidP="003408F4">
      <w:pPr>
        <w:tabs>
          <w:tab w:val="num" w:pos="720"/>
        </w:tabs>
        <w:spacing w:after="0" w:line="240" w:lineRule="auto"/>
        <w:ind w:left="-432" w:right="-432"/>
        <w:rPr>
          <w:rFonts w:ascii="Times New Roman" w:hAnsi="Times New Roman"/>
          <w:sz w:val="24"/>
        </w:rPr>
      </w:pPr>
    </w:p>
    <w:p w:rsidR="00513B47" w:rsidRPr="00600E6F" w:rsidRDefault="00513B47" w:rsidP="00C31CC0">
      <w:pPr>
        <w:numPr>
          <w:ilvl w:val="0"/>
          <w:numId w:val="115"/>
        </w:numPr>
        <w:tabs>
          <w:tab w:val="clear" w:pos="720"/>
          <w:tab w:val="num" w:pos="360"/>
        </w:tabs>
        <w:spacing w:after="0" w:line="240" w:lineRule="auto"/>
        <w:ind w:left="360"/>
        <w:rPr>
          <w:rFonts w:ascii="Times New Roman" w:hAnsi="Times New Roman"/>
          <w:b/>
          <w:sz w:val="24"/>
        </w:rPr>
      </w:pPr>
      <w:r w:rsidRPr="00600E6F">
        <w:rPr>
          <w:rFonts w:ascii="Times New Roman" w:hAnsi="Times New Roman"/>
          <w:b/>
          <w:sz w:val="24"/>
        </w:rPr>
        <w:t xml:space="preserve">Projected Program Gross Impacts Table –  by calendar year </w:t>
      </w:r>
    </w:p>
    <w:p w:rsidR="00513B47" w:rsidRPr="00600E6F" w:rsidRDefault="00513B47" w:rsidP="003408F4">
      <w:pPr>
        <w:pStyle w:val="Caption"/>
        <w:rPr>
          <w:sz w:val="24"/>
        </w:rPr>
      </w:pPr>
    </w:p>
    <w:p w:rsidR="00513B47" w:rsidRPr="00600E6F" w:rsidRDefault="00513B47" w:rsidP="003408F4">
      <w:pPr>
        <w:ind w:left="360"/>
        <w:rPr>
          <w:rFonts w:ascii="Times New Roman" w:hAnsi="Times New Roman"/>
          <w:sz w:val="24"/>
        </w:rPr>
      </w:pPr>
      <w:r w:rsidRPr="00600E6F">
        <w:rPr>
          <w:rFonts w:ascii="Times New Roman" w:hAnsi="Times New Roman"/>
          <w:sz w:val="24"/>
        </w:rPr>
        <w:t>The IOU’s funding request for the proposed 2013-2014 CalSPREE Program as detailed in Table 1 above. The IOUs believe this amount is reasonable, results in a cost-effective portfolio that meets the Commission’s energy savings targets for 2013-2014, and supports market transformation and the Strategic Plan.</w:t>
      </w:r>
    </w:p>
    <w:p w:rsidR="00513B47" w:rsidRPr="00600E6F" w:rsidRDefault="00513B47" w:rsidP="003408F4">
      <w:pPr>
        <w:pStyle w:val="Caption"/>
        <w:ind w:firstLine="360"/>
        <w:rPr>
          <w:sz w:val="24"/>
        </w:rPr>
      </w:pPr>
      <w:r w:rsidRPr="00600E6F">
        <w:rPr>
          <w:sz w:val="24"/>
        </w:rPr>
        <w:t xml:space="preserve">Table </w:t>
      </w:r>
      <w:r w:rsidR="00E7041A" w:rsidRPr="00600E6F">
        <w:rPr>
          <w:sz w:val="24"/>
        </w:rPr>
        <w:fldChar w:fldCharType="begin"/>
      </w:r>
      <w:r w:rsidRPr="00600E6F">
        <w:rPr>
          <w:sz w:val="24"/>
        </w:rPr>
        <w:instrText xml:space="preserve"> SEQ Table \* ARABIC </w:instrText>
      </w:r>
      <w:r w:rsidR="00E7041A" w:rsidRPr="00600E6F">
        <w:rPr>
          <w:sz w:val="24"/>
        </w:rPr>
        <w:fldChar w:fldCharType="separate"/>
      </w:r>
      <w:r w:rsidR="007E4BEC">
        <w:rPr>
          <w:noProof/>
          <w:sz w:val="24"/>
        </w:rPr>
        <w:t>2</w:t>
      </w:r>
      <w:r w:rsidR="00E7041A" w:rsidRPr="00600E6F">
        <w:rPr>
          <w:sz w:val="24"/>
        </w:rPr>
        <w:fldChar w:fldCharType="end"/>
      </w:r>
    </w:p>
    <w:p w:rsidR="00513B47" w:rsidRPr="00600E6F" w:rsidRDefault="008D705C" w:rsidP="00AB3CC6">
      <w:pPr>
        <w:spacing w:after="0" w:line="240" w:lineRule="auto"/>
        <w:ind w:left="-432" w:right="-432" w:firstLine="432"/>
        <w:rPr>
          <w:rFonts w:ascii="Times New Roman" w:hAnsi="Times New Roman"/>
          <w:sz w:val="24"/>
        </w:rPr>
      </w:pPr>
      <w:r>
        <w:rPr>
          <w:noProof/>
        </w:rPr>
        <w:drawing>
          <wp:inline distT="0" distB="0" distL="0" distR="0" wp14:anchorId="30DD20C5" wp14:editId="2E3EF358">
            <wp:extent cx="5934075" cy="1362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34075" cy="1362075"/>
                    </a:xfrm>
                    <a:prstGeom prst="rect">
                      <a:avLst/>
                    </a:prstGeom>
                    <a:noFill/>
                    <a:ln w="9525">
                      <a:noFill/>
                      <a:miter lim="800000"/>
                      <a:headEnd/>
                      <a:tailEnd/>
                    </a:ln>
                  </pic:spPr>
                </pic:pic>
              </a:graphicData>
            </a:graphic>
          </wp:inline>
        </w:drawing>
      </w:r>
    </w:p>
    <w:p w:rsidR="00513B47" w:rsidRDefault="00513B47" w:rsidP="003408F4">
      <w:pPr>
        <w:spacing w:after="0" w:line="240" w:lineRule="auto"/>
        <w:ind w:left="-432" w:right="-432"/>
        <w:rPr>
          <w:rFonts w:ascii="Times New Roman" w:hAnsi="Times New Roman"/>
          <w:sz w:val="24"/>
        </w:rPr>
      </w:pPr>
    </w:p>
    <w:p w:rsidR="00AB3CC6" w:rsidRDefault="00AB3CC6" w:rsidP="003408F4">
      <w:pPr>
        <w:spacing w:after="0" w:line="240" w:lineRule="auto"/>
        <w:ind w:left="-432" w:right="-432"/>
        <w:rPr>
          <w:rFonts w:ascii="Times New Roman" w:hAnsi="Times New Roman"/>
          <w:sz w:val="24"/>
        </w:rPr>
      </w:pPr>
    </w:p>
    <w:p w:rsidR="002B295D" w:rsidRPr="00600E6F" w:rsidRDefault="002B295D" w:rsidP="003408F4">
      <w:pPr>
        <w:spacing w:after="0" w:line="240" w:lineRule="auto"/>
        <w:ind w:left="-432" w:right="-432"/>
        <w:rPr>
          <w:rFonts w:ascii="Times New Roman" w:hAnsi="Times New Roman"/>
          <w:sz w:val="24"/>
        </w:rPr>
      </w:pPr>
    </w:p>
    <w:p w:rsidR="00513B47" w:rsidRPr="00600E6F" w:rsidRDefault="00513B47" w:rsidP="00C31CC0">
      <w:pPr>
        <w:numPr>
          <w:ilvl w:val="0"/>
          <w:numId w:val="115"/>
        </w:numPr>
        <w:tabs>
          <w:tab w:val="clear" w:pos="720"/>
          <w:tab w:val="num" w:pos="360"/>
        </w:tabs>
        <w:spacing w:after="0" w:line="240" w:lineRule="auto"/>
        <w:ind w:left="360"/>
        <w:rPr>
          <w:rFonts w:ascii="Times New Roman" w:hAnsi="Times New Roman"/>
          <w:b/>
          <w:sz w:val="24"/>
        </w:rPr>
      </w:pPr>
      <w:r w:rsidRPr="00600E6F">
        <w:rPr>
          <w:rFonts w:ascii="Times New Roman" w:hAnsi="Times New Roman"/>
          <w:b/>
          <w:sz w:val="24"/>
        </w:rPr>
        <w:lastRenderedPageBreak/>
        <w:t>Program Description</w:t>
      </w:r>
    </w:p>
    <w:p w:rsidR="00513B47" w:rsidRPr="00600E6F" w:rsidRDefault="00513B47" w:rsidP="003408F4">
      <w:pPr>
        <w:spacing w:after="0" w:line="240" w:lineRule="auto"/>
        <w:ind w:left="360"/>
        <w:rPr>
          <w:rFonts w:ascii="Times New Roman" w:hAnsi="Times New Roman"/>
          <w:b/>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The 2013-2014 Residential Sector program, part of the overall Energy Upgrade California (EUC) program, is designated as the California Statewide Program for Residential Energy Efficiency (CalSPREE).</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CalSPREE will offer and promote both specific and comprehensive energy solutions for residential customers. By encouraging adoption of economically viable energy efficiency technologies, practices, and services, CalSPREE will employ strategies and tactics to overcome market barriers while delivering services that support the CPUC’s Long Term Energy Efficiency Strategic Plan.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The ultimate focus of CalSPREE is to: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 xml:space="preserve">Facilitate, sustain, and transform the long-term delivery and adoption of energy-efficient products and services for single and multi-family dwellings;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Cultivate, promote and sustain lasting energy-efficient behaviors by residential customers through a collaborative statewide education and outreach mechanism; and</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Meet customers’ energy efficiency adoption preferences through a range of offerings including single-measure incentives and more comprehensive approaches.</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To date, the California IOUs have employed a number of different residential energy efficiency subprograms that are in various stages of maturity and availability across the state. For 2013-2014 and beyond, the IOUs will integrate all of these subprograms to coordinate efforts and increase comprehensiveness of measure delivery.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CalSPREE will conduct a combination of integrated DSM and program specific marketing and outreach to drive ongoing customer participation and behavior change.  Both integrated and program-specific marketing activities will work in coordination with the SW ME&amp;O and will serve to complement those efforts.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Integrated marketing and outreach will gather, create, and deliver information to customers in a way that (1) bundles programs, products, and information and (2) customizes delivery for individual or groups of targeted customers based on market intelligence, segmentation analyses, self-selection activities, and event-based knowledge of customer’s actions. To drive ongoing customer engagement, marketing and outreach will target customers with the right message, through the right channel, at the right time. Integrated marketing will cross-sell relevant DSM programs and services that emphasize the benefits of participation in multiple programs.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Additionally, program specific marketing and outreach will be conducted in order to increase participation and reach specific program goals.  Program specific marketing and outreach will target customers with a high potential to participate in a specific programs or service. For example, through the Plug Load and Appliances program, customers identified as having a pool may receive a targeted direct mailer prior to summer encouraging them to take </w:t>
      </w:r>
      <w:r w:rsidRPr="00600E6F">
        <w:rPr>
          <w:rFonts w:ascii="Times New Roman" w:hAnsi="Times New Roman"/>
          <w:sz w:val="24"/>
        </w:rPr>
        <w:lastRenderedPageBreak/>
        <w:t>advantage of the pool pump and motor rebate.  By motivating customers to take an initial action, it will enable the utilities to engage customers in an ongoing conversation about the next steps they can take towards becoming better energy managers.  Additionally, program specific marketing and outreach enables the utilities to conduct activities necessary to support the measure, such as developing Point of Sale rebate stickers that are placed on select appliances to drive program participation.  These efforts drive enrollments that enable the utilities to meet specific program goals.</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A mix of communication channels and languages will be used to reach a diverse audience.  Communication channels may include: web, call center, bill messaging, email, social media, direct mail, retail partnerships, community- and faith-based partnerships, outreach, events, local government partnerships, general and ethnic media.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CalSPREE is comprised of the Energy Advisor, Plug Load and Appliances (PLA), Multi-Family Energy Efficiency Rebates (MFEER), Whole Home Upgrade (WHU), Residential Heating, Ventilation, and Air Conditioning (HVAC), and Residential New Construction (RNC) subprograms. These subprograms are described in more detail below.</w:t>
      </w:r>
    </w:p>
    <w:p w:rsidR="00513B47" w:rsidRPr="00600E6F" w:rsidRDefault="00513B47" w:rsidP="003408F4">
      <w:pPr>
        <w:spacing w:after="0" w:line="240" w:lineRule="auto"/>
        <w:ind w:left="360"/>
        <w:rPr>
          <w:rFonts w:ascii="Times New Roman" w:hAnsi="Times New Roman"/>
          <w:b/>
          <w:sz w:val="24"/>
        </w:rPr>
      </w:pPr>
    </w:p>
    <w:p w:rsidR="00513B47" w:rsidRPr="00600E6F" w:rsidRDefault="00513B47" w:rsidP="003408F4">
      <w:pPr>
        <w:spacing w:after="0" w:line="240" w:lineRule="auto"/>
        <w:ind w:left="360"/>
        <w:rPr>
          <w:rFonts w:ascii="Times New Roman" w:hAnsi="Times New Roman"/>
          <w:b/>
          <w:sz w:val="24"/>
          <w:u w:val="single"/>
        </w:rPr>
      </w:pPr>
      <w:r w:rsidRPr="00600E6F">
        <w:rPr>
          <w:rFonts w:ascii="Times New Roman" w:hAnsi="Times New Roman"/>
          <w:b/>
          <w:sz w:val="24"/>
          <w:u w:val="single"/>
        </w:rPr>
        <w:t xml:space="preserve">Short description of each sub-program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 xml:space="preserve">The 2013-2014 CalSPREE includes the following six subprograms: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a)</w:t>
      </w:r>
      <w:r w:rsidRPr="00600E6F">
        <w:rPr>
          <w:rFonts w:ascii="Times New Roman" w:hAnsi="Times New Roman"/>
          <w:b/>
          <w:sz w:val="24"/>
        </w:rPr>
        <w:tab/>
        <w:t>Energy Advisor (EA).</w:t>
      </w:r>
      <w:r w:rsidRPr="00600E6F">
        <w:rPr>
          <w:rFonts w:ascii="Times New Roman" w:hAnsi="Times New Roman"/>
          <w:sz w:val="24"/>
        </w:rPr>
        <w:t xml:space="preserve"> The Energy Advisor subprogram will utilize interactive tools designed to engage customers and encourage participation in innovative initiatives.  These initiatives are designed to help customers understand and empower them to manage their energy use, and will guide them, where appropriate, towards advancing whole-house energy solutions. Although the IOUs share similar Energy Advisor subprogram theory, design, and goals, they may implement subprogram logistics differently because of their different service territories.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b)</w:t>
      </w:r>
      <w:r w:rsidRPr="00600E6F">
        <w:rPr>
          <w:rFonts w:ascii="Times New Roman" w:hAnsi="Times New Roman"/>
          <w:b/>
          <w:sz w:val="24"/>
        </w:rPr>
        <w:tab/>
        <w:t>Plug Load and Appliances (PLA)</w:t>
      </w:r>
      <w:r w:rsidRPr="00600E6F">
        <w:rPr>
          <w:rFonts w:ascii="Times New Roman" w:hAnsi="Times New Roman"/>
          <w:sz w:val="24"/>
        </w:rPr>
        <w:t xml:space="preserve">. The Plug Load and Appliances subprogram merges the previous Home Energy Efficiency Rebate (HEER), Business Consumer Electronics (BCE) and Appliance Recycling subprograms. This subprogram will develop and build upon existing retailer relationships and will include recycling strategies and whole house solutions, plug load efficiency, performance standards, and opportunities for integration with local government, water agencies, Publically Owned Utilities (POUs), and the Demand Side Management (DSM) subprogram.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c)</w:t>
      </w:r>
      <w:r w:rsidRPr="00600E6F">
        <w:rPr>
          <w:rFonts w:ascii="Times New Roman" w:hAnsi="Times New Roman"/>
          <w:b/>
          <w:sz w:val="24"/>
        </w:rPr>
        <w:tab/>
        <w:t>Multi-Family Energy Efficiency Rebates (MFEER).</w:t>
      </w:r>
      <w:r w:rsidRPr="00600E6F">
        <w:rPr>
          <w:rFonts w:ascii="Times New Roman" w:hAnsi="Times New Roman"/>
          <w:sz w:val="24"/>
        </w:rPr>
        <w:t xml:space="preserve"> The MFEER subprogram is a continuing subprogram. This subprogram will promote energy efficiency by providing equipment rebates to owners and tenants of multifamily properties, including residential apartment buildings, condominium complexes, and mobile home parks. It will be coordinated with the Energy Savings Assistance (ESA) and the WHUP Programs.</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d)</w:t>
      </w:r>
      <w:r w:rsidRPr="00600E6F">
        <w:rPr>
          <w:rFonts w:ascii="Times New Roman" w:hAnsi="Times New Roman"/>
          <w:b/>
          <w:sz w:val="24"/>
        </w:rPr>
        <w:tab/>
        <w:t>Whole Home Upgrade Program (WHUP).</w:t>
      </w:r>
      <w:r w:rsidRPr="00600E6F">
        <w:rPr>
          <w:rFonts w:ascii="Times New Roman" w:hAnsi="Times New Roman"/>
          <w:sz w:val="24"/>
        </w:rPr>
        <w:t xml:space="preserve"> For 2013-2014, the WHUP will consolidate the previously separate Prescriptive Whole House Retrofit (PWHRP) and Local Whole House Retrofit (WHRP) and the introduction of a Multi-family component. The WHUP sub-</w:t>
      </w:r>
      <w:r w:rsidRPr="00600E6F">
        <w:rPr>
          <w:rFonts w:ascii="Times New Roman" w:hAnsi="Times New Roman"/>
          <w:sz w:val="24"/>
        </w:rPr>
        <w:lastRenderedPageBreak/>
        <w:t xml:space="preserve">program is designed to build customer and contractor awareness of the house-as-a-system approach to residential retrofits and the many benefits of improving the comfort, safety, and energy savings potential of the house. The WHUP approach promotes both Basic and Advanced Paths to retrofitting; these complementary paths will be presented to customers as one comprehensive offering.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e)</w:t>
      </w:r>
      <w:r w:rsidRPr="00600E6F">
        <w:rPr>
          <w:rFonts w:ascii="Times New Roman" w:hAnsi="Times New Roman"/>
          <w:b/>
          <w:sz w:val="24"/>
        </w:rPr>
        <w:tab/>
        <w:t>Residential Heating, Ventilation, and Air Conditioning (HVAC)</w:t>
      </w:r>
      <w:r w:rsidRPr="00600E6F">
        <w:rPr>
          <w:rFonts w:ascii="Times New Roman" w:hAnsi="Times New Roman"/>
          <w:sz w:val="24"/>
        </w:rPr>
        <w:t xml:space="preserve">. The Residential HVAC subprogram is a continuing program with the primary objective of driving high quality levels in </w:t>
      </w:r>
      <w:smartTag w:uri="urn:schemas-microsoft-com:office:smarttags" w:element="place">
        <w:smartTag w:uri="urn:schemas-microsoft-com:office:smarttags" w:element="State">
          <w:r w:rsidRPr="00600E6F">
            <w:rPr>
              <w:rFonts w:ascii="Times New Roman" w:hAnsi="Times New Roman"/>
              <w:sz w:val="24"/>
            </w:rPr>
            <w:t>California</w:t>
          </w:r>
        </w:smartTag>
      </w:smartTag>
      <w:r w:rsidRPr="00600E6F">
        <w:rPr>
          <w:rFonts w:ascii="Times New Roman" w:hAnsi="Times New Roman"/>
          <w:sz w:val="24"/>
        </w:rPr>
        <w:t xml:space="preserve">'s HVAC market for technology, equipment, installation, and maintenance. An additional objective is to increase customer awareness of the value of HVAC installation and maintenance practices toward driving energy efficiency and peak load reduction. The Residential HVAC subprogram will incorporate revised measures and incentives, policies and procedures, quality assurance, marketing materials, website, and contractor training in performing HVAC installation services for residential customers.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b/>
          <w:sz w:val="24"/>
        </w:rPr>
        <w:t>f)</w:t>
      </w:r>
      <w:r w:rsidRPr="00600E6F">
        <w:rPr>
          <w:rFonts w:ascii="Times New Roman" w:hAnsi="Times New Roman"/>
          <w:b/>
          <w:sz w:val="24"/>
        </w:rPr>
        <w:tab/>
        <w:t>Residential New Construction (RNC)</w:t>
      </w:r>
      <w:r w:rsidRPr="00600E6F">
        <w:rPr>
          <w:rFonts w:ascii="Times New Roman" w:hAnsi="Times New Roman"/>
          <w:sz w:val="24"/>
        </w:rPr>
        <w:t xml:space="preserve">. The RNC subprogram is a continuing statewide program that consists of the California Advanced Homes Program (CAHP) and, in </w:t>
      </w:r>
      <w:smartTag w:uri="urn:schemas-microsoft-com:office:smarttags" w:element="place">
        <w:r w:rsidRPr="00600E6F">
          <w:rPr>
            <w:rFonts w:ascii="Times New Roman" w:hAnsi="Times New Roman"/>
            <w:sz w:val="24"/>
          </w:rPr>
          <w:t>Southern California</w:t>
        </w:r>
      </w:smartTag>
      <w:r w:rsidRPr="00600E6F">
        <w:rPr>
          <w:rFonts w:ascii="Times New Roman" w:hAnsi="Times New Roman"/>
          <w:sz w:val="24"/>
        </w:rPr>
        <w:t>, the Energy Star Manufactured Homes (ESMH) Program. The Program is designed to help guide builders to produce the most efficient homes in the most cost-effective manner, and will examine methodologies for supporting the Strategic Plan target of zero net energy (ZNE) by 2020.</w:t>
      </w:r>
      <w:r w:rsidRPr="00600E6F">
        <w:rPr>
          <w:rFonts w:ascii="Times New Roman" w:hAnsi="Times New Roman"/>
          <w:b/>
          <w:sz w:val="24"/>
          <w:u w:val="single"/>
        </w:rPr>
        <w:t xml:space="preserve"> </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115"/>
        </w:numPr>
        <w:tabs>
          <w:tab w:val="clear" w:pos="720"/>
          <w:tab w:val="num" w:pos="360"/>
        </w:tabs>
        <w:spacing w:after="0" w:line="240" w:lineRule="auto"/>
        <w:ind w:left="360"/>
        <w:rPr>
          <w:rFonts w:ascii="Times New Roman" w:hAnsi="Times New Roman"/>
          <w:b/>
          <w:sz w:val="24"/>
        </w:rPr>
      </w:pPr>
      <w:r w:rsidRPr="00600E6F">
        <w:rPr>
          <w:rFonts w:ascii="Times New Roman" w:hAnsi="Times New Roman"/>
          <w:b/>
          <w:sz w:val="24"/>
        </w:rPr>
        <w:t>CalSPREE Program Diagrams</w:t>
      </w:r>
    </w:p>
    <w:p w:rsidR="00513B47" w:rsidRPr="00600E6F" w:rsidRDefault="00513B47" w:rsidP="00F73773">
      <w:pPr>
        <w:spacing w:after="0" w:line="240" w:lineRule="auto"/>
        <w:ind w:left="360"/>
        <w:rPr>
          <w:rFonts w:ascii="Times New Roman" w:hAnsi="Times New Roman"/>
          <w:b/>
          <w:sz w:val="24"/>
        </w:rPr>
      </w:pPr>
    </w:p>
    <w:p w:rsidR="00513B47" w:rsidRPr="00600E6F" w:rsidRDefault="008D705C" w:rsidP="00AB3CC6">
      <w:pPr>
        <w:spacing w:after="0" w:line="240" w:lineRule="auto"/>
        <w:rPr>
          <w:rFonts w:ascii="Times New Roman" w:hAnsi="Times New Roman"/>
        </w:rPr>
      </w:pPr>
      <w:r>
        <w:rPr>
          <w:rFonts w:ascii="Times New Roman" w:hAnsi="Times New Roman"/>
          <w:noProof/>
        </w:rPr>
        <w:drawing>
          <wp:inline distT="0" distB="0" distL="0" distR="0" wp14:anchorId="2CA7D055" wp14:editId="3CF015B6">
            <wp:extent cx="6155487" cy="3469955"/>
            <wp:effectExtent l="19050" t="0" r="54813" b="73345"/>
            <wp:docPr id="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3"/>
                    <pic:cNvPicPr>
                      <a:picLocks noChangeAspect="1" noChangeArrowheads="1"/>
                    </pic:cNvPicPr>
                  </pic:nvPicPr>
                  <pic:blipFill>
                    <a:blip r:embed="rId11" cstate="print"/>
                    <a:srcRect/>
                    <a:stretch>
                      <a:fillRect/>
                    </a:stretch>
                  </pic:blipFill>
                  <pic:spPr bwMode="auto">
                    <a:xfrm>
                      <a:off x="0" y="0"/>
                      <a:ext cx="6155487" cy="3469955"/>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p>
    <w:p w:rsidR="00051715" w:rsidRDefault="00051715" w:rsidP="002F645C">
      <w:pPr>
        <w:spacing w:after="0" w:line="240" w:lineRule="auto"/>
        <w:ind w:hanging="720"/>
        <w:rPr>
          <w:rFonts w:ascii="Times New Roman" w:hAnsi="Times New Roman"/>
          <w:noProof/>
          <w:szCs w:val="24"/>
        </w:rPr>
      </w:pPr>
    </w:p>
    <w:p w:rsidR="00051715" w:rsidRDefault="00051715" w:rsidP="002F645C">
      <w:pPr>
        <w:spacing w:after="0" w:line="240" w:lineRule="auto"/>
        <w:ind w:hanging="720"/>
        <w:rPr>
          <w:rFonts w:ascii="Times New Roman" w:hAnsi="Times New Roman"/>
          <w:noProof/>
          <w:szCs w:val="24"/>
        </w:rPr>
      </w:pPr>
    </w:p>
    <w:p w:rsidR="00513B47" w:rsidRPr="00600E6F" w:rsidRDefault="00513B47" w:rsidP="00C31CC0">
      <w:pPr>
        <w:numPr>
          <w:ilvl w:val="0"/>
          <w:numId w:val="115"/>
        </w:numPr>
        <w:tabs>
          <w:tab w:val="clear" w:pos="720"/>
          <w:tab w:val="num" w:pos="360"/>
        </w:tabs>
        <w:spacing w:after="0" w:line="240" w:lineRule="auto"/>
        <w:ind w:left="360"/>
        <w:rPr>
          <w:rFonts w:ascii="Times New Roman" w:hAnsi="Times New Roman"/>
          <w:b/>
          <w:sz w:val="24"/>
        </w:rPr>
      </w:pPr>
      <w:r w:rsidRPr="00600E6F">
        <w:rPr>
          <w:rFonts w:ascii="Times New Roman" w:hAnsi="Times New Roman"/>
          <w:b/>
          <w:sz w:val="24"/>
        </w:rPr>
        <w:lastRenderedPageBreak/>
        <w:t>Program Logic Model</w:t>
      </w:r>
    </w:p>
    <w:p w:rsidR="00513B47" w:rsidRPr="00600E6F" w:rsidRDefault="00513B47" w:rsidP="003408F4">
      <w:pPr>
        <w:spacing w:after="0" w:line="240" w:lineRule="auto"/>
        <w:rPr>
          <w:rFonts w:ascii="Times New Roman" w:hAnsi="Times New Roman"/>
          <w:sz w:val="24"/>
        </w:rPr>
      </w:pPr>
    </w:p>
    <w:p w:rsidR="00513B47" w:rsidRPr="00600E6F" w:rsidRDefault="008D705C" w:rsidP="002F645C">
      <w:pPr>
        <w:spacing w:after="0" w:line="240" w:lineRule="auto"/>
        <w:ind w:hanging="630"/>
        <w:rPr>
          <w:rFonts w:ascii="Times New Roman" w:hAnsi="Times New Roman"/>
          <w:sz w:val="24"/>
        </w:rPr>
      </w:pPr>
      <w:r>
        <w:rPr>
          <w:rFonts w:ascii="Times New Roman" w:hAnsi="Times New Roman"/>
          <w:noProof/>
        </w:rPr>
        <w:drawing>
          <wp:inline distT="0" distB="0" distL="0" distR="0" wp14:anchorId="7876EFB8" wp14:editId="05D76573">
            <wp:extent cx="6337971" cy="4757134"/>
            <wp:effectExtent l="76200" t="0" r="62829" b="81566"/>
            <wp:docPr id="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12" cstate="print"/>
                    <a:srcRect/>
                    <a:stretch>
                      <a:fillRect/>
                    </a:stretch>
                  </pic:blipFill>
                  <pic:spPr bwMode="auto">
                    <a:xfrm>
                      <a:off x="0" y="0"/>
                      <a:ext cx="6337971" cy="4757134"/>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p>
    <w:p w:rsidR="00513B47" w:rsidRPr="00600E6F" w:rsidRDefault="00513B47" w:rsidP="00A05269">
      <w:pPr>
        <w:spacing w:after="0" w:line="240" w:lineRule="auto"/>
        <w:ind w:left="360" w:hanging="360"/>
        <w:rPr>
          <w:rFonts w:ascii="Times New Roman" w:hAnsi="Times New Roman"/>
        </w:rPr>
      </w:pPr>
      <w:r w:rsidRPr="00600E6F">
        <w:rPr>
          <w:rFonts w:ascii="Times New Roman" w:hAnsi="Times New Roman"/>
          <w:sz w:val="24"/>
        </w:rPr>
        <w:br w:type="page"/>
      </w:r>
      <w:r w:rsidRPr="00600E6F">
        <w:rPr>
          <w:rFonts w:ascii="Times New Roman" w:hAnsi="Times New Roman"/>
          <w:b/>
          <w:sz w:val="24"/>
        </w:rPr>
        <w:lastRenderedPageBreak/>
        <w:t>1.</w:t>
      </w:r>
      <w:r w:rsidRPr="00600E6F">
        <w:rPr>
          <w:rFonts w:ascii="Times New Roman" w:hAnsi="Times New Roman"/>
          <w:b/>
          <w:sz w:val="24"/>
        </w:rPr>
        <w:tab/>
      </w:r>
      <w:r w:rsidR="00E7041A" w:rsidRPr="00600E6F">
        <w:rPr>
          <w:rFonts w:ascii="Times New Roman" w:hAnsi="Times New Roman"/>
          <w:b/>
          <w:sz w:val="24"/>
        </w:rPr>
        <w:t>Program Name:</w:t>
      </w:r>
      <w:r w:rsidRPr="00600E6F">
        <w:rPr>
          <w:rFonts w:ascii="Times New Roman" w:hAnsi="Times New Roman"/>
        </w:rPr>
        <w:tab/>
        <w:t>Energy Advisor Program</w:t>
      </w:r>
    </w:p>
    <w:p w:rsidR="00513B47" w:rsidRPr="00600E6F" w:rsidRDefault="00E7041A" w:rsidP="00A05269">
      <w:pPr>
        <w:spacing w:after="0" w:line="240" w:lineRule="auto"/>
        <w:ind w:left="360"/>
        <w:rPr>
          <w:rFonts w:ascii="Times New Roman" w:hAnsi="Times New Roman"/>
        </w:rPr>
      </w:pPr>
      <w:r w:rsidRPr="00600E6F">
        <w:rPr>
          <w:rFonts w:ascii="Times New Roman" w:hAnsi="Times New Roman"/>
          <w:b/>
          <w:sz w:val="24"/>
        </w:rPr>
        <w:t>Program Type:</w:t>
      </w:r>
      <w:r w:rsidR="00513B47" w:rsidRPr="00600E6F">
        <w:rPr>
          <w:rFonts w:ascii="Times New Roman" w:hAnsi="Times New Roman"/>
        </w:rPr>
        <w:tab/>
        <w:t>Core</w:t>
      </w:r>
    </w:p>
    <w:p w:rsidR="00513B47" w:rsidRPr="00600E6F" w:rsidRDefault="00513B47" w:rsidP="00A05269">
      <w:pPr>
        <w:spacing w:after="0" w:line="240" w:lineRule="auto"/>
        <w:ind w:left="360" w:hanging="360"/>
        <w:rPr>
          <w:rFonts w:ascii="Times New Roman" w:hAnsi="Times New Roman"/>
        </w:rPr>
      </w:pPr>
    </w:p>
    <w:p w:rsidR="00513B47" w:rsidRPr="00600E6F" w:rsidRDefault="00E7041A" w:rsidP="00A05269">
      <w:pPr>
        <w:tabs>
          <w:tab w:val="left" w:pos="360"/>
        </w:tabs>
        <w:spacing w:after="0" w:line="240" w:lineRule="auto"/>
        <w:rPr>
          <w:rFonts w:ascii="Times New Roman" w:hAnsi="Times New Roman"/>
          <w:b/>
          <w:sz w:val="24"/>
        </w:rPr>
      </w:pPr>
      <w:r w:rsidRPr="00600E6F">
        <w:rPr>
          <w:rFonts w:ascii="Times New Roman" w:hAnsi="Times New Roman"/>
          <w:b/>
          <w:sz w:val="24"/>
        </w:rPr>
        <w:t>2.</w:t>
      </w:r>
      <w:r w:rsidR="00513B47" w:rsidRPr="00600E6F">
        <w:rPr>
          <w:rFonts w:ascii="Times New Roman" w:hAnsi="Times New Roman"/>
          <w:b/>
          <w:sz w:val="24"/>
        </w:rPr>
        <w:tab/>
      </w:r>
      <w:r w:rsidRPr="00600E6F">
        <w:rPr>
          <w:rFonts w:ascii="Times New Roman" w:hAnsi="Times New Roman"/>
          <w:b/>
          <w:sz w:val="24"/>
        </w:rPr>
        <w:t>Projected Program Budget Table</w:t>
      </w:r>
    </w:p>
    <w:p w:rsidR="00513B47" w:rsidRPr="00600E6F" w:rsidRDefault="00513B47" w:rsidP="00A05269">
      <w:pPr>
        <w:tabs>
          <w:tab w:val="num" w:pos="360"/>
        </w:tabs>
        <w:spacing w:after="0" w:line="240" w:lineRule="auto"/>
        <w:rPr>
          <w:rFonts w:ascii="Times New Roman" w:hAnsi="Times New Roman"/>
          <w:b/>
          <w:sz w:val="24"/>
        </w:rPr>
      </w:pPr>
      <w:r w:rsidRPr="00600E6F">
        <w:rPr>
          <w:rFonts w:ascii="Times New Roman" w:hAnsi="Times New Roman"/>
          <w:sz w:val="24"/>
        </w:rPr>
        <w:tab/>
      </w:r>
      <w:r w:rsidRPr="00600E6F">
        <w:rPr>
          <w:rFonts w:ascii="Times New Roman" w:hAnsi="Times New Roman"/>
          <w:b/>
          <w:sz w:val="24"/>
        </w:rPr>
        <w:t xml:space="preserve">Table 1 - </w:t>
      </w:r>
      <w:r w:rsidRPr="00600E6F">
        <w:rPr>
          <w:rFonts w:ascii="Times New Roman" w:hAnsi="Times New Roman"/>
          <w:color w:val="000000"/>
          <w:sz w:val="24"/>
        </w:rPr>
        <w:t>reference the CalSPREE for budget details</w:t>
      </w:r>
    </w:p>
    <w:p w:rsidR="00513B47" w:rsidRPr="00600E6F" w:rsidRDefault="00513B47" w:rsidP="00A05269">
      <w:pPr>
        <w:tabs>
          <w:tab w:val="num" w:pos="720"/>
        </w:tabs>
        <w:spacing w:after="0" w:line="240" w:lineRule="auto"/>
        <w:rPr>
          <w:rFonts w:ascii="Times New Roman" w:hAnsi="Times New Roman"/>
          <w:sz w:val="24"/>
        </w:rPr>
      </w:pPr>
    </w:p>
    <w:p w:rsidR="00513B47" w:rsidRPr="00600E6F" w:rsidRDefault="00E7041A" w:rsidP="00A05269">
      <w:pPr>
        <w:tabs>
          <w:tab w:val="left" w:pos="360"/>
        </w:tabs>
        <w:spacing w:after="0" w:line="240" w:lineRule="auto"/>
        <w:rPr>
          <w:rFonts w:ascii="Times New Roman" w:hAnsi="Times New Roman"/>
          <w:b/>
          <w:sz w:val="24"/>
        </w:rPr>
      </w:pPr>
      <w:r w:rsidRPr="00600E6F">
        <w:rPr>
          <w:rFonts w:ascii="Times New Roman" w:hAnsi="Times New Roman"/>
          <w:b/>
          <w:sz w:val="24"/>
        </w:rPr>
        <w:t>3.</w:t>
      </w:r>
      <w:r w:rsidR="00513B47" w:rsidRPr="00600E6F">
        <w:rPr>
          <w:rFonts w:ascii="Times New Roman" w:hAnsi="Times New Roman"/>
          <w:b/>
          <w:sz w:val="24"/>
        </w:rPr>
        <w:tab/>
        <w:t xml:space="preserve">Projected Program Gross Impacts Table – by calendar year </w:t>
      </w:r>
    </w:p>
    <w:p w:rsidR="00513B47" w:rsidRPr="00600E6F" w:rsidRDefault="00513B47" w:rsidP="00A05269">
      <w:pPr>
        <w:tabs>
          <w:tab w:val="left" w:pos="360"/>
        </w:tabs>
        <w:spacing w:after="0" w:line="240" w:lineRule="auto"/>
        <w:jc w:val="both"/>
        <w:outlineLvl w:val="0"/>
        <w:rPr>
          <w:rFonts w:ascii="Times New Roman" w:hAnsi="Times New Roman"/>
          <w:b/>
          <w:sz w:val="24"/>
        </w:rPr>
      </w:pPr>
      <w:r w:rsidRPr="00600E6F">
        <w:rPr>
          <w:rFonts w:ascii="Times New Roman" w:hAnsi="Times New Roman"/>
          <w:b/>
          <w:sz w:val="24"/>
        </w:rPr>
        <w:tab/>
      </w:r>
      <w:r w:rsidR="00E7041A" w:rsidRPr="00600E6F">
        <w:rPr>
          <w:rFonts w:ascii="Times New Roman" w:hAnsi="Times New Roman"/>
          <w:b/>
          <w:sz w:val="24"/>
        </w:rPr>
        <w:t xml:space="preserve">Table 2 - </w:t>
      </w:r>
      <w:r w:rsidRPr="00600E6F">
        <w:rPr>
          <w:rFonts w:ascii="Times New Roman" w:hAnsi="Times New Roman"/>
          <w:color w:val="000000"/>
          <w:sz w:val="24"/>
        </w:rPr>
        <w:t>reference the CalSPREE for projected gross impact details</w:t>
      </w:r>
    </w:p>
    <w:p w:rsidR="00513B47" w:rsidRPr="00600E6F" w:rsidRDefault="00513B47" w:rsidP="00A05269">
      <w:pPr>
        <w:spacing w:after="0" w:line="240" w:lineRule="auto"/>
        <w:rPr>
          <w:rFonts w:ascii="Times New Roman" w:hAnsi="Times New Roman"/>
          <w:sz w:val="24"/>
        </w:rPr>
      </w:pPr>
    </w:p>
    <w:p w:rsidR="00513B47" w:rsidRPr="00600E6F" w:rsidRDefault="00E7041A" w:rsidP="00A05269">
      <w:pPr>
        <w:tabs>
          <w:tab w:val="left" w:pos="360"/>
        </w:tabs>
        <w:spacing w:after="0" w:line="240" w:lineRule="auto"/>
        <w:rPr>
          <w:rFonts w:ascii="Times New Roman" w:hAnsi="Times New Roman"/>
          <w:b/>
          <w:sz w:val="24"/>
        </w:rPr>
      </w:pPr>
      <w:r w:rsidRPr="00600E6F">
        <w:rPr>
          <w:rFonts w:ascii="Times New Roman" w:hAnsi="Times New Roman"/>
          <w:b/>
          <w:sz w:val="24"/>
        </w:rPr>
        <w:t>4.</w:t>
      </w:r>
      <w:r w:rsidR="00513B47" w:rsidRPr="00600E6F">
        <w:rPr>
          <w:rFonts w:ascii="Times New Roman" w:hAnsi="Times New Roman"/>
          <w:b/>
          <w:sz w:val="24"/>
        </w:rPr>
        <w:tab/>
      </w:r>
      <w:r w:rsidRPr="00600E6F">
        <w:rPr>
          <w:rFonts w:ascii="Times New Roman" w:hAnsi="Times New Roman"/>
          <w:b/>
          <w:sz w:val="24"/>
        </w:rPr>
        <w:t xml:space="preserve">Program Description </w:t>
      </w:r>
    </w:p>
    <w:p w:rsidR="00513B47" w:rsidRPr="00600E6F" w:rsidRDefault="00513B47" w:rsidP="00A05269">
      <w:pPr>
        <w:tabs>
          <w:tab w:val="left" w:pos="360"/>
        </w:tabs>
        <w:spacing w:after="0" w:line="240" w:lineRule="auto"/>
        <w:rPr>
          <w:rFonts w:ascii="Times New Roman" w:hAnsi="Times New Roman"/>
          <w:b/>
          <w:sz w:val="24"/>
        </w:rPr>
      </w:pPr>
    </w:p>
    <w:p w:rsidR="00513B47" w:rsidRPr="00600E6F" w:rsidRDefault="00E7041A" w:rsidP="00C31CC0">
      <w:pPr>
        <w:numPr>
          <w:ilvl w:val="0"/>
          <w:numId w:val="81"/>
        </w:numPr>
        <w:tabs>
          <w:tab w:val="left" w:pos="360"/>
        </w:tabs>
        <w:spacing w:after="0" w:line="240" w:lineRule="auto"/>
        <w:rPr>
          <w:rFonts w:ascii="Times New Roman" w:hAnsi="Times New Roman"/>
          <w:sz w:val="24"/>
          <w:u w:val="single"/>
        </w:rPr>
      </w:pPr>
      <w:r w:rsidRPr="00600E6F">
        <w:rPr>
          <w:rFonts w:ascii="Times New Roman" w:hAnsi="Times New Roman"/>
          <w:b/>
          <w:sz w:val="24"/>
          <w:u w:val="single"/>
        </w:rPr>
        <w:t>Describe program</w:t>
      </w:r>
    </w:p>
    <w:p w:rsidR="0093736E" w:rsidRPr="00600E6F" w:rsidRDefault="00E7041A" w:rsidP="00600E6F">
      <w:pPr>
        <w:autoSpaceDE w:val="0"/>
        <w:autoSpaceDN w:val="0"/>
        <w:adjustRightInd w:val="0"/>
        <w:spacing w:after="0" w:line="240" w:lineRule="auto"/>
        <w:ind w:left="360"/>
        <w:rPr>
          <w:rFonts w:ascii="Times New Roman" w:hAnsi="Times New Roman"/>
          <w:sz w:val="24"/>
        </w:rPr>
      </w:pPr>
      <w:r w:rsidRPr="00600E6F">
        <w:rPr>
          <w:rFonts w:ascii="Times New Roman" w:hAnsi="Times New Roman"/>
          <w:sz w:val="24"/>
        </w:rPr>
        <w:t xml:space="preserve">This program is a continuation of the existing statewide </w:t>
      </w:r>
      <w:r w:rsidR="00513B47" w:rsidRPr="00600E6F">
        <w:rPr>
          <w:rFonts w:ascii="Times New Roman" w:hAnsi="Times New Roman"/>
          <w:sz w:val="24"/>
        </w:rPr>
        <w:t xml:space="preserve">Energy Advisor Program (formerly known as the Home Energy Efficiency Survey-HEES program) within the residential energy efficiency portfolio. Although SDG&amp;E, SCE, PG&amp;E and SCG share similar program theory, design and goals, each IOU may implement its program logistics differently. </w:t>
      </w:r>
    </w:p>
    <w:p w:rsidR="0093736E" w:rsidRPr="00600E6F" w:rsidRDefault="0093736E" w:rsidP="00600E6F">
      <w:pPr>
        <w:widowControl w:val="0"/>
        <w:autoSpaceDE w:val="0"/>
        <w:autoSpaceDN w:val="0"/>
        <w:adjustRightInd w:val="0"/>
        <w:spacing w:after="0" w:line="240" w:lineRule="auto"/>
        <w:ind w:left="360"/>
        <w:rPr>
          <w:rFonts w:ascii="Times New Roman" w:hAnsi="Times New Roman"/>
          <w:sz w:val="24"/>
        </w:rPr>
      </w:pPr>
    </w:p>
    <w:p w:rsidR="00513B47" w:rsidRPr="00600E6F" w:rsidRDefault="00513B47" w:rsidP="00A05269">
      <w:pPr>
        <w:widowControl w:val="0"/>
        <w:autoSpaceDE w:val="0"/>
        <w:autoSpaceDN w:val="0"/>
        <w:adjustRightInd w:val="0"/>
        <w:spacing w:after="0" w:line="240" w:lineRule="auto"/>
        <w:ind w:left="360"/>
        <w:rPr>
          <w:rFonts w:ascii="Times New Roman" w:hAnsi="Times New Roman"/>
          <w:sz w:val="24"/>
        </w:rPr>
      </w:pPr>
      <w:r w:rsidRPr="00600E6F">
        <w:rPr>
          <w:rFonts w:ascii="Times New Roman" w:hAnsi="Times New Roman"/>
          <w:sz w:val="24"/>
        </w:rPr>
        <w:t xml:space="preserve">In 2013-2014, the Energy Advisor program will continue to help customers understand and empower them to manage their energy use, and will guide them, where appropriate, towards advancing whole-house energy solutions.  The subprogram utilizes behavioral outreach initiatives and interactive tools designed to engage customers and to encourage participation in innovative initiatives to reduce their energy consumption through behavioral solutions, program recommendations and, as warranted, IDSM opportunities.  </w:t>
      </w:r>
    </w:p>
    <w:p w:rsidR="00513B47" w:rsidRPr="00600E6F" w:rsidRDefault="00513B47" w:rsidP="00A05269">
      <w:pPr>
        <w:widowControl w:val="0"/>
        <w:autoSpaceDE w:val="0"/>
        <w:autoSpaceDN w:val="0"/>
        <w:adjustRightInd w:val="0"/>
        <w:spacing w:after="0" w:line="240" w:lineRule="auto"/>
        <w:ind w:left="360"/>
        <w:rPr>
          <w:rFonts w:ascii="Times New Roman" w:hAnsi="Times New Roman"/>
          <w:b/>
          <w:sz w:val="24"/>
          <w:u w:val="single"/>
        </w:rPr>
      </w:pPr>
    </w:p>
    <w:p w:rsidR="00513B47" w:rsidRPr="00600E6F" w:rsidRDefault="00E7041A" w:rsidP="00C31CC0">
      <w:pPr>
        <w:numPr>
          <w:ilvl w:val="0"/>
          <w:numId w:val="81"/>
        </w:numPr>
        <w:tabs>
          <w:tab w:val="left" w:pos="360"/>
        </w:tabs>
        <w:spacing w:after="0" w:line="240" w:lineRule="auto"/>
        <w:rPr>
          <w:rFonts w:ascii="Times New Roman" w:hAnsi="Times New Roman"/>
          <w:b/>
          <w:sz w:val="24"/>
          <w:u w:val="single"/>
        </w:rPr>
      </w:pPr>
      <w:r w:rsidRPr="00600E6F">
        <w:rPr>
          <w:rFonts w:ascii="Times New Roman" w:hAnsi="Times New Roman"/>
          <w:b/>
          <w:sz w:val="24"/>
          <w:u w:val="single"/>
        </w:rPr>
        <w:t xml:space="preserve">List </w:t>
      </w:r>
      <w:r w:rsidR="00513B47" w:rsidRPr="00600E6F">
        <w:rPr>
          <w:rFonts w:ascii="Times New Roman" w:hAnsi="Times New Roman"/>
          <w:b/>
          <w:sz w:val="24"/>
          <w:u w:val="single"/>
        </w:rPr>
        <w:t xml:space="preserve">Offerings </w:t>
      </w:r>
    </w:p>
    <w:p w:rsidR="00513B47" w:rsidRPr="00600E6F" w:rsidRDefault="00513B47" w:rsidP="00A05269">
      <w:pPr>
        <w:tabs>
          <w:tab w:val="left" w:pos="4608"/>
        </w:tabs>
        <w:spacing w:after="0" w:line="240" w:lineRule="auto"/>
        <w:ind w:left="360"/>
        <w:jc w:val="both"/>
        <w:rPr>
          <w:rFonts w:ascii="Times New Roman" w:hAnsi="Times New Roman"/>
          <w:sz w:val="24"/>
        </w:rPr>
      </w:pPr>
      <w:r w:rsidRPr="00600E6F">
        <w:rPr>
          <w:rFonts w:ascii="Times New Roman" w:hAnsi="Times New Roman"/>
          <w:sz w:val="24"/>
        </w:rPr>
        <w:t>Offerings</w:t>
      </w:r>
      <w:r w:rsidR="00E7041A" w:rsidRPr="00600E6F">
        <w:rPr>
          <w:rFonts w:ascii="Times New Roman" w:hAnsi="Times New Roman"/>
          <w:sz w:val="24"/>
        </w:rPr>
        <w:t xml:space="preserve"> vary by IOU, as outlined below:</w:t>
      </w:r>
    </w:p>
    <w:tbl>
      <w:tblPr>
        <w:tblW w:w="0" w:type="auto"/>
        <w:tblLook w:val="0000" w:firstRow="0" w:lastRow="0" w:firstColumn="0" w:lastColumn="0" w:noHBand="0" w:noVBand="0"/>
      </w:tblPr>
      <w:tblGrid>
        <w:gridCol w:w="2241"/>
        <w:gridCol w:w="1846"/>
        <w:gridCol w:w="1846"/>
        <w:gridCol w:w="1846"/>
        <w:gridCol w:w="1797"/>
      </w:tblGrid>
      <w:tr w:rsidR="00513B47" w:rsidTr="009D3E65">
        <w:trPr>
          <w:trHeight w:val="331"/>
        </w:trPr>
        <w:tc>
          <w:tcPr>
            <w:tcW w:w="1525" w:type="dxa"/>
            <w:tcBorders>
              <w:top w:val="single" w:sz="4" w:space="0" w:color="auto"/>
              <w:left w:val="single" w:sz="4" w:space="0" w:color="auto"/>
              <w:bottom w:val="single" w:sz="4" w:space="0" w:color="auto"/>
              <w:right w:val="single" w:sz="4" w:space="0" w:color="auto"/>
            </w:tcBorders>
            <w:vAlign w:val="bottom"/>
          </w:tcPr>
          <w:p w:rsidR="0093736E" w:rsidRPr="00600E6F" w:rsidRDefault="00513B47" w:rsidP="00600E6F">
            <w:pPr>
              <w:spacing w:after="0" w:line="240" w:lineRule="auto"/>
              <w:jc w:val="center"/>
              <w:rPr>
                <w:rFonts w:ascii="Times New Roman" w:hAnsi="Times New Roman"/>
                <w:b/>
                <w:i/>
                <w:sz w:val="20"/>
              </w:rPr>
            </w:pPr>
            <w:r w:rsidRPr="00600E6F">
              <w:rPr>
                <w:rFonts w:ascii="Times New Roman" w:hAnsi="Times New Roman"/>
                <w:b/>
                <w:sz w:val="20"/>
              </w:rPr>
              <w:t>Offerings</w:t>
            </w:r>
          </w:p>
        </w:tc>
        <w:tc>
          <w:tcPr>
            <w:tcW w:w="1525" w:type="dxa"/>
            <w:tcBorders>
              <w:top w:val="single" w:sz="4" w:space="0" w:color="auto"/>
              <w:left w:val="single" w:sz="4" w:space="0" w:color="auto"/>
              <w:bottom w:val="single" w:sz="4" w:space="0" w:color="auto"/>
              <w:right w:val="single" w:sz="4" w:space="0" w:color="auto"/>
            </w:tcBorders>
            <w:noWrap/>
            <w:vAlign w:val="bottom"/>
          </w:tcPr>
          <w:p w:rsidR="00513B47" w:rsidRPr="00600E6F" w:rsidRDefault="00E7041A" w:rsidP="00A05269">
            <w:pPr>
              <w:spacing w:after="0" w:line="240" w:lineRule="auto"/>
              <w:jc w:val="center"/>
              <w:rPr>
                <w:rFonts w:ascii="Times New Roman" w:hAnsi="Times New Roman"/>
                <w:b/>
                <w:sz w:val="20"/>
              </w:rPr>
            </w:pPr>
            <w:r w:rsidRPr="00600E6F">
              <w:rPr>
                <w:rFonts w:ascii="Times New Roman" w:hAnsi="Times New Roman"/>
                <w:b/>
                <w:sz w:val="20"/>
              </w:rPr>
              <w:t>SCE</w:t>
            </w:r>
          </w:p>
        </w:tc>
        <w:tc>
          <w:tcPr>
            <w:tcW w:w="1525" w:type="dxa"/>
            <w:tcBorders>
              <w:top w:val="single" w:sz="4" w:space="0" w:color="auto"/>
              <w:left w:val="single" w:sz="4" w:space="0" w:color="auto"/>
              <w:bottom w:val="single" w:sz="4" w:space="0" w:color="auto"/>
              <w:right w:val="single" w:sz="4" w:space="0" w:color="auto"/>
            </w:tcBorders>
            <w:noWrap/>
            <w:vAlign w:val="bottom"/>
          </w:tcPr>
          <w:p w:rsidR="00513B47" w:rsidRPr="00600E6F" w:rsidRDefault="00E7041A" w:rsidP="00A05269">
            <w:pPr>
              <w:spacing w:after="0" w:line="240" w:lineRule="auto"/>
              <w:jc w:val="center"/>
              <w:rPr>
                <w:rFonts w:ascii="Times New Roman" w:hAnsi="Times New Roman"/>
                <w:b/>
                <w:sz w:val="20"/>
              </w:rPr>
            </w:pPr>
            <w:r w:rsidRPr="00600E6F">
              <w:rPr>
                <w:rFonts w:ascii="Times New Roman" w:hAnsi="Times New Roman"/>
                <w:b/>
                <w:sz w:val="20"/>
              </w:rPr>
              <w:t>SCG</w:t>
            </w:r>
          </w:p>
        </w:tc>
        <w:tc>
          <w:tcPr>
            <w:tcW w:w="1525" w:type="dxa"/>
            <w:tcBorders>
              <w:top w:val="single" w:sz="4" w:space="0" w:color="auto"/>
              <w:left w:val="single" w:sz="4" w:space="0" w:color="auto"/>
              <w:bottom w:val="single" w:sz="4" w:space="0" w:color="auto"/>
              <w:right w:val="single" w:sz="4" w:space="0" w:color="auto"/>
            </w:tcBorders>
            <w:noWrap/>
            <w:vAlign w:val="bottom"/>
          </w:tcPr>
          <w:p w:rsidR="00513B47" w:rsidRPr="00600E6F" w:rsidRDefault="00E7041A" w:rsidP="00A05269">
            <w:pPr>
              <w:spacing w:after="0" w:line="240" w:lineRule="auto"/>
              <w:jc w:val="center"/>
              <w:rPr>
                <w:rFonts w:ascii="Times New Roman" w:hAnsi="Times New Roman"/>
                <w:b/>
                <w:sz w:val="20"/>
              </w:rPr>
            </w:pPr>
            <w:r w:rsidRPr="00600E6F">
              <w:rPr>
                <w:rFonts w:ascii="Times New Roman" w:hAnsi="Times New Roman"/>
                <w:b/>
                <w:sz w:val="20"/>
              </w:rPr>
              <w:t>PG&amp;E</w:t>
            </w:r>
          </w:p>
        </w:tc>
        <w:tc>
          <w:tcPr>
            <w:tcW w:w="1525" w:type="dxa"/>
            <w:tcBorders>
              <w:top w:val="single" w:sz="4" w:space="0" w:color="auto"/>
              <w:left w:val="single" w:sz="4" w:space="0" w:color="auto"/>
              <w:bottom w:val="single" w:sz="4" w:space="0" w:color="auto"/>
              <w:right w:val="single" w:sz="4" w:space="0" w:color="auto"/>
            </w:tcBorders>
            <w:noWrap/>
            <w:vAlign w:val="bottom"/>
          </w:tcPr>
          <w:p w:rsidR="00513B47" w:rsidRPr="00600E6F" w:rsidRDefault="00E7041A" w:rsidP="00A05269">
            <w:pPr>
              <w:spacing w:after="0" w:line="240" w:lineRule="auto"/>
              <w:jc w:val="center"/>
              <w:rPr>
                <w:rFonts w:ascii="Times New Roman" w:hAnsi="Times New Roman"/>
                <w:b/>
                <w:sz w:val="20"/>
              </w:rPr>
            </w:pPr>
            <w:r w:rsidRPr="00600E6F">
              <w:rPr>
                <w:rFonts w:ascii="Times New Roman" w:hAnsi="Times New Roman"/>
                <w:b/>
                <w:sz w:val="20"/>
              </w:rPr>
              <w:t>SDG&amp;E</w:t>
            </w:r>
          </w:p>
        </w:tc>
      </w:tr>
      <w:tr w:rsidR="00513B47" w:rsidTr="009D3E65">
        <w:trPr>
          <w:trHeight w:val="152"/>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600E6F">
            <w:pPr>
              <w:tabs>
                <w:tab w:val="left" w:pos="720"/>
              </w:tabs>
              <w:spacing w:after="0" w:line="240" w:lineRule="auto"/>
              <w:ind w:firstLine="720"/>
              <w:rPr>
                <w:rFonts w:ascii="Times New Roman" w:hAnsi="Times New Roman"/>
                <w:sz w:val="20"/>
              </w:rPr>
            </w:pPr>
            <w:r w:rsidRPr="00600E6F">
              <w:rPr>
                <w:rFonts w:ascii="Times New Roman" w:hAnsi="Times New Roman"/>
                <w:sz w:val="20"/>
              </w:rPr>
              <w:t xml:space="preserve">On-line </w:t>
            </w:r>
            <w:r w:rsidR="009D3E65">
              <w:rPr>
                <w:rFonts w:ascii="Times New Roman" w:hAnsi="Times New Roman"/>
                <w:sz w:val="20"/>
              </w:rPr>
              <w:t xml:space="preserve">  </w:t>
            </w:r>
            <w:r w:rsidRPr="00600E6F">
              <w:rPr>
                <w:rFonts w:ascii="Times New Roman" w:hAnsi="Times New Roman"/>
                <w:sz w:val="20"/>
              </w:rPr>
              <w:t>Survey</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r>
      <w:tr w:rsidR="00513B47" w:rsidTr="009D3E65">
        <w:trPr>
          <w:trHeight w:val="197"/>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Mail-in Survey</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r>
      <w:tr w:rsidR="00513B47" w:rsidTr="009D3E65">
        <w:trPr>
          <w:trHeight w:val="260"/>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Telephone Survey</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r>
      <w:tr w:rsidR="00513B47" w:rsidTr="009D3E65">
        <w:trPr>
          <w:trHeight w:val="170"/>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Multi-family Survey</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r>
      <w:tr w:rsidR="00513B47" w:rsidTr="009D3E65">
        <w:trPr>
          <w:trHeight w:val="323"/>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In-Home Survey</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TBD</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r>
      <w:tr w:rsidR="00513B47" w:rsidTr="009D3E65">
        <w:trPr>
          <w:trHeight w:val="341"/>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Home Energy Reports</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TBD</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TBD</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r>
      <w:tr w:rsidR="00513B47" w:rsidRPr="009D3E65" w:rsidTr="009D3E65">
        <w:trPr>
          <w:trHeight w:val="504"/>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 xml:space="preserve">On-Line Buyer’s Guide </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r>
      <w:tr w:rsidR="00513B47" w:rsidTr="009D3E65">
        <w:trPr>
          <w:trHeight w:val="233"/>
        </w:trPr>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rPr>
                <w:rFonts w:ascii="Times New Roman" w:eastAsia="Times New Roman" w:hAnsi="Times New Roman"/>
                <w:sz w:val="20"/>
              </w:rPr>
            </w:pPr>
            <w:r w:rsidRPr="00600E6F">
              <w:rPr>
                <w:rFonts w:ascii="Times New Roman" w:hAnsi="Times New Roman"/>
                <w:sz w:val="20"/>
              </w:rPr>
              <w:t>Energy Kits</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E7041A"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N/A</w:t>
            </w:r>
          </w:p>
        </w:tc>
        <w:tc>
          <w:tcPr>
            <w:tcW w:w="1525" w:type="dxa"/>
            <w:tcBorders>
              <w:top w:val="single" w:sz="4" w:space="0" w:color="auto"/>
              <w:left w:val="single" w:sz="4" w:space="0" w:color="auto"/>
              <w:bottom w:val="single" w:sz="4" w:space="0" w:color="auto"/>
              <w:right w:val="single" w:sz="4" w:space="0" w:color="auto"/>
            </w:tcBorders>
            <w:noWrap/>
          </w:tcPr>
          <w:p w:rsidR="00513B47" w:rsidRPr="00600E6F" w:rsidRDefault="00513B47" w:rsidP="00C31CC0">
            <w:pPr>
              <w:numPr>
                <w:ilvl w:val="1"/>
                <w:numId w:val="6"/>
              </w:numPr>
              <w:spacing w:before="120" w:after="0" w:line="240" w:lineRule="auto"/>
              <w:jc w:val="center"/>
              <w:rPr>
                <w:rFonts w:ascii="Times New Roman" w:eastAsia="Times New Roman" w:hAnsi="Times New Roman"/>
                <w:sz w:val="20"/>
              </w:rPr>
            </w:pPr>
            <w:r w:rsidRPr="00600E6F">
              <w:rPr>
                <w:rFonts w:ascii="Times New Roman" w:hAnsi="Times New Roman"/>
                <w:sz w:val="20"/>
              </w:rPr>
              <w:t>X</w:t>
            </w:r>
          </w:p>
        </w:tc>
      </w:tr>
    </w:tbl>
    <w:p w:rsidR="00513B47" w:rsidRDefault="00513B47" w:rsidP="009D3E65">
      <w:pPr>
        <w:tabs>
          <w:tab w:val="left" w:pos="360"/>
        </w:tabs>
        <w:spacing w:after="0" w:line="240" w:lineRule="auto"/>
        <w:rPr>
          <w:rFonts w:ascii="Times New Roman" w:hAnsi="Times New Roman"/>
          <w:sz w:val="24"/>
        </w:rPr>
      </w:pPr>
    </w:p>
    <w:p w:rsidR="009D3E65" w:rsidRDefault="009D3E65" w:rsidP="009D3E65">
      <w:pPr>
        <w:tabs>
          <w:tab w:val="left" w:pos="360"/>
        </w:tabs>
        <w:spacing w:after="0" w:line="240" w:lineRule="auto"/>
        <w:rPr>
          <w:rFonts w:ascii="Times New Roman" w:hAnsi="Times New Roman"/>
          <w:sz w:val="24"/>
        </w:rPr>
      </w:pPr>
    </w:p>
    <w:p w:rsidR="00C32735" w:rsidRDefault="00C32735" w:rsidP="009D3E65">
      <w:pPr>
        <w:tabs>
          <w:tab w:val="left" w:pos="360"/>
        </w:tabs>
        <w:spacing w:after="0" w:line="240" w:lineRule="auto"/>
        <w:rPr>
          <w:rFonts w:ascii="Times New Roman" w:hAnsi="Times New Roman"/>
          <w:sz w:val="24"/>
        </w:rPr>
      </w:pPr>
    </w:p>
    <w:p w:rsidR="00C32735" w:rsidRDefault="00C32735" w:rsidP="009D3E65">
      <w:pPr>
        <w:tabs>
          <w:tab w:val="left" w:pos="360"/>
        </w:tabs>
        <w:spacing w:after="0" w:line="240" w:lineRule="auto"/>
        <w:rPr>
          <w:rFonts w:ascii="Times New Roman" w:hAnsi="Times New Roman"/>
          <w:sz w:val="24"/>
        </w:rPr>
      </w:pPr>
    </w:p>
    <w:p w:rsidR="009D3E65" w:rsidRDefault="009D3E65" w:rsidP="009D3E65">
      <w:pPr>
        <w:tabs>
          <w:tab w:val="left" w:pos="360"/>
        </w:tabs>
        <w:spacing w:after="0" w:line="240" w:lineRule="auto"/>
        <w:rPr>
          <w:rFonts w:ascii="Times New Roman" w:hAnsi="Times New Roman"/>
          <w:sz w:val="24"/>
        </w:rPr>
      </w:pPr>
    </w:p>
    <w:p w:rsidR="00513B47" w:rsidRPr="00600E6F" w:rsidRDefault="00E7041A" w:rsidP="00C31CC0">
      <w:pPr>
        <w:numPr>
          <w:ilvl w:val="0"/>
          <w:numId w:val="81"/>
        </w:numPr>
        <w:tabs>
          <w:tab w:val="left" w:pos="360"/>
        </w:tabs>
        <w:spacing w:after="0" w:line="240" w:lineRule="auto"/>
        <w:rPr>
          <w:rFonts w:ascii="Times New Roman" w:hAnsi="Times New Roman"/>
          <w:b/>
          <w:sz w:val="24"/>
          <w:u w:val="single"/>
        </w:rPr>
      </w:pPr>
      <w:r w:rsidRPr="00600E6F">
        <w:rPr>
          <w:rFonts w:ascii="Times New Roman" w:hAnsi="Times New Roman"/>
          <w:b/>
          <w:sz w:val="24"/>
          <w:u w:val="single"/>
        </w:rPr>
        <w:lastRenderedPageBreak/>
        <w:t>List Non-incentive Custo</w:t>
      </w:r>
      <w:r w:rsidR="00513B47" w:rsidRPr="00600E6F">
        <w:rPr>
          <w:rFonts w:ascii="Times New Roman" w:hAnsi="Times New Roman"/>
          <w:b/>
          <w:sz w:val="24"/>
          <w:u w:val="single"/>
        </w:rPr>
        <w:t>mer Services</w:t>
      </w:r>
    </w:p>
    <w:p w:rsidR="00513B47" w:rsidRPr="00600E6F" w:rsidRDefault="00513B47" w:rsidP="00A05269">
      <w:pPr>
        <w:spacing w:after="0" w:line="240" w:lineRule="auto"/>
        <w:ind w:left="360"/>
        <w:rPr>
          <w:rFonts w:ascii="Times New Roman" w:hAnsi="Times New Roman"/>
          <w:sz w:val="24"/>
        </w:rPr>
      </w:pP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Energy Advisor Program offers customers with interactive engagement and detailed outputs on their actual energy usage, including:</w:t>
      </w:r>
    </w:p>
    <w:p w:rsidR="0093736E" w:rsidRPr="00600E6F" w:rsidRDefault="00E7041A" w:rsidP="00C31CC0">
      <w:pPr>
        <w:numPr>
          <w:ilvl w:val="0"/>
          <w:numId w:val="75"/>
        </w:numPr>
        <w:tabs>
          <w:tab w:val="clear" w:pos="1440"/>
          <w:tab w:val="num" w:pos="720"/>
        </w:tabs>
        <w:spacing w:after="0" w:line="240" w:lineRule="auto"/>
        <w:ind w:left="720"/>
        <w:rPr>
          <w:rFonts w:ascii="Times New Roman" w:hAnsi="Times New Roman"/>
          <w:sz w:val="24"/>
        </w:rPr>
      </w:pPr>
      <w:r w:rsidRPr="00600E6F">
        <w:rPr>
          <w:rFonts w:ascii="Times New Roman" w:hAnsi="Times New Roman"/>
          <w:sz w:val="24"/>
        </w:rPr>
        <w:t>Rate and usage analysis, and</w:t>
      </w:r>
    </w:p>
    <w:p w:rsidR="0093736E" w:rsidRPr="00600E6F" w:rsidRDefault="00E7041A" w:rsidP="00C31CC0">
      <w:pPr>
        <w:numPr>
          <w:ilvl w:val="0"/>
          <w:numId w:val="75"/>
        </w:numPr>
        <w:tabs>
          <w:tab w:val="clear" w:pos="1440"/>
          <w:tab w:val="num" w:pos="720"/>
        </w:tabs>
        <w:spacing w:after="0" w:line="240" w:lineRule="auto"/>
        <w:ind w:left="720"/>
        <w:rPr>
          <w:rFonts w:ascii="Times New Roman" w:hAnsi="Times New Roman"/>
          <w:sz w:val="24"/>
        </w:rPr>
      </w:pPr>
      <w:r w:rsidRPr="00600E6F">
        <w:rPr>
          <w:rFonts w:ascii="Times New Roman" w:hAnsi="Times New Roman"/>
          <w:sz w:val="24"/>
        </w:rPr>
        <w:t>Household usage data and comparison.</w:t>
      </w:r>
    </w:p>
    <w:p w:rsidR="0093736E" w:rsidRPr="00600E6F" w:rsidRDefault="0093736E" w:rsidP="00600E6F">
      <w:pPr>
        <w:spacing w:after="0" w:line="240" w:lineRule="auto"/>
        <w:rPr>
          <w:rFonts w:ascii="Times New Roman" w:hAnsi="Times New Roman"/>
          <w:sz w:val="24"/>
        </w:rPr>
      </w:pP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 xml:space="preserve">In addition, the program </w:t>
      </w:r>
      <w:r w:rsidR="00513B47" w:rsidRPr="00600E6F">
        <w:rPr>
          <w:rFonts w:ascii="Times New Roman" w:hAnsi="Times New Roman"/>
          <w:sz w:val="24"/>
        </w:rPr>
        <w:t>provides information and literature on energy efficiency and IDSM Programs:</w:t>
      </w:r>
    </w:p>
    <w:p w:rsidR="0093736E" w:rsidRPr="00600E6F" w:rsidRDefault="00E7041A" w:rsidP="00C31CC0">
      <w:pPr>
        <w:numPr>
          <w:ilvl w:val="0"/>
          <w:numId w:val="75"/>
        </w:numPr>
        <w:tabs>
          <w:tab w:val="clear" w:pos="1440"/>
          <w:tab w:val="num" w:pos="720"/>
        </w:tabs>
        <w:spacing w:after="0" w:line="240" w:lineRule="auto"/>
        <w:ind w:left="360" w:firstLine="0"/>
        <w:rPr>
          <w:rFonts w:ascii="Times New Roman" w:hAnsi="Times New Roman"/>
          <w:sz w:val="24"/>
        </w:rPr>
      </w:pPr>
      <w:r w:rsidRPr="00600E6F">
        <w:rPr>
          <w:rFonts w:ascii="Times New Roman" w:hAnsi="Times New Roman"/>
          <w:sz w:val="24"/>
        </w:rPr>
        <w:t>Residential Energy Efficiency</w:t>
      </w:r>
    </w:p>
    <w:p w:rsidR="0093736E" w:rsidRPr="00600E6F" w:rsidRDefault="00E7041A" w:rsidP="00C31CC0">
      <w:pPr>
        <w:numPr>
          <w:ilvl w:val="0"/>
          <w:numId w:val="75"/>
        </w:numPr>
        <w:tabs>
          <w:tab w:val="clear" w:pos="1440"/>
          <w:tab w:val="num" w:pos="720"/>
        </w:tabs>
        <w:spacing w:after="0" w:line="240" w:lineRule="auto"/>
        <w:ind w:left="360" w:firstLine="0"/>
        <w:rPr>
          <w:rFonts w:ascii="Times New Roman" w:hAnsi="Times New Roman"/>
          <w:sz w:val="24"/>
        </w:rPr>
      </w:pPr>
      <w:r w:rsidRPr="00600E6F">
        <w:rPr>
          <w:rFonts w:ascii="Times New Roman" w:hAnsi="Times New Roman"/>
          <w:sz w:val="24"/>
        </w:rPr>
        <w:t xml:space="preserve">California Solar Initiative (CSI) </w:t>
      </w:r>
    </w:p>
    <w:p w:rsidR="0093736E" w:rsidRPr="00600E6F" w:rsidRDefault="00E7041A" w:rsidP="00C31CC0">
      <w:pPr>
        <w:numPr>
          <w:ilvl w:val="0"/>
          <w:numId w:val="75"/>
        </w:numPr>
        <w:tabs>
          <w:tab w:val="clear" w:pos="1440"/>
          <w:tab w:val="num" w:pos="720"/>
        </w:tabs>
        <w:spacing w:after="0" w:line="240" w:lineRule="auto"/>
        <w:ind w:left="360" w:firstLine="0"/>
        <w:rPr>
          <w:rFonts w:ascii="Times New Roman" w:hAnsi="Times New Roman"/>
          <w:sz w:val="24"/>
        </w:rPr>
      </w:pPr>
      <w:r w:rsidRPr="00600E6F">
        <w:rPr>
          <w:rFonts w:ascii="Times New Roman" w:hAnsi="Times New Roman"/>
          <w:sz w:val="24"/>
        </w:rPr>
        <w:t>Peak Demand Initiatives (DR)</w:t>
      </w:r>
    </w:p>
    <w:p w:rsidR="00513B47" w:rsidRPr="00600E6F" w:rsidRDefault="00513B47" w:rsidP="00A05269">
      <w:pPr>
        <w:spacing w:after="0" w:line="240" w:lineRule="auto"/>
        <w:rPr>
          <w:rFonts w:ascii="Times New Roman" w:hAnsi="Times New Roman"/>
          <w:sz w:val="24"/>
        </w:rPr>
      </w:pP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 xml:space="preserve">The information provided </w:t>
      </w:r>
      <w:r w:rsidR="00513B47" w:rsidRPr="00600E6F">
        <w:rPr>
          <w:rFonts w:ascii="Times New Roman" w:hAnsi="Times New Roman"/>
          <w:sz w:val="24"/>
        </w:rPr>
        <w:t xml:space="preserve">through the Energy Advisor program will be coordinated on a statewide level. This information provided will include historical usage data for customers.  The program options provide a platform to measure sustainable reductions in energy usage for the customer and the IOU’s.  In addition, data collected from the survey questionnaire will be utilized to provide targeted marketing and strategic planning opportunities for all Residential energy efficiency and demand response programs. The Energy Advisor program will be the primary mechanism to drive customers to save energy by educating the customer on their household usage, while comparing household usage with similar households. Statewide coordination efforts may also afford the program to provide information promoting the whole-house approach with information leading customers to whole-house products and services, including energy efficiency product and service providers, rebate program applications and customer service touch points. </w:t>
      </w:r>
    </w:p>
    <w:p w:rsidR="00513B47" w:rsidRPr="00600E6F" w:rsidRDefault="00513B47" w:rsidP="00A05269">
      <w:pPr>
        <w:spacing w:after="0" w:line="240" w:lineRule="auto"/>
        <w:ind w:left="720"/>
        <w:rPr>
          <w:rFonts w:ascii="Times New Roman" w:hAnsi="Times New Roman"/>
          <w:sz w:val="24"/>
        </w:rPr>
      </w:pPr>
    </w:p>
    <w:p w:rsidR="00513B47" w:rsidRPr="00600E6F" w:rsidRDefault="00E7041A" w:rsidP="00A05269">
      <w:pPr>
        <w:tabs>
          <w:tab w:val="left" w:pos="360"/>
        </w:tabs>
        <w:spacing w:after="0" w:line="240" w:lineRule="auto"/>
        <w:rPr>
          <w:rFonts w:ascii="Times New Roman" w:hAnsi="Times New Roman"/>
          <w:b/>
          <w:sz w:val="24"/>
        </w:rPr>
      </w:pPr>
      <w:r w:rsidRPr="00600E6F">
        <w:rPr>
          <w:rFonts w:ascii="Times New Roman" w:hAnsi="Times New Roman"/>
          <w:b/>
          <w:sz w:val="24"/>
        </w:rPr>
        <w:t xml:space="preserve">5. </w:t>
      </w:r>
      <w:r w:rsidR="00513B47" w:rsidRPr="00600E6F">
        <w:rPr>
          <w:rFonts w:ascii="Times New Roman" w:hAnsi="Times New Roman"/>
          <w:b/>
          <w:sz w:val="24"/>
        </w:rPr>
        <w:tab/>
      </w:r>
      <w:r w:rsidRPr="00600E6F">
        <w:rPr>
          <w:rFonts w:ascii="Times New Roman" w:hAnsi="Times New Roman"/>
          <w:b/>
          <w:sz w:val="24"/>
        </w:rPr>
        <w:t xml:space="preserve">Program Rationale and Expected Outcome </w:t>
      </w:r>
    </w:p>
    <w:p w:rsidR="00513B47" w:rsidRPr="00600E6F" w:rsidRDefault="00513B47" w:rsidP="00A05269">
      <w:pPr>
        <w:tabs>
          <w:tab w:val="left" w:pos="360"/>
        </w:tabs>
        <w:spacing w:after="0" w:line="240" w:lineRule="auto"/>
        <w:rPr>
          <w:rFonts w:ascii="Times New Roman" w:hAnsi="Times New Roman"/>
          <w:b/>
          <w:sz w:val="24"/>
        </w:rPr>
      </w:pPr>
    </w:p>
    <w:p w:rsidR="00513B47" w:rsidRPr="00600E6F" w:rsidRDefault="00E7041A" w:rsidP="00C31CC0">
      <w:pPr>
        <w:numPr>
          <w:ilvl w:val="0"/>
          <w:numId w:val="80"/>
        </w:numPr>
        <w:spacing w:after="0" w:line="240" w:lineRule="auto"/>
        <w:rPr>
          <w:rFonts w:ascii="Times New Roman" w:hAnsi="Times New Roman"/>
          <w:b/>
          <w:sz w:val="24"/>
        </w:rPr>
      </w:pPr>
      <w:r w:rsidRPr="00600E6F">
        <w:rPr>
          <w:rFonts w:ascii="Times New Roman" w:hAnsi="Times New Roman"/>
          <w:b/>
          <w:sz w:val="24"/>
          <w:u w:val="single"/>
        </w:rPr>
        <w:t>Quantitative Baseline and Market Transformation Indicators (MTIs)</w:t>
      </w: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 xml:space="preserve">By its nature, market transformation occurs as a result of numerous factors and programs, not single sub-programs.  </w:t>
      </w:r>
      <w:r w:rsidR="00513B47" w:rsidRPr="00600E6F">
        <w:rPr>
          <w:rFonts w:ascii="Times New Roman" w:hAnsi="Times New Roman"/>
          <w:sz w:val="24"/>
        </w:rPr>
        <w:t>Therefore, all metrics are proposed at the program level. Please refer to the quantitative baseline and market transformation discussion, presented in the overall program PIP.</w:t>
      </w:r>
    </w:p>
    <w:p w:rsidR="00513B47" w:rsidRPr="00600E6F" w:rsidRDefault="00513B47" w:rsidP="00A05269">
      <w:pPr>
        <w:spacing w:after="0" w:line="240" w:lineRule="auto"/>
        <w:ind w:left="360"/>
        <w:rPr>
          <w:rFonts w:ascii="Times New Roman" w:hAnsi="Times New Roman"/>
          <w:sz w:val="24"/>
        </w:rPr>
      </w:pPr>
    </w:p>
    <w:p w:rsidR="0093736E" w:rsidRPr="00600E6F" w:rsidRDefault="00E7041A" w:rsidP="00600E6F">
      <w:pPr>
        <w:autoSpaceDE w:val="0"/>
        <w:autoSpaceDN w:val="0"/>
        <w:adjustRightInd w:val="0"/>
        <w:spacing w:after="0" w:line="240" w:lineRule="auto"/>
        <w:ind w:left="360"/>
        <w:outlineLvl w:val="0"/>
        <w:rPr>
          <w:rFonts w:ascii="Times New Roman" w:hAnsi="Times New Roman"/>
          <w:b/>
          <w:color w:val="000000"/>
          <w:sz w:val="24"/>
        </w:rPr>
      </w:pPr>
      <w:r w:rsidRPr="00600E6F">
        <w:rPr>
          <w:rFonts w:ascii="Times New Roman" w:hAnsi="Times New Roman"/>
          <w:b/>
          <w:color w:val="000000"/>
          <w:sz w:val="24"/>
          <w:u w:val="single"/>
        </w:rPr>
        <w:t>Program Performance Metrics (PPMs)</w:t>
      </w:r>
      <w:r w:rsidRPr="00600E6F">
        <w:rPr>
          <w:rFonts w:ascii="Times New Roman" w:hAnsi="Times New Roman"/>
          <w:b/>
          <w:color w:val="000000"/>
          <w:sz w:val="24"/>
        </w:rPr>
        <w:t xml:space="preserve"> </w:t>
      </w:r>
    </w:p>
    <w:p w:rsidR="0093736E" w:rsidRPr="00600E6F" w:rsidRDefault="00E7041A" w:rsidP="00600E6F">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On December 2, 2010, the Commission issued </w:t>
      </w:r>
      <w:r w:rsidR="00513B47" w:rsidRPr="00600E6F">
        <w:rPr>
          <w:rFonts w:ascii="Times New Roman" w:hAnsi="Times New Roman"/>
          <w:color w:val="000000"/>
          <w:sz w:val="24"/>
        </w:rPr>
        <w:t>Resolution E-4385, approving Program Performance Metrics (PPMs) for Pacific Gas and Electric Company, Southern California Edison Company, Southern California Gas Company and San Diego Gas and Electric Company for 2010-2012 statewide energy efficiency programs and subprograms.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4C3AF1" w:rsidRPr="005E054E" w:rsidRDefault="004C3AF1" w:rsidP="004C3AF1">
      <w:pPr>
        <w:autoSpaceDE w:val="0"/>
        <w:autoSpaceDN w:val="0"/>
        <w:adjustRightInd w:val="0"/>
        <w:spacing w:after="0" w:line="240" w:lineRule="auto"/>
        <w:ind w:left="360"/>
        <w:rPr>
          <w:rFonts w:ascii="Times New Roman" w:hAnsi="Times New Roman"/>
          <w:color w:val="000000"/>
          <w:sz w:val="24"/>
          <w:szCs w:val="24"/>
        </w:rPr>
      </w:pPr>
    </w:p>
    <w:p w:rsidR="0093736E" w:rsidRPr="00600E6F" w:rsidRDefault="00E7041A" w:rsidP="00600E6F">
      <w:pPr>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Below are the approved PPMs and metric types for the </w:t>
      </w:r>
      <w:r w:rsidR="00513B47" w:rsidRPr="00600E6F">
        <w:rPr>
          <w:rFonts w:ascii="Times New Roman" w:hAnsi="Times New Roman"/>
          <w:color w:val="000000"/>
          <w:sz w:val="24"/>
        </w:rPr>
        <w:t>Energy Advisor Program (Resolution E-4385, Appendix A, p 34).</w:t>
      </w: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b/>
          <w:sz w:val="24"/>
        </w:rPr>
        <w:lastRenderedPageBreak/>
        <w:t>Table 3</w:t>
      </w:r>
      <w:r w:rsidR="00513B47" w:rsidRPr="00600E6F">
        <w:rPr>
          <w:rFonts w:ascii="Times New Roman" w:hAnsi="Times New Roman"/>
          <w:sz w:val="24"/>
        </w:rPr>
        <w:t xml:space="preserve"> – Refer to the overarching program for quantitative baseline metrics</w:t>
      </w:r>
    </w:p>
    <w:p w:rsidR="0093736E" w:rsidRPr="00600E6F" w:rsidRDefault="0093736E" w:rsidP="00600E6F">
      <w:pPr>
        <w:spacing w:after="0" w:line="240" w:lineRule="auto"/>
        <w:ind w:left="360"/>
        <w:rPr>
          <w:rFonts w:ascii="Times New Roman" w:hAnsi="Times New Roman"/>
          <w:sz w:val="24"/>
        </w:rPr>
      </w:pPr>
    </w:p>
    <w:tbl>
      <w:tblPr>
        <w:tblW w:w="9265"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0"/>
        <w:gridCol w:w="5935"/>
        <w:gridCol w:w="1260"/>
      </w:tblGrid>
      <w:tr w:rsidR="00513B47" w:rsidRPr="00CF036E" w:rsidTr="002F645C">
        <w:tc>
          <w:tcPr>
            <w:tcW w:w="2070" w:type="dxa"/>
            <w:vAlign w:val="bottom"/>
          </w:tcPr>
          <w:p w:rsidR="00513B47" w:rsidRPr="00600E6F" w:rsidRDefault="00513B47" w:rsidP="00A05269">
            <w:pPr>
              <w:spacing w:after="0" w:line="240" w:lineRule="auto"/>
              <w:jc w:val="center"/>
              <w:rPr>
                <w:rFonts w:ascii="Times New Roman" w:hAnsi="Times New Roman"/>
                <w:b/>
                <w:sz w:val="20"/>
              </w:rPr>
            </w:pPr>
            <w:r w:rsidRPr="00600E6F">
              <w:rPr>
                <w:rFonts w:ascii="Times New Roman" w:hAnsi="Times New Roman"/>
                <w:b/>
                <w:sz w:val="20"/>
              </w:rPr>
              <w:t>SW PROGRAM/ Sub Program</w:t>
            </w:r>
          </w:p>
        </w:tc>
        <w:tc>
          <w:tcPr>
            <w:tcW w:w="5935" w:type="dxa"/>
            <w:vAlign w:val="bottom"/>
          </w:tcPr>
          <w:p w:rsidR="00513B47" w:rsidRPr="00600E6F" w:rsidRDefault="00513B47" w:rsidP="00A05269">
            <w:pPr>
              <w:spacing w:after="0" w:line="240" w:lineRule="auto"/>
              <w:jc w:val="center"/>
              <w:rPr>
                <w:rFonts w:ascii="Times New Roman" w:hAnsi="Times New Roman"/>
                <w:b/>
                <w:sz w:val="20"/>
              </w:rPr>
            </w:pPr>
            <w:r w:rsidRPr="00600E6F">
              <w:rPr>
                <w:rFonts w:ascii="Times New Roman" w:hAnsi="Times New Roman"/>
                <w:b/>
                <w:sz w:val="20"/>
              </w:rPr>
              <w:t>PROGRAM PERFORMANCE METRIC (PPM)</w:t>
            </w:r>
          </w:p>
        </w:tc>
        <w:tc>
          <w:tcPr>
            <w:tcW w:w="1260" w:type="dxa"/>
            <w:vAlign w:val="bottom"/>
          </w:tcPr>
          <w:p w:rsidR="00513B47" w:rsidRPr="00600E6F" w:rsidRDefault="00513B47" w:rsidP="00A05269">
            <w:pPr>
              <w:spacing w:after="0" w:line="240" w:lineRule="auto"/>
              <w:jc w:val="center"/>
              <w:rPr>
                <w:rFonts w:ascii="Times New Roman" w:hAnsi="Times New Roman"/>
                <w:b/>
                <w:sz w:val="20"/>
              </w:rPr>
            </w:pPr>
            <w:r w:rsidRPr="00600E6F">
              <w:rPr>
                <w:rFonts w:ascii="Times New Roman" w:hAnsi="Times New Roman"/>
                <w:b/>
                <w:sz w:val="20"/>
              </w:rPr>
              <w:t>Metric Type</w:t>
            </w:r>
          </w:p>
        </w:tc>
      </w:tr>
      <w:tr w:rsidR="00513B47" w:rsidRPr="00CF036E" w:rsidTr="002F645C">
        <w:tc>
          <w:tcPr>
            <w:tcW w:w="2070" w:type="dxa"/>
            <w:vAlign w:val="center"/>
          </w:tcPr>
          <w:p w:rsidR="00513B47" w:rsidRPr="00600E6F" w:rsidRDefault="00513B47" w:rsidP="00A05269">
            <w:pPr>
              <w:spacing w:after="0" w:line="240" w:lineRule="auto"/>
              <w:rPr>
                <w:rFonts w:ascii="Times New Roman" w:hAnsi="Times New Roman"/>
                <w:b/>
                <w:sz w:val="20"/>
              </w:rPr>
            </w:pPr>
            <w:r w:rsidRPr="00600E6F">
              <w:rPr>
                <w:rFonts w:ascii="Times New Roman" w:hAnsi="Times New Roman"/>
                <w:b/>
                <w:sz w:val="20"/>
              </w:rPr>
              <w:t>Energy Advisor (EA)</w:t>
            </w:r>
          </w:p>
        </w:tc>
        <w:tc>
          <w:tcPr>
            <w:tcW w:w="5935" w:type="dxa"/>
            <w:vAlign w:val="center"/>
          </w:tcPr>
          <w:p w:rsidR="00513B47" w:rsidRPr="00600E6F" w:rsidRDefault="00513B47" w:rsidP="00A05269">
            <w:pPr>
              <w:spacing w:after="0" w:line="240" w:lineRule="auto"/>
              <w:ind w:left="72"/>
              <w:rPr>
                <w:rFonts w:ascii="Times New Roman" w:hAnsi="Times New Roman"/>
                <w:sz w:val="20"/>
              </w:rPr>
            </w:pPr>
            <w:r w:rsidRPr="00600E6F">
              <w:rPr>
                <w:rFonts w:ascii="Times New Roman" w:hAnsi="Times New Roman"/>
                <w:sz w:val="20"/>
              </w:rPr>
              <w:t>Percentage of Energy Advisor participants that enroll in (a) whole house and (b) other resource  programs</w:t>
            </w:r>
          </w:p>
        </w:tc>
        <w:tc>
          <w:tcPr>
            <w:tcW w:w="1260" w:type="dxa"/>
            <w:vAlign w:val="center"/>
          </w:tcPr>
          <w:p w:rsidR="00513B47" w:rsidRPr="00600E6F" w:rsidRDefault="00513B47" w:rsidP="00A05269">
            <w:pPr>
              <w:spacing w:after="0" w:line="240" w:lineRule="auto"/>
              <w:jc w:val="center"/>
              <w:rPr>
                <w:rFonts w:ascii="Times New Roman" w:hAnsi="Times New Roman"/>
                <w:sz w:val="20"/>
              </w:rPr>
            </w:pPr>
            <w:r w:rsidRPr="00600E6F">
              <w:rPr>
                <w:rFonts w:ascii="Times New Roman" w:hAnsi="Times New Roman"/>
                <w:sz w:val="20"/>
              </w:rPr>
              <w:t>2b</w:t>
            </w:r>
          </w:p>
        </w:tc>
      </w:tr>
    </w:tbl>
    <w:p w:rsidR="00513B47" w:rsidRPr="00F50F8B" w:rsidRDefault="00513B47" w:rsidP="00A05269">
      <w:pPr>
        <w:spacing w:after="0" w:line="240" w:lineRule="auto"/>
        <w:ind w:left="720"/>
        <w:rPr>
          <w:rFonts w:cs="Calibri"/>
          <w:sz w:val="24"/>
          <w:szCs w:val="24"/>
        </w:rPr>
      </w:pPr>
    </w:p>
    <w:p w:rsidR="00513B47" w:rsidRPr="00600E6F" w:rsidRDefault="00E7041A" w:rsidP="00C31CC0">
      <w:pPr>
        <w:numPr>
          <w:ilvl w:val="0"/>
          <w:numId w:val="80"/>
        </w:numPr>
        <w:spacing w:after="0" w:line="240" w:lineRule="auto"/>
        <w:rPr>
          <w:rFonts w:ascii="Times New Roman" w:hAnsi="Times New Roman"/>
          <w:b/>
          <w:sz w:val="24"/>
        </w:rPr>
      </w:pPr>
      <w:r w:rsidRPr="00600E6F">
        <w:rPr>
          <w:rFonts w:ascii="Times New Roman" w:hAnsi="Times New Roman"/>
          <w:b/>
          <w:sz w:val="24"/>
          <w:u w:val="single"/>
        </w:rPr>
        <w:t>Market Transformation Indicators (MTI)</w:t>
      </w:r>
    </w:p>
    <w:p w:rsidR="00513B47" w:rsidRPr="00600E6F" w:rsidRDefault="00D045E6" w:rsidP="00600E6F">
      <w:pPr>
        <w:ind w:left="720"/>
        <w:rPr>
          <w:rFonts w:ascii="Times New Roman" w:hAnsi="Times New Roman"/>
          <w:sz w:val="24"/>
        </w:rPr>
      </w:pPr>
      <w:r w:rsidRPr="0024788C">
        <w:rPr>
          <w:rFonts w:ascii="Times New Roman" w:hAnsi="Times New Roman"/>
          <w:sz w:val="24"/>
          <w:szCs w:val="24"/>
        </w:rPr>
        <w:t xml:space="preserve">Per </w:t>
      </w:r>
      <w:r w:rsidR="00E7041A" w:rsidRPr="00600E6F">
        <w:rPr>
          <w:rFonts w:ascii="Times New Roman" w:hAnsi="Times New Roman"/>
          <w:sz w:val="24"/>
        </w:rPr>
        <w:t>Resolution E-4385</w:t>
      </w:r>
      <w:r w:rsidRPr="0024788C">
        <w:rPr>
          <w:rFonts w:ascii="Times New Roman" w:hAnsi="Times New Roman"/>
          <w:sz w:val="24"/>
          <w:szCs w:val="24"/>
        </w:rPr>
        <w:t>,</w:t>
      </w:r>
      <w:r w:rsidR="00E7041A" w:rsidRPr="00600E6F">
        <w:rPr>
          <w:rFonts w:ascii="Times New Roman" w:hAnsi="Times New Roman"/>
          <w:sz w:val="24"/>
        </w:rPr>
        <w:t xml:space="preserve"> a </w:t>
      </w:r>
      <w:r w:rsidRPr="0024788C">
        <w:rPr>
          <w:rFonts w:ascii="Times New Roman" w:hAnsi="Times New Roman"/>
          <w:sz w:val="24"/>
          <w:szCs w:val="24"/>
        </w:rPr>
        <w:t>subset</w:t>
      </w:r>
      <w:r w:rsidR="00513B47" w:rsidRPr="00600E6F">
        <w:rPr>
          <w:rFonts w:ascii="Times New Roman" w:hAnsi="Times New Roman"/>
          <w:sz w:val="24"/>
        </w:rPr>
        <w:t xml:space="preserve"> of market transformation indicators (MTIs) for statewide energy efficiency programs and subprograms</w:t>
      </w:r>
      <w:r w:rsidRPr="0024788C">
        <w:rPr>
          <w:rFonts w:ascii="Times New Roman" w:hAnsi="Times New Roman"/>
          <w:sz w:val="24"/>
          <w:szCs w:val="24"/>
        </w:rPr>
        <w:t xml:space="preserve"> were </w:t>
      </w:r>
      <w:r w:rsidR="00513B47" w:rsidRPr="00600E6F">
        <w:rPr>
          <w:rFonts w:ascii="Times New Roman" w:hAnsi="Times New Roman"/>
          <w:sz w:val="24"/>
        </w:rPr>
        <w:t xml:space="preserve">presented at a public workshop </w:t>
      </w:r>
      <w:r w:rsidRPr="0024788C">
        <w:rPr>
          <w:rFonts w:ascii="Times New Roman" w:hAnsi="Times New Roman"/>
          <w:sz w:val="24"/>
          <w:szCs w:val="24"/>
        </w:rPr>
        <w:t xml:space="preserve">on November 7, 2011, </w:t>
      </w:r>
      <w:r w:rsidR="00513B47" w:rsidRPr="00600E6F">
        <w:rPr>
          <w:rFonts w:ascii="Times New Roman" w:hAnsi="Times New Roman"/>
          <w:sz w:val="24"/>
        </w:rPr>
        <w:t>to allow for public comments and discussion before being finalized.</w:t>
      </w:r>
      <w:r w:rsidRPr="0024788C">
        <w:rPr>
          <w:rFonts w:ascii="Times New Roman" w:hAnsi="Times New Roman"/>
          <w:sz w:val="24"/>
          <w:szCs w:val="24"/>
        </w:rPr>
        <w:t>  Per</w:t>
      </w:r>
      <w:r w:rsidR="00513B47" w:rsidRPr="00600E6F">
        <w:rPr>
          <w:rFonts w:ascii="Times New Roman" w:hAnsi="Times New Roman"/>
          <w:sz w:val="24"/>
        </w:rPr>
        <w:t xml:space="preserve"> Energy Division </w:t>
      </w:r>
      <w:r w:rsidRPr="0024788C">
        <w:rPr>
          <w:rFonts w:ascii="Times New Roman" w:hAnsi="Times New Roman"/>
          <w:sz w:val="24"/>
          <w:szCs w:val="24"/>
        </w:rPr>
        <w:t>Guidance on June 19, 2012, the MTIs to be found in A</w:t>
      </w:r>
      <w:r w:rsidR="00561D1D">
        <w:rPr>
          <w:rFonts w:ascii="Times New Roman" w:hAnsi="Times New Roman"/>
          <w:sz w:val="24"/>
          <w:szCs w:val="24"/>
        </w:rPr>
        <w:t>ppendix</w:t>
      </w:r>
      <w:r w:rsidRPr="0024788C">
        <w:rPr>
          <w:rFonts w:ascii="Times New Roman" w:hAnsi="Times New Roman"/>
          <w:sz w:val="24"/>
          <w:szCs w:val="24"/>
        </w:rPr>
        <w:t xml:space="preserve"> “H” are approved</w:t>
      </w:r>
      <w:r w:rsidR="00513B47" w:rsidRPr="00600E6F">
        <w:rPr>
          <w:rFonts w:ascii="Times New Roman" w:hAnsi="Times New Roman"/>
          <w:sz w:val="24"/>
        </w:rPr>
        <w:t xml:space="preserve"> for </w:t>
      </w:r>
      <w:r w:rsidRPr="0024788C">
        <w:rPr>
          <w:rFonts w:ascii="Times New Roman" w:hAnsi="Times New Roman"/>
          <w:sz w:val="24"/>
          <w:szCs w:val="24"/>
        </w:rPr>
        <w:t>this sub-program</w:t>
      </w:r>
      <w:r w:rsidR="00513B47" w:rsidRPr="00600E6F">
        <w:rPr>
          <w:rFonts w:ascii="Times New Roman" w:hAnsi="Times New Roman"/>
          <w:sz w:val="24"/>
        </w:rPr>
        <w:t xml:space="preserve"> as </w:t>
      </w:r>
      <w:r w:rsidRPr="0024788C">
        <w:rPr>
          <w:rFonts w:ascii="Times New Roman" w:hAnsi="Times New Roman"/>
          <w:sz w:val="24"/>
          <w:szCs w:val="24"/>
        </w:rPr>
        <w:t xml:space="preserve">applicable. </w:t>
      </w:r>
    </w:p>
    <w:p w:rsidR="0093736E" w:rsidRPr="00600E6F" w:rsidRDefault="00E7041A" w:rsidP="00600E6F">
      <w:pPr>
        <w:spacing w:after="0" w:line="240" w:lineRule="auto"/>
        <w:ind w:firstLine="720"/>
        <w:outlineLvl w:val="0"/>
        <w:rPr>
          <w:rFonts w:ascii="Times New Roman" w:hAnsi="Times New Roman"/>
          <w:sz w:val="24"/>
        </w:rPr>
      </w:pPr>
      <w:r w:rsidRPr="00600E6F">
        <w:rPr>
          <w:rFonts w:ascii="Times New Roman" w:hAnsi="Times New Roman"/>
          <w:b/>
          <w:sz w:val="24"/>
        </w:rPr>
        <w:t>Table 4</w:t>
      </w:r>
      <w:r w:rsidR="00513B47" w:rsidRPr="00600E6F">
        <w:rPr>
          <w:rFonts w:ascii="Times New Roman" w:hAnsi="Times New Roman"/>
          <w:sz w:val="24"/>
        </w:rPr>
        <w:t xml:space="preserve"> – Refer to the overarching program for market transformation metrics</w:t>
      </w:r>
    </w:p>
    <w:p w:rsidR="00513B47" w:rsidRPr="00F50F8B" w:rsidRDefault="00513B47" w:rsidP="00A05269">
      <w:pPr>
        <w:spacing w:after="0" w:line="240" w:lineRule="auto"/>
        <w:ind w:left="360"/>
        <w:rPr>
          <w:rFonts w:cs="Calibri"/>
          <w:sz w:val="24"/>
          <w:szCs w:val="24"/>
        </w:rPr>
      </w:pPr>
    </w:p>
    <w:p w:rsidR="00513B47" w:rsidRPr="00600E6F" w:rsidRDefault="00E7041A" w:rsidP="00C31CC0">
      <w:pPr>
        <w:numPr>
          <w:ilvl w:val="0"/>
          <w:numId w:val="80"/>
        </w:numPr>
        <w:spacing w:after="0" w:line="240" w:lineRule="auto"/>
        <w:rPr>
          <w:rFonts w:ascii="Times New Roman" w:hAnsi="Times New Roman"/>
          <w:b/>
          <w:sz w:val="24"/>
        </w:rPr>
      </w:pPr>
      <w:r w:rsidRPr="00600E6F">
        <w:rPr>
          <w:rFonts w:ascii="Times New Roman" w:hAnsi="Times New Roman"/>
          <w:b/>
          <w:sz w:val="24"/>
          <w:u w:val="single"/>
        </w:rPr>
        <w:t>Program Design to Overcome Barriers</w:t>
      </w:r>
    </w:p>
    <w:p w:rsidR="0093736E" w:rsidRPr="00600E6F" w:rsidRDefault="00E7041A" w:rsidP="00600E6F">
      <w:pPr>
        <w:tabs>
          <w:tab w:val="num" w:pos="720"/>
        </w:tabs>
        <w:spacing w:after="0" w:line="240" w:lineRule="auto"/>
        <w:ind w:left="720"/>
        <w:rPr>
          <w:rFonts w:ascii="Times New Roman" w:hAnsi="Times New Roman"/>
          <w:sz w:val="24"/>
        </w:rPr>
      </w:pPr>
      <w:r w:rsidRPr="00600E6F">
        <w:rPr>
          <w:rFonts w:ascii="Times New Roman" w:hAnsi="Times New Roman"/>
          <w:sz w:val="24"/>
        </w:rPr>
        <w:t xml:space="preserve">Promoting energy and water efficiency to the residential customer provides opportunities to foster market transformation. The main </w:t>
      </w:r>
      <w:r w:rsidR="00513B47" w:rsidRPr="00600E6F">
        <w:rPr>
          <w:rFonts w:ascii="Times New Roman" w:hAnsi="Times New Roman"/>
          <w:sz w:val="24"/>
        </w:rPr>
        <w:t>barriers include:</w:t>
      </w:r>
    </w:p>
    <w:p w:rsidR="00513B47" w:rsidRPr="00600E6F" w:rsidRDefault="00513B47" w:rsidP="00A05269">
      <w:pPr>
        <w:tabs>
          <w:tab w:val="num" w:pos="720"/>
        </w:tabs>
        <w:spacing w:after="0" w:line="240" w:lineRule="auto"/>
        <w:ind w:left="720"/>
        <w:rPr>
          <w:rFonts w:ascii="Times New Roman" w:hAnsi="Times New Roman"/>
          <w:sz w:val="24"/>
        </w:rPr>
      </w:pPr>
    </w:p>
    <w:p w:rsidR="00513B47" w:rsidRPr="00600E6F" w:rsidRDefault="00513B47" w:rsidP="00C31CC0">
      <w:pPr>
        <w:numPr>
          <w:ilvl w:val="0"/>
          <w:numId w:val="77"/>
        </w:numPr>
        <w:spacing w:after="0" w:line="240" w:lineRule="auto"/>
        <w:rPr>
          <w:rFonts w:ascii="Times New Roman" w:hAnsi="Times New Roman"/>
          <w:sz w:val="24"/>
        </w:rPr>
      </w:pPr>
      <w:r w:rsidRPr="00600E6F">
        <w:rPr>
          <w:rFonts w:ascii="Times New Roman" w:hAnsi="Times New Roman"/>
          <w:sz w:val="24"/>
        </w:rPr>
        <w:t>Lack of current energy performance;</w:t>
      </w:r>
    </w:p>
    <w:p w:rsidR="0093736E" w:rsidRPr="00600E6F" w:rsidRDefault="00E7041A" w:rsidP="00C31CC0">
      <w:pPr>
        <w:numPr>
          <w:ilvl w:val="0"/>
          <w:numId w:val="77"/>
        </w:numPr>
        <w:spacing w:after="0" w:line="240" w:lineRule="auto"/>
        <w:rPr>
          <w:rFonts w:ascii="Times New Roman" w:hAnsi="Times New Roman"/>
          <w:sz w:val="24"/>
        </w:rPr>
      </w:pPr>
      <w:r w:rsidRPr="00600E6F">
        <w:rPr>
          <w:rFonts w:ascii="Times New Roman" w:hAnsi="Times New Roman"/>
          <w:sz w:val="24"/>
        </w:rPr>
        <w:t>Lack of energy efficiency information;</w:t>
      </w:r>
    </w:p>
    <w:p w:rsidR="0093736E" w:rsidRPr="00600E6F" w:rsidRDefault="00E7041A" w:rsidP="00C31CC0">
      <w:pPr>
        <w:numPr>
          <w:ilvl w:val="0"/>
          <w:numId w:val="77"/>
        </w:numPr>
        <w:spacing w:after="0" w:line="240" w:lineRule="auto"/>
        <w:rPr>
          <w:rFonts w:ascii="Times New Roman" w:hAnsi="Times New Roman"/>
          <w:sz w:val="24"/>
        </w:rPr>
      </w:pPr>
      <w:r w:rsidRPr="00600E6F">
        <w:rPr>
          <w:rFonts w:ascii="Times New Roman" w:hAnsi="Times New Roman"/>
          <w:sz w:val="24"/>
        </w:rPr>
        <w:t>Lack of awareness of specific measures and practices</w:t>
      </w:r>
      <w:r w:rsidR="00513B47" w:rsidRPr="00600E6F">
        <w:rPr>
          <w:rFonts w:ascii="Times New Roman" w:hAnsi="Times New Roman"/>
          <w:sz w:val="24"/>
        </w:rPr>
        <w:t xml:space="preserve"> </w:t>
      </w:r>
    </w:p>
    <w:p w:rsidR="00513B47" w:rsidRPr="00600E6F" w:rsidRDefault="00513B47" w:rsidP="00A05269">
      <w:pPr>
        <w:tabs>
          <w:tab w:val="num" w:pos="720"/>
        </w:tabs>
        <w:spacing w:after="0" w:line="240" w:lineRule="auto"/>
        <w:ind w:left="720"/>
        <w:rPr>
          <w:rFonts w:ascii="Times New Roman" w:hAnsi="Times New Roman"/>
          <w:sz w:val="24"/>
        </w:rPr>
      </w:pPr>
    </w:p>
    <w:p w:rsidR="0093736E" w:rsidRPr="00600E6F" w:rsidRDefault="00E7041A" w:rsidP="00600E6F">
      <w:pPr>
        <w:tabs>
          <w:tab w:val="num" w:pos="720"/>
        </w:tabs>
        <w:spacing w:after="0" w:line="240" w:lineRule="auto"/>
        <w:ind w:left="720"/>
        <w:rPr>
          <w:rFonts w:ascii="Times New Roman" w:hAnsi="Times New Roman"/>
          <w:sz w:val="24"/>
        </w:rPr>
      </w:pPr>
      <w:r w:rsidRPr="00600E6F">
        <w:rPr>
          <w:rFonts w:ascii="Times New Roman" w:hAnsi="Times New Roman"/>
          <w:sz w:val="24"/>
        </w:rPr>
        <w:t>To overcome these bar</w:t>
      </w:r>
      <w:r w:rsidR="00513B47" w:rsidRPr="00600E6F">
        <w:rPr>
          <w:rFonts w:ascii="Times New Roman" w:hAnsi="Times New Roman"/>
          <w:sz w:val="24"/>
        </w:rPr>
        <w:t>riers, the Energy Advisor Program will provide accurate and comprehensive information about energy and water saving strategies, customized recommendations and suggestions for energy and water conservation and installation of energy-saving measures, and detailed analysis of energy billing, energy usage, and energy costs, based on actual household consumption. This information encourages permanent changes in customers’ attitudes and actions toward energy conservation by helping them understand their usage, as well as providing information on a wide variety of possible measures, practices, and actions.  The program will also continue to provide information in multiple languages to overcome language barriers for non-English-speaking customers.</w:t>
      </w:r>
    </w:p>
    <w:p w:rsidR="0093736E" w:rsidRPr="00600E6F" w:rsidRDefault="0093736E" w:rsidP="00600E6F">
      <w:pPr>
        <w:tabs>
          <w:tab w:val="num" w:pos="720"/>
        </w:tabs>
        <w:spacing w:after="0" w:line="240" w:lineRule="auto"/>
        <w:ind w:left="720"/>
        <w:rPr>
          <w:rFonts w:ascii="Times New Roman" w:hAnsi="Times New Roman"/>
          <w:sz w:val="24"/>
        </w:rPr>
      </w:pPr>
    </w:p>
    <w:p w:rsidR="0093736E" w:rsidRPr="00600E6F" w:rsidRDefault="00E7041A" w:rsidP="00600E6F">
      <w:pPr>
        <w:tabs>
          <w:tab w:val="num" w:pos="720"/>
        </w:tabs>
        <w:spacing w:after="0" w:line="240" w:lineRule="auto"/>
        <w:ind w:left="720"/>
        <w:rPr>
          <w:rFonts w:ascii="Times New Roman" w:hAnsi="Times New Roman"/>
          <w:sz w:val="24"/>
        </w:rPr>
      </w:pPr>
      <w:r w:rsidRPr="00600E6F">
        <w:rPr>
          <w:rFonts w:ascii="Times New Roman" w:hAnsi="Times New Roman"/>
          <w:sz w:val="24"/>
        </w:rPr>
        <w:t>Marketing is a key component in the succes</w:t>
      </w:r>
      <w:r w:rsidR="00513B47" w:rsidRPr="00600E6F">
        <w:rPr>
          <w:rFonts w:ascii="Times New Roman" w:hAnsi="Times New Roman"/>
          <w:sz w:val="24"/>
        </w:rPr>
        <w:t xml:space="preserve">s of the Energy Advisor Program, first to generate awareness of the program, and second - and more important - to encourage completion of a survey. </w:t>
      </w:r>
      <w:r w:rsidR="00513B47" w:rsidRPr="00F50F8B">
        <w:rPr>
          <w:rFonts w:cs="Calibri"/>
        </w:rPr>
        <w:t xml:space="preserve"> </w:t>
      </w:r>
      <w:r w:rsidR="00513B47" w:rsidRPr="00600E6F">
        <w:rPr>
          <w:rFonts w:ascii="Times New Roman" w:hAnsi="Times New Roman"/>
          <w:sz w:val="24"/>
        </w:rPr>
        <w:t xml:space="preserve">Marketing plans will be discussed statewide to ensure consistency and sharing of best practices.  </w:t>
      </w:r>
    </w:p>
    <w:p w:rsidR="0093736E" w:rsidRPr="00600E6F" w:rsidRDefault="0093736E" w:rsidP="00600E6F">
      <w:pPr>
        <w:tabs>
          <w:tab w:val="num" w:pos="720"/>
        </w:tabs>
        <w:spacing w:after="0" w:line="240" w:lineRule="auto"/>
        <w:ind w:left="720"/>
        <w:rPr>
          <w:rFonts w:ascii="Times New Roman" w:hAnsi="Times New Roman"/>
          <w:sz w:val="24"/>
        </w:rPr>
      </w:pPr>
    </w:p>
    <w:p w:rsidR="0093736E" w:rsidRPr="00600E6F" w:rsidRDefault="00E7041A" w:rsidP="00600E6F">
      <w:pPr>
        <w:tabs>
          <w:tab w:val="num" w:pos="720"/>
        </w:tabs>
        <w:spacing w:after="0" w:line="240" w:lineRule="auto"/>
        <w:ind w:left="720"/>
        <w:rPr>
          <w:rFonts w:ascii="Times New Roman" w:hAnsi="Times New Roman"/>
          <w:sz w:val="24"/>
        </w:rPr>
      </w:pPr>
      <w:r w:rsidRPr="00600E6F">
        <w:rPr>
          <w:rFonts w:ascii="Times New Roman" w:hAnsi="Times New Roman"/>
          <w:sz w:val="24"/>
        </w:rPr>
        <w:t xml:space="preserve">Statewide delivery mechanisms continue to include </w:t>
      </w:r>
      <w:r w:rsidR="00513B47" w:rsidRPr="00600E6F">
        <w:rPr>
          <w:rFonts w:ascii="Times New Roman" w:hAnsi="Times New Roman"/>
          <w:sz w:val="24"/>
        </w:rPr>
        <w:t xml:space="preserve">online tools. The individual utilities may also provide other survey and engagement offerings if they feel these types are warranted. Online tools will be coordinated with a statewide emphasis to share best practices. Each IOU will have a delivery method capable of serving customers in multiple languages to bridge language barriers among California’s diverse population.  </w:t>
      </w:r>
    </w:p>
    <w:p w:rsidR="00513B47" w:rsidRPr="00600E6F" w:rsidRDefault="00E7041A" w:rsidP="00A05269">
      <w:pPr>
        <w:tabs>
          <w:tab w:val="num" w:pos="720"/>
        </w:tabs>
        <w:spacing w:after="0" w:line="240" w:lineRule="auto"/>
        <w:ind w:left="720"/>
        <w:rPr>
          <w:rFonts w:ascii="Times New Roman" w:hAnsi="Times New Roman"/>
          <w:sz w:val="24"/>
        </w:rPr>
      </w:pPr>
      <w:r w:rsidRPr="00600E6F">
        <w:rPr>
          <w:rFonts w:ascii="Times New Roman" w:hAnsi="Times New Roman"/>
          <w:sz w:val="24"/>
        </w:rPr>
        <w:t>It is necessary to persuade Californians to commit to energy conservation. For many, this will be a gr</w:t>
      </w:r>
      <w:r w:rsidR="00513B47" w:rsidRPr="00600E6F">
        <w:rPr>
          <w:rFonts w:ascii="Times New Roman" w:hAnsi="Times New Roman"/>
          <w:sz w:val="24"/>
        </w:rPr>
        <w:t xml:space="preserve">adual process facilitated by readily available, well placed educational </w:t>
      </w:r>
      <w:r w:rsidR="00513B47" w:rsidRPr="00600E6F">
        <w:rPr>
          <w:rFonts w:ascii="Times New Roman" w:hAnsi="Times New Roman"/>
          <w:sz w:val="24"/>
        </w:rPr>
        <w:lastRenderedPageBreak/>
        <w:t xml:space="preserve">materials that help the customer understand their </w:t>
      </w:r>
      <w:r w:rsidR="00513B47" w:rsidRPr="00F50F8B">
        <w:rPr>
          <w:rFonts w:cs="Calibri"/>
        </w:rPr>
        <w:t xml:space="preserve"> </w:t>
      </w:r>
      <w:r w:rsidR="00513B47" w:rsidRPr="00600E6F">
        <w:rPr>
          <w:rFonts w:ascii="Times New Roman" w:hAnsi="Times New Roman"/>
          <w:sz w:val="24"/>
        </w:rPr>
        <w:t>energy usage and encourage the customer to make the greater commitment to participate in behavior and equipment based IDSM improvements. In accordance with the driving behavior change elements of energy improvement, each utility will seek to reach at least 5% of their customers through a variety of behavior change inclusive offerings.</w:t>
      </w:r>
    </w:p>
    <w:p w:rsidR="00513B47" w:rsidRPr="00600E6F" w:rsidRDefault="00513B47" w:rsidP="00A05269">
      <w:pPr>
        <w:tabs>
          <w:tab w:val="num" w:pos="720"/>
        </w:tabs>
        <w:spacing w:after="0" w:line="240" w:lineRule="auto"/>
        <w:ind w:left="720"/>
        <w:rPr>
          <w:rFonts w:ascii="Times New Roman" w:hAnsi="Times New Roman"/>
          <w:sz w:val="24"/>
        </w:rPr>
      </w:pPr>
    </w:p>
    <w:p w:rsidR="0093736E" w:rsidRPr="00600E6F" w:rsidRDefault="00513B47" w:rsidP="00600E6F">
      <w:pPr>
        <w:tabs>
          <w:tab w:val="num" w:pos="720"/>
        </w:tabs>
        <w:spacing w:after="0" w:line="240" w:lineRule="auto"/>
        <w:ind w:left="720"/>
        <w:rPr>
          <w:rFonts w:ascii="Times New Roman" w:hAnsi="Times New Roman"/>
          <w:sz w:val="24"/>
        </w:rPr>
      </w:pPr>
      <w:r w:rsidRPr="00600E6F">
        <w:rPr>
          <w:rFonts w:ascii="Times New Roman" w:hAnsi="Times New Roman"/>
          <w:sz w:val="24"/>
        </w:rPr>
        <w:t>While the interactive survey and/or reports and action plans should result in changes in customer utilization, it cannot be considered a conclusion of the process. Rather, once customers have been engaged through the Energy Advisor program, utilities may motivate them to achieve even greater conservation savings through additional education on-line, by e-mail, by mail, by telephone, or through any other appropriate mechanism.</w:t>
      </w:r>
    </w:p>
    <w:p w:rsidR="0093736E" w:rsidRPr="00600E6F" w:rsidRDefault="0093736E" w:rsidP="00600E6F">
      <w:pPr>
        <w:tabs>
          <w:tab w:val="num" w:pos="720"/>
        </w:tabs>
        <w:spacing w:after="0" w:line="240" w:lineRule="auto"/>
        <w:ind w:left="720"/>
        <w:rPr>
          <w:rFonts w:ascii="Times New Roman" w:hAnsi="Times New Roman"/>
          <w:sz w:val="24"/>
        </w:rPr>
      </w:pPr>
    </w:p>
    <w:p w:rsidR="00513B47" w:rsidRPr="00600E6F" w:rsidRDefault="00E7041A" w:rsidP="00C31CC0">
      <w:pPr>
        <w:numPr>
          <w:ilvl w:val="0"/>
          <w:numId w:val="80"/>
        </w:numPr>
        <w:spacing w:after="0" w:line="240" w:lineRule="auto"/>
        <w:rPr>
          <w:rFonts w:ascii="Times New Roman" w:hAnsi="Times New Roman"/>
          <w:b/>
          <w:sz w:val="24"/>
        </w:rPr>
      </w:pPr>
      <w:r w:rsidRPr="00600E6F">
        <w:rPr>
          <w:rFonts w:ascii="Times New Roman" w:hAnsi="Times New Roman"/>
          <w:b/>
          <w:sz w:val="24"/>
          <w:u w:val="single"/>
        </w:rPr>
        <w:t>Quantitative Program Targets</w:t>
      </w:r>
    </w:p>
    <w:p w:rsidR="0093736E" w:rsidRPr="00600E6F" w:rsidRDefault="00E7041A" w:rsidP="00600E6F">
      <w:pPr>
        <w:spacing w:after="0" w:line="240" w:lineRule="auto"/>
        <w:ind w:left="720"/>
        <w:rPr>
          <w:rFonts w:ascii="Times New Roman" w:hAnsi="Times New Roman"/>
          <w:sz w:val="24"/>
        </w:rPr>
      </w:pPr>
      <w:r w:rsidRPr="00600E6F">
        <w:rPr>
          <w:rFonts w:ascii="Times New Roman" w:hAnsi="Times New Roman"/>
          <w:sz w:val="24"/>
        </w:rPr>
        <w:t xml:space="preserve">The proposed targets may be modified due to funding restrictions, especially for the </w:t>
      </w:r>
      <w:r w:rsidR="00513B47" w:rsidRPr="00600E6F">
        <w:rPr>
          <w:rFonts w:ascii="Times New Roman" w:hAnsi="Times New Roman"/>
          <w:sz w:val="24"/>
        </w:rPr>
        <w:t xml:space="preserve">2013-2014 transition period (bridge funding years).  </w:t>
      </w:r>
    </w:p>
    <w:p w:rsidR="00513B47" w:rsidRPr="00600E6F" w:rsidRDefault="00513B47" w:rsidP="00A05269">
      <w:pPr>
        <w:pStyle w:val="Caption"/>
        <w:ind w:firstLine="720"/>
        <w:outlineLvl w:val="0"/>
        <w:rPr>
          <w:sz w:val="24"/>
        </w:rPr>
      </w:pPr>
    </w:p>
    <w:p w:rsidR="0093736E" w:rsidRPr="00600E6F" w:rsidRDefault="00E7041A" w:rsidP="00600E6F">
      <w:pPr>
        <w:pStyle w:val="Caption"/>
        <w:ind w:firstLine="720"/>
        <w:outlineLvl w:val="0"/>
        <w:rPr>
          <w:sz w:val="24"/>
        </w:rPr>
      </w:pPr>
      <w:r w:rsidRPr="00600E6F">
        <w:rPr>
          <w:sz w:val="24"/>
        </w:rPr>
        <w:t>Table 5</w:t>
      </w:r>
    </w:p>
    <w:tbl>
      <w:tblPr>
        <w:tblW w:w="8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282"/>
        <w:gridCol w:w="2282"/>
        <w:gridCol w:w="2283"/>
      </w:tblGrid>
      <w:tr w:rsidR="00513B47" w:rsidRPr="00643C88" w:rsidTr="00600E6F">
        <w:trPr>
          <w:trHeight w:val="331"/>
        </w:trPr>
        <w:tc>
          <w:tcPr>
            <w:tcW w:w="1620" w:type="dxa"/>
            <w:noWrap/>
          </w:tcPr>
          <w:p w:rsidR="0093736E" w:rsidRPr="00600E6F" w:rsidRDefault="00513B47" w:rsidP="00600E6F">
            <w:pPr>
              <w:tabs>
                <w:tab w:val="num" w:pos="79"/>
              </w:tabs>
              <w:spacing w:after="0" w:line="240" w:lineRule="auto"/>
              <w:ind w:left="79" w:hanging="11"/>
              <w:rPr>
                <w:rFonts w:ascii="Times New Roman" w:hAnsi="Times New Roman"/>
                <w:b/>
              </w:rPr>
            </w:pPr>
            <w:r w:rsidRPr="00600E6F">
              <w:rPr>
                <w:rFonts w:ascii="Times New Roman" w:hAnsi="Times New Roman"/>
                <w:b/>
              </w:rPr>
              <w:t>IOU</w:t>
            </w:r>
          </w:p>
        </w:tc>
        <w:tc>
          <w:tcPr>
            <w:tcW w:w="2282" w:type="dxa"/>
          </w:tcPr>
          <w:p w:rsidR="00513B47" w:rsidRPr="00600E6F" w:rsidRDefault="00E7041A" w:rsidP="00A05269">
            <w:pPr>
              <w:tabs>
                <w:tab w:val="num" w:pos="720"/>
              </w:tabs>
              <w:spacing w:after="0" w:line="240" w:lineRule="auto"/>
              <w:jc w:val="center"/>
              <w:rPr>
                <w:rFonts w:ascii="Times New Roman" w:hAnsi="Times New Roman"/>
                <w:b/>
              </w:rPr>
            </w:pPr>
            <w:r w:rsidRPr="00600E6F">
              <w:rPr>
                <w:rFonts w:ascii="Times New Roman" w:hAnsi="Times New Roman"/>
                <w:b/>
              </w:rPr>
              <w:t xml:space="preserve">Program Target by </w:t>
            </w:r>
            <w:r w:rsidR="00513B47" w:rsidRPr="00600E6F">
              <w:rPr>
                <w:rFonts w:ascii="Times New Roman" w:hAnsi="Times New Roman"/>
                <w:b/>
              </w:rPr>
              <w:t>2012</w:t>
            </w:r>
          </w:p>
        </w:tc>
        <w:tc>
          <w:tcPr>
            <w:tcW w:w="2282" w:type="dxa"/>
          </w:tcPr>
          <w:p w:rsidR="00513B47" w:rsidRPr="00600E6F" w:rsidRDefault="00E7041A" w:rsidP="00A05269">
            <w:pPr>
              <w:tabs>
                <w:tab w:val="num" w:pos="720"/>
              </w:tabs>
              <w:spacing w:after="0" w:line="240" w:lineRule="auto"/>
              <w:jc w:val="center"/>
              <w:rPr>
                <w:rFonts w:ascii="Times New Roman" w:hAnsi="Times New Roman"/>
                <w:b/>
              </w:rPr>
            </w:pPr>
            <w:r w:rsidRPr="00600E6F">
              <w:rPr>
                <w:rFonts w:ascii="Times New Roman" w:hAnsi="Times New Roman"/>
                <w:b/>
              </w:rPr>
              <w:t xml:space="preserve">Program Target by </w:t>
            </w:r>
            <w:r w:rsidR="00513B47" w:rsidRPr="00600E6F">
              <w:rPr>
                <w:rFonts w:ascii="Times New Roman" w:hAnsi="Times New Roman"/>
                <w:b/>
              </w:rPr>
              <w:t>2013</w:t>
            </w:r>
          </w:p>
        </w:tc>
        <w:tc>
          <w:tcPr>
            <w:tcW w:w="2283" w:type="dxa"/>
          </w:tcPr>
          <w:p w:rsidR="00513B47" w:rsidRPr="00600E6F" w:rsidRDefault="00E7041A" w:rsidP="00A05269">
            <w:pPr>
              <w:tabs>
                <w:tab w:val="num" w:pos="720"/>
              </w:tabs>
              <w:spacing w:after="0" w:line="240" w:lineRule="auto"/>
              <w:jc w:val="center"/>
              <w:rPr>
                <w:rFonts w:ascii="Times New Roman" w:hAnsi="Times New Roman"/>
                <w:b/>
              </w:rPr>
            </w:pPr>
            <w:r w:rsidRPr="00600E6F">
              <w:rPr>
                <w:rFonts w:ascii="Times New Roman" w:hAnsi="Times New Roman"/>
                <w:b/>
              </w:rPr>
              <w:t xml:space="preserve">Program Target by </w:t>
            </w:r>
            <w:r w:rsidR="00513B47" w:rsidRPr="00600E6F">
              <w:rPr>
                <w:rFonts w:ascii="Times New Roman" w:hAnsi="Times New Roman"/>
                <w:b/>
              </w:rPr>
              <w:t>2014</w:t>
            </w:r>
          </w:p>
        </w:tc>
      </w:tr>
      <w:tr w:rsidR="00513B47" w:rsidRPr="00F50F8B" w:rsidTr="00600E6F">
        <w:trPr>
          <w:trHeight w:val="439"/>
        </w:trPr>
        <w:tc>
          <w:tcPr>
            <w:tcW w:w="1620" w:type="dxa"/>
            <w:noWrap/>
          </w:tcPr>
          <w:p w:rsidR="00513B47" w:rsidRPr="00600E6F" w:rsidRDefault="00513B47" w:rsidP="00A05269">
            <w:pPr>
              <w:tabs>
                <w:tab w:val="num" w:pos="79"/>
              </w:tabs>
              <w:spacing w:after="0" w:line="240" w:lineRule="auto"/>
              <w:ind w:left="79" w:hanging="11"/>
              <w:rPr>
                <w:rFonts w:ascii="Times New Roman" w:hAnsi="Times New Roman"/>
                <w:b/>
                <w:sz w:val="24"/>
              </w:rPr>
            </w:pPr>
            <w:r w:rsidRPr="00600E6F">
              <w:rPr>
                <w:rFonts w:ascii="Times New Roman" w:hAnsi="Times New Roman"/>
                <w:b/>
                <w:sz w:val="24"/>
              </w:rPr>
              <w:t>SDG&amp;E</w:t>
            </w:r>
          </w:p>
        </w:tc>
        <w:tc>
          <w:tcPr>
            <w:tcW w:w="2282" w:type="dxa"/>
          </w:tcPr>
          <w:p w:rsidR="00513B47" w:rsidRPr="00600E6F" w:rsidRDefault="00513B47" w:rsidP="00A05269">
            <w:pPr>
              <w:tabs>
                <w:tab w:val="num" w:pos="720"/>
              </w:tabs>
              <w:spacing w:after="0" w:line="240" w:lineRule="auto"/>
              <w:ind w:left="720" w:hanging="360"/>
              <w:jc w:val="center"/>
              <w:rPr>
                <w:rFonts w:ascii="Times New Roman" w:hAnsi="Times New Roman"/>
                <w:sz w:val="24"/>
              </w:rPr>
            </w:pPr>
            <w:r w:rsidRPr="00600E6F">
              <w:rPr>
                <w:rFonts w:ascii="Times New Roman" w:hAnsi="Times New Roman"/>
                <w:sz w:val="24"/>
              </w:rPr>
              <w:t>3,000</w:t>
            </w:r>
          </w:p>
        </w:tc>
        <w:tc>
          <w:tcPr>
            <w:tcW w:w="2282" w:type="dxa"/>
          </w:tcPr>
          <w:p w:rsidR="00513B47" w:rsidRPr="00600E6F" w:rsidRDefault="00513B47" w:rsidP="00A05269">
            <w:pPr>
              <w:tabs>
                <w:tab w:val="num" w:pos="720"/>
              </w:tabs>
              <w:spacing w:after="0" w:line="240" w:lineRule="auto"/>
              <w:ind w:left="720" w:hanging="360"/>
              <w:jc w:val="center"/>
              <w:rPr>
                <w:rFonts w:ascii="Times New Roman" w:hAnsi="Times New Roman"/>
                <w:sz w:val="24"/>
              </w:rPr>
            </w:pPr>
            <w:r w:rsidRPr="00600E6F">
              <w:rPr>
                <w:rFonts w:ascii="Times New Roman" w:hAnsi="Times New Roman"/>
                <w:sz w:val="24"/>
              </w:rPr>
              <w:t>5,000</w:t>
            </w:r>
          </w:p>
        </w:tc>
        <w:tc>
          <w:tcPr>
            <w:tcW w:w="2283" w:type="dxa"/>
          </w:tcPr>
          <w:p w:rsidR="00513B47" w:rsidRPr="00600E6F" w:rsidRDefault="00513B47" w:rsidP="00A05269">
            <w:pPr>
              <w:tabs>
                <w:tab w:val="num" w:pos="720"/>
              </w:tabs>
              <w:spacing w:after="0" w:line="240" w:lineRule="auto"/>
              <w:ind w:left="720" w:hanging="360"/>
              <w:jc w:val="center"/>
              <w:rPr>
                <w:rFonts w:ascii="Times New Roman" w:hAnsi="Times New Roman"/>
                <w:sz w:val="24"/>
              </w:rPr>
            </w:pPr>
            <w:r w:rsidRPr="00600E6F">
              <w:rPr>
                <w:rFonts w:ascii="Times New Roman" w:hAnsi="Times New Roman"/>
                <w:sz w:val="24"/>
              </w:rPr>
              <w:t>5,000</w:t>
            </w:r>
          </w:p>
        </w:tc>
      </w:tr>
      <w:tr w:rsidR="00513B47" w:rsidRPr="00643C88" w:rsidTr="00600E6F">
        <w:trPr>
          <w:trHeight w:val="430"/>
        </w:trPr>
        <w:tc>
          <w:tcPr>
            <w:tcW w:w="1620" w:type="dxa"/>
            <w:noWrap/>
          </w:tcPr>
          <w:p w:rsidR="0093736E" w:rsidRPr="00600E6F" w:rsidRDefault="00513B47" w:rsidP="00600E6F">
            <w:pPr>
              <w:tabs>
                <w:tab w:val="num" w:pos="79"/>
              </w:tabs>
              <w:spacing w:after="0" w:line="240" w:lineRule="auto"/>
              <w:ind w:left="79" w:hanging="11"/>
              <w:rPr>
                <w:rFonts w:ascii="Times New Roman" w:hAnsi="Times New Roman"/>
                <w:b/>
              </w:rPr>
            </w:pPr>
            <w:r w:rsidRPr="00600E6F">
              <w:rPr>
                <w:rFonts w:ascii="Times New Roman" w:hAnsi="Times New Roman"/>
                <w:b/>
              </w:rPr>
              <w:t>SCE</w:t>
            </w:r>
          </w:p>
        </w:tc>
        <w:tc>
          <w:tcPr>
            <w:tcW w:w="2282"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21,875</w:t>
            </w:r>
          </w:p>
        </w:tc>
        <w:tc>
          <w:tcPr>
            <w:tcW w:w="2282"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26,000</w:t>
            </w:r>
          </w:p>
        </w:tc>
        <w:tc>
          <w:tcPr>
            <w:tcW w:w="2283"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26,000</w:t>
            </w:r>
          </w:p>
        </w:tc>
      </w:tr>
      <w:tr w:rsidR="00513B47" w:rsidRPr="00643C88" w:rsidTr="00600E6F">
        <w:trPr>
          <w:trHeight w:val="421"/>
        </w:trPr>
        <w:tc>
          <w:tcPr>
            <w:tcW w:w="1620" w:type="dxa"/>
            <w:noWrap/>
          </w:tcPr>
          <w:p w:rsidR="0093736E" w:rsidRPr="00600E6F" w:rsidRDefault="00513B47" w:rsidP="00600E6F">
            <w:pPr>
              <w:tabs>
                <w:tab w:val="num" w:pos="79"/>
              </w:tabs>
              <w:spacing w:after="0" w:line="240" w:lineRule="auto"/>
              <w:ind w:left="79" w:hanging="11"/>
              <w:rPr>
                <w:rFonts w:ascii="Times New Roman" w:hAnsi="Times New Roman"/>
                <w:b/>
              </w:rPr>
            </w:pPr>
            <w:r w:rsidRPr="00600E6F">
              <w:rPr>
                <w:rFonts w:ascii="Times New Roman" w:hAnsi="Times New Roman"/>
                <w:b/>
              </w:rPr>
              <w:t>SCG</w:t>
            </w:r>
          </w:p>
        </w:tc>
        <w:tc>
          <w:tcPr>
            <w:tcW w:w="2282"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10,000</w:t>
            </w:r>
          </w:p>
        </w:tc>
        <w:tc>
          <w:tcPr>
            <w:tcW w:w="2282"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10,000</w:t>
            </w:r>
          </w:p>
        </w:tc>
        <w:tc>
          <w:tcPr>
            <w:tcW w:w="2283"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10,000</w:t>
            </w:r>
          </w:p>
        </w:tc>
      </w:tr>
      <w:tr w:rsidR="00513B47" w:rsidRPr="00643C88" w:rsidTr="00600E6F">
        <w:trPr>
          <w:trHeight w:val="340"/>
        </w:trPr>
        <w:tc>
          <w:tcPr>
            <w:tcW w:w="1620" w:type="dxa"/>
            <w:noWrap/>
          </w:tcPr>
          <w:p w:rsidR="0093736E" w:rsidRPr="00600E6F" w:rsidRDefault="00513B47" w:rsidP="00600E6F">
            <w:pPr>
              <w:tabs>
                <w:tab w:val="num" w:pos="79"/>
              </w:tabs>
              <w:spacing w:after="0" w:line="240" w:lineRule="auto"/>
              <w:ind w:left="79" w:hanging="11"/>
              <w:rPr>
                <w:rFonts w:ascii="Times New Roman" w:hAnsi="Times New Roman"/>
                <w:b/>
              </w:rPr>
            </w:pPr>
            <w:r w:rsidRPr="00600E6F">
              <w:rPr>
                <w:rFonts w:ascii="Times New Roman" w:hAnsi="Times New Roman"/>
                <w:b/>
              </w:rPr>
              <w:t>PG&amp;E</w:t>
            </w:r>
          </w:p>
        </w:tc>
        <w:tc>
          <w:tcPr>
            <w:tcW w:w="2282"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40,000</w:t>
            </w:r>
          </w:p>
        </w:tc>
        <w:tc>
          <w:tcPr>
            <w:tcW w:w="2282"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40,000</w:t>
            </w:r>
          </w:p>
        </w:tc>
        <w:tc>
          <w:tcPr>
            <w:tcW w:w="2283" w:type="dxa"/>
          </w:tcPr>
          <w:p w:rsidR="0093736E" w:rsidRDefault="00513B47" w:rsidP="00600E6F">
            <w:pPr>
              <w:tabs>
                <w:tab w:val="num" w:pos="720"/>
              </w:tabs>
              <w:spacing w:after="0" w:line="240" w:lineRule="auto"/>
              <w:ind w:left="720" w:hanging="360"/>
              <w:jc w:val="center"/>
              <w:rPr>
                <w:rFonts w:ascii="Times New Roman" w:eastAsia="Times New Roman" w:hAnsi="Times New Roman"/>
                <w:sz w:val="24"/>
                <w:szCs w:val="20"/>
              </w:rPr>
            </w:pPr>
            <w:r w:rsidRPr="00600E6F">
              <w:rPr>
                <w:rFonts w:ascii="Times New Roman" w:hAnsi="Times New Roman"/>
              </w:rPr>
              <w:t>40,000</w:t>
            </w:r>
          </w:p>
        </w:tc>
      </w:tr>
    </w:tbl>
    <w:p w:rsidR="00513B47" w:rsidRPr="00600E6F" w:rsidRDefault="00513B47" w:rsidP="00A05269">
      <w:pPr>
        <w:spacing w:after="0" w:line="240" w:lineRule="auto"/>
        <w:rPr>
          <w:rFonts w:ascii="Times New Roman" w:hAnsi="Times New Roman"/>
          <w:b/>
          <w:sz w:val="24"/>
        </w:rPr>
      </w:pPr>
    </w:p>
    <w:p w:rsidR="0093736E" w:rsidRPr="00600E6F" w:rsidRDefault="00E7041A" w:rsidP="00C31CC0">
      <w:pPr>
        <w:numPr>
          <w:ilvl w:val="0"/>
          <w:numId w:val="80"/>
        </w:numPr>
        <w:spacing w:after="0" w:line="240" w:lineRule="auto"/>
        <w:rPr>
          <w:rFonts w:ascii="Times New Roman" w:hAnsi="Times New Roman"/>
          <w:b/>
          <w:sz w:val="24"/>
        </w:rPr>
      </w:pPr>
      <w:r w:rsidRPr="00600E6F">
        <w:rPr>
          <w:rFonts w:ascii="Times New Roman" w:hAnsi="Times New Roman"/>
          <w:b/>
          <w:sz w:val="24"/>
          <w:u w:val="single"/>
        </w:rPr>
        <w:t>Advancing Strategic Plan goals and objectives</w:t>
      </w:r>
    </w:p>
    <w:p w:rsidR="00513B47" w:rsidRPr="00600E6F" w:rsidRDefault="00E7041A" w:rsidP="00A05269">
      <w:pPr>
        <w:tabs>
          <w:tab w:val="left" w:pos="360"/>
        </w:tabs>
        <w:spacing w:after="0" w:line="240" w:lineRule="auto"/>
        <w:ind w:left="36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Energy Advisor program will advance the strategic plan goals and objectives of the Strategic Plan as outlined:</w:t>
      </w:r>
    </w:p>
    <w:p w:rsidR="00513B47" w:rsidRPr="00600E6F" w:rsidRDefault="00513B47" w:rsidP="00A05269">
      <w:pPr>
        <w:tabs>
          <w:tab w:val="left" w:pos="360"/>
        </w:tabs>
        <w:spacing w:after="0" w:line="240" w:lineRule="auto"/>
        <w:ind w:left="360"/>
        <w:rPr>
          <w:rFonts w:ascii="Times New Roman" w:hAnsi="Times New Roman"/>
          <w:sz w:val="24"/>
        </w:rPr>
      </w:pPr>
    </w:p>
    <w:p w:rsidR="0093736E" w:rsidRPr="00600E6F" w:rsidRDefault="00E7041A" w:rsidP="00C31CC0">
      <w:pPr>
        <w:widowControl w:val="0"/>
        <w:numPr>
          <w:ilvl w:val="0"/>
          <w:numId w:val="76"/>
        </w:numPr>
        <w:tabs>
          <w:tab w:val="clear" w:pos="1440"/>
          <w:tab w:val="num" w:pos="1080"/>
        </w:tabs>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Goal 2.2: Residential Sector including Low-Income </w:t>
      </w:r>
      <w:r w:rsidR="00513B47" w:rsidRPr="00600E6F">
        <w:rPr>
          <w:rFonts w:ascii="Times New Roman" w:hAnsi="Times New Roman"/>
          <w:b/>
          <w:sz w:val="24"/>
        </w:rPr>
        <w:t>-</w:t>
      </w:r>
      <w:r w:rsidR="00513B47" w:rsidRPr="00600E6F">
        <w:rPr>
          <w:rFonts w:ascii="Times New Roman" w:hAnsi="Times New Roman"/>
          <w:sz w:val="24"/>
        </w:rPr>
        <w:t xml:space="preserve"> Tracking Transform home improvement markets to apply whole-house energy solutions to existing homes - The Energy Advisor Program will plan to deliver a new survey which will strive to implement decision triggers and call to action to support advancement of whole-house energy solutions.  The surveys and/or reports will also pursue initiatives to reduce the growth of plug load energy consumption through behavioral and technical solutions.  </w:t>
      </w:r>
    </w:p>
    <w:p w:rsidR="00513B47" w:rsidRPr="00600E6F" w:rsidRDefault="00513B47" w:rsidP="00A05269">
      <w:pPr>
        <w:widowControl w:val="0"/>
        <w:autoSpaceDE w:val="0"/>
        <w:autoSpaceDN w:val="0"/>
        <w:adjustRightInd w:val="0"/>
        <w:spacing w:after="0" w:line="240" w:lineRule="auto"/>
        <w:ind w:left="1080"/>
        <w:rPr>
          <w:rFonts w:ascii="Times New Roman" w:hAnsi="Times New Roman"/>
          <w:sz w:val="24"/>
        </w:rPr>
      </w:pPr>
    </w:p>
    <w:p w:rsidR="00513B47" w:rsidRPr="00600E6F" w:rsidRDefault="00E7041A" w:rsidP="00C31CC0">
      <w:pPr>
        <w:widowControl w:val="0"/>
        <w:numPr>
          <w:ilvl w:val="0"/>
          <w:numId w:val="76"/>
        </w:numPr>
        <w:tabs>
          <w:tab w:val="clear" w:pos="1440"/>
          <w:tab w:val="num" w:pos="1080"/>
        </w:tabs>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Goal 8.3: DSM Coordination and Integration - Deliver integrated DSM options that include efficiency, demand response, energy management and self generation measures, through coordi</w:t>
      </w:r>
      <w:r w:rsidR="00513B47" w:rsidRPr="00600E6F">
        <w:rPr>
          <w:rFonts w:ascii="Times New Roman" w:hAnsi="Times New Roman"/>
          <w:sz w:val="24"/>
        </w:rPr>
        <w:t>nated marketing and regulatory integration - The Energy Advisor Program will seek opportunities to partner with municipalities, governmental and water agencies and other stakeholders if applicable to promote water and energy conservation. Further integration strategies may also include IDSM, ESAP and other energy efficiency programs.</w:t>
      </w:r>
    </w:p>
    <w:p w:rsidR="0093736E" w:rsidRPr="00600E6F" w:rsidRDefault="0093736E" w:rsidP="00600E6F">
      <w:pPr>
        <w:widowControl w:val="0"/>
        <w:autoSpaceDE w:val="0"/>
        <w:autoSpaceDN w:val="0"/>
        <w:adjustRightInd w:val="0"/>
        <w:spacing w:after="0" w:line="240" w:lineRule="auto"/>
        <w:rPr>
          <w:rFonts w:ascii="Times New Roman" w:hAnsi="Times New Roman"/>
          <w:sz w:val="24"/>
        </w:rPr>
      </w:pPr>
    </w:p>
    <w:p w:rsidR="00513B47" w:rsidRPr="00600E6F" w:rsidRDefault="00E7041A" w:rsidP="00C31CC0">
      <w:pPr>
        <w:numPr>
          <w:ilvl w:val="0"/>
          <w:numId w:val="78"/>
        </w:numPr>
        <w:tabs>
          <w:tab w:val="clear" w:pos="1440"/>
          <w:tab w:val="num" w:pos="1080"/>
        </w:tabs>
        <w:spacing w:after="0" w:line="240" w:lineRule="auto"/>
        <w:ind w:left="1080"/>
        <w:rPr>
          <w:rFonts w:ascii="Times New Roman" w:hAnsi="Times New Roman"/>
          <w:sz w:val="24"/>
        </w:rPr>
      </w:pPr>
      <w:r w:rsidRPr="00600E6F">
        <w:rPr>
          <w:rFonts w:ascii="Times New Roman" w:hAnsi="Times New Roman"/>
          <w:sz w:val="24"/>
        </w:rPr>
        <w:lastRenderedPageBreak/>
        <w:t>Goal 9.2 - Workforce, Education and Training -</w:t>
      </w:r>
      <w:r w:rsidR="00513B47" w:rsidRPr="00600E6F">
        <w:rPr>
          <w:rFonts w:ascii="Times New Roman" w:hAnsi="Times New Roman"/>
          <w:sz w:val="24"/>
        </w:rPr>
        <w:t xml:space="preserve"> Ensure that minority, low-income and disadvantaged communities fully participate in training and education programs at all levels of the DSM and energy efficiency industry - This strategy falls in line with a goal of the WE&amp;T Strategic Plan intended to ensure that minority, low-income and disadvantaged individuals fully participate in training and education programs at all levels of demand-side management and energy efficiency. </w:t>
      </w:r>
    </w:p>
    <w:p w:rsidR="00513B47" w:rsidRPr="00F50F8B" w:rsidRDefault="00513B47" w:rsidP="00A05269">
      <w:pPr>
        <w:spacing w:after="0" w:line="240" w:lineRule="auto"/>
        <w:ind w:left="1080"/>
        <w:rPr>
          <w:rFonts w:cs="Calibri"/>
          <w:b/>
          <w:sz w:val="24"/>
          <w:szCs w:val="24"/>
        </w:rPr>
      </w:pPr>
    </w:p>
    <w:p w:rsidR="00513B47" w:rsidRPr="00600E6F" w:rsidRDefault="00E7041A" w:rsidP="00C31CC0">
      <w:pPr>
        <w:numPr>
          <w:ilvl w:val="3"/>
          <w:numId w:val="80"/>
        </w:numPr>
        <w:tabs>
          <w:tab w:val="clear" w:pos="2880"/>
          <w:tab w:val="num" w:pos="360"/>
        </w:tabs>
        <w:spacing w:after="0" w:line="240" w:lineRule="auto"/>
        <w:ind w:left="360"/>
        <w:rPr>
          <w:rFonts w:ascii="Times New Roman" w:hAnsi="Times New Roman"/>
          <w:b/>
          <w:sz w:val="24"/>
        </w:rPr>
      </w:pPr>
      <w:r w:rsidRPr="00600E6F">
        <w:rPr>
          <w:rFonts w:ascii="Times New Roman" w:hAnsi="Times New Roman"/>
          <w:b/>
          <w:sz w:val="24"/>
        </w:rPr>
        <w:t xml:space="preserve">Program Implementation </w:t>
      </w:r>
    </w:p>
    <w:p w:rsidR="00513B47" w:rsidRPr="00600E6F" w:rsidRDefault="00513B47" w:rsidP="00A05269">
      <w:pPr>
        <w:spacing w:after="0" w:line="240" w:lineRule="auto"/>
        <w:ind w:left="360"/>
        <w:rPr>
          <w:rFonts w:ascii="Times New Roman" w:hAnsi="Times New Roman"/>
          <w:b/>
          <w:sz w:val="24"/>
        </w:rPr>
      </w:pPr>
    </w:p>
    <w:p w:rsidR="00513B47" w:rsidRPr="00600E6F" w:rsidRDefault="00E7041A" w:rsidP="00C31CC0">
      <w:pPr>
        <w:numPr>
          <w:ilvl w:val="0"/>
          <w:numId w:val="82"/>
        </w:numPr>
        <w:spacing w:after="0" w:line="240" w:lineRule="auto"/>
        <w:rPr>
          <w:rFonts w:ascii="Times New Roman" w:hAnsi="Times New Roman"/>
          <w:b/>
          <w:sz w:val="24"/>
        </w:rPr>
      </w:pPr>
      <w:r w:rsidRPr="00600E6F">
        <w:rPr>
          <w:rFonts w:ascii="Times New Roman" w:hAnsi="Times New Roman"/>
          <w:b/>
          <w:sz w:val="24"/>
          <w:u w:val="single"/>
        </w:rPr>
        <w:t>Statewide IOU coordination</w:t>
      </w:r>
    </w:p>
    <w:p w:rsidR="0093736E" w:rsidRPr="00600E6F" w:rsidRDefault="00E7041A" w:rsidP="00C31CC0">
      <w:pPr>
        <w:numPr>
          <w:ilvl w:val="0"/>
          <w:numId w:val="83"/>
        </w:numPr>
        <w:spacing w:after="0" w:line="240" w:lineRule="auto"/>
        <w:ind w:left="1166" w:hanging="259"/>
        <w:rPr>
          <w:rFonts w:ascii="Times New Roman" w:hAnsi="Times New Roman"/>
          <w:b/>
          <w:sz w:val="24"/>
        </w:rPr>
      </w:pPr>
      <w:r w:rsidRPr="00600E6F">
        <w:rPr>
          <w:rFonts w:ascii="Times New Roman" w:hAnsi="Times New Roman"/>
          <w:b/>
          <w:sz w:val="24"/>
        </w:rPr>
        <w:t xml:space="preserve">Program name:  </w:t>
      </w:r>
      <w:r w:rsidR="00513B47" w:rsidRPr="00600E6F">
        <w:rPr>
          <w:rFonts w:ascii="Times New Roman" w:hAnsi="Times New Roman"/>
          <w:sz w:val="24"/>
        </w:rPr>
        <w:t>Energy Advisor Program</w:t>
      </w:r>
    </w:p>
    <w:p w:rsidR="0093736E" w:rsidRPr="00600E6F" w:rsidRDefault="0093736E" w:rsidP="00600E6F">
      <w:pPr>
        <w:spacing w:after="0" w:line="240" w:lineRule="auto"/>
        <w:ind w:left="1166"/>
        <w:rPr>
          <w:rFonts w:ascii="Times New Roman" w:hAnsi="Times New Roman"/>
          <w:b/>
          <w:sz w:val="24"/>
        </w:rPr>
      </w:pPr>
    </w:p>
    <w:p w:rsidR="00513B47" w:rsidRPr="00600E6F" w:rsidRDefault="00E7041A" w:rsidP="00C31CC0">
      <w:pPr>
        <w:numPr>
          <w:ilvl w:val="0"/>
          <w:numId w:val="83"/>
        </w:numPr>
        <w:spacing w:after="0" w:line="240" w:lineRule="auto"/>
        <w:ind w:left="1166" w:hanging="259"/>
        <w:rPr>
          <w:rFonts w:ascii="Times New Roman" w:hAnsi="Times New Roman"/>
          <w:b/>
          <w:sz w:val="24"/>
        </w:rPr>
      </w:pPr>
      <w:r w:rsidRPr="00600E6F">
        <w:rPr>
          <w:rFonts w:ascii="Times New Roman" w:hAnsi="Times New Roman"/>
          <w:b/>
          <w:sz w:val="24"/>
        </w:rPr>
        <w:t>Program delivery mechanisms</w:t>
      </w:r>
    </w:p>
    <w:p w:rsidR="0093736E" w:rsidRPr="00600E6F" w:rsidRDefault="00E7041A" w:rsidP="00600E6F">
      <w:pPr>
        <w:tabs>
          <w:tab w:val="num" w:pos="4608"/>
        </w:tabs>
        <w:spacing w:after="0" w:line="240" w:lineRule="auto"/>
        <w:ind w:left="108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 xml:space="preserve">Energy Advisor Program is delivered to customers through multiple offerings. </w:t>
      </w:r>
      <w:r w:rsidR="00513B47" w:rsidRPr="00F50F8B">
        <w:rPr>
          <w:rFonts w:cs="Calibri"/>
        </w:rPr>
        <w:t xml:space="preserve"> </w:t>
      </w:r>
      <w:r w:rsidR="00513B47" w:rsidRPr="00600E6F">
        <w:rPr>
          <w:rFonts w:ascii="Times New Roman" w:hAnsi="Times New Roman"/>
          <w:sz w:val="24"/>
        </w:rPr>
        <w:t>See section 4)</w:t>
      </w:r>
      <w:r w:rsidR="001C4DFE">
        <w:rPr>
          <w:rFonts w:ascii="Times New Roman" w:hAnsi="Times New Roman"/>
          <w:sz w:val="24"/>
        </w:rPr>
        <w:t xml:space="preserve"> </w:t>
      </w:r>
      <w:r w:rsidR="00513B47" w:rsidRPr="00600E6F">
        <w:rPr>
          <w:rFonts w:ascii="Times New Roman" w:hAnsi="Times New Roman"/>
          <w:sz w:val="24"/>
        </w:rPr>
        <w:t xml:space="preserve"> b) above for program offerings by utility. </w:t>
      </w:r>
    </w:p>
    <w:p w:rsidR="0093736E" w:rsidRPr="00600E6F" w:rsidRDefault="0093736E" w:rsidP="00600E6F">
      <w:pPr>
        <w:tabs>
          <w:tab w:val="num" w:pos="4608"/>
        </w:tabs>
        <w:spacing w:after="0" w:line="240" w:lineRule="auto"/>
        <w:ind w:left="720"/>
        <w:rPr>
          <w:rFonts w:ascii="Times New Roman" w:hAnsi="Times New Roman"/>
          <w:sz w:val="24"/>
        </w:rPr>
      </w:pPr>
    </w:p>
    <w:p w:rsidR="0093736E" w:rsidRPr="00600E6F" w:rsidRDefault="00E7041A" w:rsidP="00C31CC0">
      <w:pPr>
        <w:numPr>
          <w:ilvl w:val="0"/>
          <w:numId w:val="83"/>
        </w:numPr>
        <w:spacing w:after="0" w:line="240" w:lineRule="auto"/>
        <w:ind w:left="1166" w:hanging="259"/>
        <w:rPr>
          <w:rFonts w:ascii="Times New Roman" w:hAnsi="Times New Roman"/>
          <w:b/>
          <w:sz w:val="24"/>
        </w:rPr>
      </w:pPr>
      <w:r w:rsidRPr="00600E6F">
        <w:rPr>
          <w:rFonts w:ascii="Times New Roman" w:hAnsi="Times New Roman"/>
          <w:b/>
          <w:sz w:val="24"/>
        </w:rPr>
        <w:t>Incentive levels</w:t>
      </w:r>
    </w:p>
    <w:p w:rsidR="0093736E" w:rsidRPr="00600E6F" w:rsidRDefault="00E7041A" w:rsidP="00600E6F">
      <w:pPr>
        <w:tabs>
          <w:tab w:val="num" w:pos="1260"/>
          <w:tab w:val="num" w:pos="1440"/>
        </w:tabs>
        <w:spacing w:after="0" w:line="240" w:lineRule="auto"/>
        <w:ind w:left="1080"/>
        <w:jc w:val="both"/>
        <w:rPr>
          <w:rFonts w:ascii="Times New Roman" w:hAnsi="Times New Roman"/>
          <w:sz w:val="24"/>
        </w:rPr>
      </w:pPr>
      <w:r w:rsidRPr="00600E6F">
        <w:rPr>
          <w:rFonts w:ascii="Times New Roman" w:hAnsi="Times New Roman"/>
          <w:sz w:val="24"/>
        </w:rPr>
        <w:t>This program does not offer monetary incentives.</w:t>
      </w:r>
    </w:p>
    <w:p w:rsidR="0093736E" w:rsidRPr="00600E6F" w:rsidRDefault="0093736E" w:rsidP="00600E6F">
      <w:pPr>
        <w:tabs>
          <w:tab w:val="num" w:pos="1260"/>
          <w:tab w:val="num" w:pos="1440"/>
        </w:tabs>
        <w:spacing w:after="0" w:line="240" w:lineRule="auto"/>
        <w:ind w:left="720"/>
        <w:jc w:val="both"/>
        <w:rPr>
          <w:rFonts w:ascii="Times New Roman" w:hAnsi="Times New Roman"/>
          <w:sz w:val="24"/>
        </w:rPr>
      </w:pPr>
    </w:p>
    <w:p w:rsidR="0093736E" w:rsidRPr="00600E6F" w:rsidRDefault="00E7041A" w:rsidP="00C31CC0">
      <w:pPr>
        <w:numPr>
          <w:ilvl w:val="0"/>
          <w:numId w:val="83"/>
        </w:numPr>
        <w:spacing w:after="0" w:line="240" w:lineRule="auto"/>
        <w:ind w:hanging="173"/>
        <w:rPr>
          <w:rFonts w:ascii="Times New Roman" w:hAnsi="Times New Roman"/>
          <w:b/>
          <w:sz w:val="24"/>
        </w:rPr>
      </w:pPr>
      <w:r w:rsidRPr="00600E6F">
        <w:rPr>
          <w:rFonts w:ascii="Times New Roman" w:hAnsi="Times New Roman"/>
          <w:b/>
          <w:sz w:val="24"/>
        </w:rPr>
        <w:t xml:space="preserve">Marketing and outreach plans, e.g. research, target audience, collateral, delivery mechanisms </w:t>
      </w:r>
    </w:p>
    <w:p w:rsidR="0093736E"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Marketing efforts will be coordinated statewide to develop a portfolio of communication methods. The utilities can use these methods, including but not necessa</w:t>
      </w:r>
      <w:r w:rsidR="00513B47" w:rsidRPr="00600E6F">
        <w:rPr>
          <w:rFonts w:ascii="Times New Roman" w:hAnsi="Times New Roman"/>
          <w:sz w:val="24"/>
        </w:rPr>
        <w:t>rily limited to, blast e-mails, flyers, on-line marketing, direct mail, trigger marketing, and/or lifestyle packages as suits the target audience, the message, and the resources.</w:t>
      </w:r>
    </w:p>
    <w:p w:rsidR="00513B47" w:rsidRPr="00600E6F" w:rsidRDefault="00513B47" w:rsidP="00A05269">
      <w:pPr>
        <w:tabs>
          <w:tab w:val="num" w:pos="1260"/>
          <w:tab w:val="num" w:pos="1440"/>
        </w:tabs>
        <w:spacing w:after="0" w:line="240" w:lineRule="auto"/>
        <w:ind w:left="1080"/>
        <w:rPr>
          <w:rFonts w:ascii="Times New Roman" w:hAnsi="Times New Roman"/>
          <w:sz w:val="24"/>
        </w:rPr>
      </w:pPr>
    </w:p>
    <w:p w:rsidR="0093736E" w:rsidRPr="00600E6F" w:rsidRDefault="00E7041A" w:rsidP="00C31CC0">
      <w:pPr>
        <w:numPr>
          <w:ilvl w:val="0"/>
          <w:numId w:val="83"/>
        </w:numPr>
        <w:spacing w:after="0" w:line="240" w:lineRule="auto"/>
        <w:ind w:left="1166" w:hanging="259"/>
        <w:rPr>
          <w:rFonts w:ascii="Times New Roman" w:hAnsi="Times New Roman"/>
          <w:b/>
          <w:sz w:val="24"/>
        </w:rPr>
      </w:pPr>
      <w:r w:rsidRPr="00600E6F">
        <w:rPr>
          <w:rFonts w:ascii="Times New Roman" w:hAnsi="Times New Roman"/>
          <w:b/>
          <w:sz w:val="24"/>
        </w:rPr>
        <w:t xml:space="preserve">IOU program interactions with CEC, ARB, Air Quality </w:t>
      </w:r>
      <w:r w:rsidR="00513B47" w:rsidRPr="00600E6F">
        <w:rPr>
          <w:rFonts w:ascii="Times New Roman" w:hAnsi="Times New Roman"/>
          <w:b/>
          <w:sz w:val="24"/>
        </w:rPr>
        <w:t>Management Districts, local government programs, other government programs as applicable</w:t>
      </w:r>
    </w:p>
    <w:p w:rsidR="0093736E"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Energy Advisor program does not interact, as such, with other programs or organizations. However, the program will maintain the flexibility to coordinate program services to support initiatives generated by agencies.</w:t>
      </w:r>
    </w:p>
    <w:p w:rsidR="0093736E" w:rsidRPr="00600E6F" w:rsidRDefault="0093736E" w:rsidP="00600E6F">
      <w:pPr>
        <w:tabs>
          <w:tab w:val="num" w:pos="1260"/>
          <w:tab w:val="num" w:pos="1440"/>
        </w:tabs>
        <w:spacing w:after="0" w:line="240" w:lineRule="auto"/>
        <w:ind w:left="720"/>
        <w:rPr>
          <w:rFonts w:ascii="Times New Roman" w:hAnsi="Times New Roman"/>
          <w:sz w:val="24"/>
        </w:rPr>
      </w:pPr>
    </w:p>
    <w:p w:rsidR="00513B47" w:rsidRPr="00600E6F" w:rsidRDefault="00E7041A" w:rsidP="00C31CC0">
      <w:pPr>
        <w:numPr>
          <w:ilvl w:val="0"/>
          <w:numId w:val="83"/>
        </w:numPr>
        <w:spacing w:after="0" w:line="240" w:lineRule="auto"/>
        <w:ind w:left="1166" w:hanging="259"/>
        <w:rPr>
          <w:rFonts w:ascii="Times New Roman" w:hAnsi="Times New Roman"/>
          <w:b/>
          <w:sz w:val="24"/>
        </w:rPr>
      </w:pPr>
      <w:r w:rsidRPr="00600E6F">
        <w:rPr>
          <w:rFonts w:ascii="Times New Roman" w:hAnsi="Times New Roman"/>
          <w:b/>
          <w:sz w:val="24"/>
        </w:rPr>
        <w:t>Similar IOU and POU programs</w:t>
      </w:r>
    </w:p>
    <w:p w:rsidR="0093736E"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Energy Advisor program provides a consistent and recognizable presence throughout the state and offers a menu of similar services and processes implemented statewide by PG&amp;E, SDG&amp;E, SCE and SCG. The program will work with municipalities, when applicable to offer this service and/or partner in the information provided.  Efforts will be made to provide consistent reporting of program results across the state where applicable.</w:t>
      </w:r>
    </w:p>
    <w:p w:rsidR="0093736E" w:rsidRPr="00600E6F" w:rsidRDefault="0093736E" w:rsidP="0001414E">
      <w:pPr>
        <w:tabs>
          <w:tab w:val="num" w:pos="1260"/>
          <w:tab w:val="num" w:pos="1440"/>
        </w:tabs>
        <w:spacing w:after="0" w:line="240" w:lineRule="auto"/>
        <w:ind w:left="1080"/>
        <w:rPr>
          <w:rFonts w:ascii="Times New Roman" w:hAnsi="Times New Roman"/>
          <w:sz w:val="24"/>
        </w:rPr>
      </w:pPr>
    </w:p>
    <w:p w:rsidR="0093736E"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 xml:space="preserve">The program also will be implemented in close association with other residential energy efficiency programs. </w:t>
      </w:r>
      <w:r w:rsidR="00513B47" w:rsidRPr="00600E6F">
        <w:rPr>
          <w:rFonts w:ascii="Times New Roman" w:hAnsi="Times New Roman"/>
          <w:sz w:val="24"/>
        </w:rPr>
        <w:t>The Energy Advisor program will be the starting point for residential customers to tap into the IOU’s residential energy efficiency services. Through marketing, education and outreach, each program will encourage end-users to adopt multiple measures to gain the benefits associated with an integrated whole-house approach to energy efficiency.</w:t>
      </w:r>
    </w:p>
    <w:p w:rsidR="0093736E" w:rsidRPr="00600E6F" w:rsidRDefault="00513B47"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lastRenderedPageBreak/>
        <w:t>The Energy Advisor program will leverage its survey information to provide information and referrals to other energy efficiency programs. Aggregated data from on-line surveys and other program efforts will be examined to provide direct marketing opportunities as applicable.</w:t>
      </w:r>
    </w:p>
    <w:p w:rsidR="0093736E" w:rsidRPr="00600E6F" w:rsidRDefault="0093736E" w:rsidP="00600E6F">
      <w:pPr>
        <w:tabs>
          <w:tab w:val="num" w:pos="1260"/>
          <w:tab w:val="num" w:pos="1440"/>
        </w:tabs>
        <w:spacing w:after="0" w:line="240" w:lineRule="auto"/>
        <w:ind w:left="1080"/>
        <w:rPr>
          <w:rFonts w:ascii="Times New Roman" w:hAnsi="Times New Roman"/>
          <w:sz w:val="24"/>
        </w:rPr>
      </w:pPr>
    </w:p>
    <w:p w:rsidR="0093736E"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Energy Advisor program collaborates with the Energy Savings Assistance Program (ESAP) by making the service available to them and by providing customers with residential program information.  Energy Advisor</w:t>
      </w:r>
      <w:r w:rsidRPr="00600E6F">
        <w:rPr>
          <w:rFonts w:ascii="Times New Roman" w:hAnsi="Times New Roman"/>
          <w:sz w:val="24"/>
        </w:rPr>
        <w:t xml:space="preserve"> will coordinate with local and other outreach efforts, as appropriate.</w:t>
      </w:r>
    </w:p>
    <w:p w:rsidR="00513B47" w:rsidRPr="00600E6F" w:rsidRDefault="00513B47" w:rsidP="00A05269">
      <w:pPr>
        <w:tabs>
          <w:tab w:val="num" w:pos="1260"/>
          <w:tab w:val="num" w:pos="1440"/>
        </w:tabs>
        <w:spacing w:after="0" w:line="240" w:lineRule="auto"/>
        <w:ind w:left="1080"/>
        <w:rPr>
          <w:rFonts w:ascii="Times New Roman" w:hAnsi="Times New Roman"/>
          <w:sz w:val="24"/>
        </w:rPr>
      </w:pPr>
    </w:p>
    <w:p w:rsidR="0093736E"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Program delivery and coordination</w:t>
      </w:r>
    </w:p>
    <w:p w:rsidR="0093736E"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Emerging Technologies (ET) Program</w:t>
      </w:r>
    </w:p>
    <w:p w:rsidR="0093736E" w:rsidRPr="00600E6F" w:rsidRDefault="00513B47" w:rsidP="00600E6F">
      <w:pPr>
        <w:spacing w:after="0" w:line="240" w:lineRule="auto"/>
        <w:ind w:left="1080"/>
        <w:rPr>
          <w:rFonts w:ascii="Times New Roman" w:hAnsi="Times New Roman"/>
          <w:sz w:val="24"/>
        </w:rPr>
      </w:pPr>
      <w:r w:rsidRPr="00600E6F">
        <w:rPr>
          <w:rFonts w:ascii="Times New Roman" w:hAnsi="Times New Roman"/>
          <w:sz w:val="24"/>
        </w:rPr>
        <w:t>The Energy Advisor program will collaborate statewide with emerging technologies initiatives and incorporate other measures into the customer energy report, as warranted, to support the Strategic Plan.</w:t>
      </w:r>
    </w:p>
    <w:p w:rsidR="0093736E" w:rsidRPr="00600E6F" w:rsidRDefault="0093736E" w:rsidP="00600E6F">
      <w:pPr>
        <w:spacing w:after="0" w:line="240" w:lineRule="auto"/>
        <w:ind w:left="720"/>
        <w:rPr>
          <w:rFonts w:ascii="Times New Roman" w:hAnsi="Times New Roman"/>
          <w:sz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Codes &amp; Standards program</w:t>
      </w:r>
    </w:p>
    <w:p w:rsidR="0093736E" w:rsidRPr="00600E6F" w:rsidRDefault="00E7041A" w:rsidP="00600E6F">
      <w:pPr>
        <w:spacing w:after="0" w:line="240" w:lineRule="auto"/>
        <w:ind w:left="1080"/>
        <w:rPr>
          <w:rFonts w:ascii="Times New Roman" w:hAnsi="Times New Roman"/>
          <w:sz w:val="24"/>
        </w:rPr>
      </w:pPr>
      <w:r w:rsidRPr="00600E6F">
        <w:rPr>
          <w:rFonts w:ascii="Times New Roman" w:hAnsi="Times New Roman"/>
          <w:sz w:val="24"/>
        </w:rPr>
        <w:t>Continuous improvements and enhancements will be coor</w:t>
      </w:r>
      <w:r w:rsidR="00513B47" w:rsidRPr="00600E6F">
        <w:rPr>
          <w:rFonts w:ascii="Times New Roman" w:hAnsi="Times New Roman"/>
          <w:sz w:val="24"/>
        </w:rPr>
        <w:t>dinated statewide to ensure the Energy Advisor Program maintains consistency with updates to codes and standards. Additionally, whenever analysis of the Energy Advisor program related data suggests an area that may be of interest to codes and standards, the program will proactively provide appropriate direction.</w:t>
      </w:r>
    </w:p>
    <w:p w:rsidR="004C3AF1" w:rsidRPr="005E054E" w:rsidRDefault="004C3AF1" w:rsidP="004C3AF1">
      <w:pPr>
        <w:spacing w:after="0" w:line="240" w:lineRule="auto"/>
        <w:ind w:left="1080"/>
        <w:rPr>
          <w:rFonts w:ascii="Times New Roman" w:hAnsi="Times New Roman"/>
          <w:sz w:val="24"/>
          <w:szCs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WE&amp;T efforts</w:t>
      </w:r>
    </w:p>
    <w:p w:rsidR="00513B47" w:rsidRPr="00600E6F" w:rsidRDefault="00513B47" w:rsidP="00A05269">
      <w:pPr>
        <w:spacing w:after="0" w:line="240" w:lineRule="auto"/>
        <w:ind w:left="1080"/>
        <w:rPr>
          <w:rFonts w:ascii="Times New Roman" w:hAnsi="Times New Roman"/>
          <w:sz w:val="24"/>
        </w:rPr>
      </w:pPr>
      <w:r w:rsidRPr="00600E6F">
        <w:rPr>
          <w:rFonts w:ascii="Times New Roman" w:hAnsi="Times New Roman"/>
          <w:sz w:val="24"/>
        </w:rPr>
        <w:t>The Energy Advisor program will collaborate with WE&amp;T efforts where appropriate to share information and best practices.</w:t>
      </w:r>
    </w:p>
    <w:p w:rsidR="00513B47" w:rsidRPr="00600E6F" w:rsidRDefault="00513B47" w:rsidP="00A05269">
      <w:pPr>
        <w:spacing w:after="0" w:line="240" w:lineRule="auto"/>
        <w:ind w:left="1080"/>
        <w:rPr>
          <w:rFonts w:ascii="Times New Roman" w:hAnsi="Times New Roman"/>
          <w:sz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Program-specific marketing and outreach efforts</w:t>
      </w:r>
    </w:p>
    <w:p w:rsidR="0093736E" w:rsidRPr="00600E6F" w:rsidRDefault="00E7041A" w:rsidP="00600E6F">
      <w:pPr>
        <w:spacing w:after="0" w:line="240" w:lineRule="auto"/>
        <w:ind w:left="1080"/>
        <w:rPr>
          <w:rFonts w:ascii="Times New Roman" w:hAnsi="Times New Roman"/>
          <w:sz w:val="24"/>
        </w:rPr>
      </w:pPr>
      <w:r w:rsidRPr="00600E6F">
        <w:rPr>
          <w:rFonts w:ascii="Times New Roman" w:hAnsi="Times New Roman"/>
          <w:sz w:val="24"/>
        </w:rPr>
        <w:t>In addition to the statewide marketing efforts outlined above in Section</w:t>
      </w:r>
      <w:r w:rsidR="00513B47" w:rsidRPr="00600E6F">
        <w:rPr>
          <w:rFonts w:ascii="Times New Roman" w:hAnsi="Times New Roman"/>
          <w:sz w:val="24"/>
        </w:rPr>
        <w:t> </w:t>
      </w:r>
      <w:r w:rsidRPr="00600E6F">
        <w:rPr>
          <w:rFonts w:ascii="Times New Roman" w:hAnsi="Times New Roman"/>
          <w:sz w:val="24"/>
        </w:rPr>
        <w:t>6.a.iv, the progr</w:t>
      </w:r>
      <w:r w:rsidR="00513B47" w:rsidRPr="00600E6F">
        <w:rPr>
          <w:rFonts w:ascii="Times New Roman" w:hAnsi="Times New Roman"/>
          <w:sz w:val="24"/>
        </w:rPr>
        <w:t>am may be utilized as an outreach mechanism in conjunction with CBOs, faith-based organizations, local community events, fairs, etc.</w:t>
      </w:r>
    </w:p>
    <w:p w:rsidR="0093736E" w:rsidRPr="00600E6F" w:rsidRDefault="0093736E" w:rsidP="00600E6F">
      <w:pPr>
        <w:spacing w:after="0" w:line="240" w:lineRule="auto"/>
        <w:ind w:left="1080"/>
        <w:rPr>
          <w:rFonts w:ascii="Times New Roman" w:hAnsi="Times New Roman"/>
          <w:sz w:val="24"/>
        </w:rPr>
      </w:pPr>
    </w:p>
    <w:p w:rsidR="00513B47" w:rsidRPr="00600E6F" w:rsidRDefault="00E7041A" w:rsidP="00C31CC0">
      <w:pPr>
        <w:numPr>
          <w:ilvl w:val="2"/>
          <w:numId w:val="80"/>
        </w:numPr>
        <w:spacing w:after="0" w:line="240" w:lineRule="auto"/>
        <w:ind w:hanging="180"/>
        <w:rPr>
          <w:rFonts w:ascii="Times New Roman" w:hAnsi="Times New Roman"/>
          <w:b/>
          <w:sz w:val="24"/>
        </w:rPr>
      </w:pPr>
      <w:r w:rsidRPr="00600E6F">
        <w:rPr>
          <w:rFonts w:ascii="Times New Roman" w:hAnsi="Times New Roman"/>
          <w:b/>
          <w:sz w:val="24"/>
        </w:rPr>
        <w:t>Non-energy activities of program</w:t>
      </w:r>
    </w:p>
    <w:p w:rsidR="0093736E" w:rsidRPr="00600E6F" w:rsidRDefault="00E7041A" w:rsidP="00600E6F">
      <w:pPr>
        <w:spacing w:after="0" w:line="240" w:lineRule="auto"/>
        <w:ind w:left="1080"/>
        <w:rPr>
          <w:rFonts w:ascii="Times New Roman" w:hAnsi="Times New Roman"/>
          <w:sz w:val="24"/>
        </w:rPr>
      </w:pPr>
      <w:r w:rsidRPr="00600E6F">
        <w:rPr>
          <w:rFonts w:ascii="Times New Roman" w:hAnsi="Times New Roman"/>
          <w:sz w:val="24"/>
        </w:rPr>
        <w:t xml:space="preserve">The </w:t>
      </w:r>
      <w:r w:rsidR="00513B47" w:rsidRPr="00600E6F">
        <w:rPr>
          <w:rFonts w:ascii="Times New Roman" w:hAnsi="Times New Roman"/>
          <w:sz w:val="24"/>
        </w:rPr>
        <w:t xml:space="preserve">Energy Advisor program is a successful effort to reach consumers through self, and in some cases direct, contact in ways that consumers prefer. The Energy Advisor Program will serve customers in multiple languages and through different delivery channels. </w:t>
      </w:r>
      <w:r w:rsidR="00513B47" w:rsidRPr="00F50F8B">
        <w:rPr>
          <w:rFonts w:cs="Calibri"/>
        </w:rPr>
        <w:t xml:space="preserve"> </w:t>
      </w:r>
      <w:r w:rsidR="00513B47" w:rsidRPr="00600E6F">
        <w:rPr>
          <w:rFonts w:ascii="Times New Roman" w:hAnsi="Times New Roman"/>
          <w:sz w:val="24"/>
        </w:rPr>
        <w:t>Utilities will improve the Energy Advisor program prominence through creative initiates such as: analyzing websites to insure high visibility of the Energy Advisor offerings; utilizing telephone representatives to explain and suggest Energy Advisor offerings to callers; describing Energy Advisor offerings in conservation literature; promoting Energy Advisor offerings in conjunction with community outreach efforts, etc., when applicable.</w:t>
      </w:r>
    </w:p>
    <w:p w:rsidR="0093736E" w:rsidRDefault="0093736E" w:rsidP="009D3E65">
      <w:pPr>
        <w:spacing w:after="0" w:line="240" w:lineRule="auto"/>
        <w:ind w:left="1080"/>
        <w:rPr>
          <w:rFonts w:ascii="Times New Roman" w:hAnsi="Times New Roman"/>
          <w:sz w:val="24"/>
        </w:rPr>
      </w:pPr>
    </w:p>
    <w:p w:rsidR="009D3E65" w:rsidRDefault="009D3E65" w:rsidP="009D3E65">
      <w:pPr>
        <w:spacing w:after="0" w:line="240" w:lineRule="auto"/>
        <w:ind w:left="1080"/>
        <w:rPr>
          <w:rFonts w:ascii="Times New Roman" w:hAnsi="Times New Roman"/>
          <w:sz w:val="24"/>
        </w:rPr>
      </w:pPr>
    </w:p>
    <w:p w:rsidR="009D3E65" w:rsidRDefault="009D3E65" w:rsidP="00600E6F">
      <w:pPr>
        <w:spacing w:after="0" w:line="240" w:lineRule="auto"/>
        <w:ind w:left="1080"/>
        <w:rPr>
          <w:rFonts w:ascii="Times New Roman" w:hAnsi="Times New Roman"/>
          <w:sz w:val="24"/>
        </w:rPr>
      </w:pPr>
    </w:p>
    <w:p w:rsidR="00C32735" w:rsidRDefault="00C32735" w:rsidP="00600E6F">
      <w:pPr>
        <w:spacing w:after="0" w:line="240" w:lineRule="auto"/>
        <w:ind w:left="1080"/>
        <w:rPr>
          <w:rFonts w:ascii="Times New Roman" w:hAnsi="Times New Roman"/>
          <w:sz w:val="24"/>
        </w:rPr>
      </w:pPr>
    </w:p>
    <w:p w:rsidR="00C32735" w:rsidRDefault="00C32735" w:rsidP="00600E6F">
      <w:pPr>
        <w:spacing w:after="0" w:line="240" w:lineRule="auto"/>
        <w:ind w:left="1080"/>
        <w:rPr>
          <w:rFonts w:ascii="Times New Roman" w:hAnsi="Times New Roman"/>
          <w:sz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lastRenderedPageBreak/>
        <w:t>Non-IOU programs</w:t>
      </w:r>
    </w:p>
    <w:p w:rsidR="0093736E" w:rsidRPr="00600E6F" w:rsidRDefault="00E7041A" w:rsidP="00600E6F">
      <w:pPr>
        <w:spacing w:after="0" w:line="240" w:lineRule="auto"/>
        <w:ind w:left="1080"/>
        <w:rPr>
          <w:rFonts w:ascii="Times New Roman" w:hAnsi="Times New Roman"/>
          <w:sz w:val="24"/>
        </w:rPr>
      </w:pPr>
      <w:r w:rsidRPr="00600E6F">
        <w:rPr>
          <w:rFonts w:ascii="Times New Roman" w:hAnsi="Times New Roman"/>
          <w:sz w:val="24"/>
        </w:rPr>
        <w:t>The program will promote non-utility programs (e.g. financing options, tax cr</w:t>
      </w:r>
      <w:r w:rsidR="00513B47" w:rsidRPr="00600E6F">
        <w:rPr>
          <w:rFonts w:ascii="Times New Roman" w:hAnsi="Times New Roman"/>
          <w:sz w:val="24"/>
        </w:rPr>
        <w:t xml:space="preserve">edits, and recycling) to further encourage customers to adopt energy efficiency measures when applicable. </w:t>
      </w:r>
    </w:p>
    <w:p w:rsidR="00513B47" w:rsidRPr="00600E6F" w:rsidRDefault="00513B47" w:rsidP="00A05269">
      <w:pPr>
        <w:spacing w:after="0" w:line="240" w:lineRule="auto"/>
        <w:ind w:left="1080"/>
        <w:rPr>
          <w:rFonts w:ascii="Times New Roman" w:hAnsi="Times New Roman"/>
          <w:sz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 xml:space="preserve">CEC work on </w:t>
      </w:r>
      <w:r w:rsidR="00513B47" w:rsidRPr="00600E6F">
        <w:rPr>
          <w:rFonts w:ascii="Times New Roman" w:hAnsi="Times New Roman"/>
          <w:b/>
          <w:sz w:val="24"/>
        </w:rPr>
        <w:t>EPIC</w:t>
      </w:r>
    </w:p>
    <w:p w:rsidR="0093736E" w:rsidRPr="00600E6F" w:rsidRDefault="00513B47" w:rsidP="00600E6F">
      <w:pPr>
        <w:spacing w:after="0" w:line="240" w:lineRule="auto"/>
        <w:ind w:left="1080"/>
        <w:rPr>
          <w:rFonts w:ascii="Times New Roman" w:hAnsi="Times New Roman"/>
          <w:sz w:val="24"/>
        </w:rPr>
      </w:pPr>
      <w:r w:rsidRPr="00600E6F">
        <w:rPr>
          <w:rFonts w:ascii="Times New Roman" w:hAnsi="Times New Roman"/>
          <w:sz w:val="24"/>
        </w:rPr>
        <w:t xml:space="preserve">The Energy Advisor program will work with the statewide Emerging Technology Program, CEC and EPIC to take advantage of all new emerging technologies activities.  The information may be shared in the customer energy report.  </w:t>
      </w:r>
    </w:p>
    <w:p w:rsidR="0093736E" w:rsidRPr="00600E6F" w:rsidRDefault="0093736E" w:rsidP="00600E6F">
      <w:pPr>
        <w:spacing w:after="0" w:line="240" w:lineRule="auto"/>
        <w:ind w:left="1080"/>
        <w:rPr>
          <w:rFonts w:ascii="Times New Roman" w:hAnsi="Times New Roman"/>
          <w:sz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CEC work on C&amp;S</w:t>
      </w:r>
    </w:p>
    <w:p w:rsidR="0093736E" w:rsidRPr="00600E6F" w:rsidRDefault="00513B47" w:rsidP="00600E6F">
      <w:pPr>
        <w:spacing w:after="0" w:line="240" w:lineRule="auto"/>
        <w:ind w:left="1080"/>
        <w:rPr>
          <w:rFonts w:ascii="Times New Roman" w:hAnsi="Times New Roman"/>
          <w:sz w:val="24"/>
        </w:rPr>
      </w:pPr>
      <w:r w:rsidRPr="00600E6F">
        <w:rPr>
          <w:rFonts w:ascii="Times New Roman" w:hAnsi="Times New Roman"/>
          <w:sz w:val="24"/>
        </w:rPr>
        <w:t xml:space="preserve">The Energy Advisor program will work with the statewide codes and standards to take advantage of new emerging technologies activities. The information may be shared in the customer energy report.  </w:t>
      </w:r>
    </w:p>
    <w:p w:rsidR="0093736E" w:rsidRPr="00600E6F" w:rsidRDefault="0093736E" w:rsidP="00600E6F">
      <w:pPr>
        <w:spacing w:after="0" w:line="240" w:lineRule="auto"/>
        <w:ind w:left="1080"/>
        <w:rPr>
          <w:rFonts w:ascii="Times New Roman" w:hAnsi="Times New Roman"/>
          <w:sz w:val="24"/>
        </w:rPr>
      </w:pPr>
    </w:p>
    <w:p w:rsidR="00513B47" w:rsidRPr="00600E6F" w:rsidRDefault="00E7041A" w:rsidP="00C31CC0">
      <w:pPr>
        <w:numPr>
          <w:ilvl w:val="2"/>
          <w:numId w:val="80"/>
        </w:numPr>
        <w:spacing w:after="0" w:line="240" w:lineRule="auto"/>
        <w:ind w:left="1166" w:hanging="259"/>
        <w:rPr>
          <w:rFonts w:ascii="Times New Roman" w:hAnsi="Times New Roman"/>
          <w:b/>
          <w:sz w:val="24"/>
        </w:rPr>
      </w:pPr>
      <w:r w:rsidRPr="00600E6F">
        <w:rPr>
          <w:rFonts w:ascii="Times New Roman" w:hAnsi="Times New Roman"/>
          <w:b/>
          <w:sz w:val="24"/>
        </w:rPr>
        <w:t>Non-utility market initiatives</w:t>
      </w:r>
    </w:p>
    <w:p w:rsidR="0093736E" w:rsidRPr="00600E6F" w:rsidRDefault="00513B47" w:rsidP="00600E6F">
      <w:pPr>
        <w:spacing w:after="0" w:line="240" w:lineRule="auto"/>
        <w:ind w:left="1080"/>
        <w:rPr>
          <w:rFonts w:ascii="Times New Roman" w:hAnsi="Times New Roman"/>
          <w:sz w:val="24"/>
        </w:rPr>
      </w:pPr>
      <w:r w:rsidRPr="00600E6F">
        <w:rPr>
          <w:rFonts w:ascii="Times New Roman" w:hAnsi="Times New Roman"/>
          <w:sz w:val="24"/>
        </w:rPr>
        <w:t>The Energy Advisor program will coordinate with non-utility energy resources (i.e. DOE’s ENERGY STAR®, CEE, etc., if applicable) to provide customers with information on energy efficient lighting, appliances, and equipment.</w:t>
      </w:r>
    </w:p>
    <w:p w:rsidR="00513B47" w:rsidRDefault="00513B47" w:rsidP="00A05269">
      <w:pPr>
        <w:spacing w:after="0" w:line="240" w:lineRule="auto"/>
        <w:rPr>
          <w:rFonts w:cs="Calibri"/>
          <w:b/>
          <w:sz w:val="24"/>
          <w:szCs w:val="24"/>
          <w:u w:val="single"/>
        </w:rPr>
      </w:pPr>
    </w:p>
    <w:p w:rsidR="00513B47"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Best Practices</w:t>
      </w:r>
    </w:p>
    <w:p w:rsidR="00513B47" w:rsidRPr="00600E6F" w:rsidRDefault="00513B47" w:rsidP="00A05269">
      <w:pPr>
        <w:spacing w:after="0" w:line="240" w:lineRule="auto"/>
        <w:ind w:left="720"/>
        <w:rPr>
          <w:rFonts w:ascii="Times New Roman" w:hAnsi="Times New Roman"/>
          <w:sz w:val="24"/>
        </w:rPr>
      </w:pPr>
      <w:r w:rsidRPr="00600E6F">
        <w:rPr>
          <w:rFonts w:ascii="Times New Roman" w:hAnsi="Times New Roman"/>
          <w:sz w:val="24"/>
        </w:rPr>
        <w:t xml:space="preserve">Statewide best practices are outlined below: </w:t>
      </w:r>
    </w:p>
    <w:p w:rsidR="00513B47" w:rsidRPr="00600E6F" w:rsidRDefault="00513B47" w:rsidP="00A05269">
      <w:pPr>
        <w:spacing w:after="0" w:line="240" w:lineRule="auto"/>
        <w:ind w:left="720"/>
        <w:rPr>
          <w:rFonts w:ascii="Times New Roman" w:hAnsi="Times New Roman"/>
          <w:sz w:val="24"/>
        </w:rPr>
      </w:pPr>
    </w:p>
    <w:p w:rsidR="00513B47" w:rsidRPr="00600E6F" w:rsidRDefault="00E7041A" w:rsidP="00C31CC0">
      <w:pPr>
        <w:numPr>
          <w:ilvl w:val="0"/>
          <w:numId w:val="78"/>
        </w:numPr>
        <w:tabs>
          <w:tab w:val="clear" w:pos="1440"/>
          <w:tab w:val="num" w:pos="1080"/>
        </w:tabs>
        <w:spacing w:after="0" w:line="240" w:lineRule="auto"/>
        <w:ind w:left="1080"/>
        <w:rPr>
          <w:rFonts w:ascii="Times New Roman" w:hAnsi="Times New Roman"/>
          <w:sz w:val="24"/>
        </w:rPr>
      </w:pPr>
      <w:r w:rsidRPr="00600E6F">
        <w:rPr>
          <w:rFonts w:ascii="Times New Roman" w:hAnsi="Times New Roman"/>
          <w:sz w:val="24"/>
        </w:rPr>
        <w:t>Customer Usage History:</w:t>
      </w:r>
      <w:r w:rsidR="00513B47" w:rsidRPr="00600E6F">
        <w:rPr>
          <w:rFonts w:ascii="Times New Roman" w:hAnsi="Times New Roman"/>
          <w:i/>
          <w:sz w:val="24"/>
        </w:rPr>
        <w:t xml:space="preserve">  </w:t>
      </w:r>
      <w:r w:rsidR="00513B47" w:rsidRPr="00600E6F">
        <w:rPr>
          <w:rFonts w:ascii="Times New Roman" w:hAnsi="Times New Roman"/>
          <w:sz w:val="24"/>
        </w:rPr>
        <w:t>Because the program  includes comprehensive usage and billing information, the Energy Advisor  Program will continue to promote the survey program as a way to educate customers on their potential energy savings opportunities;</w:t>
      </w:r>
    </w:p>
    <w:p w:rsidR="00513B47" w:rsidRPr="00600E6F" w:rsidRDefault="00513B47" w:rsidP="00A05269">
      <w:pPr>
        <w:spacing w:after="0" w:line="240" w:lineRule="auto"/>
        <w:ind w:left="1080"/>
        <w:rPr>
          <w:rFonts w:ascii="Times New Roman" w:hAnsi="Times New Roman"/>
          <w:sz w:val="24"/>
        </w:rPr>
      </w:pPr>
    </w:p>
    <w:p w:rsidR="00513B47" w:rsidRPr="00600E6F" w:rsidRDefault="00E7041A" w:rsidP="00C31CC0">
      <w:pPr>
        <w:numPr>
          <w:ilvl w:val="0"/>
          <w:numId w:val="78"/>
        </w:numPr>
        <w:tabs>
          <w:tab w:val="clear" w:pos="1440"/>
          <w:tab w:val="num" w:pos="1080"/>
        </w:tabs>
        <w:spacing w:after="0" w:line="240" w:lineRule="auto"/>
        <w:ind w:left="1080"/>
        <w:rPr>
          <w:rFonts w:ascii="Times New Roman" w:hAnsi="Times New Roman"/>
          <w:sz w:val="24"/>
        </w:rPr>
      </w:pPr>
      <w:r w:rsidRPr="00600E6F">
        <w:rPr>
          <w:rFonts w:ascii="Times New Roman" w:hAnsi="Times New Roman"/>
          <w:sz w:val="24"/>
        </w:rPr>
        <w:t>Targeted marketing:</w:t>
      </w:r>
      <w:r w:rsidR="00513B47" w:rsidRPr="00600E6F">
        <w:rPr>
          <w:rFonts w:ascii="Times New Roman" w:hAnsi="Times New Roman"/>
          <w:i/>
          <w:sz w:val="24"/>
        </w:rPr>
        <w:t xml:space="preserve"> </w:t>
      </w:r>
      <w:r w:rsidR="00513B47" w:rsidRPr="00600E6F">
        <w:rPr>
          <w:rFonts w:ascii="Times New Roman" w:hAnsi="Times New Roman"/>
          <w:sz w:val="24"/>
        </w:rPr>
        <w:t xml:space="preserve"> On a statewide level, the Energy Advisor program will continue to focus its marketing campaigns toward residential and multifamily households with higher usage. As mentioned, the program may also be utilized as an outreach mechanism in a variety of community organizations. </w:t>
      </w:r>
      <w:r w:rsidR="00513B47" w:rsidRPr="00F50F8B">
        <w:rPr>
          <w:rFonts w:cs="Calibri"/>
        </w:rPr>
        <w:t xml:space="preserve"> </w:t>
      </w:r>
      <w:r w:rsidR="00513B47" w:rsidRPr="00600E6F">
        <w:rPr>
          <w:rFonts w:ascii="Times New Roman" w:hAnsi="Times New Roman"/>
          <w:sz w:val="24"/>
        </w:rPr>
        <w:t xml:space="preserve">This approach reduces overall marketing costs by maximizing the response rates generated from marketing efforts. </w:t>
      </w:r>
    </w:p>
    <w:p w:rsidR="00513B47" w:rsidRPr="00600E6F" w:rsidRDefault="00513B47" w:rsidP="00A05269">
      <w:pPr>
        <w:spacing w:after="0" w:line="240" w:lineRule="auto"/>
        <w:ind w:left="720"/>
        <w:jc w:val="both"/>
        <w:rPr>
          <w:rFonts w:ascii="Times New Roman" w:hAnsi="Times New Roman"/>
          <w:sz w:val="24"/>
        </w:rPr>
      </w:pPr>
    </w:p>
    <w:p w:rsidR="00513B47"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Innovation</w:t>
      </w:r>
    </w:p>
    <w:p w:rsidR="0093736E" w:rsidRPr="00600E6F" w:rsidRDefault="00513B47"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The Energy Advisor program will integrate the on-line survey</w:t>
      </w:r>
      <w:r w:rsidR="00E7041A" w:rsidRPr="00600E6F">
        <w:rPr>
          <w:rFonts w:ascii="Times New Roman" w:hAnsi="Times New Roman"/>
          <w:color w:val="000000"/>
          <w:sz w:val="24"/>
        </w:rPr>
        <w:t xml:space="preserve"> with "My Account" on-line customers to streamline the customer experience, making it more efficient and convenient</w:t>
      </w:r>
      <w:r w:rsidRPr="00600E6F">
        <w:rPr>
          <w:rFonts w:ascii="Times New Roman" w:hAnsi="Times New Roman"/>
          <w:color w:val="000000"/>
          <w:sz w:val="24"/>
        </w:rPr>
        <w:t xml:space="preserve">. </w:t>
      </w:r>
      <w:r w:rsidR="00E7041A" w:rsidRPr="00600E6F">
        <w:rPr>
          <w:rFonts w:ascii="Times New Roman" w:hAnsi="Times New Roman"/>
          <w:color w:val="000000"/>
          <w:sz w:val="24"/>
        </w:rPr>
        <w:t>Software updates will take into account updates to climate zones, weather regions, demographics, and improved household comparison analysis.</w:t>
      </w:r>
      <w:r w:rsidRPr="00600E6F">
        <w:rPr>
          <w:rFonts w:ascii="Times New Roman" w:hAnsi="Times New Roman"/>
          <w:color w:val="000000"/>
          <w:sz w:val="24"/>
        </w:rPr>
        <w:t> </w:t>
      </w:r>
      <w:r w:rsidR="00E7041A" w:rsidRPr="00600E6F">
        <w:rPr>
          <w:rFonts w:ascii="Times New Roman" w:hAnsi="Times New Roman"/>
          <w:color w:val="000000"/>
          <w:sz w:val="24"/>
        </w:rPr>
        <w:t>This information will also allow for the integration of gas- and water-related measures and information.</w:t>
      </w:r>
      <w:r w:rsidRPr="00600E6F">
        <w:rPr>
          <w:rFonts w:ascii="Times New Roman" w:hAnsi="Times New Roman"/>
          <w:color w:val="000000"/>
          <w:sz w:val="24"/>
        </w:rPr>
        <w:t xml:space="preserve">  </w:t>
      </w:r>
      <w:r w:rsidR="00E7041A" w:rsidRPr="00600E6F">
        <w:rPr>
          <w:rFonts w:ascii="Times New Roman" w:hAnsi="Times New Roman"/>
          <w:color w:val="000000"/>
          <w:sz w:val="24"/>
        </w:rPr>
        <w:t xml:space="preserve">The </w:t>
      </w:r>
      <w:r w:rsidRPr="00600E6F">
        <w:rPr>
          <w:rFonts w:ascii="Times New Roman" w:hAnsi="Times New Roman"/>
          <w:color w:val="000000"/>
          <w:sz w:val="24"/>
        </w:rPr>
        <w:t>IOUs</w:t>
      </w:r>
      <w:r w:rsidR="00E7041A" w:rsidRPr="00600E6F">
        <w:rPr>
          <w:rFonts w:ascii="Times New Roman" w:hAnsi="Times New Roman"/>
          <w:color w:val="000000"/>
          <w:sz w:val="24"/>
        </w:rPr>
        <w:t xml:space="preserve"> will integrate the </w:t>
      </w:r>
      <w:r w:rsidRPr="00600E6F">
        <w:rPr>
          <w:rFonts w:ascii="Times New Roman" w:hAnsi="Times New Roman"/>
          <w:color w:val="000000"/>
          <w:sz w:val="24"/>
        </w:rPr>
        <w:t>on-line survey</w:t>
      </w:r>
      <w:r w:rsidR="00E7041A" w:rsidRPr="00600E6F">
        <w:rPr>
          <w:rFonts w:ascii="Times New Roman" w:hAnsi="Times New Roman"/>
          <w:color w:val="000000"/>
          <w:sz w:val="24"/>
        </w:rPr>
        <w:t xml:space="preserve"> with customer historic data to streamline the customer experience, making it more efficient and convenient</w:t>
      </w:r>
      <w:r w:rsidRPr="00600E6F">
        <w:rPr>
          <w:rFonts w:ascii="Times New Roman" w:hAnsi="Times New Roman"/>
          <w:color w:val="000000"/>
          <w:sz w:val="24"/>
        </w:rPr>
        <w:t>.</w:t>
      </w:r>
    </w:p>
    <w:p w:rsidR="00513B47" w:rsidRPr="00600E6F" w:rsidRDefault="00513B47" w:rsidP="00A05269">
      <w:pPr>
        <w:spacing w:after="0" w:line="240" w:lineRule="auto"/>
        <w:ind w:left="720"/>
        <w:rPr>
          <w:rFonts w:ascii="Times New Roman" w:hAnsi="Times New Roman"/>
          <w:color w:val="000000"/>
          <w:sz w:val="24"/>
        </w:rPr>
      </w:pPr>
    </w:p>
    <w:p w:rsidR="00513B47" w:rsidRPr="00600E6F" w:rsidRDefault="00513B47" w:rsidP="00A05269">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current survey will be replaced by standardized Universal Audit Tools (UAT) developed by each IOU and coordinated at a statewide level to share best practices. The tools will incorporate electricity/gas, energy efficiency, water conservation, demand response and self-generation analysis and will provide tailored set of recommendations </w:t>
      </w:r>
      <w:r w:rsidRPr="00600E6F">
        <w:rPr>
          <w:rFonts w:ascii="Times New Roman" w:hAnsi="Times New Roman"/>
          <w:color w:val="000000"/>
          <w:sz w:val="24"/>
        </w:rPr>
        <w:lastRenderedPageBreak/>
        <w:t xml:space="preserve">for each type of survey, as appropriate. The UAT incorporates applicable rate and bill analysis functionality, similar home comparison as well as IOUs’ adopted and recommended emerging technologies, as appropriate.  </w:t>
      </w:r>
    </w:p>
    <w:p w:rsidR="00513B47" w:rsidRPr="00600E6F" w:rsidRDefault="00513B47" w:rsidP="00A05269">
      <w:pPr>
        <w:spacing w:after="0" w:line="240" w:lineRule="auto"/>
        <w:ind w:left="720"/>
        <w:rPr>
          <w:rFonts w:ascii="Times New Roman" w:hAnsi="Times New Roman"/>
          <w:color w:val="000000"/>
          <w:sz w:val="24"/>
        </w:rPr>
      </w:pPr>
    </w:p>
    <w:p w:rsidR="00513B47" w:rsidRPr="00600E6F" w:rsidRDefault="00513B47" w:rsidP="00A05269">
      <w:pPr>
        <w:spacing w:after="0" w:line="240" w:lineRule="auto"/>
        <w:ind w:left="720"/>
        <w:rPr>
          <w:rFonts w:ascii="Times New Roman" w:hAnsi="Times New Roman"/>
          <w:color w:val="000000"/>
          <w:sz w:val="24"/>
        </w:rPr>
      </w:pPr>
      <w:r w:rsidRPr="00600E6F">
        <w:rPr>
          <w:rFonts w:ascii="Times New Roman" w:hAnsi="Times New Roman"/>
          <w:color w:val="000000"/>
          <w:sz w:val="24"/>
        </w:rPr>
        <w:t>The utilities projected schedules for implementation of their Residential Universal Audit Tools are as follows:</w:t>
      </w:r>
    </w:p>
    <w:p w:rsidR="00513B47" w:rsidRPr="00600E6F" w:rsidRDefault="00513B47" w:rsidP="00A05269">
      <w:pPr>
        <w:spacing w:after="0" w:line="240" w:lineRule="auto"/>
        <w:ind w:left="720"/>
        <w:rPr>
          <w:rFonts w:ascii="Times New Roman" w:hAnsi="Times New Roman"/>
          <w:color w:val="000000"/>
          <w:sz w:val="24"/>
        </w:rPr>
      </w:pPr>
    </w:p>
    <w:tbl>
      <w:tblPr>
        <w:tblW w:w="849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6"/>
        <w:gridCol w:w="4230"/>
      </w:tblGrid>
      <w:tr w:rsidR="00513B47" w:rsidRPr="00F50F8B" w:rsidTr="00A05269">
        <w:tc>
          <w:tcPr>
            <w:tcW w:w="8496" w:type="dxa"/>
            <w:gridSpan w:val="2"/>
          </w:tcPr>
          <w:p w:rsidR="00513B47" w:rsidRPr="00600E6F" w:rsidRDefault="00513B47" w:rsidP="00A05269">
            <w:pPr>
              <w:spacing w:after="0" w:line="240" w:lineRule="auto"/>
              <w:jc w:val="center"/>
              <w:rPr>
                <w:rFonts w:ascii="Times New Roman" w:hAnsi="Times New Roman"/>
                <w:b/>
                <w:sz w:val="24"/>
              </w:rPr>
            </w:pPr>
            <w:r w:rsidRPr="00600E6F">
              <w:rPr>
                <w:rFonts w:ascii="Times New Roman" w:hAnsi="Times New Roman"/>
                <w:b/>
                <w:sz w:val="24"/>
              </w:rPr>
              <w:t>Residential Universal Audit Tool Deployment Schedule</w:t>
            </w:r>
          </w:p>
        </w:tc>
      </w:tr>
      <w:tr w:rsidR="00513B47" w:rsidRPr="00F50F8B" w:rsidTr="00A05269">
        <w:tc>
          <w:tcPr>
            <w:tcW w:w="4266"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PG&amp;E</w:t>
            </w:r>
          </w:p>
        </w:tc>
        <w:tc>
          <w:tcPr>
            <w:tcW w:w="4230"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March 2012</w:t>
            </w:r>
          </w:p>
        </w:tc>
      </w:tr>
      <w:tr w:rsidR="00513B47" w:rsidRPr="00F50F8B" w:rsidTr="00A05269">
        <w:tc>
          <w:tcPr>
            <w:tcW w:w="4266"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SCE</w:t>
            </w:r>
          </w:p>
        </w:tc>
        <w:tc>
          <w:tcPr>
            <w:tcW w:w="4230"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March 2012</w:t>
            </w:r>
          </w:p>
        </w:tc>
      </w:tr>
      <w:tr w:rsidR="00513B47" w:rsidRPr="00F50F8B" w:rsidTr="00A05269">
        <w:tc>
          <w:tcPr>
            <w:tcW w:w="4266"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SCG</w:t>
            </w:r>
          </w:p>
        </w:tc>
        <w:tc>
          <w:tcPr>
            <w:tcW w:w="4230"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October 2012</w:t>
            </w:r>
          </w:p>
        </w:tc>
      </w:tr>
      <w:tr w:rsidR="00513B47" w:rsidRPr="00F50F8B" w:rsidTr="00A05269">
        <w:tc>
          <w:tcPr>
            <w:tcW w:w="4266"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SDG&amp;E</w:t>
            </w:r>
          </w:p>
        </w:tc>
        <w:tc>
          <w:tcPr>
            <w:tcW w:w="4230" w:type="dxa"/>
          </w:tcPr>
          <w:p w:rsidR="00513B47" w:rsidRPr="00600E6F" w:rsidRDefault="00513B47" w:rsidP="00A05269">
            <w:pPr>
              <w:spacing w:after="0" w:line="240" w:lineRule="auto"/>
              <w:jc w:val="center"/>
              <w:rPr>
                <w:rFonts w:ascii="Times New Roman" w:hAnsi="Times New Roman"/>
                <w:color w:val="000000"/>
                <w:sz w:val="24"/>
              </w:rPr>
            </w:pPr>
            <w:r w:rsidRPr="00600E6F">
              <w:rPr>
                <w:rFonts w:ascii="Times New Roman" w:hAnsi="Times New Roman"/>
                <w:color w:val="000000"/>
                <w:sz w:val="24"/>
              </w:rPr>
              <w:t>May 2012</w:t>
            </w:r>
          </w:p>
        </w:tc>
      </w:tr>
    </w:tbl>
    <w:p w:rsidR="00513B47" w:rsidRPr="00600E6F" w:rsidRDefault="00513B47" w:rsidP="00A05269">
      <w:pPr>
        <w:spacing w:after="0" w:line="240" w:lineRule="auto"/>
        <w:ind w:left="360"/>
        <w:rPr>
          <w:rFonts w:ascii="Times New Roman" w:hAnsi="Times New Roman"/>
          <w:color w:val="000000"/>
          <w:sz w:val="24"/>
        </w:rPr>
      </w:pPr>
    </w:p>
    <w:p w:rsidR="00513B47" w:rsidRPr="00600E6F" w:rsidRDefault="00513B47" w:rsidP="00A05269">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utilities will continue to meet to share best practices for future UAT developments and enhancements where appropriate.  </w:t>
      </w:r>
    </w:p>
    <w:p w:rsidR="00513B47" w:rsidRPr="00600E6F" w:rsidRDefault="00513B47" w:rsidP="00A05269">
      <w:pPr>
        <w:spacing w:after="0" w:line="240" w:lineRule="auto"/>
        <w:ind w:left="720"/>
        <w:rPr>
          <w:rFonts w:ascii="Times New Roman" w:hAnsi="Times New Roman"/>
          <w:color w:val="000000"/>
          <w:sz w:val="24"/>
        </w:rPr>
      </w:pPr>
    </w:p>
    <w:p w:rsidR="00513B47"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Integrated/coordinated Demand Side Management</w:t>
      </w: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analysis portions of the residential </w:t>
      </w:r>
      <w:r w:rsidR="00513B47" w:rsidRPr="00600E6F">
        <w:rPr>
          <w:rFonts w:ascii="Times New Roman" w:hAnsi="Times New Roman"/>
          <w:color w:val="000000"/>
          <w:sz w:val="24"/>
        </w:rPr>
        <w:t>survey programs will be expanded to include demand response and distributed generation. This would be accomplished by adding on to the current survey formats. Customers will be provided recommendations for demand response and distributed generation opportunities for their residence in addition to Energy Efficiency and Behavior change opportunities. Customers will also be referred to information for these programs, when appropriate. Reports will be shared with demand response and distributed generation programs for additional action if needed.</w:t>
      </w:r>
    </w:p>
    <w:p w:rsidR="0093736E" w:rsidRPr="00600E6F" w:rsidRDefault="0093736E" w:rsidP="00600E6F">
      <w:pPr>
        <w:spacing w:after="0" w:line="240" w:lineRule="auto"/>
        <w:ind w:left="360"/>
        <w:rPr>
          <w:rFonts w:ascii="Times New Roman" w:hAnsi="Times New Roman"/>
          <w:sz w:val="24"/>
        </w:rPr>
      </w:pPr>
    </w:p>
    <w:p w:rsidR="00513B47"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Integration Across Resource Types</w:t>
      </w:r>
      <w:r w:rsidR="00513B47" w:rsidRPr="00600E6F">
        <w:rPr>
          <w:rFonts w:ascii="Times New Roman" w:hAnsi="Times New Roman"/>
          <w:b/>
          <w:sz w:val="24"/>
        </w:rPr>
        <w:t xml:space="preserve"> (energy, water, air quality, etc)</w:t>
      </w: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w:t>
      </w:r>
      <w:r w:rsidR="00513B47" w:rsidRPr="00600E6F">
        <w:rPr>
          <w:rFonts w:ascii="Times New Roman" w:hAnsi="Times New Roman"/>
          <w:color w:val="000000"/>
          <w:sz w:val="24"/>
        </w:rPr>
        <w:t>Energy Advisor</w:t>
      </w:r>
      <w:r w:rsidRPr="00600E6F">
        <w:rPr>
          <w:rFonts w:ascii="Times New Roman" w:hAnsi="Times New Roman"/>
          <w:color w:val="000000"/>
          <w:sz w:val="24"/>
        </w:rPr>
        <w:t xml:space="preserve"> Program will continue to </w:t>
      </w:r>
      <w:r w:rsidR="00513B47" w:rsidRPr="00600E6F">
        <w:rPr>
          <w:rFonts w:ascii="Times New Roman" w:hAnsi="Times New Roman"/>
          <w:color w:val="000000"/>
          <w:sz w:val="24"/>
        </w:rPr>
        <w:t>include recommendations across resource types</w:t>
      </w:r>
      <w:r w:rsidRPr="00600E6F">
        <w:rPr>
          <w:rFonts w:ascii="Times New Roman" w:hAnsi="Times New Roman"/>
          <w:color w:val="000000"/>
          <w:sz w:val="24"/>
        </w:rPr>
        <w:t xml:space="preserve">, as </w:t>
      </w:r>
      <w:r w:rsidR="00513B47" w:rsidRPr="00600E6F">
        <w:rPr>
          <w:rFonts w:ascii="Times New Roman" w:hAnsi="Times New Roman"/>
          <w:color w:val="000000"/>
          <w:sz w:val="24"/>
        </w:rPr>
        <w:t>applicable</w:t>
      </w:r>
      <w:r w:rsidRPr="00600E6F">
        <w:rPr>
          <w:rFonts w:ascii="Times New Roman" w:hAnsi="Times New Roman"/>
          <w:color w:val="000000"/>
          <w:sz w:val="24"/>
        </w:rPr>
        <w:t>.</w:t>
      </w:r>
    </w:p>
    <w:p w:rsidR="00513B47" w:rsidRPr="00600E6F" w:rsidRDefault="00513B47" w:rsidP="00A05269">
      <w:pPr>
        <w:spacing w:after="0" w:line="240" w:lineRule="auto"/>
        <w:ind w:left="360"/>
        <w:rPr>
          <w:rFonts w:ascii="Times New Roman" w:hAnsi="Times New Roman"/>
          <w:sz w:val="24"/>
        </w:rPr>
      </w:pPr>
    </w:p>
    <w:p w:rsidR="00513B47"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Pilots</w:t>
      </w:r>
      <w:r w:rsidR="00513B47" w:rsidRPr="00600E6F">
        <w:rPr>
          <w:rFonts w:ascii="Times New Roman" w:hAnsi="Times New Roman"/>
          <w:b/>
          <w:sz w:val="24"/>
          <w:u w:val="single"/>
        </w:rPr>
        <w:t xml:space="preserve"> / Initiatives:</w:t>
      </w: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Statewide Pilot </w:t>
      </w:r>
      <w:r w:rsidR="00513B47" w:rsidRPr="00600E6F">
        <w:rPr>
          <w:rFonts w:ascii="Times New Roman" w:hAnsi="Times New Roman"/>
          <w:color w:val="000000"/>
          <w:sz w:val="24"/>
        </w:rPr>
        <w:t>–</w:t>
      </w:r>
      <w:r w:rsidRPr="00600E6F">
        <w:rPr>
          <w:rFonts w:ascii="Times New Roman" w:hAnsi="Times New Roman"/>
          <w:color w:val="000000"/>
          <w:sz w:val="24"/>
        </w:rPr>
        <w:t xml:space="preserve"> Energy </w:t>
      </w:r>
      <w:r w:rsidR="00513B47" w:rsidRPr="00600E6F">
        <w:rPr>
          <w:rFonts w:ascii="Times New Roman" w:hAnsi="Times New Roman"/>
          <w:color w:val="000000"/>
          <w:sz w:val="24"/>
        </w:rPr>
        <w:t>Savings Assistance Program (ESAP</w:t>
      </w:r>
      <w:r w:rsidRPr="00600E6F">
        <w:rPr>
          <w:rFonts w:ascii="Times New Roman" w:hAnsi="Times New Roman"/>
          <w:color w:val="000000"/>
          <w:sz w:val="24"/>
        </w:rPr>
        <w:t xml:space="preserve">) Initiative:  Statewide, the </w:t>
      </w:r>
      <w:r w:rsidR="00513B47" w:rsidRPr="00600E6F">
        <w:rPr>
          <w:rFonts w:ascii="Times New Roman" w:hAnsi="Times New Roman"/>
          <w:color w:val="000000"/>
          <w:sz w:val="24"/>
        </w:rPr>
        <w:t>Energy Advisor</w:t>
      </w:r>
      <w:r w:rsidRPr="00600E6F">
        <w:rPr>
          <w:rFonts w:ascii="Times New Roman" w:hAnsi="Times New Roman"/>
          <w:color w:val="000000"/>
          <w:sz w:val="24"/>
        </w:rPr>
        <w:t xml:space="preserve"> Program will begin to encourage eligible customers to participate in the </w:t>
      </w:r>
      <w:r w:rsidR="00513B47" w:rsidRPr="00600E6F">
        <w:rPr>
          <w:rFonts w:ascii="Times New Roman" w:hAnsi="Times New Roman"/>
          <w:color w:val="000000"/>
          <w:sz w:val="24"/>
        </w:rPr>
        <w:t>ESAP</w:t>
      </w:r>
      <w:r w:rsidRPr="00600E6F">
        <w:rPr>
          <w:rFonts w:ascii="Times New Roman" w:hAnsi="Times New Roman"/>
          <w:color w:val="000000"/>
          <w:sz w:val="24"/>
        </w:rPr>
        <w:t xml:space="preserve"> programs and other programs that will help them lower their energy consumption.</w:t>
      </w:r>
    </w:p>
    <w:p w:rsidR="0093736E" w:rsidRPr="00600E6F" w:rsidRDefault="0093736E" w:rsidP="00600E6F">
      <w:pPr>
        <w:spacing w:after="0" w:line="240" w:lineRule="auto"/>
        <w:ind w:left="720"/>
        <w:rPr>
          <w:rFonts w:ascii="Times New Roman" w:hAnsi="Times New Roman"/>
          <w:color w:val="000000"/>
          <w:sz w:val="24"/>
        </w:rPr>
      </w:pPr>
    </w:p>
    <w:p w:rsidR="00513B47" w:rsidRPr="00600E6F" w:rsidRDefault="00513B47" w:rsidP="00A05269">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Statewide Initiative – Online Buyers Guide: </w:t>
      </w:r>
      <w:r w:rsidRPr="00F50F8B">
        <w:rPr>
          <w:rFonts w:cs="Calibri"/>
          <w:color w:val="000000"/>
          <w:sz w:val="24"/>
          <w:szCs w:val="24"/>
        </w:rPr>
        <w:t xml:space="preserve"> </w:t>
      </w:r>
      <w:r w:rsidRPr="00600E6F">
        <w:rPr>
          <w:rFonts w:ascii="Times New Roman" w:hAnsi="Times New Roman"/>
          <w:color w:val="000000"/>
          <w:sz w:val="24"/>
        </w:rPr>
        <w:t xml:space="preserve">The Online Buyer’s Guide (released in 2012) web capability will assist consumers and program participants in making the best energy efficiency purchase decisions. </w:t>
      </w:r>
      <w:r w:rsidRPr="00F50F8B">
        <w:rPr>
          <w:rFonts w:cs="Calibri"/>
          <w:color w:val="000000"/>
          <w:sz w:val="24"/>
          <w:szCs w:val="24"/>
        </w:rPr>
        <w:t xml:space="preserve"> </w:t>
      </w:r>
      <w:r w:rsidRPr="00600E6F">
        <w:rPr>
          <w:rFonts w:ascii="Times New Roman" w:hAnsi="Times New Roman"/>
          <w:color w:val="000000"/>
          <w:sz w:val="24"/>
        </w:rPr>
        <w:t xml:space="preserve">The statewide utilities will continue to collaborate and share best practices on the online buyers guide in 2013-2014.  </w:t>
      </w:r>
    </w:p>
    <w:p w:rsidR="00513B47" w:rsidRPr="00600E6F" w:rsidRDefault="00513B47" w:rsidP="00A05269">
      <w:pPr>
        <w:spacing w:after="0" w:line="240" w:lineRule="auto"/>
        <w:ind w:left="720"/>
        <w:rPr>
          <w:rFonts w:ascii="Times New Roman" w:hAnsi="Times New Roman"/>
          <w:color w:val="000000"/>
          <w:sz w:val="24"/>
        </w:rPr>
      </w:pPr>
    </w:p>
    <w:p w:rsidR="00513B47" w:rsidRPr="00600E6F" w:rsidRDefault="00513B47" w:rsidP="00A05269">
      <w:pPr>
        <w:spacing w:after="0" w:line="240" w:lineRule="auto"/>
        <w:ind w:left="720"/>
        <w:rPr>
          <w:rFonts w:ascii="Times New Roman" w:hAnsi="Times New Roman"/>
          <w:color w:val="000000"/>
          <w:sz w:val="24"/>
        </w:rPr>
      </w:pPr>
      <w:r w:rsidRPr="00600E6F">
        <w:rPr>
          <w:rFonts w:ascii="Times New Roman" w:hAnsi="Times New Roman"/>
          <w:color w:val="000000"/>
          <w:sz w:val="24"/>
        </w:rPr>
        <w:t>PG&amp;E/SDG&amp;E Initiative – Home Energy Reports: </w:t>
      </w:r>
      <w:r w:rsidRPr="00F50F8B">
        <w:rPr>
          <w:rFonts w:cs="Calibri"/>
          <w:color w:val="000000"/>
          <w:sz w:val="24"/>
          <w:szCs w:val="24"/>
        </w:rPr>
        <w:t xml:space="preserve"> </w:t>
      </w:r>
      <w:r w:rsidRPr="00600E6F">
        <w:rPr>
          <w:rFonts w:ascii="Times New Roman" w:hAnsi="Times New Roman"/>
          <w:color w:val="000000"/>
          <w:sz w:val="24"/>
        </w:rPr>
        <w:t xml:space="preserve">PG&amp;E and SDG&amp;E will continue to evaluate (SCE and SCG may explore) the benefits of a behavior-based energy efficiency outreach utilizing a neighbor comparison approach as authorized by the CPUC in Decision D.09-09-047 (p. 304) for the 2013-2014 transition period. Known as the “home energy reports” initiative, it involves mailing selected residential customers customized reports at scheduled intervals that compare the energy use of a specific report recipient household to a similar set of households.  The home energy report concept is aligned with the IOU’s energy efficiency education and outreach goals under the Energy Advisor (EA) </w:t>
      </w:r>
      <w:r w:rsidRPr="00600E6F">
        <w:rPr>
          <w:rFonts w:ascii="Times New Roman" w:hAnsi="Times New Roman"/>
          <w:color w:val="000000"/>
          <w:sz w:val="24"/>
        </w:rPr>
        <w:lastRenderedPageBreak/>
        <w:t>program.</w:t>
      </w:r>
      <w:r w:rsidRPr="00F50F8B">
        <w:rPr>
          <w:rFonts w:cs="Calibri"/>
          <w:color w:val="000000"/>
          <w:sz w:val="24"/>
          <w:szCs w:val="24"/>
        </w:rPr>
        <w:t> </w:t>
      </w:r>
      <w:r w:rsidRPr="00600E6F">
        <w:rPr>
          <w:rFonts w:ascii="Times New Roman" w:hAnsi="Times New Roman"/>
          <w:color w:val="000000"/>
          <w:sz w:val="24"/>
        </w:rPr>
        <w:t xml:space="preserve"> The program is designed to increase customer awareness and understanding of their energy usage, and to provide beneficial information on how customers can reduce their energy usage. </w:t>
      </w:r>
      <w:r w:rsidRPr="00F50F8B">
        <w:rPr>
          <w:rFonts w:cs="Calibri"/>
          <w:color w:val="000000"/>
          <w:sz w:val="24"/>
          <w:szCs w:val="24"/>
        </w:rPr>
        <w:t xml:space="preserve"> </w:t>
      </w:r>
      <w:r w:rsidRPr="00600E6F">
        <w:rPr>
          <w:rFonts w:ascii="Times New Roman" w:hAnsi="Times New Roman"/>
          <w:color w:val="000000"/>
          <w:sz w:val="24"/>
        </w:rPr>
        <w:t>The demonstrated benefits associated with this behavioral paradigm may serve as an appropriate resource to influence customers to reduce their energy consumption and to increase participation in existing and future energy efficiency programs.</w:t>
      </w:r>
    </w:p>
    <w:p w:rsidR="00513B47" w:rsidRPr="00600E6F" w:rsidRDefault="00513B47" w:rsidP="00A05269">
      <w:pPr>
        <w:spacing w:after="0" w:line="240" w:lineRule="auto"/>
        <w:ind w:left="720"/>
        <w:rPr>
          <w:rFonts w:ascii="Times New Roman" w:hAnsi="Times New Roman"/>
          <w:color w:val="000000"/>
          <w:sz w:val="24"/>
        </w:rPr>
      </w:pP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SCE/SCG/SDG&amp;E Pilot - Multi-Family Program: SCE, SCG, and SDG&amp;E intend to offer the </w:t>
      </w:r>
      <w:r w:rsidR="00513B47" w:rsidRPr="00600E6F">
        <w:rPr>
          <w:rFonts w:ascii="Times New Roman" w:hAnsi="Times New Roman"/>
          <w:color w:val="000000"/>
          <w:sz w:val="24"/>
        </w:rPr>
        <w:t>Energy Advisor</w:t>
      </w:r>
      <w:r w:rsidRPr="00600E6F">
        <w:rPr>
          <w:rFonts w:ascii="Times New Roman" w:hAnsi="Times New Roman"/>
          <w:color w:val="000000"/>
          <w:sz w:val="24"/>
        </w:rPr>
        <w:t xml:space="preserve"> Program to the multi-family sector as a pilot program in 2012</w:t>
      </w:r>
      <w:r w:rsidR="00513B47" w:rsidRPr="00600E6F">
        <w:rPr>
          <w:rFonts w:ascii="Times New Roman" w:hAnsi="Times New Roman"/>
          <w:color w:val="000000"/>
          <w:sz w:val="24"/>
        </w:rPr>
        <w:t>-2014</w:t>
      </w:r>
      <w:r w:rsidRPr="00600E6F">
        <w:rPr>
          <w:rFonts w:ascii="Times New Roman" w:hAnsi="Times New Roman"/>
          <w:color w:val="000000"/>
          <w:sz w:val="24"/>
        </w:rPr>
        <w:t>. This will involve surveys</w:t>
      </w:r>
      <w:r w:rsidR="00513B47" w:rsidRPr="00600E6F">
        <w:rPr>
          <w:rFonts w:ascii="Times New Roman" w:hAnsi="Times New Roman"/>
          <w:color w:val="000000"/>
          <w:sz w:val="24"/>
        </w:rPr>
        <w:t xml:space="preserve"> targeted at the facility owners</w:t>
      </w:r>
      <w:r w:rsidRPr="00600E6F">
        <w:rPr>
          <w:rFonts w:ascii="Times New Roman" w:hAnsi="Times New Roman"/>
          <w:color w:val="000000"/>
          <w:sz w:val="24"/>
        </w:rPr>
        <w:t xml:space="preserve">. The resulting </w:t>
      </w:r>
      <w:r w:rsidR="00513B47" w:rsidRPr="00600E6F">
        <w:rPr>
          <w:rFonts w:ascii="Times New Roman" w:hAnsi="Times New Roman"/>
          <w:color w:val="000000"/>
          <w:sz w:val="24"/>
        </w:rPr>
        <w:t>recommendations</w:t>
      </w:r>
      <w:r w:rsidRPr="00600E6F">
        <w:rPr>
          <w:rFonts w:ascii="Times New Roman" w:hAnsi="Times New Roman"/>
          <w:color w:val="000000"/>
          <w:sz w:val="24"/>
        </w:rPr>
        <w:t xml:space="preserve"> for the </w:t>
      </w:r>
      <w:r w:rsidR="00513B47" w:rsidRPr="00600E6F">
        <w:rPr>
          <w:rFonts w:ascii="Times New Roman" w:hAnsi="Times New Roman"/>
          <w:color w:val="000000"/>
          <w:sz w:val="24"/>
        </w:rPr>
        <w:t>owner</w:t>
      </w:r>
      <w:r w:rsidRPr="00600E6F">
        <w:rPr>
          <w:rFonts w:ascii="Times New Roman" w:hAnsi="Times New Roman"/>
          <w:color w:val="000000"/>
          <w:sz w:val="24"/>
        </w:rPr>
        <w:t xml:space="preserve"> will focus closely and specifically on </w:t>
      </w:r>
      <w:r w:rsidR="00513B47" w:rsidRPr="00600E6F">
        <w:rPr>
          <w:rFonts w:ascii="Times New Roman" w:hAnsi="Times New Roman"/>
          <w:color w:val="000000"/>
          <w:sz w:val="24"/>
        </w:rPr>
        <w:t>overall property efficiency.</w:t>
      </w:r>
    </w:p>
    <w:p w:rsidR="0093736E" w:rsidRPr="00600E6F" w:rsidRDefault="0093736E" w:rsidP="00600E6F">
      <w:pPr>
        <w:spacing w:after="0" w:line="240" w:lineRule="auto"/>
        <w:ind w:left="720"/>
        <w:rPr>
          <w:rFonts w:ascii="Times New Roman" w:hAnsi="Times New Roman"/>
          <w:color w:val="000000"/>
          <w:sz w:val="24"/>
        </w:rPr>
      </w:pP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SCE/SCG Pilot: SCE and SCG will provide a quarterly, post-survey feedback mechanism (opt-in) for customers. The pilot initiative will provide customers with a comprehensive energy usage report and will contain historical usage data to reinforce positive trends towards sustainable energy conservation. The mechanism should also increase customer actions in response to the survey, so that </w:t>
      </w:r>
      <w:r w:rsidR="00513B47" w:rsidRPr="00600E6F">
        <w:rPr>
          <w:rFonts w:ascii="Times New Roman" w:hAnsi="Times New Roman"/>
          <w:color w:val="000000"/>
          <w:sz w:val="24"/>
        </w:rPr>
        <w:t>the Energy Advisor program</w:t>
      </w:r>
      <w:r w:rsidRPr="00600E6F">
        <w:rPr>
          <w:rFonts w:ascii="Times New Roman" w:hAnsi="Times New Roman"/>
          <w:color w:val="000000"/>
          <w:sz w:val="24"/>
        </w:rPr>
        <w:t xml:space="preserve"> continues to monitor its effectiveness in creating energy savings by behavioral change, as well as rebate program participation.</w:t>
      </w:r>
    </w:p>
    <w:p w:rsidR="00513B47" w:rsidRPr="00600E6F" w:rsidRDefault="00513B47" w:rsidP="00A05269">
      <w:pPr>
        <w:spacing w:after="0" w:line="240" w:lineRule="auto"/>
        <w:ind w:left="720"/>
        <w:rPr>
          <w:rFonts w:ascii="Times New Roman" w:hAnsi="Times New Roman"/>
          <w:color w:val="000000"/>
          <w:sz w:val="24"/>
        </w:rPr>
      </w:pPr>
    </w:p>
    <w:p w:rsidR="00513B47" w:rsidRPr="00600E6F" w:rsidRDefault="00513B47" w:rsidP="00A05269">
      <w:pPr>
        <w:spacing w:after="0" w:line="240" w:lineRule="auto"/>
        <w:ind w:left="720"/>
        <w:rPr>
          <w:rFonts w:ascii="Times New Roman" w:hAnsi="Times New Roman"/>
          <w:color w:val="000000"/>
          <w:sz w:val="24"/>
        </w:rPr>
      </w:pPr>
      <w:r w:rsidRPr="00600E6F">
        <w:rPr>
          <w:rFonts w:ascii="Times New Roman" w:hAnsi="Times New Roman"/>
          <w:color w:val="000000"/>
          <w:sz w:val="24"/>
        </w:rPr>
        <w:t>SCE / SCG Pilot  – Smart Meter / Web analytics – SCE and SCG will track the customer’s My Account energy savings benefits from behavior based energy efficiency content through the Energy Advisor Program.</w:t>
      </w:r>
    </w:p>
    <w:p w:rsidR="00513B47" w:rsidRPr="00600E6F" w:rsidRDefault="00513B47" w:rsidP="00A05269">
      <w:pPr>
        <w:spacing w:after="0" w:line="240" w:lineRule="auto"/>
        <w:ind w:left="720"/>
        <w:rPr>
          <w:rFonts w:ascii="Times New Roman" w:hAnsi="Times New Roman"/>
          <w:color w:val="000000"/>
          <w:sz w:val="24"/>
        </w:rPr>
      </w:pPr>
    </w:p>
    <w:p w:rsidR="0093736E" w:rsidRPr="00600E6F" w:rsidRDefault="00E7041A" w:rsidP="00C31CC0">
      <w:pPr>
        <w:numPr>
          <w:ilvl w:val="1"/>
          <w:numId w:val="80"/>
        </w:numPr>
        <w:spacing w:after="0" w:line="240" w:lineRule="auto"/>
        <w:rPr>
          <w:rFonts w:ascii="Times New Roman" w:hAnsi="Times New Roman"/>
          <w:b/>
          <w:sz w:val="24"/>
        </w:rPr>
      </w:pPr>
      <w:r w:rsidRPr="00600E6F">
        <w:rPr>
          <w:rFonts w:ascii="Times New Roman" w:hAnsi="Times New Roman"/>
          <w:b/>
          <w:sz w:val="24"/>
          <w:u w:val="single"/>
        </w:rPr>
        <w:t>EM&amp;V</w:t>
      </w: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program is meant to encourage action - to inform participants of opportunities to save money and provide resources to execute the recommendations. It will be important to know if the design of the </w:t>
      </w:r>
      <w:r w:rsidR="00513B47" w:rsidRPr="00600E6F">
        <w:rPr>
          <w:rFonts w:ascii="Times New Roman" w:hAnsi="Times New Roman"/>
          <w:color w:val="000000"/>
          <w:sz w:val="24"/>
        </w:rPr>
        <w:t>survey</w:t>
      </w:r>
      <w:r w:rsidRPr="00600E6F">
        <w:rPr>
          <w:rFonts w:ascii="Times New Roman" w:hAnsi="Times New Roman"/>
          <w:color w:val="000000"/>
          <w:sz w:val="24"/>
        </w:rPr>
        <w:t xml:space="preserve"> is successfully imparting useful knowledge, referring participants to helpful resources, and if this coordinated effort is motivating participants to adopt more energy- and water-efficient behaviors. </w:t>
      </w:r>
    </w:p>
    <w:p w:rsidR="0093736E" w:rsidRPr="00600E6F" w:rsidRDefault="0093736E" w:rsidP="00600E6F">
      <w:pPr>
        <w:spacing w:after="0" w:line="240" w:lineRule="auto"/>
        <w:ind w:left="720"/>
        <w:rPr>
          <w:rFonts w:ascii="Times New Roman" w:hAnsi="Times New Roman"/>
          <w:color w:val="000000"/>
          <w:sz w:val="24"/>
        </w:rPr>
      </w:pP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utilities plan to work together and with the Energy Division to develop a complete plan for </w:t>
      </w:r>
      <w:r w:rsidR="00513B47" w:rsidRPr="00600E6F">
        <w:rPr>
          <w:rFonts w:ascii="Times New Roman" w:hAnsi="Times New Roman"/>
          <w:color w:val="000000"/>
          <w:sz w:val="24"/>
        </w:rPr>
        <w:t>2013-2014</w:t>
      </w:r>
      <w:r w:rsidRPr="00600E6F">
        <w:rPr>
          <w:rFonts w:ascii="Times New Roman" w:hAnsi="Times New Roman"/>
          <w:color w:val="000000"/>
          <w:sz w:val="24"/>
        </w:rPr>
        <w:t xml:space="preserve"> studies and budgets after the program plans are finalized and filed.  This plan will be submitted to the CPUC in time for approval, together with the PIPs.  </w:t>
      </w:r>
    </w:p>
    <w:p w:rsidR="0093736E" w:rsidRPr="00600E6F" w:rsidRDefault="0093736E" w:rsidP="00600E6F">
      <w:pPr>
        <w:spacing w:after="0" w:line="240" w:lineRule="auto"/>
        <w:ind w:left="720"/>
        <w:rPr>
          <w:rFonts w:ascii="Times New Roman" w:hAnsi="Times New Roman"/>
          <w:color w:val="000000"/>
          <w:sz w:val="24"/>
        </w:rPr>
      </w:pP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Detailed plans for process evaluations and other evaluation efforts specific to this program will be developed after the final program design is approved by the CPUC and program implementation has begun, since final plans will be based on identified program design and implementation issues and questions. However, a brief description of the current, preliminary plans is provided here.   </w:t>
      </w:r>
    </w:p>
    <w:p w:rsidR="0093736E" w:rsidRPr="00600E6F" w:rsidRDefault="0093736E" w:rsidP="00600E6F">
      <w:pPr>
        <w:spacing w:after="0" w:line="240" w:lineRule="auto"/>
        <w:ind w:left="720"/>
        <w:rPr>
          <w:rFonts w:ascii="Times New Roman" w:hAnsi="Times New Roman"/>
          <w:color w:val="000000"/>
          <w:sz w:val="24"/>
        </w:rPr>
      </w:pP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Statewide </w:t>
      </w:r>
      <w:r w:rsidR="00513B47" w:rsidRPr="00600E6F">
        <w:rPr>
          <w:rFonts w:ascii="Times New Roman" w:hAnsi="Times New Roman"/>
          <w:color w:val="000000"/>
          <w:sz w:val="24"/>
        </w:rPr>
        <w:t>Energy Advisor</w:t>
      </w:r>
      <w:r w:rsidRPr="00600E6F">
        <w:rPr>
          <w:rFonts w:ascii="Times New Roman" w:hAnsi="Times New Roman"/>
          <w:color w:val="000000"/>
          <w:sz w:val="24"/>
        </w:rPr>
        <w:t xml:space="preserve"> program has been continued from past program cycles but has a few new program elements. The </w:t>
      </w:r>
      <w:r w:rsidR="00513B47" w:rsidRPr="00600E6F">
        <w:rPr>
          <w:rFonts w:ascii="Times New Roman" w:hAnsi="Times New Roman"/>
          <w:color w:val="000000"/>
          <w:sz w:val="24"/>
        </w:rPr>
        <w:t>Energy Advisor</w:t>
      </w:r>
      <w:r w:rsidRPr="00600E6F">
        <w:rPr>
          <w:rFonts w:ascii="Times New Roman" w:hAnsi="Times New Roman"/>
          <w:color w:val="000000"/>
          <w:sz w:val="24"/>
        </w:rPr>
        <w:t xml:space="preserve"> program has planned a preliminary process evaluation near the end of the first program year to address specifically how well the new program elements are operating, and to obtain recommendations on how to improve program operations. After the beginning of the last </w:t>
      </w:r>
      <w:r w:rsidRPr="00600E6F">
        <w:rPr>
          <w:rFonts w:ascii="Times New Roman" w:hAnsi="Times New Roman"/>
          <w:color w:val="000000"/>
          <w:sz w:val="24"/>
        </w:rPr>
        <w:lastRenderedPageBreak/>
        <w:t xml:space="preserve">program year, a full process evaluation will address researchable issues based on the program theory and logic model. These issues will include the following as appropriate: </w:t>
      </w:r>
    </w:p>
    <w:p w:rsidR="00513B47" w:rsidRPr="00600E6F" w:rsidRDefault="00513B47" w:rsidP="00A05269">
      <w:pPr>
        <w:spacing w:after="0" w:line="240" w:lineRule="auto"/>
        <w:ind w:left="720"/>
        <w:rPr>
          <w:rFonts w:ascii="Times New Roman" w:hAnsi="Times New Roman"/>
          <w:color w:val="000000"/>
          <w:sz w:val="24"/>
        </w:rPr>
      </w:pPr>
    </w:p>
    <w:p w:rsidR="0093736E" w:rsidRPr="00600E6F" w:rsidRDefault="00E7041A" w:rsidP="00C31CC0">
      <w:pPr>
        <w:numPr>
          <w:ilvl w:val="3"/>
          <w:numId w:val="79"/>
        </w:numPr>
        <w:tabs>
          <w:tab w:val="clear" w:pos="3600"/>
          <w:tab w:val="num" w:pos="1080"/>
        </w:tabs>
        <w:spacing w:after="0" w:line="240" w:lineRule="auto"/>
        <w:ind w:left="1080"/>
        <w:rPr>
          <w:rFonts w:ascii="Times New Roman" w:hAnsi="Times New Roman"/>
          <w:sz w:val="24"/>
        </w:rPr>
      </w:pPr>
      <w:r w:rsidRPr="00600E6F">
        <w:rPr>
          <w:rFonts w:ascii="Times New Roman" w:hAnsi="Times New Roman"/>
          <w:sz w:val="24"/>
        </w:rPr>
        <w:t xml:space="preserve">How well </w:t>
      </w:r>
      <w:r w:rsidR="00513B47" w:rsidRPr="00600E6F">
        <w:rPr>
          <w:rFonts w:ascii="Times New Roman" w:hAnsi="Times New Roman"/>
          <w:sz w:val="24"/>
        </w:rPr>
        <w:t>the  Energy Advisor program participants learned about advancing whole-house energy solutions;</w:t>
      </w:r>
    </w:p>
    <w:p w:rsidR="0093736E" w:rsidRPr="00600E6F" w:rsidRDefault="00E7041A" w:rsidP="00C31CC0">
      <w:pPr>
        <w:numPr>
          <w:ilvl w:val="3"/>
          <w:numId w:val="79"/>
        </w:numPr>
        <w:tabs>
          <w:tab w:val="clear" w:pos="3600"/>
          <w:tab w:val="num" w:pos="1080"/>
        </w:tabs>
        <w:spacing w:after="0" w:line="240" w:lineRule="auto"/>
        <w:ind w:left="1080"/>
        <w:rPr>
          <w:rFonts w:ascii="Times New Roman" w:hAnsi="Times New Roman"/>
          <w:sz w:val="24"/>
        </w:rPr>
      </w:pPr>
      <w:r w:rsidRPr="00600E6F">
        <w:rPr>
          <w:rFonts w:ascii="Times New Roman" w:hAnsi="Times New Roman"/>
          <w:sz w:val="24"/>
        </w:rPr>
        <w:t xml:space="preserve">How well </w:t>
      </w:r>
      <w:r w:rsidR="00513B47" w:rsidRPr="00600E6F">
        <w:rPr>
          <w:rFonts w:ascii="Times New Roman" w:hAnsi="Times New Roman"/>
          <w:sz w:val="24"/>
        </w:rPr>
        <w:t>the Energy Advisor program participants learned behavioral solutions to plug-load energy consumption;</w:t>
      </w:r>
      <w:r w:rsidR="00513B47" w:rsidRPr="00600E6F">
        <w:rPr>
          <w:rFonts w:ascii="Times New Roman" w:hAnsi="Times New Roman"/>
          <w:sz w:val="24"/>
        </w:rPr>
        <w:br/>
      </w:r>
      <w:r w:rsidRPr="00600E6F">
        <w:rPr>
          <w:rFonts w:ascii="Times New Roman" w:hAnsi="Times New Roman"/>
          <w:sz w:val="24"/>
        </w:rPr>
        <w:t>Whether integration of water-related measures and information was useful to the customer;</w:t>
      </w:r>
      <w:r w:rsidR="00513B47" w:rsidRPr="00600E6F">
        <w:rPr>
          <w:rFonts w:ascii="Times New Roman" w:hAnsi="Times New Roman"/>
          <w:sz w:val="24"/>
        </w:rPr>
        <w:t xml:space="preserve"> and</w:t>
      </w:r>
    </w:p>
    <w:p w:rsidR="0093736E" w:rsidRPr="00600E6F" w:rsidRDefault="00E7041A" w:rsidP="00C31CC0">
      <w:pPr>
        <w:numPr>
          <w:ilvl w:val="3"/>
          <w:numId w:val="79"/>
        </w:numPr>
        <w:tabs>
          <w:tab w:val="clear" w:pos="3600"/>
          <w:tab w:val="num" w:pos="1080"/>
        </w:tabs>
        <w:spacing w:after="0" w:line="240" w:lineRule="auto"/>
        <w:ind w:left="1080"/>
        <w:rPr>
          <w:rFonts w:ascii="Times New Roman" w:hAnsi="Times New Roman"/>
          <w:sz w:val="24"/>
        </w:rPr>
      </w:pPr>
      <w:r w:rsidRPr="00600E6F">
        <w:rPr>
          <w:rFonts w:ascii="Times New Roman" w:hAnsi="Times New Roman"/>
          <w:sz w:val="24"/>
        </w:rPr>
        <w:t>Whether the individual IOU pilot programs were successful.</w:t>
      </w:r>
    </w:p>
    <w:p w:rsidR="0093736E" w:rsidRPr="00600E6F" w:rsidRDefault="0093736E" w:rsidP="00600E6F">
      <w:pPr>
        <w:spacing w:after="0" w:line="240" w:lineRule="auto"/>
        <w:ind w:left="720"/>
        <w:rPr>
          <w:rFonts w:ascii="Times New Roman" w:hAnsi="Times New Roman"/>
          <w:color w:val="000000"/>
          <w:sz w:val="24"/>
        </w:rPr>
      </w:pPr>
    </w:p>
    <w:p w:rsidR="0093736E" w:rsidRPr="00600E6F" w:rsidRDefault="00E7041A" w:rsidP="00600E6F">
      <w:pPr>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To address these issues, the following major evaluation tasks will be completed:  </w:t>
      </w:r>
    </w:p>
    <w:p w:rsidR="0093736E" w:rsidRPr="00600E6F" w:rsidRDefault="00E7041A" w:rsidP="00C31CC0">
      <w:pPr>
        <w:widowControl w:val="0"/>
        <w:numPr>
          <w:ilvl w:val="0"/>
          <w:numId w:val="74"/>
        </w:numPr>
        <w:spacing w:after="0" w:line="240" w:lineRule="auto"/>
        <w:rPr>
          <w:rFonts w:ascii="Times New Roman" w:hAnsi="Times New Roman"/>
          <w:sz w:val="24"/>
        </w:rPr>
      </w:pPr>
      <w:r w:rsidRPr="00600E6F">
        <w:rPr>
          <w:rFonts w:ascii="Times New Roman" w:hAnsi="Times New Roman"/>
          <w:i/>
          <w:sz w:val="24"/>
        </w:rPr>
        <w:t xml:space="preserve">Logic model and program theory. </w:t>
      </w:r>
      <w:r w:rsidR="00513B47" w:rsidRPr="00600E6F">
        <w:rPr>
          <w:rFonts w:ascii="Times New Roman" w:hAnsi="Times New Roman"/>
          <w:sz w:val="24"/>
        </w:rPr>
        <w:t>The logic model and program theory will establish a starting point for all evaluation activities. The structure of the logic model, which links program activities and expected outcomes, will be a useful instrument for identifying specific program assumptions that can be tested using a survey or other primary data collection activities;</w:t>
      </w:r>
    </w:p>
    <w:p w:rsidR="0093736E" w:rsidRPr="00600E6F" w:rsidRDefault="00E7041A" w:rsidP="00C31CC0">
      <w:pPr>
        <w:widowControl w:val="0"/>
        <w:numPr>
          <w:ilvl w:val="0"/>
          <w:numId w:val="74"/>
        </w:numPr>
        <w:spacing w:after="0" w:line="240" w:lineRule="auto"/>
        <w:rPr>
          <w:rFonts w:ascii="Times New Roman" w:hAnsi="Times New Roman"/>
          <w:sz w:val="24"/>
        </w:rPr>
      </w:pPr>
      <w:r w:rsidRPr="00600E6F">
        <w:rPr>
          <w:rFonts w:ascii="Times New Roman" w:hAnsi="Times New Roman"/>
          <w:i/>
          <w:sz w:val="24"/>
        </w:rPr>
        <w:t>In-depth interviews.</w:t>
      </w:r>
      <w:r w:rsidR="00513B47" w:rsidRPr="00600E6F">
        <w:rPr>
          <w:rFonts w:ascii="Times New Roman" w:hAnsi="Times New Roman"/>
          <w:sz w:val="24"/>
        </w:rPr>
        <w:t xml:space="preserve"> In-depth interviews will be conducted with program managers and other key staff members. Program staff members will clarify program goals and gauge program progress, provide valuable insight into daily operations, and propose research topics to be addressed during the evaluation;</w:t>
      </w:r>
    </w:p>
    <w:p w:rsidR="0093736E" w:rsidRPr="00600E6F" w:rsidRDefault="00E7041A" w:rsidP="00C31CC0">
      <w:pPr>
        <w:widowControl w:val="0"/>
        <w:numPr>
          <w:ilvl w:val="0"/>
          <w:numId w:val="74"/>
        </w:numPr>
        <w:spacing w:after="0" w:line="240" w:lineRule="auto"/>
        <w:rPr>
          <w:rFonts w:ascii="Times New Roman" w:hAnsi="Times New Roman"/>
          <w:sz w:val="24"/>
        </w:rPr>
      </w:pPr>
      <w:r w:rsidRPr="00600E6F">
        <w:rPr>
          <w:rFonts w:ascii="Times New Roman" w:hAnsi="Times New Roman"/>
          <w:i/>
          <w:sz w:val="24"/>
        </w:rPr>
        <w:t xml:space="preserve">Participant survey. </w:t>
      </w:r>
      <w:r w:rsidR="00513B47" w:rsidRPr="00600E6F">
        <w:rPr>
          <w:rFonts w:ascii="Times New Roman" w:hAnsi="Times New Roman"/>
          <w:sz w:val="24"/>
        </w:rPr>
        <w:t>The primary data collection instrument will be a customer post</w:t>
      </w:r>
      <w:r w:rsidR="00513B47" w:rsidRPr="00600E6F">
        <w:rPr>
          <w:rFonts w:ascii="Times New Roman" w:hAnsi="Times New Roman"/>
          <w:sz w:val="24"/>
        </w:rPr>
        <w:noBreakHyphen/>
        <w:t>participation survey, fielded over the phone and via mail. The survey will explore the participant's experience with the program's services and address the research issues identified by the logic model.  When appropriate, results will be examined by offering  to investigate how the various offerings compare with regard to the most effective marketing strategies, recommendation implementation rates, and measures of satisfaction; and</w:t>
      </w:r>
    </w:p>
    <w:p w:rsidR="0093736E" w:rsidRPr="00600E6F" w:rsidRDefault="00E7041A" w:rsidP="00C31CC0">
      <w:pPr>
        <w:widowControl w:val="0"/>
        <w:numPr>
          <w:ilvl w:val="0"/>
          <w:numId w:val="74"/>
        </w:numPr>
        <w:spacing w:after="0" w:line="240" w:lineRule="auto"/>
        <w:rPr>
          <w:rFonts w:ascii="Times New Roman" w:hAnsi="Times New Roman"/>
          <w:sz w:val="24"/>
        </w:rPr>
      </w:pPr>
      <w:r w:rsidRPr="00600E6F">
        <w:rPr>
          <w:rFonts w:ascii="Times New Roman" w:hAnsi="Times New Roman"/>
          <w:i/>
          <w:sz w:val="24"/>
        </w:rPr>
        <w:t>Program-specific data collection and review.</w:t>
      </w:r>
      <w:r w:rsidR="00513B47" w:rsidRPr="00600E6F">
        <w:rPr>
          <w:rFonts w:ascii="Times New Roman" w:hAnsi="Times New Roman"/>
          <w:sz w:val="24"/>
        </w:rPr>
        <w:t xml:space="preserve"> Another key evaluation activity will involve a comprehensive review of all program documents. In particular, this evaluation will identify which specific recommendations have been implemented.</w:t>
      </w:r>
    </w:p>
    <w:p w:rsidR="00513B47" w:rsidRPr="00600E6F" w:rsidRDefault="00513B47" w:rsidP="00600E6F">
      <w:pPr>
        <w:widowControl w:val="0"/>
        <w:spacing w:after="0" w:line="240" w:lineRule="auto"/>
        <w:ind w:left="1080"/>
        <w:rPr>
          <w:rFonts w:ascii="Times New Roman" w:hAnsi="Times New Roman"/>
          <w:i/>
          <w:sz w:val="24"/>
        </w:rPr>
      </w:pPr>
    </w:p>
    <w:p w:rsidR="00D045E6" w:rsidRDefault="00D045E6" w:rsidP="001E6D67">
      <w:pPr>
        <w:widowControl w:val="0"/>
        <w:spacing w:after="0" w:line="240" w:lineRule="auto"/>
        <w:ind w:left="1080"/>
        <w:rPr>
          <w:rFonts w:ascii="Times New Roman" w:hAnsi="Times New Roman"/>
          <w:i/>
          <w:sz w:val="24"/>
          <w:szCs w:val="24"/>
        </w:rPr>
      </w:pPr>
    </w:p>
    <w:p w:rsidR="00D045E6" w:rsidRDefault="00D045E6" w:rsidP="001E6D67">
      <w:pPr>
        <w:widowControl w:val="0"/>
        <w:spacing w:after="0" w:line="240" w:lineRule="auto"/>
        <w:ind w:left="1080"/>
        <w:rPr>
          <w:rFonts w:ascii="Times New Roman" w:hAnsi="Times New Roman"/>
          <w:i/>
          <w:sz w:val="24"/>
          <w:szCs w:val="24"/>
        </w:rPr>
      </w:pPr>
    </w:p>
    <w:p w:rsidR="00D045E6" w:rsidRDefault="00D045E6" w:rsidP="001E6D67">
      <w:pPr>
        <w:widowControl w:val="0"/>
        <w:spacing w:after="0" w:line="240" w:lineRule="auto"/>
        <w:ind w:left="1080"/>
        <w:rPr>
          <w:rFonts w:ascii="Times New Roman" w:hAnsi="Times New Roman"/>
          <w:i/>
          <w:sz w:val="24"/>
          <w:szCs w:val="24"/>
        </w:rPr>
      </w:pPr>
    </w:p>
    <w:p w:rsidR="00D045E6" w:rsidRDefault="00D045E6" w:rsidP="001E6D67">
      <w:pPr>
        <w:widowControl w:val="0"/>
        <w:spacing w:after="0" w:line="240" w:lineRule="auto"/>
        <w:ind w:left="1080"/>
        <w:rPr>
          <w:rFonts w:ascii="Times New Roman" w:hAnsi="Times New Roman"/>
          <w:i/>
          <w:sz w:val="24"/>
          <w:szCs w:val="24"/>
        </w:rPr>
      </w:pPr>
    </w:p>
    <w:p w:rsidR="00781322" w:rsidRDefault="00781322" w:rsidP="001E6D67">
      <w:pPr>
        <w:widowControl w:val="0"/>
        <w:spacing w:after="0" w:line="240" w:lineRule="auto"/>
        <w:ind w:left="1080"/>
        <w:rPr>
          <w:rFonts w:ascii="Times New Roman" w:hAnsi="Times New Roman"/>
          <w:i/>
          <w:sz w:val="24"/>
          <w:szCs w:val="24"/>
        </w:rPr>
      </w:pPr>
    </w:p>
    <w:p w:rsidR="00781322" w:rsidRDefault="00781322" w:rsidP="001E6D67">
      <w:pPr>
        <w:widowControl w:val="0"/>
        <w:spacing w:after="0" w:line="240" w:lineRule="auto"/>
        <w:ind w:left="1080"/>
        <w:rPr>
          <w:rFonts w:ascii="Times New Roman" w:hAnsi="Times New Roman"/>
          <w:i/>
          <w:sz w:val="24"/>
          <w:szCs w:val="24"/>
        </w:rPr>
      </w:pPr>
    </w:p>
    <w:p w:rsidR="001E6D67" w:rsidRDefault="001E6D67" w:rsidP="001E6D67">
      <w:pPr>
        <w:widowControl w:val="0"/>
        <w:spacing w:after="0" w:line="240" w:lineRule="auto"/>
        <w:ind w:left="1080"/>
        <w:rPr>
          <w:rFonts w:ascii="Times New Roman" w:hAnsi="Times New Roman"/>
          <w:i/>
          <w:sz w:val="24"/>
          <w:szCs w:val="24"/>
        </w:rPr>
      </w:pPr>
    </w:p>
    <w:p w:rsidR="001E6D67" w:rsidRDefault="001E6D67" w:rsidP="001E6D67">
      <w:pPr>
        <w:widowControl w:val="0"/>
        <w:spacing w:after="0" w:line="240" w:lineRule="auto"/>
        <w:ind w:left="1080"/>
        <w:rPr>
          <w:rFonts w:ascii="Times New Roman" w:hAnsi="Times New Roman"/>
          <w:i/>
          <w:sz w:val="24"/>
          <w:szCs w:val="24"/>
        </w:rPr>
      </w:pPr>
    </w:p>
    <w:p w:rsidR="00513B47" w:rsidRDefault="001E6D67" w:rsidP="00A05269">
      <w:pPr>
        <w:spacing w:after="0" w:line="240" w:lineRule="auto"/>
        <w:rPr>
          <w:rFonts w:cs="Calibri"/>
          <w:b/>
          <w:sz w:val="24"/>
          <w:szCs w:val="24"/>
        </w:rPr>
      </w:pPr>
      <w:r>
        <w:rPr>
          <w:rFonts w:ascii="Times New Roman" w:hAnsi="Times New Roman"/>
          <w:sz w:val="24"/>
          <w:szCs w:val="24"/>
        </w:rPr>
        <w:t xml:space="preserve">    </w:t>
      </w:r>
      <w:r w:rsidR="00513B47">
        <w:rPr>
          <w:rFonts w:cs="Calibri"/>
          <w:b/>
          <w:sz w:val="24"/>
          <w:szCs w:val="24"/>
        </w:rPr>
        <w:br w:type="page"/>
      </w:r>
    </w:p>
    <w:p w:rsidR="00513B47" w:rsidRPr="00600E6F" w:rsidRDefault="00E7041A" w:rsidP="00C31CC0">
      <w:pPr>
        <w:widowControl w:val="0"/>
        <w:numPr>
          <w:ilvl w:val="0"/>
          <w:numId w:val="115"/>
        </w:numPr>
        <w:tabs>
          <w:tab w:val="clear" w:pos="720"/>
          <w:tab w:val="num" w:pos="360"/>
        </w:tabs>
        <w:spacing w:after="0" w:line="240" w:lineRule="auto"/>
        <w:ind w:left="360"/>
        <w:rPr>
          <w:rFonts w:ascii="Times New Roman" w:hAnsi="Times New Roman"/>
          <w:b/>
          <w:sz w:val="24"/>
        </w:rPr>
      </w:pPr>
      <w:r w:rsidRPr="00600E6F">
        <w:rPr>
          <w:rFonts w:ascii="Times New Roman" w:hAnsi="Times New Roman"/>
          <w:b/>
          <w:sz w:val="24"/>
        </w:rPr>
        <w:lastRenderedPageBreak/>
        <w:t>Diagram of Program</w:t>
      </w:r>
    </w:p>
    <w:p w:rsidR="0093736E" w:rsidRPr="00600E6F" w:rsidRDefault="0093736E" w:rsidP="00600E6F">
      <w:pPr>
        <w:widowControl w:val="0"/>
        <w:tabs>
          <w:tab w:val="left" w:pos="360"/>
        </w:tabs>
        <w:spacing w:after="0" w:line="240" w:lineRule="auto"/>
        <w:ind w:left="720"/>
        <w:rPr>
          <w:rFonts w:ascii="Times New Roman" w:hAnsi="Times New Roman"/>
          <w:b/>
          <w:sz w:val="24"/>
        </w:rPr>
      </w:pPr>
    </w:p>
    <w:p w:rsidR="00513B47" w:rsidRPr="00600E6F" w:rsidRDefault="008D705C" w:rsidP="00600E6F">
      <w:pPr>
        <w:widowControl w:val="0"/>
        <w:tabs>
          <w:tab w:val="left" w:pos="270"/>
          <w:tab w:val="left" w:pos="360"/>
        </w:tabs>
        <w:spacing w:after="0" w:line="240" w:lineRule="auto"/>
        <w:ind w:left="-270" w:hanging="270"/>
        <w:rPr>
          <w:rFonts w:ascii="Times New Roman" w:hAnsi="Times New Roman"/>
          <w:sz w:val="24"/>
        </w:rPr>
      </w:pPr>
      <w:r>
        <w:rPr>
          <w:rFonts w:ascii="Times New Roman" w:hAnsi="Times New Roman"/>
          <w:noProof/>
          <w:sz w:val="24"/>
        </w:rPr>
        <w:drawing>
          <wp:inline distT="0" distB="0" distL="0" distR="0" wp14:anchorId="4C038B9D" wp14:editId="3F0FD5C2">
            <wp:extent cx="6572250" cy="3762375"/>
            <wp:effectExtent l="19050" t="0" r="0" b="0"/>
            <wp:docPr id="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3"/>
                    <a:srcRect/>
                    <a:stretch>
                      <a:fillRect/>
                    </a:stretch>
                  </pic:blipFill>
                  <pic:spPr bwMode="auto">
                    <a:xfrm>
                      <a:off x="0" y="0"/>
                      <a:ext cx="6572250" cy="3762375"/>
                    </a:xfrm>
                    <a:prstGeom prst="rect">
                      <a:avLst/>
                    </a:prstGeom>
                    <a:noFill/>
                    <a:ln w="9525">
                      <a:noFill/>
                      <a:miter lim="800000"/>
                      <a:headEnd/>
                      <a:tailEnd/>
                    </a:ln>
                  </pic:spPr>
                </pic:pic>
              </a:graphicData>
            </a:graphic>
          </wp:inline>
        </w:drawing>
      </w:r>
    </w:p>
    <w:p w:rsidR="00513B47" w:rsidRPr="00600E6F" w:rsidRDefault="00513B47" w:rsidP="00A05269">
      <w:pPr>
        <w:spacing w:after="0" w:line="240" w:lineRule="auto"/>
        <w:rPr>
          <w:rFonts w:ascii="Times New Roman" w:hAnsi="Times New Roman"/>
          <w:b/>
          <w:sz w:val="24"/>
        </w:rPr>
      </w:pPr>
    </w:p>
    <w:p w:rsidR="00513B47" w:rsidRPr="00600E6F" w:rsidRDefault="00513B47" w:rsidP="00A05269">
      <w:pPr>
        <w:spacing w:after="0" w:line="240" w:lineRule="auto"/>
        <w:rPr>
          <w:rFonts w:ascii="Times New Roman" w:hAnsi="Times New Roman"/>
          <w:b/>
          <w:sz w:val="24"/>
        </w:rPr>
      </w:pPr>
    </w:p>
    <w:p w:rsidR="0093736E" w:rsidRPr="00600E6F" w:rsidRDefault="0093736E" w:rsidP="0001414E">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1E6D67" w:rsidRDefault="001E6D67" w:rsidP="001E6D67">
      <w:pPr>
        <w:spacing w:after="0" w:line="240" w:lineRule="auto"/>
        <w:rPr>
          <w:rFonts w:ascii="Times New Roman" w:hAnsi="Times New Roman"/>
          <w:b/>
        </w:rPr>
      </w:pPr>
    </w:p>
    <w:p w:rsidR="00513B47" w:rsidRPr="00600E6F" w:rsidRDefault="00E7041A" w:rsidP="00C31CC0">
      <w:pPr>
        <w:numPr>
          <w:ilvl w:val="0"/>
          <w:numId w:val="115"/>
        </w:numPr>
        <w:tabs>
          <w:tab w:val="clear" w:pos="720"/>
          <w:tab w:val="num" w:pos="630"/>
        </w:tabs>
        <w:spacing w:after="0" w:line="240" w:lineRule="auto"/>
        <w:ind w:hanging="720"/>
        <w:rPr>
          <w:rFonts w:ascii="Times New Roman" w:hAnsi="Times New Roman"/>
          <w:b/>
        </w:rPr>
      </w:pPr>
      <w:r w:rsidRPr="00600E6F">
        <w:rPr>
          <w:rFonts w:ascii="Times New Roman" w:hAnsi="Times New Roman"/>
          <w:b/>
          <w:sz w:val="24"/>
        </w:rPr>
        <w:lastRenderedPageBreak/>
        <w:t xml:space="preserve">Program Logic Model </w:t>
      </w:r>
    </w:p>
    <w:p w:rsidR="00513B47" w:rsidRPr="00600E6F" w:rsidRDefault="00513B47" w:rsidP="00A05269">
      <w:pPr>
        <w:spacing w:after="0" w:line="240" w:lineRule="auto"/>
        <w:rPr>
          <w:rFonts w:ascii="Times New Roman" w:hAnsi="Times New Roman"/>
          <w:b/>
          <w:sz w:val="24"/>
        </w:rPr>
      </w:pPr>
    </w:p>
    <w:p w:rsidR="00513B47" w:rsidRPr="00600E6F" w:rsidRDefault="00E7041A" w:rsidP="00A05269">
      <w:pPr>
        <w:spacing w:after="0" w:line="240" w:lineRule="auto"/>
        <w:rPr>
          <w:rFonts w:ascii="Times New Roman" w:hAnsi="Times New Roman"/>
          <w:sz w:val="24"/>
        </w:rPr>
      </w:pPr>
      <w:r w:rsidRPr="00600E6F">
        <w:rPr>
          <w:rFonts w:ascii="Times New Roman" w:hAnsi="Times New Roman"/>
          <w:sz w:val="24"/>
        </w:rPr>
        <w:t xml:space="preserve">Note:  On </w:t>
      </w:r>
      <w:r w:rsidR="00513B47" w:rsidRPr="00600E6F">
        <w:rPr>
          <w:rFonts w:ascii="Times New Roman" w:hAnsi="Times New Roman"/>
          <w:sz w:val="24"/>
        </w:rPr>
        <w:t>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Below is the approved logic model for Energy Advisor (EA) Program.</w:t>
      </w:r>
    </w:p>
    <w:p w:rsidR="00513B47" w:rsidRPr="00600E6F" w:rsidRDefault="00513B47" w:rsidP="00A05269">
      <w:pPr>
        <w:spacing w:after="0" w:line="240" w:lineRule="auto"/>
        <w:rPr>
          <w:rFonts w:ascii="Times New Roman" w:hAnsi="Times New Roman"/>
        </w:rPr>
      </w:pPr>
    </w:p>
    <w:p w:rsidR="00513B47" w:rsidRPr="00600E6F" w:rsidRDefault="008D705C" w:rsidP="00600E6F">
      <w:pPr>
        <w:spacing w:after="0" w:line="240" w:lineRule="auto"/>
        <w:ind w:hanging="540"/>
        <w:rPr>
          <w:rFonts w:ascii="Times New Roman" w:hAnsi="Times New Roman"/>
          <w:sz w:val="24"/>
        </w:rPr>
      </w:pPr>
      <w:r>
        <w:rPr>
          <w:rFonts w:ascii="Times New Roman" w:hAnsi="Times New Roman"/>
          <w:noProof/>
          <w:sz w:val="24"/>
        </w:rPr>
        <w:drawing>
          <wp:inline distT="0" distB="0" distL="0" distR="0" wp14:anchorId="7631E65C" wp14:editId="735F3DEC">
            <wp:extent cx="6534150" cy="5086350"/>
            <wp:effectExtent l="19050" t="0" r="0" b="0"/>
            <wp:docPr id="6"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
                    <a:srcRect/>
                    <a:stretch>
                      <a:fillRect/>
                    </a:stretch>
                  </pic:blipFill>
                  <pic:spPr bwMode="auto">
                    <a:xfrm>
                      <a:off x="0" y="0"/>
                      <a:ext cx="6534150" cy="5086350"/>
                    </a:xfrm>
                    <a:prstGeom prst="rect">
                      <a:avLst/>
                    </a:prstGeom>
                    <a:noFill/>
                    <a:ln w="9525">
                      <a:noFill/>
                      <a:miter lim="800000"/>
                      <a:headEnd/>
                      <a:tailEnd/>
                    </a:ln>
                  </pic:spPr>
                </pic:pic>
              </a:graphicData>
            </a:graphic>
          </wp:inline>
        </w:drawing>
      </w:r>
    </w:p>
    <w:p w:rsidR="00513B47" w:rsidRPr="00600E6F" w:rsidRDefault="00513B47" w:rsidP="00A05269">
      <w:pPr>
        <w:spacing w:after="0" w:line="240" w:lineRule="auto"/>
        <w:ind w:left="360"/>
        <w:rPr>
          <w:rFonts w:ascii="Times New Roman" w:hAnsi="Times New Roman"/>
          <w:b/>
          <w:sz w:val="24"/>
          <w:u w:val="single"/>
        </w:rPr>
      </w:pPr>
    </w:p>
    <w:p w:rsidR="00513B47" w:rsidRPr="00F50F8B" w:rsidRDefault="00513B47" w:rsidP="00A05269">
      <w:pPr>
        <w:spacing w:after="0" w:line="240" w:lineRule="auto"/>
        <w:rPr>
          <w:rFonts w:cs="Calibri"/>
          <w:b/>
          <w:sz w:val="24"/>
          <w:szCs w:val="24"/>
          <w:u w:val="single"/>
        </w:rPr>
      </w:pPr>
      <w:r w:rsidRPr="00600E6F">
        <w:rPr>
          <w:rFonts w:ascii="Times New Roman" w:hAnsi="Times New Roman"/>
          <w:b/>
          <w:sz w:val="24"/>
          <w:u w:val="single"/>
        </w:rPr>
        <w:br w:type="page"/>
      </w:r>
      <w:r w:rsidR="00C31CC0">
        <w:rPr>
          <w:rFonts w:ascii="Times New Roman" w:hAnsi="Times New Roman"/>
          <w:noProof/>
        </w:rPr>
        <w:pict>
          <v:shape id="_x0000_s1149" type="#_x0000_t75" style="position:absolute;margin-left:-29.05pt;margin-top:.8pt;width:519.4pt;height:387.35pt;z-index:251655680" filled="t" stroked="t">
            <v:imagedata r:id="rId15" o:title=""/>
          </v:shape>
          <o:OLEObject Type="Embed" ProgID="Visio.Drawing.11" ShapeID="_x0000_s1149" DrawAspect="Content" ObjectID="_1408270872" r:id="rId16"/>
        </w:pic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u w:val="single"/>
        </w:rPr>
        <w:lastRenderedPageBreak/>
        <w:br w:type="page"/>
      </w:r>
    </w:p>
    <w:p w:rsidR="00513B47" w:rsidRPr="00600E6F" w:rsidRDefault="00513B47" w:rsidP="00C31CC0">
      <w:pPr>
        <w:numPr>
          <w:ilvl w:val="0"/>
          <w:numId w:val="104"/>
        </w:numPr>
        <w:spacing w:after="0" w:line="240" w:lineRule="auto"/>
        <w:rPr>
          <w:rFonts w:ascii="Times New Roman" w:hAnsi="Times New Roman"/>
          <w:b/>
          <w:sz w:val="24"/>
        </w:rPr>
      </w:pPr>
      <w:r w:rsidRPr="00600E6F">
        <w:rPr>
          <w:rFonts w:ascii="Times New Roman" w:hAnsi="Times New Roman"/>
          <w:b/>
          <w:sz w:val="24"/>
        </w:rPr>
        <w:lastRenderedPageBreak/>
        <w:t xml:space="preserve">Program Name:   </w:t>
      </w:r>
      <w:r w:rsidRPr="00600E6F">
        <w:rPr>
          <w:rFonts w:ascii="Times New Roman" w:hAnsi="Times New Roman"/>
          <w:sz w:val="24"/>
        </w:rPr>
        <w:t>CalSPREE  Program</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104"/>
        </w:numPr>
        <w:spacing w:after="0" w:line="240" w:lineRule="auto"/>
        <w:rPr>
          <w:rFonts w:ascii="Times New Roman" w:hAnsi="Times New Roman"/>
          <w:b/>
          <w:sz w:val="24"/>
        </w:rPr>
      </w:pPr>
      <w:r w:rsidRPr="00600E6F">
        <w:rPr>
          <w:rFonts w:ascii="Times New Roman" w:hAnsi="Times New Roman"/>
          <w:b/>
          <w:sz w:val="24"/>
        </w:rPr>
        <w:t xml:space="preserve">Program Description:  </w:t>
      </w:r>
      <w:r w:rsidRPr="00600E6F">
        <w:rPr>
          <w:rFonts w:ascii="Times New Roman" w:hAnsi="Times New Roman"/>
          <w:sz w:val="24"/>
        </w:rPr>
        <w:t>Refer to CalSPREE for description details</w:t>
      </w:r>
    </w:p>
    <w:p w:rsidR="00513B47" w:rsidRPr="00600E6F" w:rsidRDefault="00513B47" w:rsidP="003408F4">
      <w:pPr>
        <w:pStyle w:val="ListParagraph"/>
        <w:spacing w:after="0" w:line="240" w:lineRule="auto"/>
        <w:rPr>
          <w:rFonts w:ascii="Times New Roman" w:hAnsi="Times New Roman"/>
          <w:b/>
          <w:sz w:val="24"/>
        </w:rPr>
      </w:pPr>
    </w:p>
    <w:p w:rsidR="00513B47" w:rsidRPr="00600E6F" w:rsidRDefault="00513B47" w:rsidP="00C31CC0">
      <w:pPr>
        <w:numPr>
          <w:ilvl w:val="0"/>
          <w:numId w:val="104"/>
        </w:numPr>
        <w:spacing w:after="0" w:line="240" w:lineRule="auto"/>
        <w:rPr>
          <w:rFonts w:ascii="Times New Roman" w:hAnsi="Times New Roman"/>
          <w:b/>
          <w:sz w:val="24"/>
        </w:rPr>
      </w:pPr>
      <w:r w:rsidRPr="00600E6F">
        <w:rPr>
          <w:rFonts w:ascii="Times New Roman" w:hAnsi="Times New Roman"/>
          <w:b/>
          <w:sz w:val="24"/>
        </w:rPr>
        <w:t xml:space="preserve">Total Projected Program Budget and Savings </w:t>
      </w:r>
    </w:p>
    <w:p w:rsidR="00513B47" w:rsidRPr="00600E6F" w:rsidRDefault="00513B47" w:rsidP="00C31CC0">
      <w:pPr>
        <w:pStyle w:val="NoSpacing"/>
        <w:numPr>
          <w:ilvl w:val="0"/>
          <w:numId w:val="106"/>
        </w:numPr>
        <w:rPr>
          <w:b/>
        </w:rPr>
      </w:pPr>
      <w:r w:rsidRPr="00600E6F">
        <w:rPr>
          <w:b/>
        </w:rPr>
        <w:t xml:space="preserve">Table 1: </w:t>
      </w:r>
      <w:r w:rsidRPr="00600E6F">
        <w:t>Refer to CalSPREE for budget details</w:t>
      </w:r>
    </w:p>
    <w:p w:rsidR="00513B47" w:rsidRPr="00600E6F" w:rsidRDefault="00513B47" w:rsidP="00C31CC0">
      <w:pPr>
        <w:pStyle w:val="NoSpacing"/>
        <w:numPr>
          <w:ilvl w:val="0"/>
          <w:numId w:val="106"/>
        </w:numPr>
        <w:rPr>
          <w:b/>
        </w:rPr>
      </w:pPr>
      <w:r w:rsidRPr="00600E6F">
        <w:rPr>
          <w:b/>
        </w:rPr>
        <w:t xml:space="preserve">Table 2: </w:t>
      </w:r>
      <w:r w:rsidRPr="00600E6F">
        <w:t>Refer to CalSPREE for projected gross impacts details</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104"/>
        </w:numPr>
        <w:spacing w:after="0" w:line="240" w:lineRule="auto"/>
        <w:rPr>
          <w:rFonts w:ascii="Times New Roman" w:hAnsi="Times New Roman"/>
          <w:sz w:val="24"/>
        </w:rPr>
      </w:pPr>
      <w:r w:rsidRPr="00600E6F">
        <w:rPr>
          <w:rFonts w:ascii="Times New Roman" w:hAnsi="Times New Roman"/>
          <w:b/>
          <w:sz w:val="24"/>
        </w:rPr>
        <w:t>Description of subprogram:</w:t>
      </w:r>
      <w:r w:rsidRPr="00600E6F">
        <w:rPr>
          <w:rFonts w:ascii="Times New Roman" w:hAnsi="Times New Roman"/>
          <w:sz w:val="24"/>
        </w:rPr>
        <w:t xml:space="preserve"> Statewide Plug-Loads &amp; Appliances (SW PLA)</w:t>
      </w:r>
    </w:p>
    <w:p w:rsidR="00513B47" w:rsidRPr="00600E6F" w:rsidRDefault="00513B47" w:rsidP="003408F4">
      <w:pPr>
        <w:pStyle w:val="NoSpacing"/>
        <w:ind w:left="720"/>
      </w:pPr>
      <w:r w:rsidRPr="00600E6F">
        <w:t xml:space="preserve">In response to market trends, energy consumption data, customer needs and behaviors, and per the Final Decision’s guidance, the California IOUs jointly file this Statewide Plug-Load Appliance (PLA) Program Implementation Plan (PIP). With the aim of serving customers where they shop and reducing the complexity in IOUs’ portfolios while increasing customer participation, this PIP combines the 2010-12 Home Energy Efficiency Rebates (HEER), Business and Consumer Electronics (BCE) and Appliance Recycling (ARP) Program under a single program umbrella. This sub-program builds the foundation for a sustainable resource acquisition and market transformation that engages critical market actors: manufacturers, retailers, contractors, service providers and others. Additionally, the PLA sub-program will work with the Whole Home Upgrade Program (WHUP), Energy Saving Assistance Program (ESAP) and other programs to maximize its reach and effectiveness. This will be accomplished through coordinated cross-program initiatives to deliver a comprehensive package of cost-effective and energy efficiency measures to all customers. This PIP addresses appliances, plug loads, and appliance recycling for the residential and business sectors. </w:t>
      </w:r>
    </w:p>
    <w:p w:rsidR="00513B47" w:rsidRPr="00600E6F" w:rsidRDefault="00513B47" w:rsidP="003408F4">
      <w:pPr>
        <w:pStyle w:val="NoSpacing"/>
        <w:ind w:left="720"/>
      </w:pPr>
    </w:p>
    <w:p w:rsidR="00513B47" w:rsidRPr="00600E6F" w:rsidRDefault="00513B47" w:rsidP="003408F4">
      <w:pPr>
        <w:pStyle w:val="NoSpacing"/>
        <w:ind w:left="720"/>
      </w:pPr>
      <w:r w:rsidRPr="00600E6F">
        <w:t>Home appliances, consumer electronics, and other miscellaneous plug loads, hereafter called “Plug-Load &amp; Appliance” or “PLA”, consume about 66% of current California home electricity usage, with plug loads (televisions, personal computers and office equipment) accounting for about 20% of home electricity usage alone</w:t>
      </w:r>
      <w:r w:rsidRPr="00600E6F">
        <w:rPr>
          <w:rStyle w:val="FootnoteReference"/>
          <w:sz w:val="24"/>
        </w:rPr>
        <w:footnoteReference w:id="4"/>
      </w:r>
      <w:r w:rsidRPr="00600E6F">
        <w:t xml:space="preserve">. These PLA products comprise one of the largest and fastest growing end-uses of the residential sectors, significantly contributing to the growth in greenhouse gas emission. Clearly, the PLA markets cannot be left alone. The Big Bold Energy Efficiency Strategy (BBEES) efforts to achieve Zero Net Energy (ZNE) in new residential construction and the State’s Integrated Demand Side Management’s (IDSM) goal of 40% energy purchase reduction from 2008 levels by 2020 will only be possible if the markets are influenced to increase the availability, awareness and adoption high efficient PLA products through strategic energy efficient program interventions. </w:t>
      </w:r>
    </w:p>
    <w:p w:rsidR="001E6D67" w:rsidRDefault="001E6D67" w:rsidP="003408F4">
      <w:pPr>
        <w:pStyle w:val="NoSpacing"/>
        <w:ind w:left="720"/>
      </w:pPr>
    </w:p>
    <w:p w:rsidR="001C4DFE" w:rsidRDefault="001C4DFE" w:rsidP="003408F4">
      <w:pPr>
        <w:pStyle w:val="NoSpacing"/>
        <w:ind w:left="720"/>
      </w:pPr>
    </w:p>
    <w:p w:rsidR="001C4DFE" w:rsidRDefault="001C4DFE" w:rsidP="003408F4">
      <w:pPr>
        <w:pStyle w:val="NoSpacing"/>
        <w:ind w:left="720"/>
      </w:pPr>
    </w:p>
    <w:p w:rsidR="001C4DFE" w:rsidRDefault="001C4DFE" w:rsidP="003408F4">
      <w:pPr>
        <w:pStyle w:val="NoSpacing"/>
        <w:ind w:left="720"/>
      </w:pPr>
    </w:p>
    <w:p w:rsidR="00D222A7" w:rsidRDefault="00D222A7" w:rsidP="003408F4">
      <w:pPr>
        <w:pStyle w:val="NoSpacing"/>
        <w:ind w:left="720"/>
      </w:pPr>
    </w:p>
    <w:p w:rsidR="001E6D67" w:rsidRPr="001E6D67" w:rsidRDefault="001E6D67" w:rsidP="003408F4">
      <w:pPr>
        <w:pStyle w:val="NoSpacing"/>
        <w:ind w:left="720"/>
        <w:rPr>
          <w:sz w:val="28"/>
          <w:szCs w:val="28"/>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lastRenderedPageBreak/>
        <w:t xml:space="preserve">Sub-Program Name:   </w:t>
      </w:r>
      <w:r w:rsidRPr="00600E6F">
        <w:rPr>
          <w:rFonts w:ascii="Times New Roman" w:hAnsi="Times New Roman"/>
          <w:sz w:val="24"/>
        </w:rPr>
        <w:t>Statewide Plug-Load &amp; Appliance (SW PLA)</w:t>
      </w:r>
      <w:r w:rsidRPr="00600E6F">
        <w:rPr>
          <w:rFonts w:ascii="Times New Roman" w:hAnsi="Times New Roman"/>
          <w:b/>
          <w:sz w:val="24"/>
        </w:rPr>
        <w:t xml:space="preserve"> </w:t>
      </w:r>
      <w:r w:rsidRPr="00600E6F">
        <w:rPr>
          <w:rFonts w:ascii="Times New Roman" w:hAnsi="Times New Roman"/>
          <w:b/>
          <w:sz w:val="24"/>
        </w:rPr>
        <w:br/>
      </w: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 xml:space="preserve">Sub-Program ID number: </w:t>
      </w:r>
      <w:r w:rsidRPr="00600E6F">
        <w:rPr>
          <w:rFonts w:ascii="Times New Roman" w:hAnsi="Times New Roman"/>
          <w:b/>
          <w:sz w:val="24"/>
        </w:rPr>
        <w:br/>
      </w: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Type of Sub-Program: _</w:t>
      </w:r>
      <w:r w:rsidRPr="00600E6F">
        <w:rPr>
          <w:rFonts w:ascii="Times New Roman" w:hAnsi="Times New Roman"/>
          <w:b/>
          <w:sz w:val="24"/>
          <w:u w:val="single"/>
        </w:rPr>
        <w:t>x</w:t>
      </w:r>
      <w:r w:rsidRPr="00600E6F">
        <w:rPr>
          <w:rFonts w:ascii="Times New Roman" w:hAnsi="Times New Roman"/>
          <w:b/>
          <w:sz w:val="24"/>
        </w:rPr>
        <w:t xml:space="preserve">_Core    __Third Party   __Partnership </w:t>
      </w:r>
      <w:r w:rsidRPr="00600E6F">
        <w:rPr>
          <w:rFonts w:ascii="Times New Roman" w:hAnsi="Times New Roman"/>
          <w:b/>
          <w:sz w:val="24"/>
        </w:rPr>
        <w:br/>
      </w: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Market sector or segment that this sub-program is designed to serve</w:t>
      </w:r>
      <w:r w:rsidRPr="00600E6F">
        <w:rPr>
          <w:rStyle w:val="FootnoteReference"/>
          <w:rFonts w:ascii="Times New Roman" w:hAnsi="Times New Roman"/>
          <w:b/>
          <w:sz w:val="24"/>
        </w:rPr>
        <w:footnoteReference w:id="5"/>
      </w:r>
      <w:r w:rsidRPr="00600E6F">
        <w:rPr>
          <w:rFonts w:ascii="Times New Roman" w:hAnsi="Times New Roman"/>
          <w:b/>
          <w:sz w:val="24"/>
        </w:rPr>
        <w:t>:</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 xml:space="preserve"> </w:t>
      </w:r>
      <w:r w:rsidR="008D705C">
        <w:rPr>
          <w:rFonts w:ascii="Times New Roman" w:hAnsi="Times New Roman"/>
          <w:noProof/>
          <w:sz w:val="24"/>
        </w:rPr>
        <w:drawing>
          <wp:inline distT="0" distB="0" distL="0" distR="0" wp14:anchorId="02B93B12" wp14:editId="171BDF48">
            <wp:extent cx="123825" cy="123825"/>
            <wp:effectExtent l="19050" t="0" r="9525" b="0"/>
            <wp:docPr id="7"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Residential  </w:t>
      </w:r>
    </w:p>
    <w:p w:rsidR="00513B47" w:rsidRPr="00600E6F" w:rsidRDefault="00513B47" w:rsidP="00C31CC0">
      <w:pPr>
        <w:numPr>
          <w:ilvl w:val="2"/>
          <w:numId w:val="29"/>
        </w:numPr>
        <w:spacing w:after="0" w:line="240" w:lineRule="auto"/>
        <w:ind w:left="2160"/>
        <w:rPr>
          <w:rFonts w:ascii="Times New Roman" w:hAnsi="Times New Roman"/>
          <w:sz w:val="24"/>
        </w:rPr>
      </w:pPr>
      <w:r w:rsidRPr="00600E6F">
        <w:rPr>
          <w:rFonts w:ascii="Times New Roman" w:hAnsi="Times New Roman"/>
          <w:sz w:val="24"/>
        </w:rPr>
        <w:t xml:space="preserve">Including Low Income?  </w:t>
      </w:r>
      <w:r w:rsidR="008D705C">
        <w:rPr>
          <w:rFonts w:ascii="Times New Roman" w:hAnsi="Times New Roman"/>
          <w:noProof/>
          <w:sz w:val="24"/>
        </w:rPr>
        <w:drawing>
          <wp:inline distT="0" distB="0" distL="0" distR="0" wp14:anchorId="0C9D830B" wp14:editId="11B8E8C2">
            <wp:extent cx="123825" cy="123825"/>
            <wp:effectExtent l="19050" t="0" r="9525" b="0"/>
            <wp:docPr id="8"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 No; </w:t>
      </w:r>
    </w:p>
    <w:p w:rsidR="00513B47" w:rsidRPr="00600E6F" w:rsidRDefault="00513B47" w:rsidP="00C31CC0">
      <w:pPr>
        <w:numPr>
          <w:ilvl w:val="2"/>
          <w:numId w:val="29"/>
        </w:numPr>
        <w:spacing w:after="0" w:line="240" w:lineRule="auto"/>
        <w:ind w:left="2160"/>
        <w:rPr>
          <w:rFonts w:ascii="Times New Roman" w:hAnsi="Times New Roman"/>
          <w:sz w:val="24"/>
        </w:rPr>
      </w:pPr>
      <w:r w:rsidRPr="00600E6F">
        <w:rPr>
          <w:rFonts w:ascii="Times New Roman" w:hAnsi="Times New Roman"/>
          <w:sz w:val="24"/>
        </w:rPr>
        <w:t xml:space="preserve">Including Moderate Income? </w:t>
      </w:r>
      <w:r w:rsidR="008D705C">
        <w:rPr>
          <w:rFonts w:ascii="Times New Roman" w:hAnsi="Times New Roman"/>
          <w:noProof/>
          <w:sz w:val="24"/>
        </w:rPr>
        <w:drawing>
          <wp:inline distT="0" distB="0" distL="0" distR="0" wp14:anchorId="32851624" wp14:editId="36AF3114">
            <wp:extent cx="123825" cy="123825"/>
            <wp:effectExtent l="19050" t="0" r="9525" b="0"/>
            <wp:docPr id="9"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  No. </w:t>
      </w:r>
    </w:p>
    <w:p w:rsidR="00513B47" w:rsidRPr="00600E6F" w:rsidRDefault="00513B47" w:rsidP="00C31CC0">
      <w:pPr>
        <w:numPr>
          <w:ilvl w:val="2"/>
          <w:numId w:val="29"/>
        </w:numPr>
        <w:spacing w:after="0" w:line="240" w:lineRule="auto"/>
        <w:ind w:left="2160"/>
        <w:rPr>
          <w:rFonts w:ascii="Times New Roman" w:hAnsi="Times New Roman"/>
          <w:sz w:val="24"/>
        </w:rPr>
      </w:pPr>
      <w:r w:rsidRPr="00600E6F">
        <w:rPr>
          <w:rFonts w:ascii="Times New Roman" w:hAnsi="Times New Roman"/>
          <w:sz w:val="24"/>
        </w:rPr>
        <w:t xml:space="preserve">Including or specifically Multifamily buildings </w:t>
      </w:r>
      <w:r w:rsidR="008D705C">
        <w:rPr>
          <w:rFonts w:ascii="Times New Roman" w:hAnsi="Times New Roman"/>
          <w:noProof/>
          <w:sz w:val="24"/>
        </w:rPr>
        <w:drawing>
          <wp:inline distT="0" distB="0" distL="0" distR="0" wp14:anchorId="204485AA" wp14:editId="7FC88439">
            <wp:extent cx="123825" cy="123825"/>
            <wp:effectExtent l="19050" t="0" r="9525" b="0"/>
            <wp:docPr id="10"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 No. </w:t>
      </w:r>
    </w:p>
    <w:p w:rsidR="00513B47" w:rsidRPr="00600E6F" w:rsidRDefault="00513B47" w:rsidP="00C31CC0">
      <w:pPr>
        <w:numPr>
          <w:ilvl w:val="2"/>
          <w:numId w:val="29"/>
        </w:numPr>
        <w:spacing w:after="0" w:line="240" w:lineRule="auto"/>
        <w:ind w:left="2160"/>
        <w:rPr>
          <w:rFonts w:ascii="Times New Roman" w:hAnsi="Times New Roman"/>
          <w:sz w:val="24"/>
        </w:rPr>
      </w:pPr>
      <w:r w:rsidRPr="00600E6F">
        <w:rPr>
          <w:rFonts w:ascii="Times New Roman" w:hAnsi="Times New Roman"/>
          <w:sz w:val="24"/>
        </w:rPr>
        <w:t xml:space="preserve">Including or specifically Rental units? </w:t>
      </w:r>
      <w:r w:rsidR="008D705C">
        <w:rPr>
          <w:rFonts w:ascii="Times New Roman" w:hAnsi="Times New Roman"/>
          <w:noProof/>
          <w:sz w:val="24"/>
        </w:rPr>
        <w:drawing>
          <wp:inline distT="0" distB="0" distL="0" distR="0" wp14:anchorId="00370D3E" wp14:editId="5B03A2FE">
            <wp:extent cx="123825" cy="123825"/>
            <wp:effectExtent l="19050" t="0" r="9525" b="0"/>
            <wp:docPr id="11"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 No.</w:t>
      </w:r>
    </w:p>
    <w:p w:rsidR="00513B47" w:rsidRPr="00600E6F" w:rsidRDefault="008D705C" w:rsidP="00C31CC0">
      <w:pPr>
        <w:numPr>
          <w:ilvl w:val="1"/>
          <w:numId w:val="29"/>
        </w:numPr>
        <w:spacing w:after="0" w:line="240" w:lineRule="auto"/>
        <w:ind w:left="1440"/>
        <w:rPr>
          <w:rFonts w:ascii="Times New Roman" w:hAnsi="Times New Roman"/>
          <w:sz w:val="24"/>
        </w:rPr>
      </w:pPr>
      <w:r>
        <w:rPr>
          <w:rFonts w:ascii="Times New Roman" w:hAnsi="Times New Roman"/>
          <w:noProof/>
          <w:sz w:val="24"/>
        </w:rPr>
        <w:drawing>
          <wp:inline distT="0" distB="0" distL="0" distR="0" wp14:anchorId="0F69D975" wp14:editId="6AC80FA1">
            <wp:extent cx="123825" cy="123825"/>
            <wp:effectExtent l="19050" t="0" r="9525" b="0"/>
            <wp:docPr id="12"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513B47" w:rsidRPr="00600E6F">
        <w:rPr>
          <w:rFonts w:ascii="Times New Roman" w:hAnsi="Times New Roman"/>
          <w:sz w:val="24"/>
        </w:rPr>
        <w:t xml:space="preserve">  Commercial  (List applicable NAIC codes: _________________)</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__ Industrial (List applicable NAIC codes: ____________________)</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__ Agricultural (List applicable NAIC codes: __________________)</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Is this sub-program primarily a:</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Non-resource program  ___ Yes__ No</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Resource acquisition program</w:t>
      </w:r>
      <w:r w:rsidR="00B94056">
        <w:rPr>
          <w:rFonts w:ascii="Times New Roman" w:hAnsi="Times New Roman"/>
          <w:sz w:val="24"/>
        </w:rPr>
        <w:t xml:space="preserve">  </w:t>
      </w:r>
      <w:r w:rsidRPr="00600E6F">
        <w:rPr>
          <w:rFonts w:ascii="Times New Roman" w:hAnsi="Times New Roman"/>
          <w:sz w:val="24"/>
        </w:rPr>
        <w:t xml:space="preserve"> </w:t>
      </w:r>
      <w:r w:rsidR="008D705C" w:rsidRPr="00C31CC0">
        <w:rPr>
          <w:rFonts w:ascii="Times New Roman" w:hAnsi="Times New Roman"/>
          <w:noProof/>
          <w:sz w:val="24"/>
        </w:rPr>
        <w:drawing>
          <wp:inline distT="0" distB="0" distL="0" distR="0" wp14:anchorId="42FCDE61" wp14:editId="79EC11EA">
            <wp:extent cx="123825" cy="123825"/>
            <wp:effectExtent l="19050" t="0" r="9525" b="0"/>
            <wp:docPr id="13"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B94056">
        <w:rPr>
          <w:rFonts w:ascii="Times New Roman" w:hAnsi="Times New Roman"/>
          <w:sz w:val="24"/>
        </w:rPr>
        <w:t xml:space="preserve">  </w:t>
      </w:r>
      <w:r w:rsidRPr="00600E6F">
        <w:rPr>
          <w:rFonts w:ascii="Times New Roman" w:hAnsi="Times New Roman"/>
          <w:sz w:val="24"/>
        </w:rPr>
        <w:t>Yes ___ No</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 xml:space="preserve">Market Transformation Program  </w:t>
      </w:r>
      <w:r w:rsidR="008D705C">
        <w:rPr>
          <w:rFonts w:ascii="Times New Roman" w:hAnsi="Times New Roman"/>
          <w:noProof/>
          <w:sz w:val="24"/>
        </w:rPr>
        <w:drawing>
          <wp:inline distT="0" distB="0" distL="0" distR="0" wp14:anchorId="513C40AD" wp14:editId="0F8A00FF">
            <wp:extent cx="123825" cy="123825"/>
            <wp:effectExtent l="19050" t="0" r="9525" b="0"/>
            <wp:docPr id="14"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___ No </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Indicate the primary intervention strategies:</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Upstream</w:t>
      </w:r>
      <w:r w:rsidRPr="00600E6F">
        <w:rPr>
          <w:rFonts w:ascii="Times New Roman" w:hAnsi="Times New Roman"/>
          <w:sz w:val="24"/>
        </w:rPr>
        <w:tab/>
        <w:t xml:space="preserve"> </w:t>
      </w:r>
      <w:r w:rsidR="008D705C">
        <w:rPr>
          <w:rFonts w:ascii="Times New Roman" w:hAnsi="Times New Roman"/>
          <w:noProof/>
          <w:sz w:val="24"/>
        </w:rPr>
        <w:drawing>
          <wp:inline distT="0" distB="0" distL="0" distR="0" wp14:anchorId="0EF4A458" wp14:editId="5A51890D">
            <wp:extent cx="123825" cy="123825"/>
            <wp:effectExtent l="19050" t="0" r="9525" b="0"/>
            <wp:docPr id="15"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___ No</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 xml:space="preserve">Midstream </w:t>
      </w:r>
      <w:r w:rsidRPr="00600E6F">
        <w:rPr>
          <w:rFonts w:ascii="Times New Roman" w:hAnsi="Times New Roman"/>
          <w:sz w:val="24"/>
        </w:rPr>
        <w:tab/>
        <w:t xml:space="preserve"> </w:t>
      </w:r>
      <w:r w:rsidR="008D705C">
        <w:rPr>
          <w:rFonts w:ascii="Times New Roman" w:hAnsi="Times New Roman"/>
          <w:noProof/>
          <w:sz w:val="24"/>
        </w:rPr>
        <w:drawing>
          <wp:inline distT="0" distB="0" distL="0" distR="0" wp14:anchorId="77ABB3AF" wp14:editId="1119407B">
            <wp:extent cx="123825" cy="123825"/>
            <wp:effectExtent l="19050" t="0" r="9525" b="0"/>
            <wp:docPr id="16"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___ No</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 xml:space="preserve">Downstream </w:t>
      </w:r>
      <w:r w:rsidRPr="00600E6F">
        <w:rPr>
          <w:rFonts w:ascii="Times New Roman" w:hAnsi="Times New Roman"/>
          <w:sz w:val="24"/>
        </w:rPr>
        <w:tab/>
        <w:t xml:space="preserve"> </w:t>
      </w:r>
      <w:r w:rsidR="008D705C">
        <w:rPr>
          <w:rFonts w:ascii="Times New Roman" w:hAnsi="Times New Roman"/>
          <w:noProof/>
          <w:sz w:val="24"/>
        </w:rPr>
        <w:drawing>
          <wp:inline distT="0" distB="0" distL="0" distR="0" wp14:anchorId="65DD8C6D" wp14:editId="7F612090">
            <wp:extent cx="123825" cy="123825"/>
            <wp:effectExtent l="19050" t="0" r="9525" b="0"/>
            <wp:docPr id="17"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Yes ___ No</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 xml:space="preserve">Direct Install    </w:t>
      </w:r>
      <w:r w:rsidR="008D705C" w:rsidRPr="00C31CC0">
        <w:rPr>
          <w:rFonts w:ascii="Times New Roman" w:hAnsi="Times New Roman"/>
          <w:noProof/>
          <w:sz w:val="24"/>
        </w:rPr>
        <w:drawing>
          <wp:inline distT="0" distB="0" distL="0" distR="0" wp14:anchorId="3098DCFB" wp14:editId="73624DF7">
            <wp:extent cx="123825" cy="123825"/>
            <wp:effectExtent l="19050" t="0" r="9525"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B94056">
        <w:rPr>
          <w:rFonts w:ascii="Times New Roman" w:hAnsi="Times New Roman"/>
          <w:sz w:val="24"/>
        </w:rPr>
        <w:t xml:space="preserve"> </w:t>
      </w:r>
      <w:r w:rsidRPr="00600E6F">
        <w:rPr>
          <w:rFonts w:ascii="Times New Roman" w:hAnsi="Times New Roman"/>
          <w:sz w:val="24"/>
        </w:rPr>
        <w:t xml:space="preserve">Yes  </w:t>
      </w:r>
      <w:r w:rsidR="00B94056" w:rsidRPr="00600E6F">
        <w:rPr>
          <w:rFonts w:ascii="Times New Roman" w:hAnsi="Times New Roman"/>
          <w:sz w:val="24"/>
        </w:rPr>
        <w:t xml:space="preserve">___ </w:t>
      </w:r>
      <w:r w:rsidRPr="00600E6F">
        <w:rPr>
          <w:rFonts w:ascii="Times New Roman" w:hAnsi="Times New Roman"/>
          <w:sz w:val="24"/>
        </w:rPr>
        <w:t xml:space="preserve">No </w:t>
      </w:r>
    </w:p>
    <w:p w:rsidR="00513B47" w:rsidRPr="00600E6F" w:rsidRDefault="00513B47" w:rsidP="00C31CC0">
      <w:pPr>
        <w:numPr>
          <w:ilvl w:val="1"/>
          <w:numId w:val="29"/>
        </w:numPr>
        <w:spacing w:after="0" w:line="240" w:lineRule="auto"/>
        <w:ind w:left="1440"/>
        <w:rPr>
          <w:rFonts w:ascii="Times New Roman" w:hAnsi="Times New Roman"/>
          <w:sz w:val="24"/>
        </w:rPr>
      </w:pPr>
      <w:r w:rsidRPr="00600E6F">
        <w:rPr>
          <w:rFonts w:ascii="Times New Roman" w:hAnsi="Times New Roman"/>
          <w:sz w:val="24"/>
        </w:rPr>
        <w:t xml:space="preserve">Non Resource  </w:t>
      </w:r>
      <w:r w:rsidR="008D705C" w:rsidRPr="00C31CC0">
        <w:rPr>
          <w:rFonts w:ascii="Times New Roman" w:hAnsi="Times New Roman"/>
          <w:noProof/>
          <w:sz w:val="24"/>
        </w:rPr>
        <w:drawing>
          <wp:inline distT="0" distB="0" distL="0" distR="0" wp14:anchorId="04F893CE" wp14:editId="4F4AE90D">
            <wp:extent cx="123825" cy="123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00B94056">
        <w:rPr>
          <w:rFonts w:ascii="Times New Roman" w:hAnsi="Times New Roman"/>
          <w:sz w:val="24"/>
        </w:rPr>
        <w:t xml:space="preserve"> </w:t>
      </w:r>
      <w:r w:rsidRPr="00600E6F">
        <w:rPr>
          <w:rFonts w:ascii="Times New Roman" w:hAnsi="Times New Roman"/>
          <w:sz w:val="24"/>
        </w:rPr>
        <w:t xml:space="preserve">Yes  </w:t>
      </w:r>
      <w:r w:rsidR="00B94056" w:rsidRPr="00600E6F">
        <w:rPr>
          <w:rFonts w:ascii="Times New Roman" w:hAnsi="Times New Roman"/>
          <w:sz w:val="24"/>
        </w:rPr>
        <w:t xml:space="preserve">___ </w:t>
      </w:r>
      <w:r w:rsidRPr="00600E6F">
        <w:rPr>
          <w:rFonts w:ascii="Times New Roman" w:hAnsi="Times New Roman"/>
          <w:sz w:val="24"/>
        </w:rPr>
        <w:t>No</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 xml:space="preserve">Projected Sub-program Total Resource Cost (TRC) and Program Administrator Cost (PAC)  </w:t>
      </w:r>
      <w:r w:rsidRPr="00600E6F">
        <w:rPr>
          <w:rFonts w:ascii="Times New Roman" w:hAnsi="Times New Roman"/>
          <w:sz w:val="24"/>
        </w:rPr>
        <w:t xml:space="preserve">TRC ___ PAC ___ </w:t>
      </w:r>
    </w:p>
    <w:p w:rsidR="00513B47" w:rsidRPr="00600E6F" w:rsidRDefault="00513B47" w:rsidP="00AB0C91">
      <w:pPr>
        <w:spacing w:after="0" w:line="240" w:lineRule="auto"/>
        <w:ind w:left="720"/>
        <w:rPr>
          <w:rFonts w:ascii="Times New Roman" w:hAnsi="Times New Roman"/>
          <w:b/>
          <w:sz w:val="24"/>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Projected Sub-Program Budget</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pStyle w:val="Caption"/>
        <w:ind w:firstLine="720"/>
        <w:rPr>
          <w:b w:val="0"/>
          <w:sz w:val="24"/>
        </w:rPr>
      </w:pPr>
      <w:r w:rsidRPr="00600E6F">
        <w:rPr>
          <w:sz w:val="24"/>
        </w:rPr>
        <w:t>Table-</w:t>
      </w:r>
      <w:r w:rsidR="00E7041A" w:rsidRPr="00600E6F">
        <w:rPr>
          <w:sz w:val="24"/>
        </w:rPr>
        <w:fldChar w:fldCharType="begin"/>
      </w:r>
      <w:r w:rsidRPr="00600E6F">
        <w:rPr>
          <w:sz w:val="24"/>
        </w:rPr>
        <w:instrText xml:space="preserve"> SEQ Table \* ARABIC </w:instrText>
      </w:r>
      <w:r w:rsidR="00E7041A" w:rsidRPr="00600E6F">
        <w:rPr>
          <w:sz w:val="24"/>
        </w:rPr>
        <w:fldChar w:fldCharType="separate"/>
      </w:r>
      <w:r w:rsidR="007E4BEC">
        <w:rPr>
          <w:noProof/>
          <w:sz w:val="24"/>
        </w:rPr>
        <w:t>3</w:t>
      </w:r>
      <w:r w:rsidR="00E7041A" w:rsidRPr="00600E6F">
        <w:rPr>
          <w:sz w:val="24"/>
        </w:rPr>
        <w:fldChar w:fldCharType="end"/>
      </w:r>
      <w:r w:rsidRPr="00600E6F">
        <w:rPr>
          <w:sz w:val="24"/>
        </w:rPr>
        <w:t xml:space="preserve">: </w:t>
      </w:r>
      <w:r w:rsidRPr="00600E6F">
        <w:rPr>
          <w:b w:val="0"/>
          <w:sz w:val="24"/>
        </w:rPr>
        <w:t>Projected Sub-Program Budget, by Calendar Year</w:t>
      </w:r>
      <w:r w:rsidRPr="00600E6F">
        <w:rPr>
          <w:rStyle w:val="FootnoteReference"/>
          <w:b w:val="0"/>
          <w:sz w:val="24"/>
        </w:rPr>
        <w:footnoteReference w:id="6"/>
      </w:r>
    </w:p>
    <w:p w:rsidR="00513B47" w:rsidRPr="00600E6F" w:rsidRDefault="00513B47" w:rsidP="003408F4">
      <w:pPr>
        <w:spacing w:after="0" w:line="240" w:lineRule="auto"/>
        <w:ind w:left="720"/>
        <w:rPr>
          <w:rFonts w:ascii="Times New Roman" w:hAnsi="Times New Roman"/>
          <w:i/>
          <w:sz w:val="24"/>
        </w:rPr>
      </w:pPr>
      <w:r w:rsidRPr="00600E6F">
        <w:rPr>
          <w:rFonts w:ascii="Times New Roman" w:hAnsi="Times New Roman"/>
          <w:i/>
          <w:sz w:val="24"/>
        </w:rPr>
        <w:t>[Table-3 to be provided as an Excel Attachment to this PIP]</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Sub-Program Description, Objectives and Theory</w:t>
      </w:r>
    </w:p>
    <w:p w:rsidR="00D222A7" w:rsidRPr="00D737C2" w:rsidRDefault="00D222A7" w:rsidP="003408F4">
      <w:pPr>
        <w:spacing w:after="0" w:line="240" w:lineRule="auto"/>
        <w:rPr>
          <w:rFonts w:ascii="Times New Roman" w:hAnsi="Times New Roman"/>
          <w:sz w:val="24"/>
          <w:szCs w:val="24"/>
        </w:rPr>
      </w:pPr>
    </w:p>
    <w:p w:rsidR="00513B47" w:rsidRPr="00600E6F" w:rsidRDefault="00513B47" w:rsidP="00C31CC0">
      <w:pPr>
        <w:numPr>
          <w:ilvl w:val="0"/>
          <w:numId w:val="4"/>
        </w:numPr>
        <w:spacing w:after="0" w:line="240" w:lineRule="auto"/>
        <w:rPr>
          <w:rFonts w:ascii="Times New Roman" w:hAnsi="Times New Roman"/>
          <w:b/>
          <w:sz w:val="24"/>
        </w:rPr>
      </w:pPr>
      <w:r w:rsidRPr="00600E6F">
        <w:rPr>
          <w:rFonts w:ascii="Times New Roman" w:hAnsi="Times New Roman"/>
          <w:b/>
          <w:sz w:val="24"/>
        </w:rPr>
        <w:t xml:space="preserve">Sub-Program Description and Theory: </w:t>
      </w:r>
      <w:r w:rsidRPr="00600E6F">
        <w:rPr>
          <w:rFonts w:ascii="Times New Roman" w:hAnsi="Times New Roman"/>
          <w:sz w:val="24"/>
        </w:rPr>
        <w:t>Clearly describe the goals of the sub-program and the sub-program theory. As part of this, describe the market barriers, specific areas of concern and/or gaps that the sub-program is designed to address.</w:t>
      </w:r>
      <w:r w:rsidR="007E4BEC">
        <w:rPr>
          <w:rFonts w:ascii="Times New Roman" w:hAnsi="Times New Roman"/>
          <w:sz w:val="24"/>
        </w:rPr>
        <w:t xml:space="preserve"> </w:t>
      </w:r>
      <w:r w:rsidRPr="00600E6F">
        <w:rPr>
          <w:rFonts w:ascii="Times New Roman" w:hAnsi="Times New Roman"/>
          <w:sz w:val="24"/>
        </w:rPr>
        <w:lastRenderedPageBreak/>
        <w:t>Then describe the way the sub-program will seek to address each barrier, area of concern or gap</w:t>
      </w:r>
      <w:r w:rsidRPr="00600E6F">
        <w:rPr>
          <w:rStyle w:val="FootnoteReference"/>
          <w:rFonts w:ascii="Times New Roman" w:hAnsi="Times New Roman"/>
          <w:sz w:val="24"/>
        </w:rPr>
        <w:footnoteReference w:id="7"/>
      </w:r>
      <w:r w:rsidRPr="00600E6F">
        <w:rPr>
          <w:rFonts w:ascii="Times New Roman" w:hAnsi="Times New Roman"/>
          <w:sz w:val="24"/>
        </w:rPr>
        <w:t>.</w:t>
      </w:r>
      <w:r w:rsidRPr="00600E6F">
        <w:rPr>
          <w:rFonts w:ascii="Times New Roman" w:hAnsi="Times New Roman"/>
          <w:b/>
          <w:sz w:val="24"/>
        </w:rPr>
        <w:t xml:space="preserve"> </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pStyle w:val="ListParagraph"/>
        <w:numPr>
          <w:ilvl w:val="0"/>
          <w:numId w:val="107"/>
        </w:numPr>
        <w:spacing w:after="0" w:line="240" w:lineRule="auto"/>
        <w:ind w:left="1800" w:hanging="180"/>
        <w:contextualSpacing w:val="0"/>
        <w:rPr>
          <w:rFonts w:ascii="Times New Roman" w:hAnsi="Times New Roman"/>
        </w:rPr>
      </w:pPr>
      <w:r w:rsidRPr="00600E6F">
        <w:rPr>
          <w:rFonts w:ascii="Times New Roman" w:hAnsi="Times New Roman"/>
          <w:b/>
          <w:sz w:val="24"/>
        </w:rPr>
        <w:t>Sub-program Goals</w:t>
      </w:r>
    </w:p>
    <w:p w:rsidR="00513B47" w:rsidRPr="00600E6F" w:rsidRDefault="00513B47" w:rsidP="003408F4">
      <w:pPr>
        <w:pStyle w:val="NoSpacing"/>
        <w:ind w:left="1800"/>
      </w:pPr>
      <w:r w:rsidRPr="00600E6F">
        <w:t xml:space="preserve">The PLA sub-program aims to transform the market to achieve sustainable adoption of energy efficient PLA products where ongoing intervention would no longer be required. For the short to mid-term time frame where energy efficiency PLA products are still not the market’s default choices, the program uses incentive mechanisms, Marketing Education &amp; Outreach (ME&amp;O), Worker Education &amp; Training (WE&amp;T), and strategic industry collaboration to increase availability, awareness, and adoption of energy efficient products. For the longer-term time frame, the PLA sub-program leverages Integrated Demand Side Management (IDSM) programs to influence the development of codes and standards in order to ensure the minimum required energy efficiency levels, promote “Energy Efficiency” as the preferred choice in life-style and new product purchases. The program’s long-term strategy seeks to create ongoing demands for “Energy Efficiency” products and thus motivate the industry to produce and sell high efficient PLA products as the market standard offering.  </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pStyle w:val="ListParagraph"/>
        <w:numPr>
          <w:ilvl w:val="0"/>
          <w:numId w:val="107"/>
        </w:numPr>
        <w:spacing w:after="0" w:line="240" w:lineRule="auto"/>
        <w:ind w:left="1800" w:hanging="180"/>
        <w:contextualSpacing w:val="0"/>
        <w:rPr>
          <w:rFonts w:ascii="Times New Roman" w:hAnsi="Times New Roman"/>
          <w:b/>
          <w:sz w:val="24"/>
        </w:rPr>
      </w:pPr>
      <w:r w:rsidRPr="00600E6F">
        <w:rPr>
          <w:rFonts w:ascii="Times New Roman" w:hAnsi="Times New Roman"/>
          <w:b/>
          <w:sz w:val="24"/>
        </w:rPr>
        <w:t>Sub-program Theory</w:t>
      </w:r>
    </w:p>
    <w:p w:rsidR="00513B47" w:rsidRPr="00600E6F" w:rsidRDefault="00513B47" w:rsidP="003408F4">
      <w:pPr>
        <w:pStyle w:val="NoSpacing"/>
      </w:pPr>
    </w:p>
    <w:p w:rsidR="00513B47" w:rsidRPr="00600E6F" w:rsidRDefault="00513B47" w:rsidP="003408F4">
      <w:pPr>
        <w:pStyle w:val="NoSpacing"/>
        <w:ind w:left="1800"/>
        <w:rPr>
          <w:b/>
        </w:rPr>
      </w:pPr>
      <w:r w:rsidRPr="00600E6F">
        <w:rPr>
          <w:b/>
        </w:rPr>
        <w:t>Key Program Drivers</w:t>
      </w:r>
    </w:p>
    <w:p w:rsidR="00513B47" w:rsidRPr="00600E6F" w:rsidRDefault="00513B47" w:rsidP="003408F4">
      <w:pPr>
        <w:pStyle w:val="NoSpacing"/>
        <w:ind w:left="1800"/>
      </w:pPr>
      <w:r w:rsidRPr="00600E6F">
        <w:t>Some of the key market drivers that exert significant impacts to the PLA sub-program in the 2013-</w:t>
      </w:r>
      <w:r w:rsidR="00786C83">
        <w:t>20</w:t>
      </w:r>
      <w:r w:rsidRPr="00D737C2">
        <w:t>14</w:t>
      </w:r>
      <w:r w:rsidRPr="00600E6F">
        <w:t xml:space="preserve"> Transition Period:</w:t>
      </w:r>
    </w:p>
    <w:p w:rsidR="00513B47" w:rsidRPr="00600E6F" w:rsidRDefault="00513B47" w:rsidP="003408F4">
      <w:pPr>
        <w:pStyle w:val="NoSpacing"/>
        <w:ind w:left="1800"/>
      </w:pPr>
    </w:p>
    <w:p w:rsidR="00513B47" w:rsidRPr="00600E6F" w:rsidRDefault="00513B47" w:rsidP="003408F4">
      <w:pPr>
        <w:pStyle w:val="NoSpacing"/>
        <w:ind w:left="2160" w:hanging="360"/>
      </w:pPr>
      <w:r w:rsidRPr="00600E6F">
        <w:t>1.</w:t>
      </w:r>
      <w:r w:rsidRPr="00600E6F">
        <w:tab/>
        <w:t>PLA products comprise one of the largest and fastest growing end-uses, dwarfing electrical loads from traditional categories such as lighting and HVAC</w:t>
      </w:r>
      <w:r w:rsidRPr="00600E6F">
        <w:rPr>
          <w:rStyle w:val="FootnoteReference"/>
          <w:sz w:val="24"/>
        </w:rPr>
        <w:footnoteReference w:id="8"/>
      </w:r>
      <w:r w:rsidRPr="00600E6F">
        <w:t xml:space="preserve"> – See Figure-1.</w:t>
      </w:r>
    </w:p>
    <w:p w:rsidR="00513B47" w:rsidRPr="00600E6F" w:rsidRDefault="00513B47" w:rsidP="003408F4">
      <w:pPr>
        <w:pStyle w:val="NoSpacing"/>
        <w:ind w:left="2160" w:hanging="360"/>
      </w:pPr>
    </w:p>
    <w:p w:rsidR="00513B47" w:rsidRPr="00600E6F" w:rsidRDefault="00513B47" w:rsidP="003408F4">
      <w:pPr>
        <w:pStyle w:val="NoSpacing"/>
        <w:ind w:left="2160" w:hanging="360"/>
      </w:pPr>
      <w:r w:rsidRPr="00600E6F">
        <w:t>2.</w:t>
      </w:r>
      <w:r w:rsidRPr="00600E6F">
        <w:tab/>
        <w:t>Customers tend to rank PLA’s energy efficiency as low priority and some perceive that energy efficiency design compromises product performance and convenience.</w:t>
      </w:r>
    </w:p>
    <w:p w:rsidR="00513B47" w:rsidRPr="00600E6F" w:rsidRDefault="00513B47" w:rsidP="003408F4">
      <w:pPr>
        <w:pStyle w:val="NoSpacing"/>
        <w:ind w:left="2160" w:hanging="360"/>
      </w:pPr>
    </w:p>
    <w:p w:rsidR="00513B47" w:rsidRPr="00600E6F" w:rsidRDefault="00513B47" w:rsidP="003408F4">
      <w:pPr>
        <w:pStyle w:val="NoSpacing"/>
        <w:ind w:left="2160" w:hanging="360"/>
      </w:pPr>
      <w:r w:rsidRPr="00600E6F">
        <w:t>3.</w:t>
      </w:r>
      <w:r w:rsidRPr="00600E6F">
        <w:tab/>
        <w:t xml:space="preserve">National market trends are the dominant drivers influencing manufacturers and retailers’ offering of PLA products. Regional utility programs face </w:t>
      </w:r>
      <w:r w:rsidRPr="00600E6F">
        <w:lastRenderedPageBreak/>
        <w:t>challenges in attracting manufacturer and retailer participation due to the national scope of products</w:t>
      </w:r>
      <w:r w:rsidRPr="00600E6F">
        <w:rPr>
          <w:rStyle w:val="FootnoteReference"/>
          <w:sz w:val="24"/>
        </w:rPr>
        <w:footnoteReference w:id="9"/>
      </w:r>
      <w:r w:rsidRPr="00600E6F">
        <w:t>.</w:t>
      </w:r>
      <w:r w:rsidRPr="00600E6F">
        <w:br/>
      </w:r>
    </w:p>
    <w:p w:rsidR="00513B47" w:rsidRPr="00600E6F" w:rsidRDefault="00513B47" w:rsidP="003408F4">
      <w:pPr>
        <w:pStyle w:val="NoSpacing"/>
        <w:ind w:left="2160" w:hanging="360"/>
      </w:pPr>
      <w:r w:rsidRPr="00600E6F">
        <w:t>4.</w:t>
      </w:r>
      <w:r w:rsidRPr="00600E6F">
        <w:tab/>
        <w:t xml:space="preserve">Online has a growing importance in the customer’s product purchasing process. The customer toggles back and forth between the traditional brick-and-mortar retailers and e-commerce sites for product research, price shopping, purchases, and post-sales support. </w:t>
      </w:r>
      <w:r w:rsidRPr="00600E6F">
        <w:br/>
      </w:r>
    </w:p>
    <w:p w:rsidR="00513B47" w:rsidRPr="00600E6F" w:rsidRDefault="00513B47" w:rsidP="003408F4">
      <w:pPr>
        <w:pStyle w:val="NoSpacing"/>
        <w:ind w:left="2160" w:hanging="360"/>
      </w:pPr>
      <w:r w:rsidRPr="00600E6F">
        <w:t>5.</w:t>
      </w:r>
      <w:r w:rsidRPr="00600E6F">
        <w:tab/>
        <w:t>The incremental energy savings from miscellaneous electronics are too small to motivate customer’s behavior changes, and too costly for IOUs’ current product-base program framework</w:t>
      </w:r>
      <w:r w:rsidRPr="00600E6F">
        <w:rPr>
          <w:rStyle w:val="FootnoteReference"/>
          <w:sz w:val="24"/>
        </w:rPr>
        <w:footnoteReference w:id="10"/>
      </w:r>
      <w:r w:rsidRPr="00600E6F">
        <w:t xml:space="preserve">. </w:t>
      </w:r>
    </w:p>
    <w:p w:rsidR="00513B47" w:rsidRPr="00600E6F" w:rsidRDefault="00513B47" w:rsidP="003408F4">
      <w:pPr>
        <w:pStyle w:val="NoSpacing"/>
        <w:ind w:left="2160" w:hanging="360"/>
      </w:pPr>
    </w:p>
    <w:p w:rsidR="00513B47" w:rsidRPr="00600E6F" w:rsidRDefault="00513B47" w:rsidP="003408F4">
      <w:pPr>
        <w:pStyle w:val="NoSpacing"/>
        <w:ind w:left="2160" w:hanging="360"/>
      </w:pPr>
      <w:r w:rsidRPr="00600E6F">
        <w:t>6.</w:t>
      </w:r>
      <w:r w:rsidRPr="00600E6F">
        <w:tab/>
        <w:t>The rapid product life cycle for consumer electronics of 6-12 months poses significant challenges in establishing saving baselines and work-paper development for individual measures</w:t>
      </w:r>
      <w:r w:rsidRPr="00600E6F">
        <w:rPr>
          <w:rStyle w:val="FootnoteReference"/>
          <w:sz w:val="24"/>
        </w:rPr>
        <w:footnoteReference w:id="11"/>
      </w:r>
      <w:r w:rsidRPr="00600E6F">
        <w:t xml:space="preserve">.  </w:t>
      </w:r>
      <w:r w:rsidRPr="00600E6F">
        <w:br/>
      </w:r>
    </w:p>
    <w:p w:rsidR="00513B47" w:rsidRPr="00600E6F" w:rsidRDefault="00513B47" w:rsidP="003408F4">
      <w:pPr>
        <w:pStyle w:val="NoSpacing"/>
        <w:ind w:left="2160" w:hanging="360"/>
      </w:pPr>
      <w:r w:rsidRPr="00600E6F">
        <w:t>7.</w:t>
      </w:r>
      <w:r w:rsidRPr="00600E6F">
        <w:tab/>
        <w:t xml:space="preserve">Growing trends of networking home electronics cause energy saving for products to be highly dependent on consumer behavior or usage settings. This isolation of energy savings and consumption on a product-by-product basis becomes challenging. </w:t>
      </w:r>
      <w:r w:rsidRPr="00600E6F">
        <w:br/>
        <w:t xml:space="preserve"> </w:t>
      </w:r>
    </w:p>
    <w:p w:rsidR="00513B47" w:rsidRPr="00600E6F" w:rsidRDefault="00513B47" w:rsidP="003408F4">
      <w:pPr>
        <w:pStyle w:val="NoSpacing"/>
        <w:ind w:left="2160" w:hanging="360"/>
      </w:pPr>
      <w:r w:rsidRPr="00600E6F">
        <w:t>8.</w:t>
      </w:r>
      <w:r w:rsidRPr="00600E6F">
        <w:tab/>
        <w:t xml:space="preserve">Codes and standards exert powerful pulls on the PLA markets toward higher energy efficiency baselines.  </w:t>
      </w:r>
    </w:p>
    <w:p w:rsidR="00513B47" w:rsidRPr="00600E6F" w:rsidRDefault="00513B47" w:rsidP="003408F4">
      <w:pPr>
        <w:pStyle w:val="NoSpacing"/>
        <w:ind w:left="2160" w:hanging="360"/>
      </w:pPr>
      <w:r w:rsidRPr="00600E6F">
        <w:t> </w:t>
      </w:r>
    </w:p>
    <w:p w:rsidR="00513B47" w:rsidRPr="00600E6F" w:rsidRDefault="00513B47" w:rsidP="00803A92">
      <w:pPr>
        <w:rPr>
          <w:rFonts w:ascii="Times New Roman" w:hAnsi="Times New Roman"/>
          <w:sz w:val="24"/>
        </w:rPr>
      </w:pPr>
      <w:r w:rsidRPr="00600E6F">
        <w:rPr>
          <w:rFonts w:ascii="Times New Roman" w:hAnsi="Times New Roman"/>
          <w:b/>
          <w:sz w:val="24"/>
        </w:rPr>
        <w:br w:type="page"/>
      </w:r>
      <w:r w:rsidR="00803A92" w:rsidRPr="00600E6F">
        <w:rPr>
          <w:rFonts w:ascii="Times New Roman" w:hAnsi="Times New Roman"/>
          <w:b/>
          <w:sz w:val="24"/>
        </w:rPr>
        <w:lastRenderedPageBreak/>
        <w:t xml:space="preserve">                                  </w:t>
      </w:r>
      <w:r w:rsidRPr="00600E6F">
        <w:rPr>
          <w:rFonts w:ascii="Times New Roman" w:hAnsi="Times New Roman"/>
          <w:b/>
          <w:sz w:val="24"/>
        </w:rPr>
        <w:t>Figure</w:t>
      </w:r>
      <w:r w:rsidR="00786C83">
        <w:rPr>
          <w:rFonts w:ascii="Times New Roman" w:hAnsi="Times New Roman"/>
          <w:b/>
          <w:sz w:val="24"/>
          <w:szCs w:val="24"/>
        </w:rPr>
        <w:t xml:space="preserve"> </w:t>
      </w:r>
      <w:r w:rsidRPr="00600E6F">
        <w:rPr>
          <w:rFonts w:ascii="Times New Roman" w:hAnsi="Times New Roman"/>
          <w:b/>
          <w:sz w:val="24"/>
        </w:rPr>
        <w:t xml:space="preserve">1: </w:t>
      </w:r>
      <w:r w:rsidRPr="00600E6F">
        <w:rPr>
          <w:rFonts w:ascii="Times New Roman" w:hAnsi="Times New Roman"/>
          <w:sz w:val="24"/>
        </w:rPr>
        <w:t>US Commercial &amp; Residential Electricity Growth</w:t>
      </w:r>
      <w:r w:rsidRPr="00600E6F">
        <w:rPr>
          <w:rStyle w:val="FootnoteReference"/>
          <w:rFonts w:ascii="Times New Roman" w:hAnsi="Times New Roman"/>
          <w:sz w:val="24"/>
        </w:rPr>
        <w:footnoteReference w:id="12"/>
      </w:r>
    </w:p>
    <w:p w:rsidR="00513B47" w:rsidRPr="00600E6F" w:rsidRDefault="00513B47" w:rsidP="003408F4">
      <w:pPr>
        <w:pStyle w:val="NoSpacing"/>
        <w:ind w:left="1800"/>
      </w:pPr>
      <w:r w:rsidRPr="00600E6F">
        <w:t xml:space="preserve"> </w:t>
      </w:r>
    </w:p>
    <w:p w:rsidR="00513B47" w:rsidRPr="00600E6F" w:rsidRDefault="008D705C" w:rsidP="003408F4">
      <w:pPr>
        <w:pStyle w:val="NoSpacing"/>
        <w:ind w:left="1800"/>
      </w:pPr>
      <w:r>
        <w:rPr>
          <w:noProof/>
        </w:rPr>
        <w:drawing>
          <wp:inline distT="0" distB="0" distL="0" distR="0" wp14:anchorId="2BE736A4" wp14:editId="60280259">
            <wp:extent cx="4076700" cy="3076575"/>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076700" cy="3076575"/>
                    </a:xfrm>
                    <a:prstGeom prst="rect">
                      <a:avLst/>
                    </a:prstGeom>
                    <a:noFill/>
                    <a:ln w="9525">
                      <a:noFill/>
                      <a:miter lim="800000"/>
                      <a:headEnd/>
                      <a:tailEnd/>
                    </a:ln>
                  </pic:spPr>
                </pic:pic>
              </a:graphicData>
            </a:graphic>
          </wp:inline>
        </w:drawing>
      </w:r>
    </w:p>
    <w:p w:rsidR="00513B47" w:rsidRPr="00600E6F" w:rsidRDefault="00513B47" w:rsidP="003408F4">
      <w:pPr>
        <w:pStyle w:val="NoSpacing"/>
        <w:ind w:left="1800"/>
      </w:pPr>
    </w:p>
    <w:p w:rsidR="00513B47" w:rsidRPr="00600E6F" w:rsidRDefault="00513B47" w:rsidP="003408F4">
      <w:pPr>
        <w:pStyle w:val="NoSpacing"/>
        <w:ind w:left="1800"/>
      </w:pPr>
      <w:r w:rsidRPr="00600E6F">
        <w:t>Key regulatory drivers that impact the 2013-2014 Transition Period are requirements found in the Final Decision</w:t>
      </w:r>
      <w:r w:rsidRPr="00600E6F">
        <w:rPr>
          <w:rStyle w:val="FootnoteReference"/>
          <w:sz w:val="24"/>
        </w:rPr>
        <w:footnoteReference w:id="13"/>
      </w:r>
      <w:r w:rsidRPr="00600E6F">
        <w:t>. These requirements and IOUs’ responses are summarized in Table-</w:t>
      </w:r>
      <w:r w:rsidR="0093736E" w:rsidRPr="00600E6F">
        <w:t>E</w:t>
      </w:r>
      <w:r w:rsidRPr="00600E6F">
        <w:t xml:space="preserve"> and Table-</w:t>
      </w:r>
      <w:r w:rsidR="0093736E" w:rsidRPr="00600E6F">
        <w:t>F</w:t>
      </w:r>
      <w:r w:rsidRPr="00600E6F">
        <w:t xml:space="preserve"> of this PIP. </w:t>
      </w:r>
    </w:p>
    <w:p w:rsidR="00513B47" w:rsidRPr="00600E6F" w:rsidRDefault="00513B47" w:rsidP="003408F4">
      <w:pPr>
        <w:pStyle w:val="NoSpacing"/>
        <w:ind w:left="2160" w:hanging="360"/>
        <w:rPr>
          <w:b/>
        </w:rPr>
      </w:pPr>
    </w:p>
    <w:p w:rsidR="00513B47" w:rsidRPr="00600E6F" w:rsidRDefault="00513B47" w:rsidP="003408F4">
      <w:pPr>
        <w:pStyle w:val="NoSpacing"/>
        <w:ind w:left="2160" w:hanging="360"/>
        <w:rPr>
          <w:b/>
        </w:rPr>
      </w:pPr>
      <w:r w:rsidRPr="00600E6F">
        <w:rPr>
          <w:b/>
        </w:rPr>
        <w:t>PLA Sub-program Framework</w:t>
      </w:r>
    </w:p>
    <w:p w:rsidR="00513B47" w:rsidRPr="00600E6F" w:rsidRDefault="00513B47" w:rsidP="003408F4">
      <w:pPr>
        <w:pStyle w:val="NoSpacing"/>
        <w:ind w:left="1800"/>
      </w:pPr>
      <w:r w:rsidRPr="00600E6F">
        <w:t xml:space="preserve">The PLA sub-program is designed to support BBEES in advancing market transformation (MT) toward Title 20 codes and standards changes for realizing ZNE’s vision and IDSM goals of reducing the energy purchase by 40% from 2008 levels for the residential sector by 2020. This will be achieved by working with manufacturers, sales channel partners, contractors, service providers, and other market actors in pushing the market toward the 2020 vision through accelerating market adoption of successive waves of advanced PLA technologies. In parallel, the utilities will work concurrently with Code &amp; Standard bodies, ENERGY STAR®, local and federal government agencies, and other market actors to influence the development of codes and standards to support the 2020 goals. </w:t>
      </w:r>
    </w:p>
    <w:p w:rsidR="00513B47" w:rsidRPr="00600E6F" w:rsidRDefault="00513B47" w:rsidP="003408F4">
      <w:pPr>
        <w:pStyle w:val="NoSpacing"/>
        <w:ind w:left="1800"/>
      </w:pPr>
    </w:p>
    <w:p w:rsidR="00513B47" w:rsidRPr="00600E6F" w:rsidRDefault="00513B47" w:rsidP="003408F4">
      <w:pPr>
        <w:pStyle w:val="NoSpacing"/>
        <w:ind w:left="1800"/>
      </w:pPr>
      <w:r w:rsidRPr="00600E6F">
        <w:t xml:space="preserve">This PIP concurs with the Final Decision that the PLA sub-program should institute a framework that provides a pathway of support for market transformation. Viewing the Final Decision’s guidance for the Statewide Lighting Program as a fresh approach to program implementation for greater market transformation and deeper energy savings, the PLA sub-program </w:t>
      </w:r>
      <w:r w:rsidRPr="00600E6F">
        <w:lastRenderedPageBreak/>
        <w:t>adopts the Final Decision’s approach for the Statewide Lighting Program as the template for the PLA sub-program design in the 2013-</w:t>
      </w:r>
      <w:r w:rsidR="00657138" w:rsidRPr="00600E6F">
        <w:t>20</w:t>
      </w:r>
      <w:r w:rsidRPr="00600E6F">
        <w:t xml:space="preserve">14 </w:t>
      </w:r>
      <w:r w:rsidR="001E6D67">
        <w:t>transition p</w:t>
      </w:r>
      <w:r w:rsidRPr="00D737C2">
        <w:t>eriod.</w:t>
      </w:r>
      <w:r w:rsidRPr="00600E6F">
        <w:t xml:space="preserve"> The following paragraphs discuss the incorporation of the Final Decision’s program framework with the industry’s Product Life Cycle concept to develop maximum synergies between the manufacturers, sales channel partners and the PLA sub-program.</w:t>
      </w:r>
    </w:p>
    <w:p w:rsidR="00513B47" w:rsidRPr="00600E6F" w:rsidRDefault="00513B47" w:rsidP="003408F4">
      <w:pPr>
        <w:pStyle w:val="NoSpacing"/>
        <w:ind w:left="1800"/>
      </w:pPr>
    </w:p>
    <w:p w:rsidR="00513B47" w:rsidRPr="00600E6F" w:rsidRDefault="00513B47" w:rsidP="003408F4">
      <w:pPr>
        <w:pStyle w:val="NoSpacing"/>
        <w:ind w:left="1800"/>
      </w:pPr>
      <w:r w:rsidRPr="00600E6F">
        <w:t>Figure-2 shows the combined "Bass Diffusion Theory"</w:t>
      </w:r>
      <w:r w:rsidRPr="00600E6F">
        <w:rPr>
          <w:rStyle w:val="FootnoteReference"/>
          <w:sz w:val="24"/>
        </w:rPr>
        <w:footnoteReference w:id="14"/>
      </w:r>
      <w:r w:rsidRPr="00600E6F">
        <w:t>, “Technology Adoption Life-Cycle model”</w:t>
      </w:r>
      <w:r w:rsidRPr="00600E6F">
        <w:rPr>
          <w:rStyle w:val="FootnoteReference"/>
          <w:sz w:val="24"/>
        </w:rPr>
        <w:footnoteReference w:id="15"/>
      </w:r>
      <w:r w:rsidRPr="00600E6F">
        <w:t xml:space="preserve"> and “Concept of Marketing Mixes”</w:t>
      </w:r>
      <w:r w:rsidRPr="00600E6F">
        <w:rPr>
          <w:rStyle w:val="FootnoteReference"/>
          <w:sz w:val="24"/>
        </w:rPr>
        <w:footnoteReference w:id="16"/>
      </w:r>
      <w:r w:rsidRPr="00600E6F">
        <w:t xml:space="preserve"> as a conceptual model, the Product Life Cycle (PLC) for commercializing new technologies and products. This model provides a high-level macro view of how the industry maximizes the sales of new technology through deploying appropriate marketing mix 4Ps (pricing, promotion, placement and product features) based on user’s needs/wants as the new technology progresses through various market adoption stages (introductory, growth, majority, and sun-setting stages). The PLC model proposes that a certain type of customer tends to cluster within a certain PLC phase, and tends to purchase certain type of products from a certain type of retailers. The industry recognizes this market characteristic and responses by formulating appropriate marketing mixes (product features, pricing, placement and promotion) to maximize sales to different customer groups. Figure-2 provides insights on how the PLC conceptual model might be adapted to guide the IOUs’ collaborations with manufacturers and sales channel efforts to deliver energy efficiency products to the markets.  </w:t>
      </w:r>
    </w:p>
    <w:p w:rsidR="00513B47" w:rsidRPr="00600E6F" w:rsidRDefault="00513B47" w:rsidP="003408F4">
      <w:pPr>
        <w:spacing w:after="0" w:line="240" w:lineRule="auto"/>
        <w:ind w:left="1800"/>
        <w:rPr>
          <w:rFonts w:ascii="Times New Roman" w:hAnsi="Times New Roman"/>
          <w:b/>
          <w:sz w:val="24"/>
        </w:rPr>
      </w:pPr>
    </w:p>
    <w:p w:rsidR="00513B47" w:rsidRPr="00600E6F" w:rsidRDefault="00513B47" w:rsidP="003408F4">
      <w:pPr>
        <w:spacing w:after="0" w:line="240" w:lineRule="auto"/>
        <w:ind w:left="1800"/>
        <w:rPr>
          <w:rFonts w:ascii="Times New Roman" w:hAnsi="Times New Roman"/>
          <w:b/>
          <w:sz w:val="24"/>
        </w:rPr>
      </w:pP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br w:type="page"/>
      </w:r>
      <w:r w:rsidR="00786C83">
        <w:rPr>
          <w:rFonts w:ascii="Times New Roman" w:hAnsi="Times New Roman"/>
          <w:b/>
          <w:sz w:val="24"/>
          <w:szCs w:val="24"/>
        </w:rPr>
        <w:lastRenderedPageBreak/>
        <w:t xml:space="preserve"> </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Figure</w:t>
      </w:r>
      <w:r w:rsidR="00786C83">
        <w:rPr>
          <w:rFonts w:ascii="Times New Roman" w:hAnsi="Times New Roman"/>
          <w:b/>
          <w:sz w:val="24"/>
          <w:szCs w:val="24"/>
        </w:rPr>
        <w:t xml:space="preserve"> </w:t>
      </w:r>
      <w:r w:rsidRPr="00600E6F">
        <w:rPr>
          <w:rFonts w:ascii="Times New Roman" w:hAnsi="Times New Roman"/>
          <w:b/>
          <w:sz w:val="24"/>
        </w:rPr>
        <w:t>2:</w:t>
      </w:r>
      <w:r w:rsidRPr="00600E6F">
        <w:rPr>
          <w:rFonts w:ascii="Times New Roman" w:hAnsi="Times New Roman"/>
          <w:sz w:val="24"/>
        </w:rPr>
        <w:t xml:space="preserve"> Industry’s Product Life Cycle Concept</w:t>
      </w:r>
    </w:p>
    <w:p w:rsidR="00513B47" w:rsidRPr="00600E6F" w:rsidRDefault="00513B47" w:rsidP="003408F4">
      <w:pPr>
        <w:pStyle w:val="NoSpacing"/>
      </w:pPr>
      <w:r w:rsidRPr="00600E6F">
        <w:t xml:space="preserve"> </w:t>
      </w:r>
    </w:p>
    <w:p w:rsidR="00513B47" w:rsidRPr="00600E6F" w:rsidRDefault="008D705C" w:rsidP="00657138">
      <w:pPr>
        <w:pStyle w:val="NoSpacing"/>
        <w:ind w:hanging="540"/>
      </w:pPr>
      <w:r>
        <w:rPr>
          <w:noProof/>
        </w:rPr>
        <w:drawing>
          <wp:inline distT="0" distB="0" distL="0" distR="0" wp14:anchorId="79EF0930" wp14:editId="6240761D">
            <wp:extent cx="6132266" cy="3090436"/>
            <wp:effectExtent l="76200" t="0" r="58984" b="71864"/>
            <wp:docPr id="23"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26"/>
                    <pic:cNvPicPr>
                      <a:picLocks noChangeAspect="1" noChangeArrowheads="1"/>
                    </pic:cNvPicPr>
                  </pic:nvPicPr>
                  <pic:blipFill>
                    <a:blip r:embed="rId19" cstate="print">
                      <a:extLst/>
                    </a:blip>
                    <a:srcRect/>
                    <a:stretch>
                      <a:fillRect/>
                    </a:stretch>
                  </pic:blipFill>
                  <pic:spPr bwMode="auto">
                    <a:xfrm>
                      <a:off x="0" y="0"/>
                      <a:ext cx="6132266" cy="3090436"/>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pStyle w:val="NoSpacing"/>
      </w:pPr>
    </w:p>
    <w:p w:rsidR="00513B47" w:rsidRPr="00600E6F" w:rsidRDefault="00513B47" w:rsidP="003408F4">
      <w:pPr>
        <w:pStyle w:val="NoSpacing"/>
        <w:ind w:left="1800"/>
      </w:pPr>
    </w:p>
    <w:p w:rsidR="00513B47" w:rsidRPr="00600E6F" w:rsidRDefault="00513B47" w:rsidP="003408F4">
      <w:pPr>
        <w:pStyle w:val="NoSpacing"/>
        <w:ind w:left="1800"/>
      </w:pPr>
      <w:r w:rsidRPr="00600E6F">
        <w:t xml:space="preserve">The IOUs could leverage the industry’s commercialization efforts to maximize the adoption of high energy efficient technologies by combining appropriate intervention mechanisms (incentive channels, ME&amp;O, WE&amp;T and Codes &amp; Standards) to influence the industry’s marketing mix 4Ps. The diagram in Figure-3 shows the adaptation of the PLC conceptual model into the program framework for supporting the IOUs’ efforts in transforming California’s PLA markets.  </w:t>
      </w:r>
    </w:p>
    <w:p w:rsidR="00513B47" w:rsidRPr="00600E6F" w:rsidRDefault="00513B47" w:rsidP="003408F4">
      <w:pPr>
        <w:pStyle w:val="NoSpacing"/>
        <w:ind w:left="1800"/>
      </w:pPr>
      <w:r w:rsidRPr="00600E6F">
        <w:t xml:space="preserve">  </w:t>
      </w:r>
    </w:p>
    <w:p w:rsidR="00513B47" w:rsidRPr="00600E6F" w:rsidRDefault="00513B47" w:rsidP="003408F4">
      <w:pPr>
        <w:pStyle w:val="NoSpacing"/>
        <w:ind w:left="1800"/>
      </w:pPr>
      <w:r w:rsidRPr="00600E6F">
        <w:t xml:space="preserve">The PLA sub-program framework envisions activities dedicated to support the PLA measures at various commercialization stages, including market transformation activities to provide the overall market transformation strategy and coordination of measures flowing through the PLA sub-program. </w:t>
      </w:r>
    </w:p>
    <w:p w:rsidR="00513B47" w:rsidRPr="00600E6F" w:rsidRDefault="00513B47" w:rsidP="003408F4">
      <w:pPr>
        <w:pStyle w:val="NoSpacing"/>
        <w:ind w:firstLine="720"/>
        <w:rPr>
          <w:b/>
        </w:rPr>
      </w:pPr>
    </w:p>
    <w:p w:rsidR="00513B47" w:rsidRPr="00600E6F" w:rsidRDefault="00513B47" w:rsidP="00803A92">
      <w:pPr>
        <w:rPr>
          <w:rFonts w:ascii="Times New Roman" w:hAnsi="Times New Roman"/>
          <w:sz w:val="24"/>
        </w:rPr>
      </w:pPr>
      <w:r w:rsidRPr="00600E6F">
        <w:rPr>
          <w:rFonts w:ascii="Times New Roman" w:hAnsi="Times New Roman"/>
          <w:b/>
          <w:sz w:val="24"/>
        </w:rPr>
        <w:br w:type="page"/>
      </w:r>
      <w:r w:rsidRPr="00600E6F">
        <w:rPr>
          <w:rFonts w:ascii="Times New Roman" w:hAnsi="Times New Roman"/>
          <w:b/>
          <w:sz w:val="24"/>
        </w:rPr>
        <w:lastRenderedPageBreak/>
        <w:t>Figure</w:t>
      </w:r>
      <w:r w:rsidR="00786C83">
        <w:rPr>
          <w:rFonts w:ascii="Times New Roman" w:hAnsi="Times New Roman"/>
          <w:b/>
          <w:sz w:val="24"/>
          <w:szCs w:val="24"/>
        </w:rPr>
        <w:t xml:space="preserve"> </w:t>
      </w:r>
      <w:r w:rsidRPr="00600E6F">
        <w:rPr>
          <w:rFonts w:ascii="Times New Roman" w:hAnsi="Times New Roman"/>
          <w:b/>
          <w:sz w:val="24"/>
        </w:rPr>
        <w:t>3:</w:t>
      </w:r>
      <w:r w:rsidRPr="00600E6F">
        <w:rPr>
          <w:rFonts w:ascii="Times New Roman" w:hAnsi="Times New Roman"/>
          <w:sz w:val="24"/>
        </w:rPr>
        <w:t xml:space="preserve">   PLA sub-program Framework</w:t>
      </w:r>
    </w:p>
    <w:p w:rsidR="00513B47" w:rsidRPr="00600E6F" w:rsidRDefault="00513B47" w:rsidP="003408F4">
      <w:pPr>
        <w:pStyle w:val="NoSpacing"/>
        <w:ind w:left="1800"/>
      </w:pPr>
    </w:p>
    <w:p w:rsidR="00513B47" w:rsidRPr="00600E6F" w:rsidRDefault="008D705C" w:rsidP="00600E6F">
      <w:pPr>
        <w:pStyle w:val="NoSpacing"/>
      </w:pPr>
      <w:r>
        <w:rPr>
          <w:noProof/>
        </w:rPr>
        <w:drawing>
          <wp:inline distT="0" distB="0" distL="0" distR="0" wp14:anchorId="5E002427" wp14:editId="4677E268">
            <wp:extent cx="5915025" cy="201930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15025" cy="2019300"/>
                    </a:xfrm>
                    <a:prstGeom prst="rect">
                      <a:avLst/>
                    </a:prstGeom>
                    <a:noFill/>
                    <a:ln w="9525">
                      <a:noFill/>
                      <a:miter lim="800000"/>
                      <a:headEnd/>
                      <a:tailEnd/>
                    </a:ln>
                  </pic:spPr>
                </pic:pic>
              </a:graphicData>
            </a:graphic>
          </wp:inline>
        </w:drawing>
      </w:r>
    </w:p>
    <w:p w:rsidR="00513B47" w:rsidRPr="00600E6F" w:rsidRDefault="00513B47" w:rsidP="003408F4">
      <w:pPr>
        <w:pStyle w:val="NoSpacing"/>
        <w:ind w:left="1800"/>
      </w:pPr>
    </w:p>
    <w:p w:rsidR="00513B47" w:rsidRPr="00600E6F" w:rsidRDefault="00513B47" w:rsidP="003408F4">
      <w:pPr>
        <w:pStyle w:val="NoSpacing"/>
        <w:ind w:left="1800"/>
      </w:pPr>
      <w:r w:rsidRPr="00600E6F">
        <w:t>In embracing the Final Decision’s guidance for the Statewide Lighting Program</w:t>
      </w:r>
      <w:r w:rsidRPr="00600E6F">
        <w:rPr>
          <w:rStyle w:val="FootnoteReference"/>
          <w:sz w:val="24"/>
        </w:rPr>
        <w:footnoteReference w:id="17"/>
      </w:r>
      <w:r w:rsidRPr="00600E6F">
        <w:t>, the PLA sub-program supports technology assessments of pre-commercialized PLA measures through Emerging Technology activities. The proposed PLA Innovation activities support advanced PLA technologies aimed at early adopters. The PLA Innovation activities should be heavily weighted and influenced by the user’s needs/wants and should focus on helping the innovative PLA technologies bridge the “chasm” between the early adopters and the early majority markets. From the early stages of product development, promising measures that exit the Emerging Technologies activities should transition to the PLA Innovation activities for further market development in accordance to the overall IDSM strategy and goals. The PLA Innovation activities would support demonstration and pilot projects of measures in the very early stages of commercialization, not pre-commercialization. Moreover, the scale of the demonstration and pilot projects in the PLA Innovation activities should be of a greater scale than those in the Emerging Technologies activities. This will help determine which measures should be eventually supported on a larger scale within the Primary PLA activities. Finally, the IOUs propose the Primary PLA activities in the Statewide PLA sub-program for the purpose of supporting PLA measures that have reached a greater level of commercialization. These activities should receive a majority of the PLA incentive funds and would facilitate rapid market adoption through cost-effective incentive delivery channels. The goal is to complete the pathway for market transformation, as measures transfer from the Emerging Technology activities to the PLA Innovation activities to the Primary PLA activities and then eventually exit from the program.</w:t>
      </w:r>
    </w:p>
    <w:p w:rsidR="00513B47" w:rsidRPr="00600E6F" w:rsidRDefault="00513B47" w:rsidP="003408F4">
      <w:pPr>
        <w:pStyle w:val="NoSpacing"/>
        <w:ind w:left="1800"/>
      </w:pPr>
    </w:p>
    <w:p w:rsidR="00513B47" w:rsidRPr="00600E6F" w:rsidRDefault="00513B47" w:rsidP="003408F4">
      <w:pPr>
        <w:pStyle w:val="NoSpacing"/>
        <w:ind w:left="1800"/>
      </w:pPr>
      <w:r w:rsidRPr="00600E6F">
        <w:t xml:space="preserve">The PLA sub-program framework proposes Market Transformation activities within the Statewide PLA sub-program for developing and testing market transformation strategies. The objectives of the Market Transformation </w:t>
      </w:r>
      <w:r w:rsidRPr="00600E6F">
        <w:lastRenderedPageBreak/>
        <w:t xml:space="preserve">activities are to develop market transformation strategies and to oversee the progression of PLA measures from the Emerging Technology activities to PLA Innovation activities to Primary PLA activities and to the eventual transition to Codes &amp; Standards. Additionally, the Market Transformation activities are to focus on ensuring PLA has adequate representation in the Emerging Technology activities to ensure technologies are being evaluated for potential inclusion in the PLA Innovation activities.   </w:t>
      </w:r>
    </w:p>
    <w:p w:rsidR="00513B47" w:rsidRPr="00600E6F" w:rsidRDefault="00513B47" w:rsidP="003408F4">
      <w:pPr>
        <w:pStyle w:val="NoSpacing"/>
        <w:ind w:left="1800"/>
      </w:pPr>
    </w:p>
    <w:p w:rsidR="00513B47" w:rsidRPr="00600E6F" w:rsidRDefault="00513B47" w:rsidP="003408F4">
      <w:pPr>
        <w:pStyle w:val="NoSpacing"/>
        <w:ind w:left="1800"/>
        <w:rPr>
          <w:b/>
        </w:rPr>
      </w:pPr>
      <w:r w:rsidRPr="00600E6F">
        <w:rPr>
          <w:b/>
        </w:rPr>
        <w:t xml:space="preserve">Process for Managing Flow of Measures through Program </w:t>
      </w:r>
    </w:p>
    <w:p w:rsidR="00513B47" w:rsidRPr="00600E6F" w:rsidRDefault="00513B47" w:rsidP="003408F4">
      <w:pPr>
        <w:pStyle w:val="NoSpacing"/>
        <w:ind w:left="1800"/>
      </w:pPr>
      <w:r w:rsidRPr="00600E6F">
        <w:t>Decision 09-09-047 updated the definition of market transformation to include “</w:t>
      </w:r>
      <w:r w:rsidRPr="00600E6F">
        <w:rPr>
          <w:i/>
        </w:rPr>
        <w:t>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r w:rsidRPr="00600E6F">
        <w:t>”</w:t>
      </w:r>
      <w:r w:rsidRPr="00600E6F">
        <w:rPr>
          <w:rStyle w:val="FootnoteReference"/>
          <w:sz w:val="24"/>
        </w:rPr>
        <w:footnoteReference w:id="18"/>
      </w:r>
      <w:r w:rsidRPr="00600E6F">
        <w:rPr>
          <w:vertAlign w:val="superscript"/>
        </w:rPr>
        <w:t xml:space="preserve"> </w:t>
      </w:r>
      <w:r w:rsidRPr="00600E6F">
        <w:t xml:space="preserve">This definition depicts the flow of new measures through the energy efficiency programs as IOUs collaborate with the industry to launch successive waves of advanced and high efficiency technology into the markets. The PLA sub-program framework in Figure-3 supports the Commission’s position by continually assessing the overall </w:t>
      </w:r>
      <w:r w:rsidR="0093736E" w:rsidRPr="00600E6F">
        <w:t>landscape</w:t>
      </w:r>
      <w:r w:rsidRPr="00600E6F">
        <w:t xml:space="preserve"> analysis and adjusting the intervention strategy to push new technologies through the program. Figure-4 conceptualizes how the flow of new PLA measures through the program would be influenced by program activities and intervention mechanisms.</w:t>
      </w:r>
    </w:p>
    <w:p w:rsidR="00513B47" w:rsidRPr="00600E6F" w:rsidRDefault="00513B47" w:rsidP="003408F4">
      <w:pPr>
        <w:pStyle w:val="NoSpacing"/>
        <w:ind w:left="1800"/>
      </w:pPr>
    </w:p>
    <w:p w:rsidR="00513B47" w:rsidRPr="00600E6F" w:rsidRDefault="00513B47" w:rsidP="003408F4">
      <w:pPr>
        <w:pStyle w:val="NoSpacing"/>
        <w:ind w:left="1800"/>
      </w:pPr>
    </w:p>
    <w:p w:rsidR="00513B47" w:rsidRPr="00600E6F" w:rsidRDefault="00513B47" w:rsidP="00803A92">
      <w:pPr>
        <w:ind w:left="1080" w:firstLine="720"/>
        <w:rPr>
          <w:rFonts w:ascii="Times New Roman" w:hAnsi="Times New Roman"/>
          <w:sz w:val="24"/>
        </w:rPr>
      </w:pPr>
      <w:r w:rsidRPr="00600E6F">
        <w:rPr>
          <w:rFonts w:ascii="Times New Roman" w:hAnsi="Times New Roman"/>
          <w:b/>
          <w:sz w:val="24"/>
        </w:rPr>
        <w:br w:type="page"/>
      </w:r>
      <w:r w:rsidRPr="00600E6F">
        <w:rPr>
          <w:rFonts w:ascii="Times New Roman" w:hAnsi="Times New Roman"/>
          <w:b/>
          <w:sz w:val="24"/>
        </w:rPr>
        <w:lastRenderedPageBreak/>
        <w:t>Figure</w:t>
      </w:r>
      <w:r w:rsidR="00786C83">
        <w:rPr>
          <w:rFonts w:ascii="Times New Roman" w:hAnsi="Times New Roman"/>
          <w:b/>
          <w:sz w:val="24"/>
          <w:szCs w:val="24"/>
        </w:rPr>
        <w:t xml:space="preserve"> </w:t>
      </w:r>
      <w:r w:rsidRPr="00600E6F">
        <w:rPr>
          <w:rFonts w:ascii="Times New Roman" w:hAnsi="Times New Roman"/>
          <w:b/>
          <w:sz w:val="24"/>
        </w:rPr>
        <w:t>4:</w:t>
      </w:r>
      <w:r w:rsidRPr="00600E6F">
        <w:rPr>
          <w:rFonts w:ascii="Times New Roman" w:hAnsi="Times New Roman"/>
          <w:sz w:val="24"/>
        </w:rPr>
        <w:t xml:space="preserve">  Flow of Measures through PLA sub-program  </w:t>
      </w:r>
    </w:p>
    <w:p w:rsidR="00513B47" w:rsidRPr="00600E6F" w:rsidRDefault="00513B47" w:rsidP="00657138">
      <w:pPr>
        <w:pStyle w:val="NoSpacing"/>
        <w:ind w:left="1800" w:hanging="720"/>
      </w:pPr>
      <w:r w:rsidRPr="00600E6F">
        <w:object w:dxaOrig="13836" w:dyaOrig="11945">
          <v:shape id="_x0000_i1027" type="#_x0000_t75" style="width:401.25pt;height:346.5pt" o:ole="">
            <v:imagedata r:id="rId21" o:title=""/>
          </v:shape>
          <o:OLEObject Type="Embed" ProgID="Visio.Drawing.11" ShapeID="_x0000_i1027" DrawAspect="Content" ObjectID="_1408270868" r:id="rId22"/>
        </w:object>
      </w:r>
    </w:p>
    <w:p w:rsidR="00513B47" w:rsidRPr="00600E6F" w:rsidRDefault="00513B47" w:rsidP="003408F4">
      <w:pPr>
        <w:pStyle w:val="NoSpacing"/>
        <w:ind w:left="1800"/>
      </w:pPr>
    </w:p>
    <w:p w:rsidR="00513B47" w:rsidRPr="00600E6F" w:rsidRDefault="00513B47" w:rsidP="003408F4">
      <w:pPr>
        <w:pStyle w:val="NoSpacing"/>
        <w:ind w:left="1800"/>
      </w:pPr>
      <w:r w:rsidRPr="00600E6F">
        <w:t>The PLA’s process for evaluating the measure’s commercialization stage and, formulating the right combination of intervention elements to exert the desired market influence, could be enhanced through a formal decision process for managing the flow of measures through the PLA sub-program. This enhancement could be satisfied by a stage-gate process as shown in Figure-5. In this diagram, the stage-gate design takes into account the unique requirements of each commercialization phase and provides criteria for the PLA measure entry into or exit from a subprogram. The explicit evaluation checkpoints would allow measures to move onto the next subprogram, reject measures from the portfolio at any point along the market transformation life cycle or return the measure back through the loop for further development based on to be established stage-gate criteria. Key criteria to be considered as part of this stage-gate process are as follows:</w:t>
      </w:r>
    </w:p>
    <w:p w:rsidR="00513B47" w:rsidRPr="00600E6F" w:rsidRDefault="00513B47" w:rsidP="003408F4">
      <w:pPr>
        <w:pStyle w:val="NoSpacing"/>
        <w:ind w:left="1800"/>
      </w:pPr>
    </w:p>
    <w:p w:rsidR="00513B47" w:rsidRPr="00600E6F" w:rsidRDefault="00513B47" w:rsidP="003408F4">
      <w:pPr>
        <w:pStyle w:val="NoSpacing"/>
        <w:ind w:left="1800"/>
      </w:pPr>
      <w:r w:rsidRPr="00600E6F">
        <w:t>1.   Saving potentials (technical, economic, market)</w:t>
      </w:r>
    </w:p>
    <w:p w:rsidR="00513B47" w:rsidRPr="00600E6F" w:rsidRDefault="00513B47" w:rsidP="003408F4">
      <w:pPr>
        <w:pStyle w:val="NoSpacing"/>
        <w:ind w:left="1800"/>
      </w:pPr>
      <w:r w:rsidRPr="00600E6F">
        <w:t>2.</w:t>
      </w:r>
      <w:r w:rsidRPr="00600E6F">
        <w:tab/>
        <w:t xml:space="preserve">Cost effectiveness </w:t>
      </w:r>
    </w:p>
    <w:p w:rsidR="00513B47" w:rsidRPr="00600E6F" w:rsidRDefault="00513B47" w:rsidP="003408F4">
      <w:pPr>
        <w:pStyle w:val="NoSpacing"/>
        <w:ind w:left="1800"/>
      </w:pPr>
      <w:r w:rsidRPr="00600E6F">
        <w:t>3.</w:t>
      </w:r>
      <w:r w:rsidRPr="00600E6F">
        <w:tab/>
        <w:t>User’s needs/wants</w:t>
      </w:r>
    </w:p>
    <w:p w:rsidR="00513B47" w:rsidRPr="00600E6F" w:rsidRDefault="00513B47" w:rsidP="003408F4">
      <w:pPr>
        <w:pStyle w:val="NoSpacing"/>
        <w:ind w:left="1800"/>
      </w:pPr>
      <w:r w:rsidRPr="00600E6F">
        <w:t>4.</w:t>
      </w:r>
      <w:r w:rsidRPr="00600E6F">
        <w:tab/>
        <w:t>Market opportunities / risks</w:t>
      </w:r>
    </w:p>
    <w:p w:rsidR="00513B47" w:rsidRPr="00600E6F" w:rsidRDefault="00513B47" w:rsidP="003408F4">
      <w:pPr>
        <w:pStyle w:val="NoSpacing"/>
        <w:ind w:left="1800"/>
      </w:pPr>
      <w:r w:rsidRPr="00600E6F">
        <w:t>5.</w:t>
      </w:r>
      <w:r w:rsidRPr="00600E6F">
        <w:tab/>
        <w:t>Technology’s maturity stages</w:t>
      </w:r>
    </w:p>
    <w:p w:rsidR="00513B47" w:rsidRPr="00600E6F" w:rsidRDefault="00513B47" w:rsidP="003408F4">
      <w:pPr>
        <w:pStyle w:val="NoSpacing"/>
        <w:ind w:left="1800"/>
      </w:pPr>
      <w:r w:rsidRPr="00600E6F">
        <w:lastRenderedPageBreak/>
        <w:t>6.</w:t>
      </w:r>
      <w:r w:rsidRPr="00600E6F">
        <w:tab/>
        <w:t xml:space="preserve">Industry’s supports </w:t>
      </w:r>
    </w:p>
    <w:p w:rsidR="00513B47" w:rsidRPr="00600E6F" w:rsidRDefault="00513B47" w:rsidP="003408F4">
      <w:pPr>
        <w:pStyle w:val="NoSpacing"/>
        <w:ind w:left="1800"/>
      </w:pPr>
      <w:r w:rsidRPr="00600E6F">
        <w:t>7.</w:t>
      </w:r>
      <w:r w:rsidRPr="00600E6F">
        <w:tab/>
        <w:t>Compliance to industry’s standards</w:t>
      </w:r>
    </w:p>
    <w:p w:rsidR="00513B47" w:rsidRPr="00600E6F" w:rsidRDefault="00513B47" w:rsidP="003408F4">
      <w:pPr>
        <w:pStyle w:val="NoSpacing"/>
        <w:ind w:left="1800"/>
      </w:pPr>
      <w:r w:rsidRPr="00600E6F">
        <w:t>8.</w:t>
      </w:r>
      <w:r w:rsidRPr="00600E6F">
        <w:tab/>
        <w:t>Cradle-to-grave’s total environmental impacts</w:t>
      </w:r>
    </w:p>
    <w:p w:rsidR="00513B47" w:rsidRPr="00600E6F" w:rsidRDefault="00513B47" w:rsidP="003408F4">
      <w:pPr>
        <w:pStyle w:val="NoSpacing"/>
        <w:ind w:left="1800"/>
      </w:pPr>
      <w:r w:rsidRPr="00600E6F">
        <w:t>9.</w:t>
      </w:r>
      <w:r w:rsidRPr="00600E6F">
        <w:tab/>
        <w:t>Code’s saving baseline</w:t>
      </w:r>
    </w:p>
    <w:p w:rsidR="00513B47" w:rsidRPr="00600E6F" w:rsidRDefault="00513B47" w:rsidP="003408F4">
      <w:pPr>
        <w:pStyle w:val="NoSpacing"/>
        <w:ind w:left="1800"/>
      </w:pPr>
      <w:r w:rsidRPr="00600E6F">
        <w:t>10.</w:t>
      </w:r>
      <w:r w:rsidRPr="00600E6F">
        <w:tab/>
        <w:t>Saving verifications</w:t>
      </w:r>
    </w:p>
    <w:p w:rsidR="00513B47" w:rsidRDefault="00513B47" w:rsidP="003408F4">
      <w:pPr>
        <w:pStyle w:val="NoSpacing"/>
        <w:ind w:left="1800"/>
      </w:pPr>
    </w:p>
    <w:p w:rsidR="007E4BEC" w:rsidRPr="00600E6F" w:rsidRDefault="007E4BEC" w:rsidP="003408F4">
      <w:pPr>
        <w:pStyle w:val="NoSpacing"/>
        <w:ind w:left="1800"/>
      </w:pPr>
    </w:p>
    <w:p w:rsidR="00513B47" w:rsidRPr="00600E6F" w:rsidRDefault="00513B47" w:rsidP="003408F4">
      <w:pPr>
        <w:pStyle w:val="NoSpacing"/>
        <w:ind w:left="1800"/>
      </w:pPr>
      <w:r w:rsidRPr="00600E6F">
        <w:rPr>
          <w:b/>
        </w:rPr>
        <w:t>Figure</w:t>
      </w:r>
      <w:r w:rsidR="00786C83">
        <w:rPr>
          <w:b/>
        </w:rPr>
        <w:t xml:space="preserve"> </w:t>
      </w:r>
      <w:r w:rsidRPr="00600E6F">
        <w:rPr>
          <w:b/>
        </w:rPr>
        <w:t>5:</w:t>
      </w:r>
      <w:r w:rsidRPr="00600E6F">
        <w:t xml:space="preserve">  Stage-Gate Process for Managing Measure Flows</w:t>
      </w:r>
    </w:p>
    <w:p w:rsidR="00513B47" w:rsidRPr="00600E6F" w:rsidRDefault="00513B47" w:rsidP="003408F4">
      <w:pPr>
        <w:pStyle w:val="NoSpacing"/>
        <w:ind w:left="1800"/>
      </w:pPr>
    </w:p>
    <w:p w:rsidR="00513B47" w:rsidRPr="00600E6F" w:rsidRDefault="00657138" w:rsidP="003408F4">
      <w:pPr>
        <w:pStyle w:val="NoSpacing"/>
        <w:ind w:left="1800"/>
      </w:pPr>
      <w:r w:rsidRPr="00600E6F">
        <w:object w:dxaOrig="8328" w:dyaOrig="4925">
          <v:shape id="_x0000_i1028" type="#_x0000_t75" style="width:372pt;height:236.25pt" o:ole="">
            <v:imagedata r:id="rId23" o:title=""/>
          </v:shape>
          <o:OLEObject Type="Embed" ProgID="Visio.Drawing.11" ShapeID="_x0000_i1028" DrawAspect="Content" ObjectID="_1408270869" r:id="rId24"/>
        </w:object>
      </w:r>
    </w:p>
    <w:p w:rsidR="00513B47" w:rsidRPr="00600E6F" w:rsidRDefault="00513B47" w:rsidP="003408F4">
      <w:pPr>
        <w:pStyle w:val="NoSpacing"/>
        <w:ind w:left="1800"/>
      </w:pPr>
    </w:p>
    <w:p w:rsidR="00513B47" w:rsidRPr="00600E6F" w:rsidRDefault="00513B47" w:rsidP="00C31CC0">
      <w:pPr>
        <w:pStyle w:val="ListParagraph"/>
        <w:numPr>
          <w:ilvl w:val="0"/>
          <w:numId w:val="152"/>
        </w:numPr>
        <w:spacing w:after="0" w:line="240" w:lineRule="auto"/>
        <w:ind w:left="1800"/>
        <w:contextualSpacing w:val="0"/>
        <w:rPr>
          <w:rFonts w:ascii="Times New Roman" w:hAnsi="Times New Roman"/>
          <w:b/>
          <w:sz w:val="24"/>
        </w:rPr>
        <w:pPrChange w:id="1" w:author="cerobins" w:date="2012-09-04T13:35:00Z">
          <w:pPr>
            <w:pStyle w:val="ListParagraph"/>
            <w:numPr>
              <w:numId w:val="162"/>
            </w:numPr>
            <w:tabs>
              <w:tab w:val="num" w:pos="0"/>
            </w:tabs>
            <w:spacing w:after="0" w:line="240" w:lineRule="auto"/>
            <w:ind w:left="360" w:hanging="360"/>
            <w:contextualSpacing w:val="0"/>
          </w:pPr>
        </w:pPrChange>
      </w:pPr>
      <w:r w:rsidRPr="00600E6F">
        <w:rPr>
          <w:rFonts w:ascii="Times New Roman" w:hAnsi="Times New Roman"/>
          <w:b/>
          <w:sz w:val="24"/>
        </w:rPr>
        <w:t>Market Actors</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Refer to Section 12(ii), Table-</w:t>
      </w:r>
      <w:r w:rsidR="0093736E" w:rsidRPr="00600E6F">
        <w:rPr>
          <w:rFonts w:ascii="Times New Roman" w:hAnsi="Times New Roman"/>
          <w:sz w:val="24"/>
        </w:rPr>
        <w:t>B</w:t>
      </w:r>
      <w:r w:rsidRPr="00600E6F">
        <w:rPr>
          <w:rFonts w:ascii="Times New Roman" w:hAnsi="Times New Roman"/>
          <w:sz w:val="24"/>
        </w:rPr>
        <w:t xml:space="preserve"> for details on relevant market actors and the relationship among them.</w:t>
      </w:r>
    </w:p>
    <w:p w:rsidR="00513B47" w:rsidRPr="00600E6F" w:rsidRDefault="00513B47" w:rsidP="00600E6F">
      <w:pPr>
        <w:spacing w:after="0" w:line="240" w:lineRule="auto"/>
        <w:ind w:left="1800"/>
        <w:rPr>
          <w:rFonts w:ascii="Times New Roman" w:hAnsi="Times New Roman"/>
          <w:sz w:val="24"/>
        </w:rPr>
      </w:pPr>
    </w:p>
    <w:p w:rsidR="00513B47" w:rsidRPr="00600E6F" w:rsidRDefault="00513B47" w:rsidP="00C31CC0">
      <w:pPr>
        <w:numPr>
          <w:ilvl w:val="0"/>
          <w:numId w:val="152"/>
        </w:numPr>
        <w:spacing w:after="0" w:line="240" w:lineRule="auto"/>
        <w:ind w:left="1800"/>
        <w:rPr>
          <w:rFonts w:ascii="Times New Roman" w:hAnsi="Times New Roman"/>
          <w:b/>
          <w:sz w:val="24"/>
        </w:rPr>
        <w:pPrChange w:id="2" w:author="cerobins" w:date="2012-09-04T13:35:00Z">
          <w:pPr>
            <w:numPr>
              <w:numId w:val="162"/>
            </w:numPr>
            <w:tabs>
              <w:tab w:val="num" w:pos="0"/>
            </w:tabs>
            <w:spacing w:after="0" w:line="240" w:lineRule="auto"/>
            <w:ind w:left="360" w:hanging="360"/>
          </w:pPr>
        </w:pPrChange>
      </w:pPr>
      <w:r w:rsidRPr="00600E6F">
        <w:rPr>
          <w:rFonts w:ascii="Times New Roman" w:hAnsi="Times New Roman"/>
          <w:b/>
          <w:sz w:val="24"/>
        </w:rPr>
        <w:t>Market Barriers &amp; Proposed Interventions</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Refer to Section 12(iv), Table-</w:t>
      </w:r>
      <w:r w:rsidR="0093736E" w:rsidRPr="00600E6F">
        <w:rPr>
          <w:rFonts w:ascii="Times New Roman" w:hAnsi="Times New Roman"/>
          <w:sz w:val="24"/>
        </w:rPr>
        <w:t>C</w:t>
      </w:r>
      <w:r w:rsidRPr="00600E6F">
        <w:rPr>
          <w:rFonts w:ascii="Times New Roman" w:hAnsi="Times New Roman"/>
          <w:sz w:val="24"/>
        </w:rPr>
        <w:t xml:space="preserve"> for details on Market Barriers &amp; Proposed Interventions.</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0"/>
          <w:numId w:val="153"/>
        </w:numPr>
        <w:spacing w:after="0" w:line="240" w:lineRule="auto"/>
        <w:rPr>
          <w:rFonts w:ascii="Times New Roman" w:hAnsi="Times New Roman"/>
          <w:b/>
          <w:sz w:val="24"/>
        </w:rPr>
        <w:pPrChange w:id="3" w:author="cerobins" w:date="2012-09-04T13:35:00Z">
          <w:pPr>
            <w:numPr>
              <w:numId w:val="163"/>
            </w:numPr>
            <w:tabs>
              <w:tab w:val="num" w:pos="1440"/>
            </w:tabs>
            <w:spacing w:after="0" w:line="240" w:lineRule="auto"/>
            <w:ind w:left="1440" w:hanging="720"/>
          </w:pPr>
        </w:pPrChange>
      </w:pPr>
      <w:r w:rsidRPr="00600E6F">
        <w:rPr>
          <w:rFonts w:ascii="Times New Roman" w:hAnsi="Times New Roman"/>
          <w:b/>
          <w:sz w:val="24"/>
        </w:rPr>
        <w:t xml:space="preserve">Sub-Program Energy and Demand Objectives - </w:t>
      </w:r>
      <w:r w:rsidRPr="00600E6F">
        <w:rPr>
          <w:rFonts w:ascii="Times New Roman" w:hAnsi="Times New Roman"/>
          <w:sz w:val="24"/>
        </w:rPr>
        <w:t xml:space="preserve">If this sub-program has energy and demand objective, please complete Table </w:t>
      </w:r>
      <w:r w:rsidR="0093736E" w:rsidRPr="00600E6F">
        <w:rPr>
          <w:rFonts w:ascii="Times New Roman" w:hAnsi="Times New Roman"/>
          <w:sz w:val="24"/>
        </w:rPr>
        <w:t>4</w:t>
      </w:r>
      <w:r w:rsidRPr="00600E6F">
        <w:rPr>
          <w:rFonts w:ascii="Times New Roman" w:hAnsi="Times New Roman"/>
          <w:sz w:val="24"/>
        </w:rPr>
        <w:t>.</w:t>
      </w:r>
      <w:r w:rsidRPr="00600E6F">
        <w:rPr>
          <w:rFonts w:ascii="Times New Roman" w:hAnsi="Times New Roman"/>
          <w:b/>
          <w:sz w:val="24"/>
        </w:rPr>
        <w:t xml:space="preserve">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pStyle w:val="Caption"/>
        <w:ind w:left="720" w:firstLine="720"/>
        <w:rPr>
          <w:b w:val="0"/>
          <w:sz w:val="24"/>
        </w:rPr>
      </w:pPr>
      <w:r w:rsidRPr="00600E6F">
        <w:rPr>
          <w:sz w:val="24"/>
        </w:rPr>
        <w:t>Table</w:t>
      </w:r>
      <w:r w:rsidR="00786C83">
        <w:rPr>
          <w:sz w:val="24"/>
          <w:szCs w:val="24"/>
        </w:rPr>
        <w:t xml:space="preserve"> </w:t>
      </w:r>
      <w:r w:rsidR="00E7041A" w:rsidRPr="00600E6F">
        <w:rPr>
          <w:sz w:val="24"/>
        </w:rPr>
        <w:fldChar w:fldCharType="begin"/>
      </w:r>
      <w:r w:rsidRPr="00F50F8B">
        <w:rPr>
          <w:rFonts w:ascii="Calibri" w:hAnsi="Calibri" w:cs="Calibri"/>
          <w:sz w:val="24"/>
          <w:szCs w:val="24"/>
        </w:rPr>
        <w:instrText xml:space="preserve"> SEQ Table \* ARABIC </w:instrText>
      </w:r>
      <w:r w:rsidR="00E7041A" w:rsidRPr="00600E6F">
        <w:rPr>
          <w:sz w:val="24"/>
        </w:rPr>
        <w:fldChar w:fldCharType="separate"/>
      </w:r>
      <w:r w:rsidR="007E4BEC">
        <w:rPr>
          <w:rFonts w:ascii="Calibri" w:hAnsi="Calibri" w:cs="Calibri"/>
          <w:noProof/>
          <w:sz w:val="24"/>
          <w:szCs w:val="24"/>
        </w:rPr>
        <w:t>4</w:t>
      </w:r>
      <w:r w:rsidR="00E7041A" w:rsidRPr="00600E6F">
        <w:rPr>
          <w:sz w:val="24"/>
        </w:rPr>
        <w:fldChar w:fldCharType="end"/>
      </w:r>
      <w:r w:rsidR="00786C83">
        <w:rPr>
          <w:sz w:val="24"/>
          <w:szCs w:val="24"/>
        </w:rPr>
        <w:t>:</w:t>
      </w:r>
      <w:r w:rsidRPr="00600E6F">
        <w:rPr>
          <w:sz w:val="24"/>
        </w:rPr>
        <w:t xml:space="preserve"> </w:t>
      </w:r>
      <w:r w:rsidRPr="00600E6F">
        <w:rPr>
          <w:b w:val="0"/>
          <w:sz w:val="24"/>
        </w:rPr>
        <w:t>Projected Net Energy &amp; Demand Impacts by Calendar Year</w:t>
      </w:r>
      <w:r w:rsidRPr="00600E6F">
        <w:rPr>
          <w:rStyle w:val="FootnoteReference"/>
          <w:b w:val="0"/>
          <w:sz w:val="24"/>
        </w:rPr>
        <w:footnoteReference w:id="19"/>
      </w:r>
    </w:p>
    <w:p w:rsidR="00513B47" w:rsidRPr="00600E6F" w:rsidRDefault="00513B47" w:rsidP="003408F4">
      <w:pPr>
        <w:spacing w:after="0" w:line="240" w:lineRule="auto"/>
        <w:ind w:left="720"/>
        <w:rPr>
          <w:rFonts w:ascii="Times New Roman" w:hAnsi="Times New Roman"/>
          <w:i/>
          <w:sz w:val="24"/>
        </w:rPr>
      </w:pPr>
      <w:r w:rsidRPr="00600E6F">
        <w:rPr>
          <w:rFonts w:ascii="Times New Roman" w:hAnsi="Times New Roman"/>
        </w:rPr>
        <w:tab/>
      </w:r>
      <w:r w:rsidRPr="00600E6F">
        <w:rPr>
          <w:rFonts w:ascii="Times New Roman" w:hAnsi="Times New Roman"/>
          <w:i/>
          <w:sz w:val="24"/>
        </w:rPr>
        <w:t>[Table-4 to be provided as an Excel Attachment to this PIP]</w:t>
      </w:r>
    </w:p>
    <w:p w:rsidR="00513B47" w:rsidRDefault="00513B47" w:rsidP="003408F4">
      <w:pPr>
        <w:spacing w:after="0" w:line="240" w:lineRule="auto"/>
        <w:ind w:left="1440"/>
        <w:rPr>
          <w:rFonts w:ascii="Times New Roman" w:hAnsi="Times New Roman"/>
          <w:b/>
          <w:sz w:val="24"/>
        </w:rPr>
      </w:pPr>
    </w:p>
    <w:p w:rsidR="00C32735" w:rsidRDefault="00C32735" w:rsidP="003408F4">
      <w:pPr>
        <w:spacing w:after="0" w:line="240" w:lineRule="auto"/>
        <w:ind w:left="1440"/>
        <w:rPr>
          <w:rFonts w:ascii="Times New Roman" w:hAnsi="Times New Roman"/>
          <w:b/>
          <w:sz w:val="24"/>
        </w:rPr>
      </w:pPr>
    </w:p>
    <w:p w:rsidR="00C32735" w:rsidRDefault="00C32735" w:rsidP="003408F4">
      <w:pPr>
        <w:spacing w:after="0" w:line="240" w:lineRule="auto"/>
        <w:ind w:left="1440"/>
        <w:rPr>
          <w:rFonts w:ascii="Times New Roman" w:hAnsi="Times New Roman"/>
          <w:b/>
          <w:sz w:val="24"/>
        </w:rPr>
      </w:pPr>
    </w:p>
    <w:p w:rsidR="00C32735" w:rsidRPr="00600E6F" w:rsidRDefault="00C32735" w:rsidP="003408F4">
      <w:pPr>
        <w:spacing w:after="0" w:line="240" w:lineRule="auto"/>
        <w:ind w:left="1440"/>
        <w:rPr>
          <w:rFonts w:ascii="Times New Roman" w:hAnsi="Times New Roman"/>
          <w:b/>
          <w:sz w:val="24"/>
        </w:rPr>
      </w:pPr>
    </w:p>
    <w:p w:rsidR="00513B47" w:rsidRPr="00600E6F" w:rsidRDefault="00513B47" w:rsidP="00C31CC0">
      <w:pPr>
        <w:numPr>
          <w:ilvl w:val="0"/>
          <w:numId w:val="153"/>
        </w:numPr>
        <w:spacing w:after="0" w:line="240" w:lineRule="auto"/>
        <w:rPr>
          <w:rFonts w:ascii="Times New Roman" w:hAnsi="Times New Roman"/>
          <w:b/>
          <w:sz w:val="24"/>
        </w:rPr>
        <w:pPrChange w:id="4" w:author="cerobins" w:date="2012-09-04T13:35:00Z">
          <w:pPr>
            <w:numPr>
              <w:numId w:val="163"/>
            </w:numPr>
            <w:tabs>
              <w:tab w:val="num" w:pos="1440"/>
            </w:tabs>
            <w:spacing w:after="0" w:line="240" w:lineRule="auto"/>
            <w:ind w:left="1440" w:hanging="720"/>
          </w:pPr>
        </w:pPrChange>
      </w:pPr>
      <w:r w:rsidRPr="00600E6F">
        <w:rPr>
          <w:rFonts w:ascii="Times New Roman" w:hAnsi="Times New Roman"/>
          <w:b/>
          <w:sz w:val="24"/>
        </w:rPr>
        <w:lastRenderedPageBreak/>
        <w:t xml:space="preserve">Program Non-Energy Objectives: </w:t>
      </w:r>
    </w:p>
    <w:p w:rsidR="00EE6FC1" w:rsidRPr="00600E6F" w:rsidRDefault="00EE6FC1" w:rsidP="003408F4">
      <w:pPr>
        <w:spacing w:after="0" w:line="240" w:lineRule="auto"/>
        <w:ind w:left="720"/>
        <w:rPr>
          <w:rFonts w:ascii="Times New Roman" w:hAnsi="Times New Roman"/>
          <w:sz w:val="24"/>
        </w:rPr>
      </w:pPr>
    </w:p>
    <w:p w:rsidR="00513B47" w:rsidRPr="00600E6F" w:rsidRDefault="00513B47" w:rsidP="003408F4">
      <w:pPr>
        <w:autoSpaceDE w:val="0"/>
        <w:autoSpaceDN w:val="0"/>
        <w:adjustRightInd w:val="0"/>
        <w:snapToGrid w:val="0"/>
        <w:spacing w:after="0" w:line="240" w:lineRule="auto"/>
        <w:ind w:left="720" w:firstLine="720"/>
        <w:rPr>
          <w:rFonts w:ascii="Times New Roman" w:hAnsi="Times New Roman"/>
          <w:color w:val="000000"/>
          <w:sz w:val="24"/>
        </w:rPr>
      </w:pPr>
      <w:r w:rsidRPr="00600E6F">
        <w:rPr>
          <w:rFonts w:ascii="Times New Roman" w:hAnsi="Times New Roman"/>
          <w:b/>
          <w:color w:val="000000"/>
          <w:sz w:val="24"/>
        </w:rPr>
        <w:t>Table</w:t>
      </w:r>
      <w:r w:rsidR="00786C83">
        <w:rPr>
          <w:rFonts w:ascii="Times New Roman" w:hAnsi="Times New Roman"/>
          <w:b/>
          <w:color w:val="000000"/>
          <w:sz w:val="24"/>
          <w:szCs w:val="24"/>
        </w:rPr>
        <w:t xml:space="preserve"> </w:t>
      </w:r>
      <w:r w:rsidRPr="00600E6F">
        <w:rPr>
          <w:rFonts w:ascii="Times New Roman" w:hAnsi="Times New Roman"/>
          <w:b/>
          <w:color w:val="000000"/>
          <w:sz w:val="24"/>
        </w:rPr>
        <w:t>3:</w:t>
      </w:r>
      <w:r w:rsidRPr="00600E6F">
        <w:rPr>
          <w:rFonts w:ascii="Times New Roman" w:hAnsi="Times New Roman"/>
          <w:color w:val="000000"/>
          <w:sz w:val="24"/>
        </w:rPr>
        <w:t xml:space="preserve">   PLA sub-program Performance Matrix (PPM)</w:t>
      </w:r>
    </w:p>
    <w:p w:rsidR="00513B47" w:rsidRPr="00600E6F" w:rsidRDefault="00513B47" w:rsidP="003408F4">
      <w:pPr>
        <w:spacing w:after="0" w:line="240" w:lineRule="auto"/>
        <w:ind w:left="720" w:firstLine="720"/>
        <w:rPr>
          <w:rFonts w:ascii="Times New Roman" w:hAnsi="Times New Roman"/>
          <w:i/>
          <w:sz w:val="24"/>
        </w:rPr>
      </w:pPr>
      <w:r w:rsidRPr="00600E6F">
        <w:rPr>
          <w:rFonts w:ascii="Times New Roman" w:hAnsi="Times New Roman"/>
          <w:i/>
          <w:sz w:val="24"/>
        </w:rPr>
        <w:t>[Table</w:t>
      </w:r>
      <w:r w:rsidR="007B780C">
        <w:rPr>
          <w:rFonts w:ascii="Times New Roman" w:hAnsi="Times New Roman"/>
          <w:i/>
          <w:sz w:val="24"/>
          <w:szCs w:val="24"/>
        </w:rPr>
        <w:t xml:space="preserve"> </w:t>
      </w:r>
      <w:r w:rsidRPr="00600E6F">
        <w:rPr>
          <w:rFonts w:ascii="Times New Roman" w:hAnsi="Times New Roman"/>
          <w:i/>
          <w:sz w:val="24"/>
        </w:rPr>
        <w:t>3 to be provided as an Excel Attachment to this PIP]</w:t>
      </w:r>
    </w:p>
    <w:p w:rsidR="00513B47" w:rsidRPr="00600E6F" w:rsidRDefault="00513B47" w:rsidP="003408F4">
      <w:pPr>
        <w:autoSpaceDE w:val="0"/>
        <w:autoSpaceDN w:val="0"/>
        <w:adjustRightInd w:val="0"/>
        <w:snapToGrid w:val="0"/>
        <w:spacing w:after="0" w:line="240" w:lineRule="auto"/>
        <w:ind w:left="1440"/>
        <w:rPr>
          <w:rFonts w:ascii="Times New Roman" w:hAnsi="Times New Roman"/>
          <w:color w:val="000000"/>
          <w:sz w:val="24"/>
        </w:rPr>
      </w:pPr>
    </w:p>
    <w:p w:rsidR="00513B47" w:rsidRPr="00600E6F" w:rsidRDefault="00513B47" w:rsidP="00C31CC0">
      <w:pPr>
        <w:numPr>
          <w:ilvl w:val="0"/>
          <w:numId w:val="153"/>
        </w:numPr>
        <w:spacing w:after="0" w:line="240" w:lineRule="auto"/>
        <w:rPr>
          <w:rFonts w:ascii="Times New Roman" w:hAnsi="Times New Roman"/>
          <w:b/>
          <w:sz w:val="24"/>
        </w:rPr>
        <w:pPrChange w:id="5" w:author="cerobins" w:date="2012-09-04T13:35:00Z">
          <w:pPr>
            <w:numPr>
              <w:numId w:val="163"/>
            </w:numPr>
            <w:tabs>
              <w:tab w:val="num" w:pos="1440"/>
            </w:tabs>
            <w:spacing w:after="0" w:line="240" w:lineRule="auto"/>
            <w:ind w:left="1440" w:hanging="720"/>
          </w:pPr>
        </w:pPrChange>
      </w:pPr>
      <w:r w:rsidRPr="00600E6F">
        <w:rPr>
          <w:rFonts w:ascii="Times New Roman" w:hAnsi="Times New Roman"/>
          <w:b/>
          <w:sz w:val="24"/>
        </w:rPr>
        <w:t xml:space="preserve">Cost Effectiveness/Market Need: </w:t>
      </w:r>
      <w:r w:rsidRPr="00600E6F">
        <w:rPr>
          <w:rFonts w:ascii="Times New Roman" w:hAnsi="Times New Roman"/>
          <w:sz w:val="24"/>
        </w:rPr>
        <w:t>What methods will be or have been used to determine whether this program is cost-effective?</w:t>
      </w:r>
      <w:r w:rsidRPr="00600E6F">
        <w:rPr>
          <w:rStyle w:val="FootnoteReference"/>
          <w:rFonts w:ascii="Times New Roman" w:hAnsi="Times New Roman"/>
          <w:sz w:val="24"/>
        </w:rPr>
        <w:footnoteReference w:id="20"/>
      </w:r>
      <w:r w:rsidRPr="00600E6F">
        <w:rPr>
          <w:rFonts w:ascii="Times New Roman" w:hAnsi="Times New Roman"/>
          <w:sz w:val="24"/>
        </w:rPr>
        <w:t xml:space="preserve">  If this is a non-resource program, describe the literature, market assessments or other sources that indicate a need for this program.</w:t>
      </w:r>
      <w:r w:rsidRPr="00600E6F">
        <w:rPr>
          <w:rFonts w:ascii="Times New Roman" w:hAnsi="Times New Roman"/>
          <w:b/>
          <w:sz w:val="24"/>
        </w:rPr>
        <w:t xml:space="preserve">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PLA Sub-program has energy and demand objectives, thus the Cost Effective methods contained in the Standard Practice Manual will be used.</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0"/>
          <w:numId w:val="153"/>
        </w:numPr>
        <w:spacing w:after="0" w:line="240" w:lineRule="auto"/>
        <w:rPr>
          <w:rFonts w:ascii="Times New Roman" w:hAnsi="Times New Roman"/>
          <w:b/>
          <w:sz w:val="24"/>
        </w:rPr>
        <w:pPrChange w:id="6" w:author="cerobins" w:date="2012-09-04T13:35:00Z">
          <w:pPr>
            <w:numPr>
              <w:numId w:val="163"/>
            </w:numPr>
            <w:tabs>
              <w:tab w:val="num" w:pos="1440"/>
            </w:tabs>
            <w:spacing w:after="0" w:line="240" w:lineRule="auto"/>
            <w:ind w:left="1440" w:hanging="720"/>
          </w:pPr>
        </w:pPrChange>
      </w:pPr>
      <w:r w:rsidRPr="00600E6F">
        <w:rPr>
          <w:rFonts w:ascii="Times New Roman" w:hAnsi="Times New Roman"/>
          <w:b/>
          <w:sz w:val="24"/>
        </w:rPr>
        <w:t xml:space="preserve">Measure Savings/ Work Papers: </w:t>
      </w:r>
    </w:p>
    <w:p w:rsidR="00513B47" w:rsidRPr="00600E6F" w:rsidRDefault="00513B47" w:rsidP="00C31CC0">
      <w:pPr>
        <w:numPr>
          <w:ilvl w:val="1"/>
          <w:numId w:val="153"/>
        </w:numPr>
        <w:spacing w:after="0" w:line="240" w:lineRule="auto"/>
        <w:rPr>
          <w:rFonts w:ascii="Times New Roman" w:hAnsi="Times New Roman"/>
          <w:sz w:val="24"/>
        </w:rPr>
        <w:pPrChange w:id="7" w:author="cerobins" w:date="2012-09-04T13:35:00Z">
          <w:pPr>
            <w:numPr>
              <w:ilvl w:val="1"/>
              <w:numId w:val="163"/>
            </w:numPr>
            <w:tabs>
              <w:tab w:val="num" w:pos="1800"/>
            </w:tabs>
            <w:spacing w:after="0" w:line="240" w:lineRule="auto"/>
            <w:ind w:left="1800" w:hanging="360"/>
          </w:pPr>
        </w:pPrChange>
      </w:pPr>
      <w:r w:rsidRPr="00600E6F">
        <w:rPr>
          <w:rFonts w:ascii="Times New Roman" w:hAnsi="Times New Roman"/>
          <w:sz w:val="24"/>
        </w:rPr>
        <w:t xml:space="preserve">Indicate data source for savings estimates for program measures (DEER, custom measures, etc) &amp; work paper status for program measures. </w:t>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b/>
          <w:sz w:val="24"/>
        </w:rPr>
        <w:t>Table</w:t>
      </w:r>
      <w:r w:rsidR="00786C83">
        <w:rPr>
          <w:rFonts w:ascii="Times New Roman" w:hAnsi="Times New Roman"/>
          <w:b/>
          <w:bCs/>
          <w:sz w:val="24"/>
          <w:szCs w:val="24"/>
        </w:rPr>
        <w:t xml:space="preserve"> </w:t>
      </w:r>
      <w:r w:rsidRPr="00600E6F">
        <w:rPr>
          <w:rFonts w:ascii="Times New Roman" w:hAnsi="Times New Roman"/>
          <w:b/>
          <w:sz w:val="24"/>
        </w:rPr>
        <w:t>4a:</w:t>
      </w:r>
      <w:r w:rsidRPr="00600E6F">
        <w:rPr>
          <w:rFonts w:ascii="Times New Roman" w:hAnsi="Times New Roman"/>
          <w:sz w:val="24"/>
        </w:rPr>
        <w:t xml:space="preserve">  Measure Savings / Work Paper</w:t>
      </w:r>
    </w:p>
    <w:p w:rsidR="00513B47" w:rsidRPr="00600E6F" w:rsidRDefault="00513B47" w:rsidP="003408F4">
      <w:pPr>
        <w:spacing w:after="0" w:line="240" w:lineRule="auto"/>
        <w:ind w:left="1800"/>
        <w:rPr>
          <w:rFonts w:ascii="Times New Roman" w:hAnsi="Times New Roman"/>
          <w:i/>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4a to be provided as an Excel Attachment to this PIP]</w:t>
      </w:r>
    </w:p>
    <w:p w:rsidR="00513B47" w:rsidRPr="00600E6F" w:rsidRDefault="00513B47" w:rsidP="003408F4">
      <w:pPr>
        <w:spacing w:after="0" w:line="240" w:lineRule="auto"/>
        <w:ind w:left="1800"/>
        <w:rPr>
          <w:rFonts w:ascii="Times New Roman" w:hAnsi="Times New Roman"/>
          <w:b/>
          <w:sz w:val="24"/>
        </w:rPr>
      </w:pPr>
      <w:r w:rsidRPr="00600E6F">
        <w:rPr>
          <w:rFonts w:ascii="Times New Roman" w:hAnsi="Times New Roman"/>
          <w:b/>
          <w:sz w:val="24"/>
        </w:rPr>
        <w:tab/>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b/>
          <w:sz w:val="24"/>
        </w:rPr>
        <w:t>Table</w:t>
      </w:r>
      <w:r w:rsidR="00786C83">
        <w:rPr>
          <w:rFonts w:ascii="Times New Roman" w:hAnsi="Times New Roman"/>
          <w:b/>
          <w:bCs/>
          <w:sz w:val="24"/>
          <w:szCs w:val="24"/>
        </w:rPr>
        <w:t xml:space="preserve"> </w:t>
      </w:r>
      <w:r w:rsidRPr="00600E6F">
        <w:rPr>
          <w:rFonts w:ascii="Times New Roman" w:hAnsi="Times New Roman"/>
          <w:b/>
          <w:sz w:val="24"/>
        </w:rPr>
        <w:t>4b:</w:t>
      </w:r>
      <w:r w:rsidRPr="00600E6F">
        <w:rPr>
          <w:rFonts w:ascii="Times New Roman" w:hAnsi="Times New Roman"/>
          <w:sz w:val="24"/>
        </w:rPr>
        <w:t xml:space="preserve">   IOUs’ Exploratory Measures Considered for 2013-</w:t>
      </w:r>
      <w:r w:rsidR="00786C83">
        <w:rPr>
          <w:rFonts w:ascii="Times New Roman" w:hAnsi="Times New Roman"/>
          <w:bCs/>
          <w:sz w:val="24"/>
          <w:szCs w:val="24"/>
        </w:rPr>
        <w:t>20</w:t>
      </w:r>
      <w:r w:rsidRPr="00D737C2">
        <w:rPr>
          <w:rFonts w:ascii="Times New Roman" w:hAnsi="Times New Roman"/>
          <w:bCs/>
          <w:sz w:val="24"/>
          <w:szCs w:val="24"/>
        </w:rPr>
        <w:t>14</w:t>
      </w:r>
    </w:p>
    <w:p w:rsidR="00513B47" w:rsidRPr="00600E6F" w:rsidRDefault="00513B47" w:rsidP="003408F4">
      <w:pPr>
        <w:spacing w:after="0" w:line="240" w:lineRule="auto"/>
        <w:ind w:left="1800"/>
        <w:rPr>
          <w:rFonts w:ascii="Times New Roman" w:hAnsi="Times New Roman"/>
          <w:i/>
          <w:sz w:val="24"/>
        </w:rPr>
      </w:pPr>
      <w:r w:rsidRPr="00600E6F">
        <w:rPr>
          <w:rFonts w:ascii="Times New Roman" w:hAnsi="Times New Roman"/>
          <w:sz w:val="24"/>
        </w:rPr>
        <w:t xml:space="preserve"> </w:t>
      </w: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4b to be provided as an Excel Attachment to this PIP]</w:t>
      </w:r>
    </w:p>
    <w:p w:rsidR="00513B47" w:rsidRDefault="00513B47" w:rsidP="003408F4">
      <w:pPr>
        <w:spacing w:after="0" w:line="240" w:lineRule="auto"/>
        <w:rPr>
          <w:rFonts w:ascii="Times New Roman" w:hAnsi="Times New Roman"/>
          <w:b/>
          <w:sz w:val="24"/>
        </w:rPr>
      </w:pPr>
    </w:p>
    <w:p w:rsidR="007E4BEC" w:rsidRPr="00600E6F" w:rsidRDefault="007E4BEC" w:rsidP="003408F4">
      <w:pPr>
        <w:spacing w:after="0" w:line="240" w:lineRule="auto"/>
        <w:rPr>
          <w:rFonts w:ascii="Times New Roman" w:hAnsi="Times New Roman"/>
          <w:b/>
          <w:sz w:val="24"/>
        </w:rPr>
      </w:pPr>
    </w:p>
    <w:p w:rsidR="00513B47" w:rsidRPr="00600E6F" w:rsidRDefault="00513B47" w:rsidP="00C31CC0">
      <w:pPr>
        <w:pStyle w:val="ListParagraph"/>
        <w:numPr>
          <w:ilvl w:val="0"/>
          <w:numId w:val="29"/>
        </w:numPr>
        <w:spacing w:after="0" w:line="240" w:lineRule="auto"/>
        <w:ind w:left="720" w:hanging="720"/>
        <w:contextualSpacing w:val="0"/>
        <w:rPr>
          <w:rFonts w:ascii="Times New Roman" w:hAnsi="Times New Roman"/>
          <w:b/>
          <w:sz w:val="24"/>
        </w:rPr>
      </w:pPr>
      <w:r w:rsidRPr="00600E6F">
        <w:rPr>
          <w:rFonts w:ascii="Times New Roman" w:hAnsi="Times New Roman"/>
          <w:b/>
          <w:sz w:val="24"/>
        </w:rPr>
        <w:t>Program Implementation Details</w:t>
      </w:r>
    </w:p>
    <w:p w:rsidR="00513B47" w:rsidRPr="00600E6F" w:rsidRDefault="00513B47" w:rsidP="003408F4">
      <w:pPr>
        <w:pStyle w:val="ListParagraph"/>
        <w:spacing w:after="0" w:line="240" w:lineRule="auto"/>
        <w:rPr>
          <w:rFonts w:ascii="Times New Roman" w:hAnsi="Times New Roman"/>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Timelines: </w:t>
      </w:r>
      <w:r w:rsidRPr="00600E6F">
        <w:rPr>
          <w:rFonts w:ascii="Times New Roman" w:hAnsi="Times New Roman"/>
          <w:sz w:val="24"/>
        </w:rPr>
        <w:t xml:space="preserve">List the key program milestones and dates. </w:t>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b/>
          <w:sz w:val="24"/>
        </w:rPr>
        <w:t>Table 5:</w:t>
      </w:r>
      <w:r w:rsidRPr="00600E6F">
        <w:rPr>
          <w:rFonts w:ascii="Times New Roman" w:hAnsi="Times New Roman"/>
          <w:sz w:val="24"/>
        </w:rPr>
        <w:t xml:space="preserve"> Sub-Program Milestones and Timeline </w:t>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5 to be provided as an Excel Attachment to this PIP]</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Geographic Scope: </w:t>
      </w:r>
      <w:r w:rsidRPr="00600E6F">
        <w:rPr>
          <w:rFonts w:ascii="Times New Roman" w:hAnsi="Times New Roman"/>
          <w:sz w:val="24"/>
        </w:rPr>
        <w:t>List the geographic regions (e.g., CEC weather zones) where the program will operate.</w:t>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b/>
          <w:sz w:val="24"/>
        </w:rPr>
        <w:t xml:space="preserve">Table 6:  </w:t>
      </w:r>
      <w:r w:rsidRPr="00600E6F">
        <w:rPr>
          <w:rFonts w:ascii="Times New Roman" w:hAnsi="Times New Roman"/>
          <w:sz w:val="24"/>
        </w:rPr>
        <w:t>Geographic Regions Where the Program Will Operate</w:t>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6 to be provided as an Excel Attachment to this PIP]</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32"/>
        </w:numPr>
        <w:tabs>
          <w:tab w:val="clear" w:pos="1440"/>
          <w:tab w:val="num" w:pos="1350"/>
        </w:tabs>
        <w:spacing w:after="0" w:line="240" w:lineRule="auto"/>
        <w:rPr>
          <w:rFonts w:ascii="Times New Roman" w:hAnsi="Times New Roman"/>
          <w:b/>
          <w:sz w:val="24"/>
        </w:rPr>
      </w:pPr>
      <w:r w:rsidRPr="00600E6F">
        <w:rPr>
          <w:rFonts w:ascii="Times New Roman" w:hAnsi="Times New Roman"/>
          <w:b/>
          <w:sz w:val="24"/>
        </w:rPr>
        <w:t xml:space="preserve">Program Administration </w:t>
      </w:r>
    </w:p>
    <w:p w:rsidR="00513B47" w:rsidRPr="00600E6F" w:rsidRDefault="00513B47" w:rsidP="003408F4">
      <w:pPr>
        <w:spacing w:after="0" w:line="240" w:lineRule="auto"/>
        <w:ind w:left="720" w:firstLine="720"/>
        <w:rPr>
          <w:rFonts w:ascii="Times New Roman" w:hAnsi="Times New Roman"/>
          <w:b/>
          <w:sz w:val="24"/>
        </w:rPr>
      </w:pPr>
      <w:r w:rsidRPr="00600E6F">
        <w:rPr>
          <w:rFonts w:ascii="Times New Roman" w:hAnsi="Times New Roman"/>
          <w:b/>
          <w:sz w:val="24"/>
        </w:rPr>
        <w:t xml:space="preserve">Table 7:  </w:t>
      </w:r>
      <w:r w:rsidRPr="00600E6F">
        <w:rPr>
          <w:rFonts w:ascii="Times New Roman" w:hAnsi="Times New Roman"/>
          <w:sz w:val="24"/>
        </w:rPr>
        <w:t>Program Administration of Program Components</w:t>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7 to be provided as an Excel Attachment to this PIP]</w:t>
      </w:r>
    </w:p>
    <w:p w:rsidR="00513B47" w:rsidRPr="00600E6F" w:rsidRDefault="00513B47" w:rsidP="003408F4">
      <w:pPr>
        <w:pStyle w:val="ListParagraph"/>
        <w:spacing w:after="0" w:line="240" w:lineRule="auto"/>
        <w:rPr>
          <w:rFonts w:ascii="Times New Roman" w:hAnsi="Times New Roman"/>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Program Eligibility Requirements: </w:t>
      </w:r>
    </w:p>
    <w:p w:rsidR="00513B47" w:rsidRPr="00C32735" w:rsidRDefault="00513B47" w:rsidP="00C31CC0">
      <w:pPr>
        <w:numPr>
          <w:ilvl w:val="2"/>
          <w:numId w:val="32"/>
        </w:numPr>
        <w:tabs>
          <w:tab w:val="clear" w:pos="2520"/>
          <w:tab w:val="num" w:pos="1620"/>
        </w:tabs>
        <w:spacing w:after="0" w:line="240" w:lineRule="auto"/>
        <w:ind w:left="1620"/>
        <w:rPr>
          <w:rFonts w:ascii="Times New Roman" w:hAnsi="Times New Roman"/>
          <w:b/>
          <w:sz w:val="24"/>
        </w:rPr>
      </w:pPr>
      <w:r w:rsidRPr="00600E6F">
        <w:rPr>
          <w:rFonts w:ascii="Times New Roman" w:hAnsi="Times New Roman"/>
          <w:b/>
          <w:sz w:val="24"/>
        </w:rPr>
        <w:t>Customers:</w:t>
      </w:r>
      <w:r w:rsidRPr="00600E6F">
        <w:rPr>
          <w:rFonts w:ascii="Times New Roman" w:hAnsi="Times New Roman"/>
          <w:sz w:val="24"/>
        </w:rPr>
        <w:t xml:space="preserve"> List any customer eligibility requirements (e.g., annual energy use, peak kW demand): </w:t>
      </w:r>
    </w:p>
    <w:p w:rsidR="00C32735" w:rsidRPr="00600E6F" w:rsidRDefault="00C32735" w:rsidP="00C32735">
      <w:pPr>
        <w:spacing w:after="0" w:line="240" w:lineRule="auto"/>
        <w:ind w:left="1620"/>
        <w:rPr>
          <w:rFonts w:ascii="Times New Roman" w:hAnsi="Times New Roman"/>
          <w:b/>
          <w:sz w:val="24"/>
        </w:rPr>
      </w:pPr>
    </w:p>
    <w:p w:rsidR="00513B47" w:rsidRPr="00600E6F" w:rsidRDefault="00513B47" w:rsidP="003408F4">
      <w:pPr>
        <w:spacing w:after="0" w:line="240" w:lineRule="auto"/>
        <w:ind w:left="900" w:firstLine="720"/>
        <w:rPr>
          <w:rFonts w:ascii="Times New Roman" w:hAnsi="Times New Roman"/>
          <w:sz w:val="24"/>
        </w:rPr>
      </w:pPr>
      <w:r w:rsidRPr="00600E6F">
        <w:rPr>
          <w:rFonts w:ascii="Times New Roman" w:hAnsi="Times New Roman"/>
          <w:b/>
          <w:sz w:val="24"/>
        </w:rPr>
        <w:t xml:space="preserve">Table 8:  </w:t>
      </w:r>
      <w:r w:rsidRPr="00600E6F">
        <w:rPr>
          <w:rFonts w:ascii="Times New Roman" w:hAnsi="Times New Roman"/>
          <w:sz w:val="24"/>
        </w:rPr>
        <w:t>Customer Eligibility Requirements (Joint Utility Table)</w:t>
      </w:r>
    </w:p>
    <w:p w:rsidR="00513B47" w:rsidRPr="00600E6F" w:rsidRDefault="00513B47" w:rsidP="003408F4">
      <w:pPr>
        <w:spacing w:after="0" w:line="240" w:lineRule="auto"/>
        <w:ind w:left="90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8 to be provided as an Excel Attachment to this PIP]</w:t>
      </w:r>
    </w:p>
    <w:p w:rsidR="00513B47" w:rsidRPr="00600E6F" w:rsidRDefault="00513B47" w:rsidP="003408F4">
      <w:pPr>
        <w:spacing w:after="0" w:line="240" w:lineRule="auto"/>
        <w:ind w:left="720" w:firstLine="720"/>
        <w:rPr>
          <w:rFonts w:ascii="Times New Roman" w:hAnsi="Times New Roman"/>
          <w:sz w:val="24"/>
        </w:rPr>
      </w:pPr>
    </w:p>
    <w:p w:rsidR="00513B47" w:rsidRPr="00600E6F" w:rsidRDefault="00513B47" w:rsidP="00C31CC0">
      <w:pPr>
        <w:numPr>
          <w:ilvl w:val="2"/>
          <w:numId w:val="32"/>
        </w:numPr>
        <w:tabs>
          <w:tab w:val="clear" w:pos="2520"/>
          <w:tab w:val="num" w:pos="1620"/>
        </w:tabs>
        <w:spacing w:after="0" w:line="240" w:lineRule="auto"/>
        <w:ind w:left="1620"/>
        <w:rPr>
          <w:rFonts w:ascii="Times New Roman" w:hAnsi="Times New Roman"/>
          <w:b/>
          <w:sz w:val="24"/>
        </w:rPr>
      </w:pPr>
      <w:r w:rsidRPr="00600E6F">
        <w:rPr>
          <w:rFonts w:ascii="Times New Roman" w:hAnsi="Times New Roman"/>
          <w:b/>
          <w:sz w:val="24"/>
        </w:rPr>
        <w:t>Contractors/Participants:</w:t>
      </w:r>
      <w:r w:rsidRPr="00600E6F">
        <w:rPr>
          <w:rFonts w:ascii="Times New Roman" w:hAnsi="Times New Roman"/>
          <w:sz w:val="24"/>
        </w:rPr>
        <w:t xml:space="preserve"> List any contractor (and/or developer, manufacturer, retailer or other “participant”) eligibility requirements (e.g. specific IOU required trainings; specific contractor accreditations; and/or, specific technician certifications required). </w:t>
      </w:r>
    </w:p>
    <w:p w:rsidR="007E4BEC" w:rsidRDefault="007E4BEC" w:rsidP="00600E6F">
      <w:pPr>
        <w:spacing w:after="0" w:line="240" w:lineRule="auto"/>
        <w:ind w:left="1620"/>
        <w:rPr>
          <w:rFonts w:ascii="Times New Roman" w:hAnsi="Times New Roman"/>
          <w:b/>
          <w:sz w:val="24"/>
        </w:rPr>
      </w:pPr>
    </w:p>
    <w:p w:rsidR="00513B47" w:rsidRPr="00600E6F" w:rsidRDefault="00513B47" w:rsidP="00600E6F">
      <w:pPr>
        <w:spacing w:after="0" w:line="240" w:lineRule="auto"/>
        <w:ind w:left="1620"/>
        <w:rPr>
          <w:rFonts w:ascii="Times New Roman" w:hAnsi="Times New Roman"/>
          <w:b/>
          <w:sz w:val="24"/>
        </w:rPr>
      </w:pPr>
      <w:r w:rsidRPr="00600E6F">
        <w:rPr>
          <w:rFonts w:ascii="Times New Roman" w:hAnsi="Times New Roman"/>
          <w:b/>
          <w:sz w:val="24"/>
        </w:rPr>
        <w:t>Table 9:  Contractor/Participant Eligibility Requirements (Joint IOU Table)</w:t>
      </w:r>
    </w:p>
    <w:p w:rsidR="00513B47" w:rsidRPr="00600E6F" w:rsidRDefault="00513B47" w:rsidP="003408F4">
      <w:pPr>
        <w:spacing w:after="0" w:line="240" w:lineRule="auto"/>
        <w:ind w:left="90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9 to be provided as an Excel Attachment to this PIP]</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Program Partners: </w:t>
      </w:r>
    </w:p>
    <w:p w:rsidR="00513B47" w:rsidRPr="00600E6F" w:rsidRDefault="00513B47" w:rsidP="00C31CC0">
      <w:pPr>
        <w:numPr>
          <w:ilvl w:val="1"/>
          <w:numId w:val="110"/>
        </w:numPr>
        <w:spacing w:after="0" w:line="240" w:lineRule="auto"/>
        <w:ind w:hanging="180"/>
        <w:rPr>
          <w:rFonts w:ascii="Times New Roman" w:hAnsi="Times New Roman"/>
          <w:b/>
          <w:sz w:val="24"/>
        </w:rPr>
      </w:pPr>
      <w:r w:rsidRPr="00600E6F">
        <w:rPr>
          <w:rFonts w:ascii="Times New Roman" w:hAnsi="Times New Roman"/>
          <w:b/>
          <w:sz w:val="24"/>
        </w:rPr>
        <w:t xml:space="preserve">Manufacturer/Retailer/Distributor partners: </w:t>
      </w:r>
      <w:r w:rsidRPr="00600E6F">
        <w:rPr>
          <w:rFonts w:ascii="Times New Roman" w:hAnsi="Times New Roman"/>
          <w:sz w:val="24"/>
        </w:rPr>
        <w:t>For upstream or midstream incentive and/or buy down programs indicate</w:t>
      </w:r>
      <w:r w:rsidRPr="00600E6F">
        <w:rPr>
          <w:rStyle w:val="FootnoteReference"/>
          <w:rFonts w:ascii="Times New Roman" w:hAnsi="Times New Roman"/>
          <w:sz w:val="24"/>
        </w:rPr>
        <w:footnoteReference w:id="21"/>
      </w:r>
      <w:r w:rsidRPr="00600E6F">
        <w:rPr>
          <w:rFonts w:ascii="Times New Roman" w:hAnsi="Times New Roman"/>
          <w:sz w:val="24"/>
        </w:rPr>
        <w:t>:</w:t>
      </w:r>
    </w:p>
    <w:p w:rsidR="00513B47" w:rsidRPr="00600E6F" w:rsidRDefault="00513B47" w:rsidP="003408F4">
      <w:pPr>
        <w:spacing w:after="0" w:line="240" w:lineRule="auto"/>
        <w:ind w:left="1080" w:firstLine="720"/>
        <w:rPr>
          <w:rFonts w:ascii="Times New Roman" w:hAnsi="Times New Roman"/>
          <w:b/>
          <w:sz w:val="24"/>
        </w:rPr>
      </w:pPr>
      <w:r w:rsidRPr="00600E6F">
        <w:rPr>
          <w:rFonts w:ascii="Times New Roman" w:hAnsi="Times New Roman"/>
          <w:b/>
          <w:sz w:val="24"/>
        </w:rPr>
        <w:t xml:space="preserve">Table 10:  </w:t>
      </w:r>
      <w:r w:rsidRPr="00600E6F">
        <w:rPr>
          <w:rFonts w:ascii="Times New Roman" w:hAnsi="Times New Roman"/>
          <w:sz w:val="24"/>
        </w:rPr>
        <w:t>Manufacturer/Retailer/Distributor Partners</w:t>
      </w:r>
    </w:p>
    <w:p w:rsidR="00513B47" w:rsidRPr="00600E6F" w:rsidRDefault="00513B47" w:rsidP="003408F4">
      <w:pPr>
        <w:spacing w:after="0" w:line="240" w:lineRule="auto"/>
        <w:ind w:left="108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10 to be provided as an Excel Attachment to this PIP]</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1"/>
          <w:numId w:val="110"/>
        </w:numPr>
        <w:spacing w:after="0" w:line="240" w:lineRule="auto"/>
        <w:ind w:hanging="180"/>
        <w:rPr>
          <w:rFonts w:ascii="Times New Roman" w:hAnsi="Times New Roman"/>
          <w:b/>
          <w:sz w:val="24"/>
        </w:rPr>
      </w:pPr>
      <w:r w:rsidRPr="00600E6F">
        <w:rPr>
          <w:rFonts w:ascii="Times New Roman" w:hAnsi="Times New Roman"/>
          <w:b/>
          <w:sz w:val="24"/>
        </w:rPr>
        <w:t xml:space="preserve">Other key program partners: </w:t>
      </w:r>
      <w:r w:rsidRPr="00600E6F">
        <w:rPr>
          <w:rFonts w:ascii="Times New Roman" w:hAnsi="Times New Roman"/>
          <w:sz w:val="24"/>
        </w:rPr>
        <w:t>Indicate any research or other key program partners.</w:t>
      </w:r>
      <w:r w:rsidRPr="00600E6F">
        <w:rPr>
          <w:rFonts w:ascii="Times New Roman" w:hAnsi="Times New Roman"/>
          <w:b/>
          <w:sz w:val="24"/>
        </w:rPr>
        <w:t xml:space="preserve"> </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California Energy Commission</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EPA ENERGY STAR®</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Consortium for Energy Efficiency (CEE)</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American Council for an Energy-Efficient Economy (ACEEE)</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National Electrical Manufacturers Association (NEMA)</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Natural Resources Defense Council (NRDC)</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Energy Solution</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Ecova</w:t>
      </w:r>
    </w:p>
    <w:p w:rsidR="00513B47" w:rsidRPr="00600E6F" w:rsidRDefault="00513B47" w:rsidP="00C31CC0">
      <w:pPr>
        <w:pStyle w:val="ListParagraph"/>
        <w:numPr>
          <w:ilvl w:val="0"/>
          <w:numId w:val="109"/>
        </w:numPr>
        <w:spacing w:after="0" w:line="240" w:lineRule="auto"/>
        <w:ind w:left="2160"/>
        <w:contextualSpacing w:val="0"/>
        <w:rPr>
          <w:rFonts w:ascii="Times New Roman" w:hAnsi="Times New Roman"/>
          <w:sz w:val="24"/>
        </w:rPr>
      </w:pPr>
      <w:r w:rsidRPr="00600E6F">
        <w:rPr>
          <w:rFonts w:ascii="Times New Roman" w:hAnsi="Times New Roman"/>
          <w:sz w:val="24"/>
        </w:rPr>
        <w:t>Navitas Partners</w:t>
      </w:r>
    </w:p>
    <w:p w:rsidR="00513B47" w:rsidRPr="00600E6F" w:rsidRDefault="00513B47" w:rsidP="003408F4">
      <w:pPr>
        <w:pStyle w:val="ListParagraph"/>
        <w:spacing w:after="0" w:line="240" w:lineRule="auto"/>
        <w:ind w:left="2160"/>
        <w:contextualSpacing w:val="0"/>
        <w:rPr>
          <w:rFonts w:ascii="Times New Roman" w:hAnsi="Times New Roman"/>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Measures and incentive levels: </w:t>
      </w:r>
      <w:r w:rsidRPr="00600E6F">
        <w:rPr>
          <w:rFonts w:ascii="Times New Roman" w:hAnsi="Times New Roman"/>
          <w:sz w:val="24"/>
        </w:rPr>
        <w:t>E3 calculators will provide the list of measures and incentive levels to be provided via the program.  In this section the utilities should provide a summary table of measures and incentive levels.</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1"/>
          <w:numId w:val="111"/>
        </w:numPr>
        <w:spacing w:after="0" w:line="240" w:lineRule="auto"/>
        <w:ind w:hanging="180"/>
        <w:rPr>
          <w:rFonts w:ascii="Times New Roman" w:hAnsi="Times New Roman"/>
          <w:sz w:val="24"/>
        </w:rPr>
      </w:pPr>
      <w:r w:rsidRPr="00600E6F">
        <w:rPr>
          <w:rFonts w:ascii="Times New Roman" w:hAnsi="Times New Roman"/>
          <w:sz w:val="24"/>
        </w:rPr>
        <w:t xml:space="preserve">Use a single excel spreadsheet to indicate the eligible measures for the program across all IOUs. Indicate the expected incentive level by measure or measure grouping for each IOU, making clear where these vary. </w:t>
      </w:r>
      <w:r w:rsidRPr="00600E6F">
        <w:rPr>
          <w:rFonts w:ascii="Times New Roman" w:hAnsi="Times New Roman"/>
          <w:sz w:val="24"/>
        </w:rPr>
        <w:br/>
      </w:r>
    </w:p>
    <w:p w:rsidR="00513B47" w:rsidRPr="00600E6F" w:rsidRDefault="00513B47" w:rsidP="00C31CC0">
      <w:pPr>
        <w:numPr>
          <w:ilvl w:val="1"/>
          <w:numId w:val="111"/>
        </w:numPr>
        <w:spacing w:after="0" w:line="240" w:lineRule="auto"/>
        <w:ind w:hanging="180"/>
        <w:rPr>
          <w:rFonts w:ascii="Times New Roman" w:hAnsi="Times New Roman"/>
          <w:sz w:val="24"/>
        </w:rPr>
      </w:pPr>
      <w:r w:rsidRPr="00600E6F">
        <w:rPr>
          <w:rFonts w:ascii="Times New Roman" w:hAnsi="Times New Roman"/>
          <w:sz w:val="24"/>
        </w:rPr>
        <w:t xml:space="preserve">For each incented or rebated measure, indicate the market actor to whom this will be provided. </w:t>
      </w:r>
    </w:p>
    <w:p w:rsidR="00803A92" w:rsidRPr="00600E6F" w:rsidRDefault="00803A92" w:rsidP="003408F4">
      <w:pPr>
        <w:spacing w:after="0" w:line="240" w:lineRule="auto"/>
        <w:ind w:left="900" w:firstLine="720"/>
        <w:rPr>
          <w:rFonts w:ascii="Times New Roman" w:hAnsi="Times New Roman"/>
          <w:b/>
          <w:sz w:val="24"/>
        </w:rPr>
      </w:pPr>
    </w:p>
    <w:p w:rsidR="00513B47" w:rsidRPr="00600E6F" w:rsidRDefault="00513B47" w:rsidP="00600E6F">
      <w:pPr>
        <w:spacing w:after="0" w:line="240" w:lineRule="auto"/>
        <w:ind w:left="1620"/>
        <w:rPr>
          <w:rFonts w:ascii="Times New Roman" w:hAnsi="Times New Roman"/>
          <w:b/>
          <w:sz w:val="24"/>
        </w:rPr>
      </w:pPr>
      <w:r w:rsidRPr="00600E6F">
        <w:rPr>
          <w:rFonts w:ascii="Times New Roman" w:hAnsi="Times New Roman"/>
          <w:b/>
          <w:sz w:val="24"/>
        </w:rPr>
        <w:lastRenderedPageBreak/>
        <w:t xml:space="preserve">Table 11:  </w:t>
      </w:r>
      <w:r w:rsidRPr="00600E6F">
        <w:rPr>
          <w:rFonts w:ascii="Times New Roman" w:hAnsi="Times New Roman"/>
          <w:sz w:val="24"/>
        </w:rPr>
        <w:t>Summary Table of Measures, Incentive Levels and Verification Rates</w:t>
      </w:r>
    </w:p>
    <w:p w:rsidR="00513B47" w:rsidRPr="00600E6F" w:rsidRDefault="00513B47" w:rsidP="003408F4">
      <w:pPr>
        <w:spacing w:after="0" w:line="240" w:lineRule="auto"/>
        <w:ind w:left="900" w:firstLine="720"/>
        <w:rPr>
          <w:rFonts w:ascii="Times New Roman" w:hAnsi="Times New Roman"/>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11 to be provided as an Excel Attachment to this PIP]</w:t>
      </w:r>
    </w:p>
    <w:p w:rsidR="00513B47" w:rsidRDefault="00513B47" w:rsidP="003408F4">
      <w:pPr>
        <w:spacing w:after="0" w:line="240" w:lineRule="auto"/>
        <w:rPr>
          <w:rFonts w:ascii="Times New Roman" w:hAnsi="Times New Roman"/>
          <w:b/>
          <w:sz w:val="24"/>
        </w:rPr>
      </w:pPr>
    </w:p>
    <w:p w:rsidR="009876B7" w:rsidRPr="00600E6F" w:rsidRDefault="009876B7" w:rsidP="003408F4">
      <w:pPr>
        <w:spacing w:after="0" w:line="240" w:lineRule="auto"/>
        <w:rPr>
          <w:rFonts w:ascii="Times New Roman" w:hAnsi="Times New Roman"/>
          <w:b/>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Additional Services: </w:t>
      </w:r>
      <w:r w:rsidRPr="00600E6F">
        <w:rPr>
          <w:rFonts w:ascii="Times New Roman" w:hAnsi="Times New Roman"/>
          <w:sz w:val="24"/>
        </w:rPr>
        <w:t>List additional services that the sub-program will provide, to which market actors.</w:t>
      </w:r>
      <w:r w:rsidRPr="00600E6F">
        <w:rPr>
          <w:rFonts w:ascii="Times New Roman" w:hAnsi="Times New Roman"/>
          <w:b/>
          <w:sz w:val="24"/>
        </w:rPr>
        <w:t xml:space="preserve">  </w:t>
      </w:r>
    </w:p>
    <w:p w:rsidR="00513B47" w:rsidRPr="00600E6F" w:rsidRDefault="00513B47" w:rsidP="00C31CC0">
      <w:pPr>
        <w:numPr>
          <w:ilvl w:val="1"/>
          <w:numId w:val="112"/>
        </w:numPr>
        <w:tabs>
          <w:tab w:val="clear" w:pos="1800"/>
        </w:tabs>
        <w:spacing w:after="0" w:line="240" w:lineRule="auto"/>
        <w:rPr>
          <w:rFonts w:ascii="Times New Roman" w:hAnsi="Times New Roman"/>
          <w:sz w:val="24"/>
        </w:rPr>
      </w:pPr>
      <w:r w:rsidRPr="00600E6F">
        <w:rPr>
          <w:rFonts w:ascii="Times New Roman" w:hAnsi="Times New Roman"/>
          <w:sz w:val="24"/>
        </w:rPr>
        <w:t xml:space="preserve">For each service provided, indicate any expected charges to market actors of the services, and/or the level at which any such services will be incented or funded. </w:t>
      </w:r>
    </w:p>
    <w:p w:rsidR="007E4BEC" w:rsidRDefault="007E4BEC" w:rsidP="003408F4">
      <w:pPr>
        <w:spacing w:after="0" w:line="240" w:lineRule="auto"/>
        <w:ind w:left="1080" w:firstLine="720"/>
        <w:rPr>
          <w:rFonts w:ascii="Times New Roman" w:hAnsi="Times New Roman"/>
          <w:b/>
          <w:sz w:val="24"/>
        </w:rPr>
      </w:pPr>
    </w:p>
    <w:p w:rsidR="00513B47" w:rsidRPr="00600E6F" w:rsidRDefault="00513B47" w:rsidP="003408F4">
      <w:pPr>
        <w:spacing w:after="0" w:line="240" w:lineRule="auto"/>
        <w:ind w:left="1080" w:firstLine="720"/>
        <w:rPr>
          <w:rFonts w:ascii="Times New Roman" w:hAnsi="Times New Roman"/>
          <w:sz w:val="24"/>
        </w:rPr>
      </w:pPr>
      <w:r w:rsidRPr="00600E6F">
        <w:rPr>
          <w:rFonts w:ascii="Times New Roman" w:hAnsi="Times New Roman"/>
          <w:b/>
          <w:sz w:val="24"/>
        </w:rPr>
        <w:t xml:space="preserve">Table 12:  </w:t>
      </w:r>
      <w:r w:rsidRPr="00600E6F">
        <w:rPr>
          <w:rFonts w:ascii="Times New Roman" w:hAnsi="Times New Roman"/>
          <w:sz w:val="24"/>
        </w:rPr>
        <w:t>Additional Services</w:t>
      </w:r>
    </w:p>
    <w:p w:rsidR="00513B47" w:rsidRDefault="00513B47" w:rsidP="00600E6F">
      <w:pPr>
        <w:spacing w:after="0" w:line="240" w:lineRule="auto"/>
        <w:ind w:left="1080" w:firstLine="720"/>
        <w:rPr>
          <w:rFonts w:ascii="Times New Roman" w:hAnsi="Times New Roman"/>
          <w:i/>
          <w:sz w:val="24"/>
        </w:rPr>
      </w:pPr>
      <w:r w:rsidRPr="00600E6F">
        <w:rPr>
          <w:rFonts w:ascii="Times New Roman" w:hAnsi="Times New Roman"/>
          <w:i/>
          <w:sz w:val="24"/>
        </w:rPr>
        <w:t>[Table</w:t>
      </w:r>
      <w:r w:rsidR="00786C83">
        <w:rPr>
          <w:rFonts w:ascii="Times New Roman" w:hAnsi="Times New Roman"/>
          <w:i/>
          <w:sz w:val="24"/>
          <w:szCs w:val="24"/>
        </w:rPr>
        <w:t xml:space="preserve"> </w:t>
      </w:r>
      <w:r w:rsidRPr="00600E6F">
        <w:rPr>
          <w:rFonts w:ascii="Times New Roman" w:hAnsi="Times New Roman"/>
          <w:i/>
          <w:sz w:val="24"/>
        </w:rPr>
        <w:t>12 to be provided as an Excel Attachment to this PIP]</w:t>
      </w:r>
    </w:p>
    <w:p w:rsidR="007E4BEC" w:rsidRPr="00600E6F" w:rsidRDefault="007E4BEC" w:rsidP="00600E6F">
      <w:pPr>
        <w:spacing w:after="0" w:line="240" w:lineRule="auto"/>
        <w:ind w:left="1080" w:firstLine="720"/>
        <w:rPr>
          <w:rFonts w:ascii="Times New Roman" w:hAnsi="Times New Roman"/>
          <w:sz w:val="24"/>
        </w:rPr>
      </w:pPr>
    </w:p>
    <w:p w:rsidR="00513B47" w:rsidRPr="00600E6F" w:rsidRDefault="00513B47" w:rsidP="00C31CC0">
      <w:pPr>
        <w:numPr>
          <w:ilvl w:val="1"/>
          <w:numId w:val="112"/>
        </w:numPr>
        <w:spacing w:after="0" w:line="240" w:lineRule="auto"/>
        <w:rPr>
          <w:rFonts w:ascii="Times New Roman" w:hAnsi="Times New Roman"/>
          <w:sz w:val="24"/>
        </w:rPr>
      </w:pPr>
      <w:r w:rsidRPr="00600E6F">
        <w:rPr>
          <w:rFonts w:ascii="Times New Roman" w:hAnsi="Times New Roman"/>
          <w:sz w:val="24"/>
        </w:rPr>
        <w:t xml:space="preserve">Sub-Program Specific Marketing and Outreach: </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Refer to Section 10(v) for details on Marketing Education &amp; Outreach.</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1"/>
          <w:numId w:val="112"/>
        </w:numPr>
        <w:spacing w:after="0" w:line="240" w:lineRule="auto"/>
        <w:rPr>
          <w:rFonts w:ascii="Times New Roman" w:hAnsi="Times New Roman"/>
          <w:sz w:val="24"/>
        </w:rPr>
      </w:pPr>
      <w:r w:rsidRPr="00600E6F">
        <w:rPr>
          <w:rFonts w:ascii="Times New Roman" w:hAnsi="Times New Roman"/>
          <w:sz w:val="24"/>
        </w:rPr>
        <w:t xml:space="preserve">Sub-Program Specific Training: </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Refer to Section 10(v) for details on Worker Education &amp; Training.</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1"/>
          <w:numId w:val="112"/>
        </w:numPr>
        <w:spacing w:after="0" w:line="240" w:lineRule="auto"/>
        <w:rPr>
          <w:rFonts w:ascii="Times New Roman" w:hAnsi="Times New Roman"/>
          <w:sz w:val="24"/>
        </w:rPr>
      </w:pPr>
      <w:r w:rsidRPr="00600E6F">
        <w:rPr>
          <w:rFonts w:ascii="Times New Roman" w:hAnsi="Times New Roman"/>
          <w:sz w:val="24"/>
        </w:rPr>
        <w:t xml:space="preserve">Sub-Program Software and/or Additional Tools: </w:t>
      </w:r>
    </w:p>
    <w:p w:rsidR="00513B47" w:rsidRPr="00600E6F" w:rsidRDefault="00513B47" w:rsidP="00C31CC0">
      <w:pPr>
        <w:numPr>
          <w:ilvl w:val="1"/>
          <w:numId w:val="32"/>
        </w:numPr>
        <w:tabs>
          <w:tab w:val="clear" w:pos="1800"/>
          <w:tab w:val="num" w:pos="2160"/>
        </w:tabs>
        <w:spacing w:after="0" w:line="240" w:lineRule="auto"/>
        <w:ind w:left="2160"/>
        <w:rPr>
          <w:rFonts w:ascii="Times New Roman" w:hAnsi="Times New Roman"/>
          <w:sz w:val="24"/>
        </w:rPr>
      </w:pPr>
      <w:r w:rsidRPr="00600E6F">
        <w:rPr>
          <w:rFonts w:ascii="Times New Roman" w:hAnsi="Times New Roman"/>
          <w:sz w:val="24"/>
        </w:rPr>
        <w:t xml:space="preserve">List all eligible software or similar tools required for sub-program participation. </w:t>
      </w:r>
    </w:p>
    <w:p w:rsidR="00513B47" w:rsidRPr="00600E6F" w:rsidRDefault="00513B47" w:rsidP="003408F4">
      <w:pPr>
        <w:spacing w:after="0" w:line="240" w:lineRule="auto"/>
        <w:ind w:left="2160"/>
        <w:rPr>
          <w:rFonts w:ascii="Times New Roman" w:hAnsi="Times New Roman"/>
          <w:sz w:val="24"/>
        </w:rPr>
      </w:pPr>
      <w:r w:rsidRPr="00600E6F">
        <w:rPr>
          <w:rFonts w:ascii="Times New Roman" w:hAnsi="Times New Roman"/>
          <w:sz w:val="24"/>
        </w:rPr>
        <w:t>None</w:t>
      </w:r>
    </w:p>
    <w:p w:rsidR="00513B47" w:rsidRPr="00600E6F" w:rsidRDefault="00513B47" w:rsidP="00C31CC0">
      <w:pPr>
        <w:numPr>
          <w:ilvl w:val="1"/>
          <w:numId w:val="32"/>
        </w:numPr>
        <w:tabs>
          <w:tab w:val="clear" w:pos="1800"/>
          <w:tab w:val="num" w:pos="2160"/>
        </w:tabs>
        <w:spacing w:after="0" w:line="240" w:lineRule="auto"/>
        <w:ind w:left="2160"/>
        <w:rPr>
          <w:rFonts w:ascii="Times New Roman" w:hAnsi="Times New Roman"/>
          <w:sz w:val="24"/>
        </w:rPr>
      </w:pPr>
      <w:r w:rsidRPr="00600E6F">
        <w:rPr>
          <w:rFonts w:ascii="Times New Roman" w:hAnsi="Times New Roman"/>
          <w:sz w:val="24"/>
        </w:rPr>
        <w:t xml:space="preserve">Indicate if pre and/or post implementation audits will be required for the sub-program.  </w:t>
      </w:r>
    </w:p>
    <w:p w:rsidR="00513B47" w:rsidRPr="00600E6F" w:rsidRDefault="00513B47" w:rsidP="003408F4">
      <w:pPr>
        <w:tabs>
          <w:tab w:val="num" w:pos="2160"/>
        </w:tabs>
        <w:spacing w:after="0" w:line="240" w:lineRule="auto"/>
        <w:ind w:left="2160"/>
        <w:rPr>
          <w:rFonts w:ascii="Times New Roman" w:hAnsi="Times New Roman"/>
          <w:sz w:val="24"/>
        </w:rPr>
      </w:pPr>
      <w:r w:rsidRPr="00600E6F">
        <w:rPr>
          <w:rFonts w:ascii="Times New Roman" w:hAnsi="Times New Roman"/>
          <w:sz w:val="24"/>
        </w:rPr>
        <w:t xml:space="preserve">Pre-implementation audit required ___ Yes  </w:t>
      </w:r>
      <w:r w:rsidR="008D705C">
        <w:rPr>
          <w:rFonts w:ascii="Times New Roman" w:hAnsi="Times New Roman"/>
          <w:noProof/>
          <w:sz w:val="24"/>
        </w:rPr>
        <w:drawing>
          <wp:inline distT="0" distB="0" distL="0" distR="0" wp14:anchorId="7F128B53" wp14:editId="0577DE33">
            <wp:extent cx="123825" cy="123825"/>
            <wp:effectExtent l="19050" t="0" r="9525"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No</w:t>
      </w:r>
    </w:p>
    <w:p w:rsidR="00513B47" w:rsidRPr="00600E6F" w:rsidRDefault="00513B47" w:rsidP="003408F4">
      <w:pPr>
        <w:tabs>
          <w:tab w:val="num" w:pos="2160"/>
        </w:tabs>
        <w:spacing w:after="0" w:line="240" w:lineRule="auto"/>
        <w:ind w:left="2160"/>
        <w:rPr>
          <w:rFonts w:ascii="Times New Roman" w:hAnsi="Times New Roman"/>
          <w:sz w:val="24"/>
        </w:rPr>
      </w:pPr>
      <w:r w:rsidRPr="00600E6F">
        <w:rPr>
          <w:rFonts w:ascii="Times New Roman" w:hAnsi="Times New Roman"/>
          <w:sz w:val="24"/>
        </w:rPr>
        <w:t xml:space="preserve">Post-implementation audit required ___ Yes </w:t>
      </w:r>
      <w:r w:rsidR="008D705C">
        <w:rPr>
          <w:rFonts w:ascii="Times New Roman" w:hAnsi="Times New Roman"/>
          <w:noProof/>
          <w:sz w:val="24"/>
        </w:rPr>
        <w:drawing>
          <wp:inline distT="0" distB="0" distL="0" distR="0" wp14:anchorId="62940558" wp14:editId="639DF15C">
            <wp:extent cx="123825" cy="123825"/>
            <wp:effectExtent l="19050" t="0" r="9525" b="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600E6F">
        <w:rPr>
          <w:rFonts w:ascii="Times New Roman" w:hAnsi="Times New Roman"/>
          <w:sz w:val="24"/>
        </w:rPr>
        <w:t xml:space="preserve"> No</w:t>
      </w:r>
    </w:p>
    <w:p w:rsidR="00513B47" w:rsidRPr="00600E6F" w:rsidRDefault="00513B47" w:rsidP="003408F4">
      <w:pPr>
        <w:tabs>
          <w:tab w:val="num" w:pos="2160"/>
        </w:tabs>
        <w:spacing w:after="0" w:line="240" w:lineRule="auto"/>
        <w:ind w:left="2160" w:hanging="360"/>
        <w:rPr>
          <w:rFonts w:ascii="Times New Roman" w:hAnsi="Times New Roman"/>
          <w:sz w:val="24"/>
        </w:rPr>
      </w:pPr>
    </w:p>
    <w:p w:rsidR="00513B47" w:rsidRPr="00600E6F" w:rsidRDefault="00513B47" w:rsidP="00C31CC0">
      <w:pPr>
        <w:numPr>
          <w:ilvl w:val="1"/>
          <w:numId w:val="32"/>
        </w:numPr>
        <w:tabs>
          <w:tab w:val="clear" w:pos="1800"/>
          <w:tab w:val="num" w:pos="2160"/>
        </w:tabs>
        <w:spacing w:after="0" w:line="240" w:lineRule="auto"/>
        <w:ind w:left="2160"/>
        <w:rPr>
          <w:rFonts w:ascii="Times New Roman" w:hAnsi="Times New Roman"/>
          <w:sz w:val="24"/>
        </w:rPr>
      </w:pPr>
      <w:r w:rsidRPr="00600E6F">
        <w:rPr>
          <w:rFonts w:ascii="Times New Roman" w:hAnsi="Times New Roman"/>
          <w:sz w:val="24"/>
        </w:rPr>
        <w:t xml:space="preserve">As applicable, indicate levels at which such audits shall be rebated or funded, and to whom such rebates/funding will be provided (i.e. to customer or contractor).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firstLine="720"/>
        <w:rPr>
          <w:rFonts w:ascii="Times New Roman" w:hAnsi="Times New Roman"/>
          <w:b/>
          <w:sz w:val="24"/>
        </w:rPr>
      </w:pPr>
      <w:r w:rsidRPr="00600E6F">
        <w:rPr>
          <w:rFonts w:ascii="Times New Roman" w:hAnsi="Times New Roman"/>
          <w:b/>
          <w:sz w:val="24"/>
        </w:rPr>
        <w:t xml:space="preserve">Table 13:  </w:t>
      </w:r>
      <w:r w:rsidRPr="00600E6F">
        <w:rPr>
          <w:rFonts w:ascii="Times New Roman" w:hAnsi="Times New Roman"/>
          <w:b/>
          <w:i/>
          <w:sz w:val="24"/>
        </w:rPr>
        <w:t>Post-implementation Audits</w:t>
      </w:r>
    </w:p>
    <w:p w:rsidR="00513B47" w:rsidRPr="00600E6F" w:rsidRDefault="00513B47" w:rsidP="003408F4">
      <w:pPr>
        <w:spacing w:after="0" w:line="240" w:lineRule="auto"/>
        <w:ind w:left="1440" w:firstLine="720"/>
        <w:rPr>
          <w:rFonts w:ascii="Times New Roman" w:hAnsi="Times New Roman"/>
          <w:b/>
          <w:sz w:val="24"/>
        </w:rPr>
      </w:pPr>
      <w:r w:rsidRPr="00600E6F">
        <w:rPr>
          <w:rFonts w:ascii="Times New Roman" w:hAnsi="Times New Roman"/>
          <w:sz w:val="24"/>
        </w:rPr>
        <w:t>N/A</w:t>
      </w:r>
    </w:p>
    <w:p w:rsidR="00513B47" w:rsidRDefault="00513B47" w:rsidP="003408F4">
      <w:pPr>
        <w:spacing w:after="0" w:line="240" w:lineRule="auto"/>
        <w:ind w:left="1440"/>
        <w:rPr>
          <w:rFonts w:ascii="Times New Roman" w:hAnsi="Times New Roman"/>
          <w:b/>
          <w:sz w:val="24"/>
        </w:rPr>
      </w:pPr>
    </w:p>
    <w:p w:rsidR="007E4BEC" w:rsidRPr="00600E6F" w:rsidRDefault="007E4BEC" w:rsidP="003408F4">
      <w:pPr>
        <w:spacing w:after="0" w:line="240" w:lineRule="auto"/>
        <w:ind w:left="1440"/>
        <w:rPr>
          <w:rFonts w:ascii="Times New Roman" w:hAnsi="Times New Roman"/>
          <w:b/>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Sub-Program Quality Assurance Provisions: </w:t>
      </w:r>
      <w:r w:rsidRPr="00600E6F">
        <w:rPr>
          <w:rFonts w:ascii="Times New Roman" w:hAnsi="Times New Roman"/>
          <w:sz w:val="24"/>
        </w:rPr>
        <w:t xml:space="preserve"> </w:t>
      </w:r>
    </w:p>
    <w:p w:rsidR="00513B47" w:rsidRPr="00600E6F" w:rsidRDefault="00513B47" w:rsidP="003408F4">
      <w:pPr>
        <w:spacing w:after="0" w:line="240" w:lineRule="auto"/>
        <w:ind w:left="720" w:firstLine="720"/>
        <w:rPr>
          <w:rFonts w:ascii="Times New Roman" w:hAnsi="Times New Roman"/>
          <w:b/>
          <w:sz w:val="24"/>
        </w:rPr>
      </w:pPr>
      <w:r w:rsidRPr="00600E6F">
        <w:rPr>
          <w:rFonts w:ascii="Times New Roman" w:hAnsi="Times New Roman"/>
          <w:b/>
          <w:sz w:val="24"/>
        </w:rPr>
        <w:t>Table 14:  Quality Assurance Provisions</w:t>
      </w:r>
    </w:p>
    <w:p w:rsidR="00513B47" w:rsidRPr="00600E6F" w:rsidRDefault="00513B47" w:rsidP="003408F4">
      <w:pPr>
        <w:spacing w:after="0" w:line="240" w:lineRule="auto"/>
        <w:ind w:left="720" w:firstLine="720"/>
        <w:rPr>
          <w:rFonts w:ascii="Times New Roman" w:hAnsi="Times New Roman"/>
          <w:i/>
          <w:sz w:val="24"/>
        </w:rPr>
      </w:pPr>
      <w:r w:rsidRPr="00600E6F">
        <w:rPr>
          <w:rFonts w:ascii="Times New Roman" w:hAnsi="Times New Roman"/>
          <w:i/>
          <w:sz w:val="24"/>
        </w:rPr>
        <w:t>[Table-14 to be provided as an Excel Attachment to this PIP]</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Sub-program Delivery Method and Measure Installation /Marketing or Training:  </w:t>
      </w:r>
      <w:r w:rsidRPr="00600E6F">
        <w:rPr>
          <w:rFonts w:ascii="Times New Roman" w:hAnsi="Times New Roman"/>
          <w:sz w:val="24"/>
        </w:rPr>
        <w:t>Briefly describe any additional sub-program delivery and measure installation and/or marketing &amp; outreach, training and/or other services provided, if not yet described above.</w:t>
      </w:r>
      <w:r w:rsidRPr="00600E6F">
        <w:rPr>
          <w:rFonts w:ascii="Times New Roman" w:hAnsi="Times New Roman"/>
          <w:b/>
          <w:sz w:val="24"/>
        </w:rPr>
        <w:t xml:space="preserve"> </w:t>
      </w:r>
    </w:p>
    <w:p w:rsidR="00513B47" w:rsidRDefault="00513B47" w:rsidP="003408F4">
      <w:pPr>
        <w:spacing w:after="0" w:line="240" w:lineRule="auto"/>
        <w:ind w:left="1440"/>
        <w:rPr>
          <w:rFonts w:ascii="Times New Roman" w:hAnsi="Times New Roman"/>
          <w:sz w:val="24"/>
        </w:rPr>
      </w:pPr>
    </w:p>
    <w:p w:rsidR="007E4BEC" w:rsidRPr="00600E6F" w:rsidRDefault="007E4BEC"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lastRenderedPageBreak/>
        <w:t>(i)</w:t>
      </w:r>
      <w:r w:rsidRPr="00600E6F">
        <w:rPr>
          <w:rFonts w:ascii="Times New Roman" w:hAnsi="Times New Roman"/>
          <w:b/>
          <w:sz w:val="24"/>
        </w:rPr>
        <w:tab/>
        <w:t>Upstream Incentive Delivery Channel</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PLA program uses “different incentive designs” to influence market actor behaviors. The upstream incentive is paid directly to the manufacturers for the purpose of influencing the manufacturer’s product offering in the distribution chain. The upstream incentive can potentially influence the retailer’s product assortments and impact the customer’s purchasing behaviors. This delivery channel can be a cost effective means for supporting measures that have high sales volumes, produced by relatively few manufacturers that sell through a large number of independent retailer chains.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(ii)</w:t>
      </w:r>
      <w:r w:rsidRPr="00600E6F">
        <w:rPr>
          <w:rFonts w:ascii="Times New Roman" w:hAnsi="Times New Roman"/>
          <w:b/>
          <w:sz w:val="24"/>
        </w:rPr>
        <w:tab/>
        <w:t>Midstream Incentive Delivery Channel</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midstream incentive is paid to the retailers, e-retailers, distributors, contractors or service providers and is typically used to influence the sales channels’ decision on which products to stock and sell. The midstream incentive offers IOUs the advantage of applying the incentives across all brand offerings for a particular product category that a retailer carries without the additional effort of managing multiple manufacturer relationships. This enhances the customer’s shopping experiences and allows retailers to offer wider product choices.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Continuing to cultivate strategic alliances to maximize the synergies with retailer partners is an effective strategy for increasing the program cost-effectiveness and efficiency. California IOUs will continue to develop strategic partnerships with the industry to be more effective in promoting energy efficient products and services, showcasing our energy expertise, branding our successes, and maintaining high levels of customer satisfaction.  These strategic alliances include the contractors for roofs, pumps, and evaporative coolers in previous program cycles, as well as HVAC contractors from other residential programs.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continued use of retailers as a go-to-market channel provides an excellent conduit for developing a “one-stop approach” for customers, as noted in the long-term Strategic Plan. By increasing the program participation with national chain mass market and regional vertical retailers, the program will provide the following benefits: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Expanding network that increase customer convenience;</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Enhancing retail management support for energy efficiency;</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 xml:space="preserve">Establishing more opportunities for co-marketing and branding with retailers; </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Expanding cooperation between utilities, retailers and manufacturers to promote and stock high efficiency PLA products; and</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w:t>
      </w:r>
      <w:r w:rsidRPr="00600E6F">
        <w:rPr>
          <w:rFonts w:ascii="Times New Roman" w:hAnsi="Times New Roman"/>
          <w:sz w:val="24"/>
        </w:rPr>
        <w:tab/>
        <w:t>Providing market information for energy efficiency products.</w:t>
      </w:r>
      <w:r w:rsidRPr="00600E6F">
        <w:rPr>
          <w:rFonts w:ascii="Times New Roman" w:hAnsi="Times New Roman"/>
          <w:sz w:val="24"/>
        </w:rPr>
        <w:br/>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As noted previously, the national trend by nation chain mass market retailers toward promoting “energy efficient” products within their stores provides IOUs the opportunity to reach end-users through a preferred method of communication— directly from the retailer. Beyond leveraging the ENERGY STAR® brand, PLA will use its retail management support to develop bundled </w:t>
      </w:r>
      <w:r w:rsidRPr="00600E6F">
        <w:rPr>
          <w:rFonts w:ascii="Times New Roman" w:hAnsi="Times New Roman"/>
          <w:sz w:val="24"/>
        </w:rPr>
        <w:lastRenderedPageBreak/>
        <w:t>promotions, host events, train staff, and conduct promotional campaigns with retailers to directly influence consumers’ choice for energy efficiency products.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sz w:val="24"/>
        </w:rPr>
        <w:t>(iii)</w:t>
      </w:r>
      <w:r w:rsidRPr="00600E6F">
        <w:rPr>
          <w:rFonts w:ascii="Times New Roman" w:hAnsi="Times New Roman"/>
          <w:b/>
          <w:sz w:val="24"/>
        </w:rPr>
        <w:tab/>
        <w:t>Downstream Incentive Delivery Channel</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downstream incentive is paid directly to the end-customer and is typically used to directly influence the customer’s purchasing decision. While the downstream incentive model has the advantage of capturing more customer information, the more lengthy incentive administrative process of rebates applications is disadvantageous. Additionally, the administrative efforts supporting downstream rebate applications are typically not cost effective for small rebate amounts.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A major implementation strategy for the program is to expand the downstream incentive delivery channel to include the point-of-sale (POS) “instant rebate”. This implementation would allow retailers to instantly provide the customer the IOU rebate at the register, streamlining the rebate application payment process and integrating appliance incentives with appliance recycling opportunities. This POS strategy seeks to include more retailers that sell high efficient refrigerators, whole house fans, pool pumps and other appliances as applicable with each IOU. Retailers are key market actors in moving the energy-efficient PLA markets, thus the PLA sub-program design will be optimized to maximize the retailers’ participation. The final implementation will be depending on the retailers’ IT structure and capabilities in certain areas. </w:t>
      </w: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br w:type="page"/>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b/>
          <w:sz w:val="24"/>
        </w:rPr>
        <w:lastRenderedPageBreak/>
        <w:t>Table-A:</w:t>
      </w:r>
      <w:r w:rsidRPr="00600E6F">
        <w:rPr>
          <w:rFonts w:ascii="Times New Roman" w:hAnsi="Times New Roman"/>
          <w:sz w:val="24"/>
        </w:rPr>
        <w:t xml:space="preserve">  Incentive Delivery Channel Summary</w:t>
      </w:r>
    </w:p>
    <w:p w:rsidR="00513B47" w:rsidRPr="00600E6F" w:rsidRDefault="00513B47" w:rsidP="003408F4">
      <w:pPr>
        <w:spacing w:after="0" w:line="240" w:lineRule="auto"/>
        <w:ind w:left="1440"/>
        <w:rPr>
          <w:rFonts w:ascii="Times New Roman" w:hAnsi="Times New Roman"/>
          <w:sz w:val="24"/>
        </w:rPr>
      </w:pPr>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620"/>
        <w:gridCol w:w="4320"/>
      </w:tblGrid>
      <w:tr w:rsidR="00513B47" w:rsidRPr="00F50F8B" w:rsidTr="003425E2">
        <w:tc>
          <w:tcPr>
            <w:tcW w:w="1620" w:type="dxa"/>
            <w:vAlign w:val="bottom"/>
          </w:tcPr>
          <w:p w:rsidR="00513B47" w:rsidRPr="00600E6F" w:rsidRDefault="00513B47" w:rsidP="003408F4">
            <w:pPr>
              <w:spacing w:after="0" w:line="240" w:lineRule="auto"/>
              <w:jc w:val="center"/>
              <w:rPr>
                <w:rFonts w:ascii="Times New Roman" w:hAnsi="Times New Roman"/>
                <w:b/>
                <w:sz w:val="20"/>
              </w:rPr>
            </w:pPr>
            <w:r w:rsidRPr="00600E6F">
              <w:rPr>
                <w:rFonts w:ascii="Times New Roman" w:hAnsi="Times New Roman"/>
                <w:b/>
                <w:sz w:val="20"/>
              </w:rPr>
              <w:t>Incentive Delivery Channel</w:t>
            </w:r>
          </w:p>
        </w:tc>
        <w:tc>
          <w:tcPr>
            <w:tcW w:w="1620" w:type="dxa"/>
            <w:vAlign w:val="bottom"/>
          </w:tcPr>
          <w:p w:rsidR="00513B47" w:rsidRPr="00600E6F" w:rsidRDefault="00513B47" w:rsidP="003408F4">
            <w:pPr>
              <w:spacing w:after="0" w:line="240" w:lineRule="auto"/>
              <w:jc w:val="center"/>
              <w:rPr>
                <w:rFonts w:ascii="Times New Roman" w:hAnsi="Times New Roman"/>
                <w:b/>
                <w:sz w:val="20"/>
              </w:rPr>
            </w:pPr>
            <w:r w:rsidRPr="00600E6F">
              <w:rPr>
                <w:rFonts w:ascii="Times New Roman" w:hAnsi="Times New Roman"/>
                <w:b/>
                <w:sz w:val="20"/>
              </w:rPr>
              <w:t>Primary Market Actors Affected</w:t>
            </w:r>
          </w:p>
        </w:tc>
        <w:tc>
          <w:tcPr>
            <w:tcW w:w="4320" w:type="dxa"/>
            <w:vAlign w:val="bottom"/>
          </w:tcPr>
          <w:p w:rsidR="00513B47" w:rsidRPr="00600E6F" w:rsidRDefault="00513B47" w:rsidP="003408F4">
            <w:pPr>
              <w:pStyle w:val="ListParagraph"/>
              <w:spacing w:after="0" w:line="240" w:lineRule="auto"/>
              <w:ind w:left="252"/>
              <w:jc w:val="center"/>
              <w:rPr>
                <w:rFonts w:ascii="Times New Roman" w:hAnsi="Times New Roman"/>
                <w:b/>
                <w:sz w:val="20"/>
              </w:rPr>
            </w:pPr>
            <w:r w:rsidRPr="00600E6F">
              <w:rPr>
                <w:rFonts w:ascii="Times New Roman" w:hAnsi="Times New Roman"/>
                <w:b/>
                <w:sz w:val="20"/>
              </w:rPr>
              <w:t>Criteria used to determine the best delivery channel for any PLA measure</w:t>
            </w:r>
          </w:p>
        </w:tc>
      </w:tr>
      <w:tr w:rsidR="00513B47" w:rsidRPr="00F50F8B" w:rsidTr="003425E2">
        <w:tc>
          <w:tcPr>
            <w:tcW w:w="1620" w:type="dxa"/>
            <w:vAlign w:val="center"/>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Upstream</w:t>
            </w:r>
          </w:p>
        </w:tc>
        <w:tc>
          <w:tcPr>
            <w:tcW w:w="1620" w:type="dxa"/>
            <w:vAlign w:val="center"/>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Manufacturer</w:t>
            </w:r>
          </w:p>
        </w:tc>
        <w:tc>
          <w:tcPr>
            <w:tcW w:w="4320" w:type="dxa"/>
            <w:vAlign w:val="center"/>
          </w:tcPr>
          <w:p w:rsidR="00825B00" w:rsidRPr="00600E6F" w:rsidRDefault="00825B00" w:rsidP="00825B00">
            <w:pPr>
              <w:pStyle w:val="ListParagraph"/>
              <w:spacing w:after="0" w:line="240" w:lineRule="auto"/>
              <w:ind w:left="252"/>
              <w:contextualSpacing w:val="0"/>
              <w:rPr>
                <w:rFonts w:ascii="Times New Roman" w:hAnsi="Times New Roman"/>
                <w:sz w:val="20"/>
              </w:rPr>
            </w:pP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High volume product</w:t>
            </w: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More retailers selling product than number of manufacturers producing product</w:t>
            </w: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Lower value product</w:t>
            </w: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Low-mid incentive level</w:t>
            </w: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Lower sales effort required</w:t>
            </w: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Low promotion requirement</w:t>
            </w:r>
          </w:p>
          <w:p w:rsidR="00513B47" w:rsidRPr="00600E6F" w:rsidRDefault="00513B47" w:rsidP="00C31CC0">
            <w:pPr>
              <w:pStyle w:val="ListParagraph"/>
              <w:numPr>
                <w:ilvl w:val="0"/>
                <w:numId w:val="116"/>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Long product life cycle</w:t>
            </w:r>
          </w:p>
          <w:p w:rsidR="00513B47" w:rsidRPr="00600E6F" w:rsidRDefault="00513B47" w:rsidP="003408F4">
            <w:pPr>
              <w:pStyle w:val="ListParagraph"/>
              <w:spacing w:after="0" w:line="240" w:lineRule="auto"/>
              <w:ind w:left="252"/>
              <w:rPr>
                <w:rFonts w:ascii="Times New Roman" w:hAnsi="Times New Roman"/>
                <w:sz w:val="20"/>
              </w:rPr>
            </w:pPr>
          </w:p>
        </w:tc>
      </w:tr>
      <w:tr w:rsidR="00513B47" w:rsidRPr="00F50F8B" w:rsidTr="003425E2">
        <w:tc>
          <w:tcPr>
            <w:tcW w:w="1620" w:type="dxa"/>
            <w:vAlign w:val="center"/>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Midstream</w:t>
            </w:r>
          </w:p>
        </w:tc>
        <w:tc>
          <w:tcPr>
            <w:tcW w:w="1620" w:type="dxa"/>
            <w:vAlign w:val="center"/>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Sales Channel Partners (retailers, contractors, etc.)</w:t>
            </w:r>
          </w:p>
        </w:tc>
        <w:tc>
          <w:tcPr>
            <w:tcW w:w="4320" w:type="dxa"/>
            <w:vAlign w:val="center"/>
          </w:tcPr>
          <w:p w:rsidR="00513B47" w:rsidRPr="00600E6F" w:rsidRDefault="00513B47" w:rsidP="003408F4">
            <w:pPr>
              <w:pStyle w:val="ListParagraph"/>
              <w:spacing w:after="0" w:line="240" w:lineRule="auto"/>
              <w:ind w:left="252"/>
              <w:rPr>
                <w:rFonts w:ascii="Times New Roman" w:hAnsi="Times New Roman"/>
                <w:sz w:val="20"/>
              </w:rPr>
            </w:pP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Mid - High volume product</w:t>
            </w: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More manufacturers producing product than number of retailers selling product</w:t>
            </w: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High value products</w:t>
            </w: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Mid-high incentive levels</w:t>
            </w: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High sales efforts</w:t>
            </w: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High promotion requirement</w:t>
            </w:r>
          </w:p>
          <w:p w:rsidR="00513B47" w:rsidRPr="00600E6F" w:rsidRDefault="00513B47" w:rsidP="00C31CC0">
            <w:pPr>
              <w:pStyle w:val="ListParagraph"/>
              <w:numPr>
                <w:ilvl w:val="0"/>
                <w:numId w:val="118"/>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Short product life cycle</w:t>
            </w:r>
          </w:p>
          <w:p w:rsidR="00513B47" w:rsidRPr="00600E6F" w:rsidRDefault="00513B47" w:rsidP="003408F4">
            <w:pPr>
              <w:pStyle w:val="ListParagraph"/>
              <w:spacing w:after="0" w:line="240" w:lineRule="auto"/>
              <w:ind w:left="252"/>
              <w:rPr>
                <w:rFonts w:ascii="Times New Roman" w:hAnsi="Times New Roman"/>
                <w:sz w:val="20"/>
              </w:rPr>
            </w:pPr>
          </w:p>
        </w:tc>
      </w:tr>
      <w:tr w:rsidR="00513B47" w:rsidRPr="00F50F8B" w:rsidTr="003425E2">
        <w:tc>
          <w:tcPr>
            <w:tcW w:w="1620" w:type="dxa"/>
            <w:vAlign w:val="center"/>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Downstream</w:t>
            </w:r>
          </w:p>
        </w:tc>
        <w:tc>
          <w:tcPr>
            <w:tcW w:w="1620" w:type="dxa"/>
            <w:vAlign w:val="center"/>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End-customer</w:t>
            </w:r>
          </w:p>
        </w:tc>
        <w:tc>
          <w:tcPr>
            <w:tcW w:w="4320" w:type="dxa"/>
            <w:vAlign w:val="center"/>
          </w:tcPr>
          <w:p w:rsidR="00513B47" w:rsidRPr="00600E6F" w:rsidRDefault="00513B47" w:rsidP="003408F4">
            <w:pPr>
              <w:pStyle w:val="ListParagraph"/>
              <w:spacing w:after="0" w:line="240" w:lineRule="auto"/>
              <w:ind w:left="252"/>
              <w:rPr>
                <w:rFonts w:ascii="Times New Roman" w:hAnsi="Times New Roman"/>
                <w:sz w:val="20"/>
              </w:rPr>
            </w:pPr>
          </w:p>
          <w:p w:rsidR="00513B47" w:rsidRPr="00600E6F" w:rsidRDefault="00513B47" w:rsidP="00C31CC0">
            <w:pPr>
              <w:pStyle w:val="ListParagraph"/>
              <w:numPr>
                <w:ilvl w:val="0"/>
                <w:numId w:val="117"/>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Low volume product</w:t>
            </w:r>
          </w:p>
          <w:p w:rsidR="00513B47" w:rsidRPr="00600E6F" w:rsidRDefault="00513B47" w:rsidP="00C31CC0">
            <w:pPr>
              <w:pStyle w:val="ListParagraph"/>
              <w:numPr>
                <w:ilvl w:val="0"/>
                <w:numId w:val="117"/>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Targeted customer group</w:t>
            </w:r>
          </w:p>
          <w:p w:rsidR="00513B47" w:rsidRPr="00600E6F" w:rsidRDefault="00513B47" w:rsidP="00C31CC0">
            <w:pPr>
              <w:pStyle w:val="ListParagraph"/>
              <w:numPr>
                <w:ilvl w:val="0"/>
                <w:numId w:val="117"/>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Strong relationship with customer</w:t>
            </w:r>
          </w:p>
          <w:p w:rsidR="00513B47" w:rsidRPr="00600E6F" w:rsidRDefault="00513B47" w:rsidP="00C31CC0">
            <w:pPr>
              <w:pStyle w:val="ListParagraph"/>
              <w:numPr>
                <w:ilvl w:val="0"/>
                <w:numId w:val="117"/>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 xml:space="preserve">High value product </w:t>
            </w:r>
          </w:p>
          <w:p w:rsidR="00513B47" w:rsidRPr="00600E6F" w:rsidRDefault="00513B47" w:rsidP="00C31CC0">
            <w:pPr>
              <w:pStyle w:val="ListParagraph"/>
              <w:numPr>
                <w:ilvl w:val="0"/>
                <w:numId w:val="117"/>
              </w:numPr>
              <w:spacing w:after="0" w:line="240" w:lineRule="auto"/>
              <w:ind w:left="252" w:hanging="270"/>
              <w:contextualSpacing w:val="0"/>
              <w:rPr>
                <w:rFonts w:ascii="Times New Roman" w:eastAsia="Times New Roman" w:hAnsi="Times New Roman"/>
                <w:sz w:val="20"/>
              </w:rPr>
            </w:pPr>
            <w:r w:rsidRPr="00600E6F">
              <w:rPr>
                <w:rFonts w:ascii="Times New Roman" w:hAnsi="Times New Roman"/>
                <w:sz w:val="20"/>
              </w:rPr>
              <w:t>High incentive level</w:t>
            </w:r>
          </w:p>
          <w:p w:rsidR="00513B47" w:rsidRPr="00600E6F" w:rsidRDefault="00513B47" w:rsidP="003408F4">
            <w:pPr>
              <w:pStyle w:val="ListParagraph"/>
              <w:spacing w:after="0" w:line="240" w:lineRule="auto"/>
              <w:ind w:left="252"/>
              <w:rPr>
                <w:rFonts w:ascii="Times New Roman" w:hAnsi="Times New Roman"/>
                <w:sz w:val="20"/>
              </w:rPr>
            </w:pPr>
          </w:p>
        </w:tc>
      </w:tr>
    </w:tbl>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(iv)</w:t>
      </w:r>
      <w:r w:rsidRPr="00600E6F">
        <w:rPr>
          <w:rFonts w:ascii="Times New Roman" w:hAnsi="Times New Roman"/>
          <w:b/>
          <w:sz w:val="24"/>
        </w:rPr>
        <w:tab/>
        <w:t>Retailer based Appliance Recycling</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PLA sub-program will work with Retailers to support responsible environmental stewardship by providing more comprehensive cradle-to-grave product life cycle management. The program supports the US EPA Responsible Appliance Disposal (RAD) program, which promotes the highest quality recycling, reducing greenhouse gas emissions and landfill waste. The IOUs appliance recycling activities support eliminating the current market practice of reselling old appliances removed from customer homes during the delivery of new ones. The IOUs recognize that customer-facing retail staff has effective point-of-influence to educate customers on the total environmental impacts resulting from adoption of higher efficiency products and permanent removal of older and less efficient PLA products from the grid.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In 2011, SCE and PG&amp;E conducted a trial study on Retailer based Appliance Recycling in which the retailer picked up old but still working refrigerators and freezers upon the delivery of new appliances. The Appliance Recycling vendors then collected these old appliances in bulk from the retailer’s warehouse. This trial study showed that the retailer based appliance recycling had generated a significant increases in the number of older but still working appliances recycled </w:t>
      </w:r>
      <w:r w:rsidRPr="00600E6F">
        <w:rPr>
          <w:rFonts w:ascii="Times New Roman" w:hAnsi="Times New Roman"/>
          <w:sz w:val="24"/>
        </w:rPr>
        <w:lastRenderedPageBreak/>
        <w:t xml:space="preserve">by the program. Based on the latest work papers which use the results from SCE’s 2011 Retailer based Appliance Recycling Trial Study, the results show that energy savings are estimated to be 9% higher than the latest DEER values. The Retailer based Appliance Recycling channel is expected to significantly reduce the IOUs implementation costs as a result of the “bulk” pickups by the recycling services contractors from the retailer distribution centers.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Based on the success of SCE’s and PG&amp;E’s 2011 Retailer based Appliance Recycling trial, the IOUs are proposing to launch and expand this appliance recycling channel to more retailers in the 2013-</w:t>
      </w:r>
      <w:r w:rsidR="007B780C">
        <w:rPr>
          <w:rFonts w:ascii="Times New Roman" w:hAnsi="Times New Roman"/>
          <w:sz w:val="24"/>
          <w:szCs w:val="24"/>
        </w:rPr>
        <w:t>20</w:t>
      </w:r>
      <w:r w:rsidRPr="00D737C2">
        <w:rPr>
          <w:rFonts w:ascii="Times New Roman" w:hAnsi="Times New Roman"/>
          <w:sz w:val="24"/>
          <w:szCs w:val="24"/>
        </w:rPr>
        <w:t>14</w:t>
      </w:r>
      <w:r w:rsidRPr="00600E6F">
        <w:rPr>
          <w:rFonts w:ascii="Times New Roman" w:hAnsi="Times New Roman"/>
          <w:sz w:val="24"/>
        </w:rPr>
        <w:t xml:space="preserve"> transition period and explore ways to increase coordination of the appliance recycling with the retailer’s appliance disposal activities. When possible, comprehensive education materials on cradle-to-grave product life cycle management will be posted on the retailer’s website and at the point-of-purchase. Through targeted marketing, education and outreach, the IOUs seek to increase market awareness and enhance compliance to the codes and standards for appliances and electronics recycling.</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benefits of reduced implementation costs and increased program simplicity that POS instant rebates provide, as discussed above, make it impractical for the IOU’s to implement a Cash-4-Appliance rebate program design for refrigerators as suggested in the Final Decision’s guidance for the appliance recycling activities. The IOUS will instead focus on implementing existing refrigerator rebates in combination with the new appliance recycling retailer strategy that has been piloted by SCE. This new strategy effectively promotes the purchase of a new efficient refrigerator and combines it with the convenience of allowing customers to recycle their own refrigerators in the new Refrigerator Deliver-N-Haul away process. This approach does not require customer to surrender their refrigerator as part of the rebate process but still allows IOU’s to reduce implementation cost for both programs while providing options that improve the customer experience. By working with retailers to integrate appliance recycling to be an integral parts of the product ownership, from new product purchase to retiring old devices from the grid, would provide a simplified and cost-effective long-term solution for cradle-to-grave product life cycle management. And the retailer based appliance recycling solution, which the IOUs plan to expand in 2013-14, would be an ideal solution for realizing this vision.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(v)</w:t>
      </w:r>
      <w:r w:rsidRPr="00600E6F">
        <w:rPr>
          <w:rFonts w:ascii="Times New Roman" w:hAnsi="Times New Roman"/>
          <w:b/>
          <w:sz w:val="24"/>
        </w:rPr>
        <w:tab/>
        <w:t>Statewide Appliance Recycling Channel</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appliance recycling markets could be segmented into three primary customer groups; Group one would be the customers that retired their old appliances when the new ones are delivered; group two would be the customers that retired their secondary appliances (such as the secondary refrigerator or freezer); group three would be those customers and retailers that sell/buy the old working appliances to/from the second-hand appliance markets.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We believe the above retailer-based appliance recycling channel would be an effective intervention for group one. The current Statewide Appliance Recycling channel, which will be discussed in more detail in this section, could be an </w:t>
      </w:r>
      <w:r w:rsidRPr="00600E6F">
        <w:rPr>
          <w:rFonts w:ascii="Times New Roman" w:hAnsi="Times New Roman"/>
          <w:sz w:val="24"/>
        </w:rPr>
        <w:lastRenderedPageBreak/>
        <w:t xml:space="preserve">effective intervention for group two. The intervention for group three would require a long-term strategy through codes and standards, as well as collaborations with EPA RAD and other market actors to deplete old working appliance stocks that do not meet the 2020’s energy efficiency requirements. The intervention for group three would need support from new codes and standards that eliminate the market practices of re-selling old appliances back to the second-hand appliance markets.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estimated schedule to deplete the old working appliance stocks from the grid would primarily depend on the implementation date of the code and standards that will mandate the 2020’s energy efficiency levels and the average product life for that particular PLA product group. Thus, the Final Decision’s request to transition the current appliance recycling program to market players by a specific date</w:t>
      </w:r>
      <w:r w:rsidRPr="00600E6F">
        <w:rPr>
          <w:rStyle w:val="FootnoteReference"/>
          <w:rFonts w:ascii="Times New Roman" w:hAnsi="Times New Roman"/>
          <w:sz w:val="24"/>
        </w:rPr>
        <w:footnoteReference w:id="22"/>
      </w:r>
      <w:r w:rsidRPr="00600E6F">
        <w:rPr>
          <w:rFonts w:ascii="Times New Roman" w:hAnsi="Times New Roman"/>
          <w:sz w:val="24"/>
        </w:rPr>
        <w:t xml:space="preserve"> cannot be answered with certainty at this point. The IOUs will continue to engage the Commission and appropriate market actors on this.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Currently, the Statewide Appliance Recycling picks up older but working appliances from single residential dwellings, multi-family complexes and businesses, and permanently disposes them in accordance to EPA’s Responsible Appliance Disposal (RAD) guidance. The Statewide Appliance Recycling channel is designed to incentivize customers to permanently remove and recycle inefficient refrigerators and freezers from the electrical grid by:</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pStyle w:val="ListParagraph"/>
        <w:numPr>
          <w:ilvl w:val="0"/>
          <w:numId w:val="113"/>
        </w:numPr>
        <w:tabs>
          <w:tab w:val="left" w:pos="1890"/>
        </w:tabs>
        <w:spacing w:after="0" w:line="240" w:lineRule="auto"/>
        <w:ind w:left="1890" w:hanging="450"/>
        <w:contextualSpacing w:val="0"/>
        <w:rPr>
          <w:rFonts w:ascii="Times New Roman" w:hAnsi="Times New Roman"/>
          <w:sz w:val="24"/>
        </w:rPr>
      </w:pPr>
      <w:r w:rsidRPr="00600E6F">
        <w:rPr>
          <w:rFonts w:ascii="Times New Roman" w:hAnsi="Times New Roman"/>
          <w:sz w:val="24"/>
        </w:rPr>
        <w:t>Offering customers an incentive along with free pick-up as a convenient option to recycle their inefficient appliance.</w:t>
      </w:r>
      <w:r w:rsidRPr="00600E6F">
        <w:rPr>
          <w:rFonts w:ascii="Times New Roman" w:hAnsi="Times New Roman"/>
          <w:sz w:val="24"/>
        </w:rPr>
        <w:br/>
      </w:r>
    </w:p>
    <w:p w:rsidR="00513B47" w:rsidRPr="00600E6F" w:rsidRDefault="00513B47" w:rsidP="00C31CC0">
      <w:pPr>
        <w:pStyle w:val="ListParagraph"/>
        <w:numPr>
          <w:ilvl w:val="0"/>
          <w:numId w:val="113"/>
        </w:numPr>
        <w:tabs>
          <w:tab w:val="left" w:pos="1890"/>
        </w:tabs>
        <w:spacing w:after="0" w:line="240" w:lineRule="auto"/>
        <w:ind w:left="1890" w:hanging="450"/>
        <w:contextualSpacing w:val="0"/>
        <w:rPr>
          <w:rFonts w:ascii="Times New Roman" w:hAnsi="Times New Roman"/>
          <w:sz w:val="24"/>
        </w:rPr>
      </w:pPr>
      <w:r w:rsidRPr="00600E6F">
        <w:rPr>
          <w:rFonts w:ascii="Times New Roman" w:hAnsi="Times New Roman"/>
          <w:sz w:val="24"/>
        </w:rPr>
        <w:t xml:space="preserve">Requiring Recycling Service partners to be in compliance with EPA RAD practice so all appliances could be decomposed and recycled in the most environmentally friendly manner possible. </w:t>
      </w:r>
    </w:p>
    <w:p w:rsidR="00513B47" w:rsidRPr="00600E6F" w:rsidRDefault="00513B47" w:rsidP="003408F4">
      <w:pPr>
        <w:pStyle w:val="ListParagraph"/>
        <w:spacing w:after="0" w:line="240" w:lineRule="auto"/>
        <w:ind w:left="1440"/>
        <w:rPr>
          <w:rFonts w:ascii="Times New Roman" w:hAnsi="Times New Roman"/>
          <w:sz w:val="24"/>
        </w:rPr>
      </w:pPr>
    </w:p>
    <w:p w:rsidR="00513B47" w:rsidRPr="00600E6F" w:rsidRDefault="00513B47" w:rsidP="00C31CC0">
      <w:pPr>
        <w:pStyle w:val="ListParagraph"/>
        <w:numPr>
          <w:ilvl w:val="0"/>
          <w:numId w:val="113"/>
        </w:numPr>
        <w:tabs>
          <w:tab w:val="left" w:pos="1890"/>
        </w:tabs>
        <w:spacing w:after="0" w:line="240" w:lineRule="auto"/>
        <w:ind w:left="1890" w:hanging="450"/>
        <w:contextualSpacing w:val="0"/>
        <w:rPr>
          <w:rFonts w:ascii="Times New Roman" w:hAnsi="Times New Roman"/>
          <w:sz w:val="24"/>
        </w:rPr>
      </w:pPr>
      <w:r w:rsidRPr="00600E6F">
        <w:rPr>
          <w:rFonts w:ascii="Times New Roman" w:hAnsi="Times New Roman"/>
          <w:sz w:val="24"/>
        </w:rPr>
        <w:t>Allowing commercial and multifamily owners/property managers to coordinate bulk pick-ups that simplify the participation process and allows IOU’s to reduce program implementation costs.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During the 2013-2014 Transition Period, the PLA sub-program will focus on secondary refrigerators and stand-alone freezers. This initiative aims to stem the tide of the growing number of second refrigerators and freezers in California home. Additionally, the PLA sub-program looks into saving opportunities for both claimable and non-core, non-claimable to avoid lost opportunities for refrigerator and freezer recycling. Lastly, the program is evaluating additional cost-effectiveness and more comprehensive recycling solutions through inclusion of additional recycling of other types of household plug-loads, small business appliances and electronics devices. The team will leverage EPA RAD compliance </w:t>
      </w:r>
      <w:r w:rsidRPr="00600E6F">
        <w:rPr>
          <w:rFonts w:ascii="Times New Roman" w:hAnsi="Times New Roman"/>
          <w:sz w:val="24"/>
        </w:rPr>
        <w:lastRenderedPageBreak/>
        <w:t>Recycling Service Provider</w:t>
      </w:r>
      <w:r w:rsidRPr="00600E6F">
        <w:rPr>
          <w:rFonts w:ascii="Times New Roman" w:hAnsi="Times New Roman"/>
          <w:sz w:val="24"/>
          <w:vertAlign w:val="superscript"/>
        </w:rPr>
        <w:t xml:space="preserve"> </w:t>
      </w:r>
      <w:r w:rsidRPr="00600E6F">
        <w:rPr>
          <w:rFonts w:ascii="Times New Roman" w:hAnsi="Times New Roman"/>
          <w:sz w:val="24"/>
        </w:rPr>
        <w:t>to provide environmentally safe and responsible recycling solutions.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2160" w:hanging="720"/>
        <w:rPr>
          <w:rFonts w:ascii="Times New Roman" w:hAnsi="Times New Roman"/>
          <w:b/>
          <w:sz w:val="24"/>
        </w:rPr>
      </w:pPr>
      <w:r w:rsidRPr="00600E6F">
        <w:rPr>
          <w:rFonts w:ascii="Times New Roman" w:hAnsi="Times New Roman"/>
          <w:b/>
          <w:sz w:val="24"/>
        </w:rPr>
        <w:t xml:space="preserve">(vi)  </w:t>
      </w:r>
      <w:r w:rsidRPr="00600E6F">
        <w:rPr>
          <w:rFonts w:ascii="Times New Roman" w:hAnsi="Times New Roman"/>
          <w:b/>
          <w:sz w:val="24"/>
        </w:rPr>
        <w:tab/>
        <w:t>Marketing Education &amp; Outreach (ME&amp;O)</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IOUs will continue to develop targeted and highly relevant energy efficiency and IDSM marketing messages to encourage behavioral change/action. PLA intends to develop strategic collaboration with industry to motivate consumers to take action in embracing energy efficiency.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To facilitate retail relationships, IOUs will explore co-marketing opportunities with manufacturers and sales channel partners to implement website enhancements that facilitate ease of access to energy efficiency information; enabling customers to readily find information about energy efficient products and services, identify participating retailers in their neighborhoods, and complete on-line sign-ups to receive notification about special efficiency offerings, rebates, or incentives.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IOUs focus on delivering products, services, and information through the most efficient delivery channel for every customer segment we serve. For PLA, the IOUs will continue to focus on the customer experience at retail, ensuring visibility of rebates and offers and streamlining the transaction and processing of rebates.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There is also opportunity for enhanced engagement with customers with respect to appliances and appliance recycling. With many appliances, customers wait until the appliance fails before considering replacement. Through impactful in-store marketing and clear communication of offers, the IOUs intend to increase customer awareness of rebates and incentives and focus customers on the benefits of upgrades as well as replacement of outdated technologies. In-store marketing will be augmented by promotion of PLA through other channels, such as online tools that create customer awareness of rebate offers and availability prior to the customer stepping into the store. With more online transactions happening each day, it is important that customers be educated about the potential energy savings and rebates for products they are considering should they choose to purchase through an online retailer.</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IOUs will look for opportunities to provide alternative strategies for marketing the programs in constrained areas.  One example would be a neighborhood-based marketing campaign that targets older, master-planned communities in order to promote energy efficiency. Through this effort, local contractors will independently market and install cost-effective measures such as duct testing and sealing and other measures to help reduce energy loss in the home and increase overall efficiency. By working with the industry partners to cover energy efficiency measures in high volume, the effort will help to lower measures costs that are adopted by a large number of program participants.  In addition to delivering energy savings, this approach will support the advancement </w:t>
      </w:r>
      <w:r w:rsidRPr="00600E6F">
        <w:rPr>
          <w:rFonts w:ascii="Times New Roman" w:hAnsi="Times New Roman"/>
          <w:sz w:val="24"/>
        </w:rPr>
        <w:lastRenderedPageBreak/>
        <w:t>of local community and city goals related to energy efficiency, as well as benefiting many neighborhoods and socio-economic groups.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Customers are often not aware of the true savings potential associated with energy efficient measures nor are they familiar with the many energy efficient products available that are not associated with appliances. Some IOUs may offer an "energy saving starter kit" to customers in order to introduce them to energy efficiency tips that can produce significant savings. This kit will provide information about simple but comprehensive methods to reduce water, gas, and electricity use. By supplying the tools necessary to begin saving gas and water and thereby educating these customers on energy efficiency, the PLA sub-program should see an increase in participation and could include other customer segments that may have been excluded due to high product cost. This will help the PLA to grow as a comprehensive, inclusive residential program and thus maximize potential savings. As applicable, PLA participants will also be educated about additional opportunities for energy efficiency beyond the measures they are adopting.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IOUs have developed the integrated energy audit tool for residential and small business customers that will assist customers with their energy management decisions. These information platforms are easily accessible to customer to provide immediate feedback, enable a more accurate assessment of program impacts, and empowered the customer to quickly and easily make energy efficiency decisions. In addition, the deployment of AMI provides additional opportunities to educate customers about their energy usage.  The IOUs will explore opportunities to maximize energy efficiency and demand side management opportunities as the technology is developed and deployed to residential customers.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After the program is approved, each IOU will develop a market implementation plan that targets owners and renters of single family residences as well as apartments, townhouses, condominiums, and mobile homes and operates in parallel to the operation of the Multifamily Energy Efficiency Rebate (MFEER).  This ME&amp;O strategy aims to include coordinated statewide elements as well as elements specially targeted to the customers in each utility's service area. The program seeks to leverage relationships with local government partnerships, water agencies, air quality districts, trade allies, manufacturers, retailers, and distributors to deliver information, measures, and incentives.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Program campaign elements include: </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Statewide rebate promotions;</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Online/mail-in application processing;</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Integration of rebate offers and related content with online tools</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In-store POS instant rebate option where applicable through retailer POS capabilities;</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Whole house approach offering products that address all types of energy use;</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Home energy surveys;</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lastRenderedPageBreak/>
        <w:t>Energy efficiency customer education and outreach; and</w:t>
      </w:r>
    </w:p>
    <w:p w:rsidR="00513B47" w:rsidRPr="00600E6F" w:rsidRDefault="00513B47" w:rsidP="00C31CC0">
      <w:pPr>
        <w:pStyle w:val="ListParagraph"/>
        <w:numPr>
          <w:ilvl w:val="4"/>
          <w:numId w:val="111"/>
        </w:numPr>
        <w:spacing w:after="0" w:line="240" w:lineRule="auto"/>
        <w:ind w:left="1890" w:hanging="450"/>
        <w:contextualSpacing w:val="0"/>
        <w:rPr>
          <w:rFonts w:ascii="Times New Roman" w:hAnsi="Times New Roman"/>
          <w:sz w:val="24"/>
        </w:rPr>
      </w:pPr>
      <w:r w:rsidRPr="00600E6F">
        <w:rPr>
          <w:rFonts w:ascii="Times New Roman" w:hAnsi="Times New Roman"/>
          <w:sz w:val="24"/>
        </w:rPr>
        <w:t xml:space="preserve">Other residential EE programs such as upstream lighting. </w:t>
      </w:r>
    </w:p>
    <w:p w:rsidR="00513B47" w:rsidRPr="00600E6F" w:rsidRDefault="00513B47" w:rsidP="003408F4">
      <w:pPr>
        <w:spacing w:after="0" w:line="240" w:lineRule="auto"/>
        <w:ind w:left="1980" w:hanging="540"/>
        <w:rPr>
          <w:rFonts w:ascii="Times New Roman" w:hAnsi="Times New Roman"/>
          <w:sz w:val="24"/>
        </w:rPr>
      </w:pPr>
      <w:r w:rsidRPr="00600E6F">
        <w:rPr>
          <w:rFonts w:ascii="Times New Roman" w:hAnsi="Times New Roman"/>
          <w:sz w:val="24"/>
        </w:rPr>
        <w:t xml:space="preserve"> </w:t>
      </w:r>
    </w:p>
    <w:p w:rsidR="00513B47" w:rsidRPr="00600E6F" w:rsidRDefault="00513B47" w:rsidP="00C31CC0">
      <w:pPr>
        <w:pStyle w:val="ListParagraph"/>
        <w:numPr>
          <w:ilvl w:val="6"/>
          <w:numId w:val="111"/>
        </w:numPr>
        <w:spacing w:after="0" w:line="240" w:lineRule="auto"/>
        <w:ind w:left="2160"/>
        <w:contextualSpacing w:val="0"/>
        <w:rPr>
          <w:rFonts w:ascii="Times New Roman" w:hAnsi="Times New Roman"/>
          <w:b/>
          <w:sz w:val="24"/>
        </w:rPr>
      </w:pPr>
      <w:r w:rsidRPr="00600E6F">
        <w:rPr>
          <w:rFonts w:ascii="Times New Roman" w:hAnsi="Times New Roman"/>
          <w:b/>
          <w:sz w:val="24"/>
        </w:rPr>
        <w:t>Worker Education &amp; Training (WE&amp;T)</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PLA sub-program will work with Energy Centers to design and develop training curriculums appropriate for retailers and contractors to develop skills and knowledge on energy efficiency products, codes and standards and IOU EE programs. Additionally, PLA will work with WE&amp;T to identify training opportunities for:  (1) the retail store, (2) the retailer corporate/headquarters decision makers, and (3) Original Equipment Manufacturers (OEMs).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pStyle w:val="ListParagraph"/>
        <w:numPr>
          <w:ilvl w:val="0"/>
          <w:numId w:val="114"/>
        </w:numPr>
        <w:spacing w:after="0" w:line="240" w:lineRule="auto"/>
        <w:ind w:left="1800"/>
        <w:contextualSpacing w:val="0"/>
        <w:rPr>
          <w:rFonts w:ascii="Times New Roman" w:hAnsi="Times New Roman"/>
          <w:sz w:val="24"/>
        </w:rPr>
      </w:pPr>
      <w:r w:rsidRPr="00600E6F">
        <w:rPr>
          <w:rFonts w:ascii="Times New Roman" w:hAnsi="Times New Roman"/>
          <w:sz w:val="24"/>
        </w:rPr>
        <w:t>For retail stores - Opportunities to provide training to store-level personnel at participating retailers. These training activities will be supported by regular surveys to determine the effectiveness of the training.</w:t>
      </w:r>
    </w:p>
    <w:p w:rsidR="00513B47" w:rsidRPr="00600E6F" w:rsidRDefault="00513B47" w:rsidP="00C31CC0">
      <w:pPr>
        <w:pStyle w:val="ListParagraph"/>
        <w:numPr>
          <w:ilvl w:val="0"/>
          <w:numId w:val="114"/>
        </w:numPr>
        <w:spacing w:after="0" w:line="240" w:lineRule="auto"/>
        <w:ind w:left="1800"/>
        <w:contextualSpacing w:val="0"/>
        <w:rPr>
          <w:rFonts w:ascii="Times New Roman" w:hAnsi="Times New Roman"/>
          <w:sz w:val="24"/>
        </w:rPr>
      </w:pPr>
      <w:r w:rsidRPr="00600E6F">
        <w:rPr>
          <w:rFonts w:ascii="Times New Roman" w:hAnsi="Times New Roman"/>
          <w:sz w:val="24"/>
        </w:rPr>
        <w:t>For retailer headquarters decision makers - Opportunities to provide training to buyers and merchandisers at the headquarters of participating retailers to educate them about the availability, desirability, and benefits of PLA qualifying electronics.</w:t>
      </w:r>
    </w:p>
    <w:p w:rsidR="00513B47" w:rsidRPr="00600E6F" w:rsidRDefault="00513B47" w:rsidP="00C31CC0">
      <w:pPr>
        <w:pStyle w:val="ListParagraph"/>
        <w:numPr>
          <w:ilvl w:val="0"/>
          <w:numId w:val="114"/>
        </w:numPr>
        <w:spacing w:after="0" w:line="240" w:lineRule="auto"/>
        <w:ind w:left="1800"/>
        <w:contextualSpacing w:val="0"/>
        <w:rPr>
          <w:rFonts w:ascii="Times New Roman" w:hAnsi="Times New Roman"/>
          <w:sz w:val="24"/>
        </w:rPr>
      </w:pPr>
      <w:r w:rsidRPr="00600E6F">
        <w:rPr>
          <w:rFonts w:ascii="Times New Roman" w:hAnsi="Times New Roman"/>
          <w:sz w:val="24"/>
        </w:rPr>
        <w:t xml:space="preserve">For OEMs - Opportunities to provide training to with OEM manufacturers to educate their product managers and marketing groups about the importance of designing ENERGY STAR® qualified and beyond features into their products. </w:t>
      </w:r>
    </w:p>
    <w:p w:rsidR="00513B47" w:rsidRPr="00600E6F" w:rsidRDefault="00513B47" w:rsidP="003408F4">
      <w:pPr>
        <w:spacing w:after="0" w:line="240" w:lineRule="auto"/>
        <w:ind w:left="1440"/>
        <w:rPr>
          <w:rFonts w:ascii="Times New Roman" w:hAnsi="Times New Roman"/>
          <w:sz w:val="24"/>
        </w:rPr>
      </w:pPr>
    </w:p>
    <w:p w:rsidR="00513B47" w:rsidRDefault="00513B47" w:rsidP="003408F4">
      <w:pPr>
        <w:spacing w:after="0" w:line="240" w:lineRule="auto"/>
        <w:ind w:left="1440"/>
        <w:rPr>
          <w:rFonts w:ascii="Times New Roman" w:hAnsi="Times New Roman"/>
          <w:sz w:val="24"/>
        </w:rPr>
      </w:pPr>
      <w:r w:rsidRPr="00600E6F">
        <w:rPr>
          <w:rFonts w:ascii="Times New Roman" w:hAnsi="Times New Roman"/>
          <w:sz w:val="24"/>
        </w:rPr>
        <w:t>Finally, the IOUs seek to develop marketing programs to educate consumers and increase awareness about the benefits of PLA qualifying products. Various efforts to educate sales associates of user and environmental benefits of high efficient PLA products will be explore during the program cycle. PLA’s WE&amp;T initiatives may include activities such as site visits by program representatives, program participation agreements, and / or literature, as appropriate.</w:t>
      </w:r>
    </w:p>
    <w:p w:rsidR="00C32735" w:rsidRPr="00600E6F" w:rsidRDefault="00C32735" w:rsidP="003408F4">
      <w:pPr>
        <w:spacing w:after="0" w:line="240" w:lineRule="auto"/>
        <w:ind w:left="1440"/>
        <w:rPr>
          <w:rFonts w:ascii="Times New Roman" w:hAnsi="Times New Roman"/>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Sub-program Process Flow Chart:</w:t>
      </w:r>
      <w:r w:rsidRPr="00600E6F">
        <w:rPr>
          <w:rFonts w:ascii="Times New Roman" w:hAnsi="Times New Roman"/>
          <w:sz w:val="24"/>
        </w:rPr>
        <w:t xml:space="preserve"> Provide a sub-program process flow chart that describes the administrative and procedural components of the sub-program. For example, the flow chart might describe a customer’s submittal of an application, the screening of the application, the approval/disapproval of an application, verification of purchase or installation, the processing and payment of incentives, and any quality control activities. </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Default="007B780C" w:rsidP="003408F4">
      <w:pPr>
        <w:spacing w:after="0" w:line="240" w:lineRule="auto"/>
        <w:ind w:left="1440"/>
        <w:rPr>
          <w:rFonts w:ascii="Times New Roman" w:hAnsi="Times New Roman"/>
          <w:b/>
          <w:sz w:val="24"/>
          <w:szCs w:val="24"/>
        </w:rPr>
      </w:pPr>
    </w:p>
    <w:p w:rsidR="007B780C" w:rsidRPr="00D737C2" w:rsidRDefault="007B780C" w:rsidP="003408F4">
      <w:pPr>
        <w:spacing w:after="0" w:line="240" w:lineRule="auto"/>
        <w:ind w:left="1440"/>
        <w:rPr>
          <w:rFonts w:ascii="Times New Roman" w:hAnsi="Times New Roman"/>
          <w:b/>
          <w:sz w:val="24"/>
          <w:szCs w:val="24"/>
        </w:rPr>
      </w:pPr>
    </w:p>
    <w:p w:rsidR="00513B47" w:rsidRPr="00D737C2" w:rsidRDefault="00513B47" w:rsidP="003408F4">
      <w:pPr>
        <w:spacing w:after="0" w:line="240" w:lineRule="auto"/>
        <w:ind w:left="1440"/>
        <w:rPr>
          <w:rFonts w:ascii="Times New Roman" w:hAnsi="Times New Roman"/>
          <w:b/>
          <w:sz w:val="24"/>
          <w:szCs w:val="24"/>
        </w:rPr>
      </w:pP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t>Figure</w:t>
      </w:r>
      <w:r w:rsidR="007B780C">
        <w:rPr>
          <w:rFonts w:ascii="Times New Roman" w:hAnsi="Times New Roman"/>
          <w:b/>
          <w:sz w:val="24"/>
          <w:szCs w:val="24"/>
        </w:rPr>
        <w:t xml:space="preserve"> </w:t>
      </w:r>
      <w:r w:rsidRPr="00600E6F">
        <w:rPr>
          <w:rFonts w:ascii="Times New Roman" w:hAnsi="Times New Roman"/>
          <w:b/>
          <w:sz w:val="24"/>
        </w:rPr>
        <w:t xml:space="preserve">5:  </w:t>
      </w:r>
      <w:r w:rsidRPr="00600E6F">
        <w:rPr>
          <w:rFonts w:ascii="Times New Roman" w:hAnsi="Times New Roman"/>
          <w:sz w:val="24"/>
        </w:rPr>
        <w:t>PLA Upstream &amp; Midstream Incentive Process Diagram</w:t>
      </w:r>
    </w:p>
    <w:p w:rsidR="00513B47" w:rsidRPr="00600E6F" w:rsidRDefault="00513B47" w:rsidP="003408F4">
      <w:pPr>
        <w:spacing w:after="0" w:line="240" w:lineRule="auto"/>
        <w:ind w:left="1440"/>
        <w:rPr>
          <w:rFonts w:ascii="Times New Roman" w:hAnsi="Times New Roman"/>
          <w:sz w:val="24"/>
        </w:rPr>
      </w:pPr>
    </w:p>
    <w:p w:rsidR="00513B47" w:rsidRPr="00D737C2" w:rsidRDefault="008D705C" w:rsidP="009876B7">
      <w:pPr>
        <w:spacing w:after="0" w:line="240" w:lineRule="auto"/>
        <w:ind w:hanging="360"/>
        <w:rPr>
          <w:rFonts w:ascii="Times New Roman" w:hAnsi="Times New Roman"/>
          <w:sz w:val="24"/>
          <w:szCs w:val="24"/>
        </w:rPr>
      </w:pPr>
      <w:r>
        <w:rPr>
          <w:rFonts w:ascii="Times New Roman" w:hAnsi="Times New Roman"/>
          <w:noProof/>
          <w:sz w:val="24"/>
          <w:szCs w:val="24"/>
        </w:rPr>
        <w:drawing>
          <wp:inline distT="0" distB="0" distL="0" distR="0" wp14:anchorId="1D47AF58" wp14:editId="621E8CC5">
            <wp:extent cx="6303034" cy="4626416"/>
            <wp:effectExtent l="19050" t="0" r="59666" b="78934"/>
            <wp:docPr id="2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59"/>
                    <pic:cNvPicPr>
                      <a:picLocks noChangeAspect="1" noChangeArrowheads="1"/>
                    </pic:cNvPicPr>
                  </pic:nvPicPr>
                  <pic:blipFill>
                    <a:blip r:embed="rId25" cstate="print">
                      <a:extLst/>
                    </a:blip>
                    <a:srcRect/>
                    <a:stretch>
                      <a:fillRect/>
                    </a:stretch>
                  </pic:blipFill>
                  <pic:spPr bwMode="auto">
                    <a:xfrm>
                      <a:off x="0" y="0"/>
                      <a:ext cx="6303034" cy="4626416"/>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spacing w:after="0" w:line="240" w:lineRule="auto"/>
        <w:rPr>
          <w:rFonts w:ascii="Times New Roman" w:hAnsi="Times New Roman"/>
          <w:b/>
          <w:sz w:val="24"/>
        </w:rPr>
      </w:pPr>
      <w:r w:rsidRPr="00D737C2">
        <w:rPr>
          <w:rFonts w:ascii="Times New Roman" w:hAnsi="Times New Roman"/>
          <w:b/>
          <w:sz w:val="24"/>
          <w:szCs w:val="24"/>
        </w:rPr>
        <w:br w:type="page"/>
      </w:r>
      <w:r w:rsidRPr="00600E6F">
        <w:rPr>
          <w:rFonts w:ascii="Times New Roman" w:hAnsi="Times New Roman"/>
          <w:b/>
          <w:sz w:val="24"/>
        </w:rPr>
        <w:lastRenderedPageBreak/>
        <w:t>Figure</w:t>
      </w:r>
      <w:r w:rsidR="007B780C">
        <w:rPr>
          <w:rFonts w:ascii="Times New Roman" w:hAnsi="Times New Roman"/>
          <w:b/>
          <w:sz w:val="24"/>
          <w:szCs w:val="24"/>
        </w:rPr>
        <w:t xml:space="preserve"> </w:t>
      </w:r>
      <w:r w:rsidRPr="00600E6F">
        <w:rPr>
          <w:rFonts w:ascii="Times New Roman" w:hAnsi="Times New Roman"/>
          <w:b/>
          <w:sz w:val="24"/>
        </w:rPr>
        <w:t xml:space="preserve">6:  </w:t>
      </w:r>
      <w:r w:rsidRPr="00600E6F">
        <w:rPr>
          <w:rFonts w:ascii="Times New Roman" w:hAnsi="Times New Roman"/>
          <w:sz w:val="24"/>
        </w:rPr>
        <w:t>PLA Downstream Incentive Process Diagram</w:t>
      </w:r>
    </w:p>
    <w:p w:rsidR="00513B47" w:rsidRPr="00600E6F" w:rsidRDefault="00513B47" w:rsidP="003408F4">
      <w:pPr>
        <w:spacing w:after="0" w:line="240" w:lineRule="auto"/>
        <w:rPr>
          <w:rFonts w:ascii="Times New Roman" w:hAnsi="Times New Roman"/>
          <w:sz w:val="24"/>
        </w:rPr>
      </w:pPr>
    </w:p>
    <w:p w:rsidR="00513B47" w:rsidRPr="00D737C2" w:rsidRDefault="008D705C" w:rsidP="00657138">
      <w:pPr>
        <w:spacing w:after="0" w:line="240" w:lineRule="auto"/>
        <w:ind w:hanging="450"/>
        <w:rPr>
          <w:rFonts w:ascii="Times New Roman" w:hAnsi="Times New Roman"/>
          <w:sz w:val="24"/>
          <w:szCs w:val="24"/>
        </w:rPr>
      </w:pPr>
      <w:r>
        <w:rPr>
          <w:rFonts w:ascii="Times New Roman" w:hAnsi="Times New Roman"/>
          <w:noProof/>
          <w:sz w:val="24"/>
          <w:szCs w:val="24"/>
        </w:rPr>
        <w:drawing>
          <wp:inline distT="0" distB="0" distL="0" distR="0" wp14:anchorId="490B5E8C" wp14:editId="5436F9CC">
            <wp:extent cx="6111909" cy="4764383"/>
            <wp:effectExtent l="19050" t="0" r="60291" b="74317"/>
            <wp:docPr id="30"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58"/>
                    <pic:cNvPicPr>
                      <a:picLocks noChangeAspect="1" noChangeArrowheads="1"/>
                    </pic:cNvPicPr>
                  </pic:nvPicPr>
                  <pic:blipFill>
                    <a:blip r:embed="rId26" cstate="print">
                      <a:extLst/>
                    </a:blip>
                    <a:srcRect/>
                    <a:stretch>
                      <a:fillRect/>
                    </a:stretch>
                  </pic:blipFill>
                  <pic:spPr bwMode="auto">
                    <a:xfrm>
                      <a:off x="0" y="0"/>
                      <a:ext cx="6111909" cy="4764383"/>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513B47" w:rsidRPr="00D737C2" w:rsidRDefault="00513B47" w:rsidP="003408F4">
      <w:pPr>
        <w:spacing w:after="0" w:line="240" w:lineRule="auto"/>
        <w:rPr>
          <w:rFonts w:ascii="Times New Roman" w:hAnsi="Times New Roman"/>
          <w:sz w:val="24"/>
          <w:szCs w:val="24"/>
        </w:rPr>
      </w:pPr>
    </w:p>
    <w:p w:rsidR="00513B47" w:rsidRPr="00600E6F" w:rsidRDefault="00513B47" w:rsidP="003408F4">
      <w:pPr>
        <w:spacing w:after="0" w:line="240" w:lineRule="auto"/>
        <w:rPr>
          <w:rFonts w:ascii="Times New Roman" w:hAnsi="Times New Roman"/>
          <w:sz w:val="24"/>
        </w:rPr>
      </w:pPr>
      <w:r w:rsidRPr="00D737C2">
        <w:rPr>
          <w:rFonts w:ascii="Times New Roman" w:hAnsi="Times New Roman"/>
          <w:b/>
          <w:sz w:val="24"/>
          <w:szCs w:val="24"/>
        </w:rPr>
        <w:br w:type="page"/>
      </w:r>
      <w:r w:rsidRPr="00600E6F">
        <w:rPr>
          <w:rFonts w:ascii="Times New Roman" w:hAnsi="Times New Roman"/>
          <w:b/>
          <w:sz w:val="24"/>
        </w:rPr>
        <w:lastRenderedPageBreak/>
        <w:t>Figure</w:t>
      </w:r>
      <w:r w:rsidR="007B780C">
        <w:rPr>
          <w:rFonts w:ascii="Times New Roman" w:hAnsi="Times New Roman"/>
          <w:b/>
          <w:sz w:val="24"/>
          <w:szCs w:val="24"/>
        </w:rPr>
        <w:t xml:space="preserve"> </w:t>
      </w:r>
      <w:r w:rsidRPr="00600E6F">
        <w:rPr>
          <w:rFonts w:ascii="Times New Roman" w:hAnsi="Times New Roman"/>
          <w:b/>
          <w:sz w:val="24"/>
        </w:rPr>
        <w:t xml:space="preserve">7:  </w:t>
      </w:r>
      <w:r w:rsidRPr="00600E6F">
        <w:rPr>
          <w:rFonts w:ascii="Times New Roman" w:hAnsi="Times New Roman"/>
          <w:sz w:val="24"/>
        </w:rPr>
        <w:t>Statewide Appliance Recycling Process Flow Chart</w:t>
      </w:r>
    </w:p>
    <w:p w:rsidR="00513B47" w:rsidRPr="00600E6F" w:rsidRDefault="00513B47" w:rsidP="003408F4">
      <w:pPr>
        <w:spacing w:after="0" w:line="240" w:lineRule="auto"/>
        <w:rPr>
          <w:rFonts w:ascii="Times New Roman" w:hAnsi="Times New Roman"/>
          <w:sz w:val="24"/>
        </w:rPr>
      </w:pPr>
    </w:p>
    <w:p w:rsidR="00513B47" w:rsidRPr="00600E6F" w:rsidRDefault="008D705C" w:rsidP="00657138">
      <w:pPr>
        <w:spacing w:after="0" w:line="240" w:lineRule="auto"/>
        <w:ind w:hanging="540"/>
        <w:rPr>
          <w:rFonts w:ascii="Times New Roman" w:hAnsi="Times New Roman"/>
          <w:sz w:val="24"/>
        </w:rPr>
      </w:pPr>
      <w:r>
        <w:rPr>
          <w:rFonts w:ascii="Times New Roman" w:hAnsi="Times New Roman"/>
          <w:noProof/>
          <w:sz w:val="24"/>
        </w:rPr>
        <w:drawing>
          <wp:inline distT="0" distB="0" distL="0" distR="0" wp14:anchorId="5C19F840" wp14:editId="6B5593BA">
            <wp:extent cx="6243701" cy="4592358"/>
            <wp:effectExtent l="19050" t="0" r="61849" b="74892"/>
            <wp:docPr id="3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56"/>
                    <pic:cNvPicPr>
                      <a:picLocks noChangeAspect="1" noChangeArrowheads="1"/>
                    </pic:cNvPicPr>
                  </pic:nvPicPr>
                  <pic:blipFill>
                    <a:blip r:embed="rId27" cstate="print">
                      <a:extLst/>
                    </a:blip>
                    <a:srcRect/>
                    <a:stretch>
                      <a:fillRect/>
                    </a:stretch>
                  </pic:blipFill>
                  <pic:spPr bwMode="auto">
                    <a:xfrm>
                      <a:off x="0" y="0"/>
                      <a:ext cx="6243701" cy="4592358"/>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pStyle w:val="ListParagraph"/>
        <w:spacing w:after="0" w:line="240" w:lineRule="auto"/>
        <w:ind w:left="1440"/>
        <w:rPr>
          <w:rFonts w:ascii="Times New Roman" w:hAnsi="Times New Roman"/>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Cross-cutting Sub-program and Non-IOU Partner Coordination: </w:t>
      </w:r>
      <w:r w:rsidRPr="00600E6F">
        <w:rPr>
          <w:rFonts w:ascii="Times New Roman" w:hAnsi="Times New Roman"/>
          <w:b/>
          <w:i/>
          <w:sz w:val="24"/>
        </w:rPr>
        <w:t xml:space="preserve"> </w:t>
      </w:r>
      <w:r w:rsidRPr="00600E6F">
        <w:rPr>
          <w:rFonts w:ascii="Times New Roman" w:hAnsi="Times New Roman"/>
          <w:sz w:val="24"/>
        </w:rPr>
        <w:t>Indicate other IOU EE, DR or DG sub-programs with which this sub-program will regularly coordinate.  Indicate also key non-IOU coordination partners.  Indicate expected coordination mechanisms</w:t>
      </w:r>
      <w:r w:rsidRPr="00600E6F">
        <w:rPr>
          <w:rStyle w:val="FootnoteReference"/>
          <w:rFonts w:ascii="Times New Roman" w:hAnsi="Times New Roman"/>
          <w:sz w:val="24"/>
        </w:rPr>
        <w:footnoteReference w:id="23"/>
      </w:r>
      <w:r w:rsidRPr="00600E6F">
        <w:rPr>
          <w:rFonts w:ascii="Times New Roman" w:hAnsi="Times New Roman"/>
          <w:sz w:val="24"/>
        </w:rPr>
        <w:t xml:space="preserve"> and frequency</w:t>
      </w:r>
      <w:r w:rsidRPr="00600E6F">
        <w:rPr>
          <w:rStyle w:val="FootnoteReference"/>
          <w:rFonts w:ascii="Times New Roman" w:hAnsi="Times New Roman"/>
          <w:sz w:val="24"/>
        </w:rPr>
        <w:footnoteReference w:id="24"/>
      </w:r>
      <w:r w:rsidRPr="00600E6F">
        <w:rPr>
          <w:rFonts w:ascii="Times New Roman" w:hAnsi="Times New Roman"/>
          <w:sz w:val="24"/>
        </w:rPr>
        <w:t>:</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With respect to low-income customers, each IOU seeks to integrate its Energy Saving Assistance Program (ESAP) into PLA by providing customers with information and marketing material on ESAP, California Alternate Rates for Energy (CARE), and Family Electric Rate Assistance (FERA) discount programs. The strategy to integrate ESAP, CARE and FERA activities into the PLA sub-</w:t>
      </w:r>
      <w:r w:rsidRPr="00600E6F">
        <w:rPr>
          <w:rFonts w:ascii="Times New Roman" w:hAnsi="Times New Roman"/>
          <w:sz w:val="24"/>
        </w:rPr>
        <w:lastRenderedPageBreak/>
        <w:t>program aims to ensure eligible low-income residential customers are aware of the availability of low-cost energy-efficient services through ESAP, CARE or FERA. Additionally, IOUs seek to ensure that low-income customers are aware of rebates available for appliances through the PLA sub-program, which are not offered through any of the above mentioned programs.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Regarding products that address all types of energy use, each IOU seeks to coordinate the delivery of its PLA sub-program, as well as the Lighting and EUC programs, to maximize the energy saving potentials in every home. Whether customers simply look for an energy efficient light bulb to replace their burnt-out incandescent bulb, or the Energy Star’s Most Efficient refrigerator to replace their old unit, or a comprehensive energy saving audit and installation service to support a deep retrofitting project of their home, the customer-facing staff must be able to guide the customer seamlessly to the appropriate programs. All of the program’s ME&amp;O and WE&amp;T would be conducting coordinated initiatives to equip the customer-facing staff with the necessary knowledge to assist customers in maximizing their comfort, security and saving by helping them make the right choice in energy efficient solutions.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 xml:space="preserve">Table 15:  </w:t>
      </w:r>
      <w:r w:rsidRPr="00600E6F">
        <w:rPr>
          <w:rFonts w:ascii="Times New Roman" w:hAnsi="Times New Roman"/>
          <w:sz w:val="24"/>
        </w:rPr>
        <w:t>Cross-cutting Sub-program and Non-IOU Partner Coordination</w:t>
      </w:r>
    </w:p>
    <w:p w:rsidR="00513B47" w:rsidRPr="00600E6F" w:rsidRDefault="00513B47" w:rsidP="003408F4">
      <w:pPr>
        <w:spacing w:after="0" w:line="240" w:lineRule="auto"/>
        <w:ind w:left="720" w:firstLine="720"/>
        <w:rPr>
          <w:rFonts w:ascii="Times New Roman" w:hAnsi="Times New Roman"/>
          <w:i/>
          <w:sz w:val="24"/>
        </w:rPr>
      </w:pPr>
      <w:r w:rsidRPr="00600E6F">
        <w:rPr>
          <w:rFonts w:ascii="Times New Roman" w:hAnsi="Times New Roman"/>
          <w:i/>
          <w:sz w:val="24"/>
        </w:rPr>
        <w:t>[Table-15 to be provided as an Excel Attachment to this PIP]</w:t>
      </w:r>
    </w:p>
    <w:p w:rsidR="00513B47" w:rsidRDefault="00513B47" w:rsidP="003408F4">
      <w:pPr>
        <w:spacing w:after="0" w:line="240" w:lineRule="auto"/>
        <w:ind w:left="1440"/>
        <w:rPr>
          <w:rFonts w:ascii="Times New Roman" w:hAnsi="Times New Roman"/>
          <w:b/>
          <w:sz w:val="24"/>
        </w:rPr>
      </w:pPr>
    </w:p>
    <w:p w:rsidR="007E4BEC" w:rsidRPr="00600E6F" w:rsidRDefault="007E4BEC" w:rsidP="003408F4">
      <w:pPr>
        <w:spacing w:after="0" w:line="240" w:lineRule="auto"/>
        <w:ind w:left="1440"/>
        <w:rPr>
          <w:rFonts w:ascii="Times New Roman" w:hAnsi="Times New Roman"/>
          <w:b/>
          <w:sz w:val="24"/>
        </w:rPr>
      </w:pPr>
    </w:p>
    <w:p w:rsidR="00513B47" w:rsidRPr="00600E6F" w:rsidRDefault="00513B47" w:rsidP="00C31CC0">
      <w:pPr>
        <w:numPr>
          <w:ilvl w:val="0"/>
          <w:numId w:val="32"/>
        </w:numPr>
        <w:spacing w:after="0" w:line="240" w:lineRule="auto"/>
        <w:rPr>
          <w:rFonts w:ascii="Times New Roman" w:hAnsi="Times New Roman"/>
          <w:b/>
          <w:sz w:val="24"/>
        </w:rPr>
      </w:pPr>
      <w:r w:rsidRPr="00600E6F">
        <w:rPr>
          <w:rFonts w:ascii="Times New Roman" w:hAnsi="Times New Roman"/>
          <w:b/>
          <w:sz w:val="24"/>
        </w:rPr>
        <w:t xml:space="preserve">Logic Model:  </w:t>
      </w:r>
      <w:r w:rsidRPr="00600E6F">
        <w:rPr>
          <w:rFonts w:ascii="Times New Roman" w:hAnsi="Times New Roman"/>
          <w:sz w:val="24"/>
        </w:rPr>
        <w:t>Please append the logic model for this sub-program to the end of this PIP.  Describe here any additional underlying theory supporting the sub-program intervention approach, referring as needed to the relevant literature (e.g., past evaluations, best practices documents, journal articles, books, etc.).</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br w:type="page"/>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lastRenderedPageBreak/>
        <w:t>Figure</w:t>
      </w:r>
      <w:r w:rsidR="007B780C">
        <w:rPr>
          <w:rFonts w:ascii="Times New Roman" w:hAnsi="Times New Roman"/>
          <w:b/>
          <w:sz w:val="24"/>
          <w:szCs w:val="24"/>
        </w:rPr>
        <w:t xml:space="preserve"> </w:t>
      </w:r>
      <w:r w:rsidRPr="00600E6F">
        <w:rPr>
          <w:rFonts w:ascii="Times New Roman" w:hAnsi="Times New Roman"/>
          <w:b/>
          <w:sz w:val="24"/>
        </w:rPr>
        <w:t xml:space="preserve">8:   </w:t>
      </w:r>
      <w:r w:rsidRPr="00600E6F">
        <w:rPr>
          <w:rFonts w:ascii="Times New Roman" w:hAnsi="Times New Roman"/>
          <w:sz w:val="24"/>
        </w:rPr>
        <w:t>PLA sub-program Logic Model</w:t>
      </w:r>
    </w:p>
    <w:p w:rsidR="00513B47" w:rsidRPr="00600E6F" w:rsidRDefault="00513B47" w:rsidP="003408F4">
      <w:pPr>
        <w:spacing w:after="0" w:line="240" w:lineRule="auto"/>
        <w:rPr>
          <w:rFonts w:ascii="Times New Roman" w:hAnsi="Times New Roman"/>
          <w:b/>
          <w:sz w:val="24"/>
        </w:rPr>
      </w:pPr>
    </w:p>
    <w:p w:rsidR="00513B47" w:rsidRPr="00600E6F" w:rsidRDefault="008D705C" w:rsidP="00657138">
      <w:pPr>
        <w:tabs>
          <w:tab w:val="left" w:pos="0"/>
        </w:tabs>
        <w:spacing w:after="0" w:line="240" w:lineRule="auto"/>
        <w:ind w:hanging="360"/>
        <w:rPr>
          <w:rFonts w:ascii="Times New Roman" w:hAnsi="Times New Roman"/>
          <w:sz w:val="24"/>
        </w:rPr>
      </w:pPr>
      <w:r>
        <w:rPr>
          <w:rFonts w:ascii="Times New Roman" w:hAnsi="Times New Roman"/>
          <w:noProof/>
          <w:sz w:val="24"/>
        </w:rPr>
        <w:drawing>
          <wp:inline distT="0" distB="0" distL="0" distR="0" wp14:anchorId="70F128A3" wp14:editId="6EB0EBE6">
            <wp:extent cx="6097952" cy="4651026"/>
            <wp:effectExtent l="57150" t="0" r="55198" b="73374"/>
            <wp:docPr id="3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2"/>
                    <pic:cNvPicPr>
                      <a:picLocks noChangeAspect="1" noChangeArrowheads="1"/>
                    </pic:cNvPicPr>
                  </pic:nvPicPr>
                  <pic:blipFill>
                    <a:blip r:embed="rId28" cstate="print">
                      <a:extLst/>
                    </a:blip>
                    <a:srcRect/>
                    <a:stretch>
                      <a:fillRect/>
                    </a:stretch>
                  </pic:blipFill>
                  <pic:spPr bwMode="auto">
                    <a:xfrm>
                      <a:off x="0" y="0"/>
                      <a:ext cx="6097952" cy="4651026"/>
                    </a:xfrm>
                    <a:prstGeom prst="rect">
                      <a:avLst/>
                    </a:prstGeom>
                    <a:noFill/>
                    <a:ln>
                      <a:noFill/>
                    </a:ln>
                    <a:effectLst>
                      <a:outerShdw blurRad="50800" dist="50800" dir="5400000" algn="ctr" rotWithShape="0">
                        <a:schemeClr val="bg1">
                          <a:lumMod val="65000"/>
                        </a:schemeClr>
                      </a:outerShdw>
                    </a:effectLst>
                    <a:extLst/>
                  </pic:spPr>
                </pic:pic>
              </a:graphicData>
            </a:graphic>
          </wp:inline>
        </w:drawing>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br w:type="page"/>
      </w: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lastRenderedPageBreak/>
        <w:t>Figure</w:t>
      </w:r>
      <w:r w:rsidR="007B780C">
        <w:rPr>
          <w:rFonts w:ascii="Times New Roman" w:hAnsi="Times New Roman"/>
          <w:b/>
          <w:sz w:val="24"/>
          <w:szCs w:val="24"/>
        </w:rPr>
        <w:t xml:space="preserve"> </w:t>
      </w:r>
      <w:r w:rsidRPr="00600E6F">
        <w:rPr>
          <w:rFonts w:ascii="Times New Roman" w:hAnsi="Times New Roman"/>
          <w:b/>
          <w:sz w:val="24"/>
        </w:rPr>
        <w:t xml:space="preserve">9:    </w:t>
      </w:r>
      <w:r w:rsidRPr="00600E6F">
        <w:rPr>
          <w:rFonts w:ascii="Times New Roman" w:hAnsi="Times New Roman"/>
          <w:sz w:val="24"/>
        </w:rPr>
        <w:t>PLA innovation Process Diagram</w:t>
      </w:r>
    </w:p>
    <w:p w:rsidR="00513B47" w:rsidRPr="00600E6F" w:rsidRDefault="00513B47" w:rsidP="003408F4">
      <w:pPr>
        <w:spacing w:after="0" w:line="240" w:lineRule="auto"/>
        <w:ind w:left="90"/>
        <w:rPr>
          <w:rFonts w:ascii="Times New Roman" w:hAnsi="Times New Roman"/>
          <w:sz w:val="24"/>
        </w:rPr>
      </w:pPr>
    </w:p>
    <w:p w:rsidR="00513B47" w:rsidRPr="00600E6F" w:rsidRDefault="008D705C" w:rsidP="00657138">
      <w:pPr>
        <w:spacing w:after="0" w:line="240" w:lineRule="auto"/>
        <w:ind w:hanging="450"/>
        <w:rPr>
          <w:rFonts w:ascii="Times New Roman" w:hAnsi="Times New Roman"/>
          <w:sz w:val="24"/>
        </w:rPr>
      </w:pPr>
      <w:r>
        <w:rPr>
          <w:rFonts w:ascii="Times New Roman" w:hAnsi="Times New Roman"/>
          <w:noProof/>
          <w:sz w:val="24"/>
        </w:rPr>
        <w:drawing>
          <wp:inline distT="0" distB="0" distL="0" distR="0" wp14:anchorId="1456CBF8" wp14:editId="60DBB4D8">
            <wp:extent cx="6172518" cy="4869499"/>
            <wp:effectExtent l="57150" t="0" r="56832" b="83501"/>
            <wp:docPr id="3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73"/>
                    <pic:cNvPicPr>
                      <a:picLocks noChangeAspect="1" noChangeArrowheads="1"/>
                    </pic:cNvPicPr>
                  </pic:nvPicPr>
                  <pic:blipFill>
                    <a:blip r:embed="rId29" cstate="print">
                      <a:extLst/>
                    </a:blip>
                    <a:srcRect/>
                    <a:stretch>
                      <a:fillRect/>
                    </a:stretch>
                  </pic:blipFill>
                  <pic:spPr bwMode="auto">
                    <a:xfrm>
                      <a:off x="0" y="0"/>
                      <a:ext cx="6172518" cy="4869499"/>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br w:type="page"/>
      </w:r>
      <w:r w:rsidRPr="00600E6F">
        <w:rPr>
          <w:rFonts w:ascii="Times New Roman" w:hAnsi="Times New Roman"/>
          <w:b/>
          <w:sz w:val="24"/>
        </w:rPr>
        <w:lastRenderedPageBreak/>
        <w:t>Figure</w:t>
      </w:r>
      <w:r w:rsidR="007B780C">
        <w:rPr>
          <w:rFonts w:ascii="Times New Roman" w:hAnsi="Times New Roman"/>
          <w:b/>
          <w:sz w:val="24"/>
          <w:szCs w:val="24"/>
        </w:rPr>
        <w:t xml:space="preserve"> </w:t>
      </w:r>
      <w:r w:rsidRPr="00600E6F">
        <w:rPr>
          <w:rFonts w:ascii="Times New Roman" w:hAnsi="Times New Roman"/>
          <w:b/>
          <w:sz w:val="24"/>
        </w:rPr>
        <w:t xml:space="preserve">10:  </w:t>
      </w:r>
      <w:r w:rsidRPr="00600E6F">
        <w:rPr>
          <w:rFonts w:ascii="Times New Roman" w:hAnsi="Times New Roman"/>
          <w:sz w:val="24"/>
        </w:rPr>
        <w:t>Primary</w:t>
      </w:r>
      <w:r w:rsidRPr="00600E6F">
        <w:rPr>
          <w:rFonts w:ascii="Times New Roman" w:hAnsi="Times New Roman"/>
          <w:b/>
          <w:sz w:val="24"/>
        </w:rPr>
        <w:t xml:space="preserve"> </w:t>
      </w:r>
      <w:r w:rsidRPr="00600E6F">
        <w:rPr>
          <w:rFonts w:ascii="Times New Roman" w:hAnsi="Times New Roman"/>
          <w:sz w:val="24"/>
        </w:rPr>
        <w:t>PLA Incentive Activities Logic Model</w:t>
      </w:r>
    </w:p>
    <w:p w:rsidR="00513B47" w:rsidRPr="00600E6F" w:rsidRDefault="00513B47" w:rsidP="003408F4">
      <w:pPr>
        <w:spacing w:after="0" w:line="240" w:lineRule="auto"/>
        <w:rPr>
          <w:rFonts w:ascii="Times New Roman" w:hAnsi="Times New Roman"/>
          <w:sz w:val="24"/>
        </w:rPr>
      </w:pPr>
    </w:p>
    <w:p w:rsidR="00513B47" w:rsidRPr="00600E6F" w:rsidRDefault="008D705C" w:rsidP="00657138">
      <w:pPr>
        <w:spacing w:after="0" w:line="240" w:lineRule="auto"/>
        <w:ind w:hanging="270"/>
        <w:rPr>
          <w:rFonts w:ascii="Times New Roman" w:hAnsi="Times New Roman"/>
          <w:sz w:val="24"/>
        </w:rPr>
      </w:pPr>
      <w:r>
        <w:rPr>
          <w:rFonts w:ascii="Times New Roman" w:hAnsi="Times New Roman"/>
          <w:noProof/>
        </w:rPr>
        <w:drawing>
          <wp:inline distT="0" distB="0" distL="0" distR="0" wp14:anchorId="67B5B4CF" wp14:editId="40E64A15">
            <wp:extent cx="6086856" cy="4738777"/>
            <wp:effectExtent l="38100" t="0" r="66294" b="80873"/>
            <wp:docPr id="3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0" cstate="print"/>
                    <a:srcRect/>
                    <a:stretch>
                      <a:fillRect/>
                    </a:stretch>
                  </pic:blipFill>
                  <pic:spPr bwMode="auto">
                    <a:xfrm>
                      <a:off x="0" y="0"/>
                      <a:ext cx="6086856" cy="4738777"/>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29"/>
        </w:numPr>
        <w:spacing w:after="0" w:line="240" w:lineRule="auto"/>
        <w:ind w:left="720"/>
        <w:rPr>
          <w:rFonts w:ascii="Times New Roman" w:hAnsi="Times New Roman"/>
          <w:b/>
          <w:sz w:val="24"/>
        </w:rPr>
      </w:pPr>
      <w:r w:rsidRPr="00600E6F">
        <w:rPr>
          <w:rFonts w:ascii="Times New Roman" w:hAnsi="Times New Roman"/>
          <w:b/>
          <w:sz w:val="24"/>
        </w:rPr>
        <w:t xml:space="preserve"> Additional Sub-Program Information</w:t>
      </w:r>
      <w:r w:rsidRPr="00600E6F">
        <w:rPr>
          <w:rFonts w:ascii="Times New Roman" w:hAnsi="Times New Roman"/>
          <w:b/>
          <w:sz w:val="24"/>
        </w:rPr>
        <w:br/>
      </w:r>
    </w:p>
    <w:p w:rsidR="00513B47" w:rsidRPr="00600E6F" w:rsidRDefault="00513B47" w:rsidP="00C31CC0">
      <w:pPr>
        <w:numPr>
          <w:ilvl w:val="0"/>
          <w:numId w:val="30"/>
        </w:numPr>
        <w:spacing w:after="0" w:line="240" w:lineRule="auto"/>
        <w:rPr>
          <w:rFonts w:ascii="Times New Roman" w:hAnsi="Times New Roman"/>
          <w:b/>
          <w:sz w:val="24"/>
        </w:rPr>
      </w:pPr>
      <w:r w:rsidRPr="00600E6F">
        <w:rPr>
          <w:rFonts w:ascii="Times New Roman" w:hAnsi="Times New Roman"/>
          <w:b/>
          <w:sz w:val="24"/>
        </w:rPr>
        <w:t xml:space="preserve">Advancing Strategic Plan Goals and Objectives: </w:t>
      </w:r>
      <w:r w:rsidRPr="00600E6F">
        <w:rPr>
          <w:rFonts w:ascii="Times New Roman" w:hAnsi="Times New Roman"/>
          <w:sz w:val="24"/>
        </w:rPr>
        <w:t>Describe how sub-program advances the goals, strategies and objectives of the California Long Term Energy Efficiency Strategic Plan</w:t>
      </w:r>
      <w:r w:rsidRPr="00600E6F">
        <w:rPr>
          <w:rFonts w:ascii="Times New Roman" w:hAnsi="Times New Roman"/>
          <w:b/>
          <w:sz w:val="24"/>
        </w:rPr>
        <w:t xml:space="preserve">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PLA sub-program will help to achieve the goals identified in Chapter 2 of the Strategic Plan:</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ListParagraph"/>
        <w:spacing w:after="0" w:line="240" w:lineRule="auto"/>
        <w:ind w:left="1440"/>
        <w:rPr>
          <w:rFonts w:ascii="Times New Roman" w:hAnsi="Times New Roman"/>
          <w:sz w:val="24"/>
        </w:rPr>
      </w:pPr>
      <w:r w:rsidRPr="00600E6F">
        <w:rPr>
          <w:rFonts w:ascii="Times New Roman" w:hAnsi="Times New Roman"/>
          <w:sz w:val="24"/>
        </w:rPr>
        <w:t>2-2:  Promote effective decision-making to create wide-spread demand for energy efficiency measures.  California IOUs will aggressively incorporate results from studies that determine homeowner “decision triggers” for improving home energy efficiency; and</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ListParagraph"/>
        <w:spacing w:after="0" w:line="240" w:lineRule="auto"/>
        <w:ind w:left="1440"/>
        <w:rPr>
          <w:rFonts w:ascii="Times New Roman" w:hAnsi="Times New Roman"/>
          <w:sz w:val="24"/>
        </w:rPr>
      </w:pPr>
      <w:r w:rsidRPr="00600E6F">
        <w:rPr>
          <w:rFonts w:ascii="Times New Roman" w:hAnsi="Times New Roman"/>
          <w:sz w:val="24"/>
        </w:rPr>
        <w:lastRenderedPageBreak/>
        <w:t>2-3:  Manage research into new and advanced cost-effective innovations to reduce energy use in existing homes. California IOUs will work collaboratively to promote the commercialization of home energy management tools, including Advance Metering Infrastructure (AMI)-based monitoring and display tools.</w:t>
      </w:r>
    </w:p>
    <w:p w:rsidR="00513B47" w:rsidRPr="00600E6F" w:rsidRDefault="00513B47" w:rsidP="003408F4">
      <w:pPr>
        <w:pStyle w:val="ListParagraph"/>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“Smart Meter” deployment provides the customer the opportunity to access near-real time monitoring of their energy usage patterns at home. The feedback on how a customer is consuming energy through access to hourly billing data will support long-term behavioral strategies to reduce consumption. Moreover, when combined with automated enabling system (e.g., more integrated home management system through In-Home devices/displays and systems, programmable controllable thermostats, load control devices, smart appliances, etc.), the Smart Meter technology will provide customers the energy management tools that report increased savings as energy-efficient measures are installed. At the same time, the Smart Meter will offer residential customers the unique opportunities to participate in demand response and AMI-enabled technologies services. These information feedback systems enable more accurate assessment of IDSM program impacts and guide the future energy management strategies for customers.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0"/>
          <w:numId w:val="30"/>
        </w:numPr>
        <w:spacing w:after="0" w:line="240" w:lineRule="auto"/>
        <w:rPr>
          <w:rFonts w:ascii="Times New Roman" w:hAnsi="Times New Roman"/>
          <w:b/>
          <w:sz w:val="24"/>
        </w:rPr>
      </w:pPr>
      <w:r w:rsidRPr="00600E6F">
        <w:rPr>
          <w:rFonts w:ascii="Times New Roman" w:hAnsi="Times New Roman"/>
          <w:b/>
          <w:sz w:val="24"/>
        </w:rPr>
        <w:t>Integration</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31"/>
        </w:numPr>
        <w:spacing w:after="0" w:line="240" w:lineRule="auto"/>
        <w:ind w:left="1800"/>
        <w:rPr>
          <w:rFonts w:ascii="Times New Roman" w:hAnsi="Times New Roman"/>
          <w:sz w:val="24"/>
        </w:rPr>
      </w:pPr>
      <w:r w:rsidRPr="00600E6F">
        <w:rPr>
          <w:rFonts w:ascii="Times New Roman" w:hAnsi="Times New Roman"/>
          <w:b/>
          <w:sz w:val="24"/>
        </w:rPr>
        <w:t>Integrated/coordinated Demand Side Management</w:t>
      </w:r>
      <w:r w:rsidRPr="00600E6F">
        <w:rPr>
          <w:rFonts w:ascii="Times New Roman" w:hAnsi="Times New Roman"/>
          <w:sz w:val="24"/>
        </w:rPr>
        <w:t>: As applicable, describe how sub-program will promote customer education and sub-program participation across all DSM options. Provide budget information of non-EE sub-programs where applicable.</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The IOUs will coordinate program efforts with the local utility integration teams and the Statewide Integration Task Force to identify successful integration approaches and offerings, potential pilot programs and metrics.</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b/>
          <w:sz w:val="24"/>
        </w:rPr>
        <w:t xml:space="preserve">      </w:t>
      </w:r>
      <w:r w:rsidRPr="00600E6F">
        <w:rPr>
          <w:rFonts w:ascii="Times New Roman" w:hAnsi="Times New Roman"/>
          <w:b/>
          <w:sz w:val="24"/>
        </w:rPr>
        <w:tab/>
        <w:t xml:space="preserve">      Table 16: </w:t>
      </w:r>
      <w:r w:rsidRPr="00600E6F">
        <w:rPr>
          <w:rFonts w:ascii="Times New Roman" w:hAnsi="Times New Roman"/>
          <w:sz w:val="24"/>
        </w:rPr>
        <w:t>Non-EE Sub-Program Information</w:t>
      </w:r>
    </w:p>
    <w:p w:rsidR="00513B47" w:rsidRPr="00600E6F" w:rsidRDefault="00513B47" w:rsidP="003408F4">
      <w:pPr>
        <w:spacing w:after="0" w:line="240" w:lineRule="auto"/>
        <w:ind w:left="1800"/>
        <w:rPr>
          <w:rFonts w:ascii="Times New Roman" w:hAnsi="Times New Roman"/>
          <w:i/>
          <w:sz w:val="24"/>
        </w:rPr>
      </w:pPr>
      <w:r w:rsidRPr="00600E6F">
        <w:rPr>
          <w:rFonts w:ascii="Times New Roman" w:hAnsi="Times New Roman"/>
          <w:i/>
          <w:sz w:val="24"/>
        </w:rPr>
        <w:t>[Table-16 to be provided as an Excel Attachment to this PIP]</w:t>
      </w:r>
    </w:p>
    <w:p w:rsidR="00513B47" w:rsidRDefault="00513B47" w:rsidP="003408F4">
      <w:pPr>
        <w:spacing w:after="0" w:line="240" w:lineRule="auto"/>
        <w:ind w:left="2520"/>
        <w:rPr>
          <w:rFonts w:ascii="Times New Roman" w:hAnsi="Times New Roman"/>
          <w:sz w:val="24"/>
        </w:rPr>
      </w:pPr>
    </w:p>
    <w:p w:rsidR="007E4BEC" w:rsidRPr="00600E6F" w:rsidRDefault="007E4BEC" w:rsidP="003408F4">
      <w:pPr>
        <w:spacing w:after="0" w:line="240" w:lineRule="auto"/>
        <w:ind w:left="2520"/>
        <w:rPr>
          <w:rFonts w:ascii="Times New Roman" w:hAnsi="Times New Roman"/>
          <w:sz w:val="24"/>
        </w:rPr>
      </w:pPr>
    </w:p>
    <w:p w:rsidR="00513B47" w:rsidRPr="00600E6F" w:rsidRDefault="00513B47" w:rsidP="00C31CC0">
      <w:pPr>
        <w:numPr>
          <w:ilvl w:val="0"/>
          <w:numId w:val="31"/>
        </w:numPr>
        <w:spacing w:after="0" w:line="240" w:lineRule="auto"/>
        <w:ind w:left="1800"/>
        <w:rPr>
          <w:rFonts w:ascii="Times New Roman" w:hAnsi="Times New Roman"/>
          <w:sz w:val="24"/>
        </w:rPr>
      </w:pPr>
      <w:r w:rsidRPr="00600E6F">
        <w:rPr>
          <w:rFonts w:ascii="Times New Roman" w:hAnsi="Times New Roman"/>
          <w:b/>
          <w:sz w:val="24"/>
        </w:rPr>
        <w:t>Integration across resource types</w:t>
      </w:r>
      <w:r w:rsidRPr="00600E6F">
        <w:rPr>
          <w:rFonts w:ascii="Times New Roman" w:hAnsi="Times New Roman"/>
          <w:sz w:val="24"/>
        </w:rPr>
        <w:t xml:space="preserve"> (energy, water, air quality, etc.): If sub-program aims to integrate across resources types, please provide rationale and general approach.</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 xml:space="preserve">There are integration opportunities that work across resource types that can be further explored such as combining rebates with water utilities which have provided customers a more simplified process for submitting and receiving their energy and water rebates. The residual benefits of this process was the ability to leverage the larger combined rebate amount to significantly drive sales of qualifying models as well as providing a precedent for disparate water utilities to collaborate around a combined product specification and rebate methodology. IOUs will take these key findings and use them with water </w:t>
      </w:r>
      <w:r w:rsidRPr="00600E6F">
        <w:rPr>
          <w:rFonts w:ascii="Times New Roman" w:hAnsi="Times New Roman"/>
          <w:sz w:val="24"/>
        </w:rPr>
        <w:lastRenderedPageBreak/>
        <w:t>agencies and air quality districts when there is alignment around customer offerings. Additionally, the retail channel offers significant integration opportunities for marketing DSM solutions. Through effective and engaging point of sale displays and interactive kiosks, the IOUs will co-market a variety of programs and services through a single point of customer engagement.</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For example, PG&amp;E begins its fifth year of a Cooperative High-Efficiency Clothes Washer rebate program with a number of water agencies in the Greater San Francisco Bay Area. 12 agencies together with their sub-agencies, constitute a total of 33 water agencies (wholesalers and retailers) participating on PG&amp;E’s program. PG&amp;E processes the rebate applications (submitted via paper application or online), sends customer data to the respective water agencies through a secure swap drive, and then issues one check to the customer that combines PG&amp;E’s rebate of $50 and the water agency rebate (either $50 or $75, depending on efficiency rating) for a check total of either $100 or $125.</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30"/>
        </w:numPr>
        <w:spacing w:after="0" w:line="240" w:lineRule="auto"/>
        <w:rPr>
          <w:rFonts w:ascii="Times New Roman" w:hAnsi="Times New Roman"/>
          <w:sz w:val="24"/>
        </w:rPr>
      </w:pPr>
      <w:r w:rsidRPr="00600E6F">
        <w:rPr>
          <w:rFonts w:ascii="Times New Roman" w:hAnsi="Times New Roman"/>
          <w:b/>
          <w:sz w:val="24"/>
        </w:rPr>
        <w:t>Leveraging of Resources</w:t>
      </w:r>
      <w:r w:rsidRPr="00600E6F">
        <w:rPr>
          <w:rFonts w:ascii="Times New Roman" w:hAnsi="Times New Roman"/>
          <w:sz w:val="24"/>
        </w:rPr>
        <w:t xml:space="preserve">: Please describe if the subprogram will leverage additional investments by market actors or other state, local or federal agencies.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N/A</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30"/>
        </w:numPr>
        <w:spacing w:after="0" w:line="240" w:lineRule="auto"/>
        <w:rPr>
          <w:rFonts w:ascii="Times New Roman" w:hAnsi="Times New Roman"/>
          <w:sz w:val="24"/>
        </w:rPr>
      </w:pPr>
      <w:r w:rsidRPr="00600E6F">
        <w:rPr>
          <w:rFonts w:ascii="Times New Roman" w:hAnsi="Times New Roman"/>
          <w:b/>
          <w:sz w:val="24"/>
        </w:rPr>
        <w:t>Trials/ Pilots:</w:t>
      </w:r>
      <w:r w:rsidRPr="00600E6F">
        <w:rPr>
          <w:rFonts w:ascii="Times New Roman" w:hAnsi="Times New Roman"/>
          <w:sz w:val="24"/>
        </w:rPr>
        <w:t xml:space="preserve"> Please describe any trials or pilot projects planned for this sub-program</w:t>
      </w:r>
    </w:p>
    <w:p w:rsidR="00513B47" w:rsidRDefault="00513B47" w:rsidP="003408F4">
      <w:pPr>
        <w:spacing w:after="0" w:line="240" w:lineRule="auto"/>
        <w:ind w:left="1440"/>
        <w:rPr>
          <w:rFonts w:ascii="Times New Roman" w:hAnsi="Times New Roman"/>
          <w:sz w:val="24"/>
        </w:rPr>
      </w:pPr>
    </w:p>
    <w:p w:rsidR="008201FD" w:rsidRPr="008201FD" w:rsidRDefault="008201FD" w:rsidP="008201FD">
      <w:pPr>
        <w:spacing w:after="0" w:line="240" w:lineRule="auto"/>
        <w:ind w:left="1440"/>
        <w:rPr>
          <w:rFonts w:ascii="Times New Roman" w:hAnsi="Times New Roman"/>
          <w:sz w:val="24"/>
        </w:rPr>
      </w:pPr>
      <w:r w:rsidRPr="008201FD">
        <w:rPr>
          <w:rFonts w:ascii="Times New Roman" w:hAnsi="Times New Roman"/>
          <w:sz w:val="24"/>
        </w:rPr>
        <w:t>SDG&amp;E intends to undertake the IDS HEMS pilot in 2013-14 with the current understanding as follows:</w:t>
      </w:r>
    </w:p>
    <w:p w:rsidR="008201FD" w:rsidRPr="008201FD" w:rsidRDefault="008201FD" w:rsidP="008201FD">
      <w:pPr>
        <w:spacing w:after="0" w:line="240" w:lineRule="auto"/>
        <w:ind w:left="1440"/>
        <w:rPr>
          <w:rFonts w:ascii="Times New Roman" w:hAnsi="Times New Roman"/>
          <w:sz w:val="24"/>
        </w:rPr>
      </w:pPr>
    </w:p>
    <w:p w:rsidR="008201FD" w:rsidRDefault="008201FD" w:rsidP="00C31CC0">
      <w:pPr>
        <w:numPr>
          <w:ilvl w:val="0"/>
          <w:numId w:val="168"/>
        </w:numPr>
        <w:spacing w:after="0" w:line="240" w:lineRule="auto"/>
        <w:ind w:left="1980"/>
        <w:rPr>
          <w:rFonts w:ascii="Times New Roman" w:hAnsi="Times New Roman"/>
          <w:sz w:val="24"/>
        </w:rPr>
        <w:pPrChange w:id="8" w:author="cerobins" w:date="2012-09-04T13:35:00Z">
          <w:pPr>
            <w:numPr>
              <w:numId w:val="178"/>
            </w:numPr>
            <w:tabs>
              <w:tab w:val="num" w:pos="360"/>
            </w:tabs>
            <w:spacing w:after="0" w:line="240" w:lineRule="auto"/>
          </w:pPr>
        </w:pPrChange>
      </w:pPr>
      <w:r w:rsidRPr="008201FD">
        <w:rPr>
          <w:rFonts w:ascii="Times New Roman" w:hAnsi="Times New Roman"/>
          <w:sz w:val="24"/>
        </w:rPr>
        <w:t xml:space="preserve">Budgets for each proposed test/pilot  </w:t>
      </w:r>
      <w:r>
        <w:rPr>
          <w:rFonts w:ascii="Times New Roman" w:hAnsi="Times New Roman"/>
          <w:sz w:val="24"/>
        </w:rPr>
        <w:t xml:space="preserve">- </w:t>
      </w:r>
      <w:r w:rsidRPr="008201FD">
        <w:rPr>
          <w:rFonts w:ascii="Times New Roman" w:hAnsi="Times New Roman"/>
          <w:sz w:val="24"/>
        </w:rPr>
        <w:t>Forthcoming</w:t>
      </w:r>
      <w:r>
        <w:rPr>
          <w:rFonts w:ascii="Times New Roman" w:hAnsi="Times New Roman"/>
          <w:sz w:val="24"/>
        </w:rPr>
        <w:br/>
      </w:r>
    </w:p>
    <w:p w:rsidR="008201FD" w:rsidRDefault="008201FD" w:rsidP="00C31CC0">
      <w:pPr>
        <w:numPr>
          <w:ilvl w:val="0"/>
          <w:numId w:val="168"/>
        </w:numPr>
        <w:spacing w:after="0" w:line="240" w:lineRule="auto"/>
        <w:ind w:left="1980"/>
        <w:rPr>
          <w:rFonts w:ascii="Times New Roman" w:hAnsi="Times New Roman"/>
          <w:sz w:val="24"/>
        </w:rPr>
        <w:pPrChange w:id="9" w:author="cerobins" w:date="2012-09-04T13:35:00Z">
          <w:pPr>
            <w:numPr>
              <w:numId w:val="178"/>
            </w:numPr>
            <w:tabs>
              <w:tab w:val="num" w:pos="360"/>
            </w:tabs>
            <w:spacing w:after="0" w:line="240" w:lineRule="auto"/>
          </w:pPr>
        </w:pPrChange>
      </w:pPr>
      <w:r w:rsidRPr="008201FD">
        <w:rPr>
          <w:rFonts w:ascii="Times New Roman" w:hAnsi="Times New Roman"/>
          <w:sz w:val="24"/>
        </w:rPr>
        <w:t>Objectives of the test/pilot</w:t>
      </w:r>
      <w:r>
        <w:rPr>
          <w:rFonts w:ascii="Times New Roman" w:hAnsi="Times New Roman"/>
          <w:sz w:val="24"/>
        </w:rPr>
        <w:t xml:space="preserve">  -  </w:t>
      </w:r>
      <w:r w:rsidRPr="008201FD">
        <w:rPr>
          <w:rFonts w:ascii="Times New Roman" w:hAnsi="Times New Roman"/>
          <w:sz w:val="24"/>
        </w:rPr>
        <w:t xml:space="preserve">To quantify the energy efficiency benefits of automation and information provided by the IDS HEMS (Integrated Demand Side Home Energy Management System); </w:t>
      </w:r>
      <w:r>
        <w:rPr>
          <w:rFonts w:ascii="Times New Roman" w:hAnsi="Times New Roman"/>
          <w:sz w:val="24"/>
        </w:rPr>
        <w:t>T</w:t>
      </w:r>
      <w:r w:rsidRPr="008201FD">
        <w:rPr>
          <w:rFonts w:ascii="Times New Roman" w:hAnsi="Times New Roman"/>
          <w:sz w:val="24"/>
        </w:rPr>
        <w:t xml:space="preserve">o identify key drivers to customer satisfaction of IDS HEMS equipped home; </w:t>
      </w:r>
      <w:r>
        <w:rPr>
          <w:rFonts w:ascii="Times New Roman" w:hAnsi="Times New Roman"/>
          <w:sz w:val="24"/>
        </w:rPr>
        <w:t>T</w:t>
      </w:r>
      <w:r w:rsidRPr="008201FD">
        <w:rPr>
          <w:rFonts w:ascii="Times New Roman" w:hAnsi="Times New Roman"/>
          <w:sz w:val="24"/>
        </w:rPr>
        <w:t>o identify critical success factors for mass development of IDS HEMS; and to assess the program implementation feasibility of such IDS HEMS.</w:t>
      </w:r>
      <w:r>
        <w:rPr>
          <w:rFonts w:ascii="Times New Roman" w:hAnsi="Times New Roman"/>
          <w:sz w:val="24"/>
        </w:rPr>
        <w:br/>
      </w:r>
    </w:p>
    <w:p w:rsidR="008201FD" w:rsidRDefault="008201FD" w:rsidP="00C31CC0">
      <w:pPr>
        <w:numPr>
          <w:ilvl w:val="0"/>
          <w:numId w:val="168"/>
        </w:numPr>
        <w:spacing w:after="0" w:line="240" w:lineRule="auto"/>
        <w:ind w:left="1980"/>
        <w:rPr>
          <w:rFonts w:ascii="Times New Roman" w:hAnsi="Times New Roman"/>
          <w:sz w:val="24"/>
        </w:rPr>
        <w:pPrChange w:id="10" w:author="cerobins" w:date="2012-09-04T13:35:00Z">
          <w:pPr>
            <w:numPr>
              <w:numId w:val="178"/>
            </w:numPr>
            <w:tabs>
              <w:tab w:val="num" w:pos="360"/>
            </w:tabs>
            <w:spacing w:after="0" w:line="240" w:lineRule="auto"/>
          </w:pPr>
        </w:pPrChange>
      </w:pPr>
      <w:r w:rsidRPr="008201FD">
        <w:rPr>
          <w:rFonts w:ascii="Times New Roman" w:hAnsi="Times New Roman"/>
          <w:sz w:val="24"/>
        </w:rPr>
        <w:t>Hypotheses the test/pilot will be testing</w:t>
      </w:r>
      <w:r>
        <w:rPr>
          <w:rFonts w:ascii="Times New Roman" w:hAnsi="Times New Roman"/>
          <w:sz w:val="24"/>
        </w:rPr>
        <w:t xml:space="preserve">  -  </w:t>
      </w:r>
      <w:r w:rsidRPr="008201FD">
        <w:rPr>
          <w:rFonts w:ascii="Times New Roman" w:hAnsi="Times New Roman"/>
          <w:sz w:val="24"/>
        </w:rPr>
        <w:t>Automation and information provided by IDS HEMS help customer to be more energy efficient</w:t>
      </w:r>
      <w:r>
        <w:rPr>
          <w:rFonts w:ascii="Times New Roman" w:hAnsi="Times New Roman"/>
          <w:sz w:val="24"/>
        </w:rPr>
        <w:t>;</w:t>
      </w:r>
      <w:r w:rsidRPr="008201FD">
        <w:rPr>
          <w:rFonts w:ascii="Times New Roman" w:hAnsi="Times New Roman"/>
          <w:sz w:val="24"/>
        </w:rPr>
        <w:t xml:space="preserve"> IDS HEMS help customer to be better informed and more satisfied energy consumer.</w:t>
      </w:r>
      <w:r>
        <w:rPr>
          <w:rFonts w:ascii="Times New Roman" w:hAnsi="Times New Roman"/>
          <w:sz w:val="24"/>
        </w:rPr>
        <w:br/>
      </w:r>
    </w:p>
    <w:p w:rsidR="008201FD" w:rsidRPr="008201FD" w:rsidRDefault="008201FD" w:rsidP="00C31CC0">
      <w:pPr>
        <w:numPr>
          <w:ilvl w:val="0"/>
          <w:numId w:val="168"/>
        </w:numPr>
        <w:spacing w:after="0" w:line="240" w:lineRule="auto"/>
        <w:ind w:left="1980"/>
        <w:rPr>
          <w:rFonts w:ascii="Times New Roman" w:hAnsi="Times New Roman"/>
          <w:sz w:val="24"/>
        </w:rPr>
        <w:pPrChange w:id="11" w:author="cerobins" w:date="2012-09-04T13:35:00Z">
          <w:pPr>
            <w:numPr>
              <w:numId w:val="178"/>
            </w:numPr>
            <w:tabs>
              <w:tab w:val="num" w:pos="360"/>
            </w:tabs>
            <w:spacing w:after="0" w:line="240" w:lineRule="auto"/>
            <w:ind w:left="1440"/>
          </w:pPr>
        </w:pPrChange>
      </w:pPr>
      <w:r w:rsidRPr="008201FD">
        <w:rPr>
          <w:rFonts w:ascii="Times New Roman" w:hAnsi="Times New Roman"/>
          <w:sz w:val="24"/>
        </w:rPr>
        <w:t>Data collection or evaluation work likely to be required</w:t>
      </w:r>
      <w:r>
        <w:rPr>
          <w:rFonts w:ascii="Times New Roman" w:hAnsi="Times New Roman"/>
          <w:sz w:val="24"/>
        </w:rPr>
        <w:t xml:space="preserve">  -  Customer’s installed appliances and electronics; Home’s square foot and building envelop type; Home’s climate zone; Household size; Household demographic; </w:t>
      </w:r>
      <w:r w:rsidRPr="008201FD">
        <w:rPr>
          <w:rFonts w:ascii="Times New Roman" w:hAnsi="Times New Roman"/>
          <w:sz w:val="24"/>
        </w:rPr>
        <w:t xml:space="preserve">Time-interval UEC data of various appliances through representative household through different season, day of week, energy </w:t>
      </w:r>
      <w:r w:rsidRPr="008201FD">
        <w:rPr>
          <w:rFonts w:ascii="Times New Roman" w:hAnsi="Times New Roman"/>
          <w:sz w:val="24"/>
        </w:rPr>
        <w:lastRenderedPageBreak/>
        <w:t xml:space="preserve">price, inside and outside temperature; customer’s information queries either through web portal or IHD under above monitor conditions; customer’s billing charges under above monitor conditions; customer’s satisfaction levels;  and comments at each billing cycle;     </w:t>
      </w:r>
    </w:p>
    <w:p w:rsidR="00513B47" w:rsidRPr="00600E6F" w:rsidRDefault="008201FD" w:rsidP="003408F4">
      <w:pPr>
        <w:pStyle w:val="ListParagraph"/>
        <w:spacing w:after="0" w:line="240" w:lineRule="auto"/>
        <w:ind w:left="1800"/>
        <w:contextualSpacing w:val="0"/>
        <w:rPr>
          <w:rFonts w:ascii="Times New Roman" w:hAnsi="Times New Roman"/>
          <w:sz w:val="24"/>
        </w:rPr>
      </w:pPr>
      <w:r>
        <w:rPr>
          <w:rFonts w:ascii="Times New Roman" w:hAnsi="Times New Roman"/>
          <w:sz w:val="24"/>
        </w:rPr>
        <w:br/>
      </w:r>
    </w:p>
    <w:p w:rsidR="00513B47" w:rsidRPr="00600E6F" w:rsidRDefault="00513B47" w:rsidP="00C31CC0">
      <w:pPr>
        <w:numPr>
          <w:ilvl w:val="0"/>
          <w:numId w:val="30"/>
        </w:numPr>
        <w:spacing w:after="0" w:line="240" w:lineRule="auto"/>
        <w:rPr>
          <w:rFonts w:ascii="Times New Roman" w:hAnsi="Times New Roman"/>
          <w:b/>
          <w:sz w:val="24"/>
        </w:rPr>
      </w:pPr>
      <w:r w:rsidRPr="00600E6F">
        <w:rPr>
          <w:rFonts w:ascii="Times New Roman" w:hAnsi="Times New Roman"/>
          <w:b/>
          <w:sz w:val="24"/>
        </w:rPr>
        <w:t xml:space="preserve">Knowledge Transfer: </w:t>
      </w:r>
      <w:r w:rsidRPr="00600E6F">
        <w:rPr>
          <w:rFonts w:ascii="Times New Roman" w:hAnsi="Times New Roman"/>
          <w:sz w:val="24"/>
        </w:rPr>
        <w:t>Describe the strategy that will be used to identify and disseminate best practices and lessons learned from this sub-program</w:t>
      </w:r>
      <w:r w:rsidRPr="00600E6F">
        <w:rPr>
          <w:rFonts w:ascii="Times New Roman" w:hAnsi="Times New Roman"/>
          <w:b/>
          <w:sz w:val="24"/>
        </w:rPr>
        <w:t xml:space="preserve">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 xml:space="preserve">One-Stop-Shop Information Repository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The PLA sub-program supports the Energy Upgrade California web portal to serve as a one-stop-shop for PLA sub-program information, as well as generalized energy education information for residential and small business consumers on efficient PLA products, while still continuing to prompt home and small business owners to immediately take action to participate in available PLA sub-program activities.  It should also serve as a repository of information for the utilities, practitioners, the California Energy Commission, local government programs, and third-party programs participating in PLA sub-program.</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Conference, Seminars and Workshops</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Participation in conferences, seminars, and workshops are essential for the PLA market transformation efforts to remain up-to-date on key industry players, new technologies, and best practices to properly support PLA sub-program strategy planning. These events allow the PLA sub-program to expand the network of partners for future collaboration efforts within the energy efficiency and PLA industry. Below are few of the key conferences, seminars, workshops and meetings that PLA sub-program may participate:</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pStyle w:val="ListParagraph"/>
        <w:numPr>
          <w:ilvl w:val="4"/>
          <w:numId w:val="119"/>
        </w:numPr>
        <w:spacing w:after="0" w:line="240" w:lineRule="auto"/>
        <w:ind w:left="1980" w:hanging="540"/>
        <w:contextualSpacing w:val="0"/>
        <w:rPr>
          <w:rFonts w:ascii="Times New Roman" w:hAnsi="Times New Roman"/>
          <w:sz w:val="24"/>
        </w:rPr>
      </w:pPr>
      <w:r w:rsidRPr="00600E6F">
        <w:rPr>
          <w:rFonts w:ascii="Times New Roman" w:hAnsi="Times New Roman"/>
          <w:sz w:val="24"/>
        </w:rPr>
        <w:t>CEE Program Meetings</w:t>
      </w:r>
    </w:p>
    <w:p w:rsidR="00513B47" w:rsidRPr="00600E6F" w:rsidRDefault="00513B47" w:rsidP="00C31CC0">
      <w:pPr>
        <w:pStyle w:val="ListParagraph"/>
        <w:numPr>
          <w:ilvl w:val="4"/>
          <w:numId w:val="119"/>
        </w:numPr>
        <w:spacing w:after="0" w:line="240" w:lineRule="auto"/>
        <w:ind w:left="1980" w:hanging="540"/>
        <w:contextualSpacing w:val="0"/>
        <w:rPr>
          <w:rFonts w:ascii="Times New Roman" w:hAnsi="Times New Roman"/>
          <w:sz w:val="24"/>
        </w:rPr>
      </w:pPr>
      <w:r w:rsidRPr="00600E6F">
        <w:rPr>
          <w:rFonts w:ascii="Times New Roman" w:hAnsi="Times New Roman"/>
          <w:sz w:val="24"/>
        </w:rPr>
        <w:t>EPA ENERGY STAR® Products Partner Meeting</w:t>
      </w:r>
      <w:r w:rsidRPr="00600E6F">
        <w:rPr>
          <w:rFonts w:ascii="Times New Roman" w:hAnsi="Times New Roman"/>
          <w:sz w:val="24"/>
        </w:rPr>
        <w:tab/>
      </w:r>
    </w:p>
    <w:p w:rsidR="00513B47" w:rsidRPr="00600E6F" w:rsidRDefault="00513B47" w:rsidP="00C31CC0">
      <w:pPr>
        <w:pStyle w:val="ListParagraph"/>
        <w:numPr>
          <w:ilvl w:val="4"/>
          <w:numId w:val="119"/>
        </w:numPr>
        <w:spacing w:after="0" w:line="240" w:lineRule="auto"/>
        <w:ind w:left="1980" w:hanging="540"/>
        <w:contextualSpacing w:val="0"/>
        <w:rPr>
          <w:rFonts w:ascii="Times New Roman" w:hAnsi="Times New Roman"/>
          <w:sz w:val="24"/>
        </w:rPr>
      </w:pPr>
      <w:r w:rsidRPr="00600E6F">
        <w:rPr>
          <w:rFonts w:ascii="Times New Roman" w:hAnsi="Times New Roman"/>
          <w:sz w:val="24"/>
        </w:rPr>
        <w:t>Consumer Electronics Show (CES)</w:t>
      </w:r>
    </w:p>
    <w:p w:rsidR="00513B47" w:rsidRPr="00600E6F" w:rsidRDefault="00513B47" w:rsidP="00C31CC0">
      <w:pPr>
        <w:pStyle w:val="ListParagraph"/>
        <w:numPr>
          <w:ilvl w:val="4"/>
          <w:numId w:val="119"/>
        </w:numPr>
        <w:spacing w:after="0" w:line="240" w:lineRule="auto"/>
        <w:ind w:left="1980" w:hanging="540"/>
        <w:contextualSpacing w:val="0"/>
        <w:rPr>
          <w:rFonts w:ascii="Times New Roman" w:hAnsi="Times New Roman"/>
          <w:sz w:val="24"/>
        </w:rPr>
      </w:pPr>
      <w:r w:rsidRPr="00600E6F">
        <w:rPr>
          <w:rFonts w:ascii="Times New Roman" w:hAnsi="Times New Roman"/>
          <w:sz w:val="24"/>
        </w:rPr>
        <w:t>ACEEE’s National Symposium on Market Transformation</w:t>
      </w:r>
      <w:r w:rsidRPr="00600E6F">
        <w:rPr>
          <w:rFonts w:ascii="Times New Roman" w:hAnsi="Times New Roman"/>
          <w:sz w:val="24"/>
        </w:rPr>
        <w:tab/>
      </w:r>
    </w:p>
    <w:p w:rsidR="00513B47" w:rsidRPr="00600E6F" w:rsidRDefault="00513B47" w:rsidP="00C31CC0">
      <w:pPr>
        <w:pStyle w:val="ListParagraph"/>
        <w:numPr>
          <w:ilvl w:val="4"/>
          <w:numId w:val="119"/>
        </w:numPr>
        <w:spacing w:after="0" w:line="240" w:lineRule="auto"/>
        <w:ind w:left="1980" w:hanging="540"/>
        <w:contextualSpacing w:val="0"/>
        <w:rPr>
          <w:rFonts w:ascii="Times New Roman" w:hAnsi="Times New Roman"/>
          <w:sz w:val="24"/>
        </w:rPr>
      </w:pPr>
      <w:r w:rsidRPr="00600E6F">
        <w:rPr>
          <w:rFonts w:ascii="Times New Roman" w:hAnsi="Times New Roman"/>
          <w:sz w:val="24"/>
        </w:rPr>
        <w:t>Western Utilities Collaborative Quarterly Meetings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ListParagraph"/>
        <w:spacing w:after="0" w:line="240" w:lineRule="auto"/>
        <w:ind w:left="1440"/>
        <w:rPr>
          <w:rFonts w:ascii="Times New Roman" w:hAnsi="Times New Roman"/>
          <w:sz w:val="24"/>
        </w:rPr>
      </w:pPr>
    </w:p>
    <w:p w:rsidR="00513B47" w:rsidRPr="00600E6F" w:rsidRDefault="00513B47" w:rsidP="00C31CC0">
      <w:pPr>
        <w:numPr>
          <w:ilvl w:val="0"/>
          <w:numId w:val="29"/>
        </w:numPr>
        <w:spacing w:after="0" w:line="240" w:lineRule="auto"/>
        <w:ind w:left="720" w:hanging="720"/>
        <w:rPr>
          <w:rFonts w:ascii="Times New Roman" w:hAnsi="Times New Roman"/>
          <w:sz w:val="24"/>
        </w:rPr>
      </w:pPr>
      <w:r w:rsidRPr="00600E6F">
        <w:rPr>
          <w:rFonts w:ascii="Times New Roman" w:hAnsi="Times New Roman"/>
          <w:b/>
          <w:sz w:val="24"/>
        </w:rPr>
        <w:t>Market Transformation Information</w:t>
      </w:r>
      <w:r w:rsidRPr="00600E6F">
        <w:rPr>
          <w:rFonts w:ascii="Times New Roman" w:hAnsi="Times New Roman"/>
          <w:sz w:val="24"/>
        </w:rPr>
        <w:t>: For programs identified as market transformation programs, include the following:</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1"/>
          <w:numId w:val="105"/>
        </w:numPr>
        <w:tabs>
          <w:tab w:val="clear" w:pos="1800"/>
          <w:tab w:val="num" w:pos="1260"/>
        </w:tabs>
        <w:spacing w:after="0" w:line="240" w:lineRule="auto"/>
        <w:ind w:left="1260"/>
        <w:rPr>
          <w:rFonts w:ascii="Times New Roman" w:hAnsi="Times New Roman"/>
          <w:b/>
          <w:sz w:val="24"/>
        </w:rPr>
      </w:pPr>
      <w:r w:rsidRPr="00600E6F">
        <w:rPr>
          <w:rFonts w:ascii="Times New Roman" w:hAnsi="Times New Roman"/>
          <w:b/>
          <w:sz w:val="24"/>
        </w:rPr>
        <w:t xml:space="preserve">A summary of the market transformation objectives of the program. </w:t>
      </w:r>
    </w:p>
    <w:p w:rsidR="00513B47" w:rsidRPr="00600E6F" w:rsidRDefault="00513B47" w:rsidP="003408F4">
      <w:pPr>
        <w:spacing w:after="0" w:line="240" w:lineRule="auto"/>
        <w:ind w:left="1260"/>
        <w:rPr>
          <w:rFonts w:ascii="Times New Roman" w:hAnsi="Times New Roman"/>
          <w:b/>
          <w:sz w:val="24"/>
        </w:rPr>
      </w:pPr>
      <w:r w:rsidRPr="00600E6F">
        <w:rPr>
          <w:rFonts w:ascii="Times New Roman" w:hAnsi="Times New Roman"/>
          <w:sz w:val="24"/>
        </w:rPr>
        <w:t xml:space="preserve">The PLA sub-program aims to transform the market to achieve sustainable adoption of energy efficient PLA products where ongoing intervention would no longer be required. For the short to mid-term time frame where energy efficiency PLA products are still not the market’s default choices, the program uses incentive mechanisms, ME&amp;O, WE&amp;T, and strategic industry collaboration to increase availability, awareness, and adoptions of energy efficient products. For the longer-term time frame, the PLA sub-program leverages Integrated Demand Side Management (IDSM) programs to influence the development codes and standards </w:t>
      </w:r>
      <w:r w:rsidRPr="00600E6F">
        <w:rPr>
          <w:rFonts w:ascii="Times New Roman" w:hAnsi="Times New Roman"/>
          <w:sz w:val="24"/>
        </w:rPr>
        <w:lastRenderedPageBreak/>
        <w:t>in order to ensure the minimum required energy efficiency levels, promote “Energy Efficiency” as the preferred choice in life-style and new product purchases. The program’s long-term strategy seeks to create ongoing demands for “Energy Efficiency” products and thus motivate the industry to produce and sell high energy efficient PLA products as the market standard offering.</w:t>
      </w:r>
      <w:r w:rsidRPr="00600E6F">
        <w:rPr>
          <w:rFonts w:ascii="Times New Roman" w:hAnsi="Times New Roman"/>
          <w:b/>
          <w:sz w:val="24"/>
        </w:rPr>
        <w:t xml:space="preserve">  </w:t>
      </w:r>
      <w:r w:rsidRPr="00600E6F">
        <w:rPr>
          <w:rFonts w:ascii="Times New Roman" w:hAnsi="Times New Roman"/>
          <w:b/>
          <w:sz w:val="24"/>
        </w:rPr>
        <w:br/>
      </w:r>
    </w:p>
    <w:p w:rsidR="00513B47" w:rsidRPr="00600E6F" w:rsidRDefault="00513B47" w:rsidP="00C31CC0">
      <w:pPr>
        <w:numPr>
          <w:ilvl w:val="1"/>
          <w:numId w:val="105"/>
        </w:numPr>
        <w:tabs>
          <w:tab w:val="clear" w:pos="1800"/>
          <w:tab w:val="num" w:pos="1260"/>
        </w:tabs>
        <w:spacing w:after="0" w:line="240" w:lineRule="auto"/>
        <w:ind w:left="1260"/>
        <w:rPr>
          <w:rFonts w:ascii="Times New Roman" w:hAnsi="Times New Roman"/>
          <w:b/>
          <w:sz w:val="24"/>
        </w:rPr>
      </w:pPr>
      <w:r w:rsidRPr="00600E6F">
        <w:rPr>
          <w:rFonts w:ascii="Times New Roman" w:hAnsi="Times New Roman"/>
          <w:b/>
          <w:sz w:val="24"/>
        </w:rPr>
        <w:t>A description of the market, including identification of the relevant market actors and the relationships among them;</w:t>
      </w: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 xml:space="preserve">PLA markets comprise of traditional “white” goods or durable appliances such as refrigerators and washing machines, plus miscellaneous plug-load products such as consumer electronic, home office equipment and other small electronics devices requiring external power supply. </w:t>
      </w:r>
    </w:p>
    <w:p w:rsidR="00513B47" w:rsidRPr="00600E6F" w:rsidRDefault="00513B47" w:rsidP="003408F4">
      <w:pPr>
        <w:pStyle w:val="ListParagraph"/>
        <w:spacing w:after="0" w:line="240" w:lineRule="auto"/>
        <w:rPr>
          <w:rFonts w:ascii="Times New Roman" w:hAnsi="Times New Roman"/>
          <w:sz w:val="24"/>
        </w:rPr>
      </w:pP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The PLA products consumes about 66% and miscellaneous plug loads (televisions, personal computers and office equipment) accounting for about 20%</w:t>
      </w:r>
      <w:r w:rsidRPr="00600E6F">
        <w:rPr>
          <w:rStyle w:val="FootnoteReference"/>
          <w:rFonts w:ascii="Times New Roman" w:hAnsi="Times New Roman"/>
          <w:sz w:val="24"/>
        </w:rPr>
        <w:footnoteReference w:id="25"/>
      </w:r>
      <w:r w:rsidRPr="00600E6F">
        <w:rPr>
          <w:rFonts w:ascii="Times New Roman" w:hAnsi="Times New Roman"/>
          <w:sz w:val="24"/>
        </w:rPr>
        <w:t xml:space="preserve">. The PLA products comprise one of the largest and fastest growing end-uses of the residential sectors, dwarfing electrical loads from traditional categories such as lighting and HVAC. Clearly, these markets call for strategic interventions if we are to achieve BBEES’s 2020 vision of ZNE for new residential construction and reduction of 40% of residential purchase energy from the 2008 level. </w:t>
      </w:r>
    </w:p>
    <w:p w:rsidR="00513B47" w:rsidRPr="00600E6F" w:rsidRDefault="00513B47" w:rsidP="003408F4">
      <w:pPr>
        <w:pStyle w:val="ListParagraph"/>
        <w:spacing w:after="0" w:line="240" w:lineRule="auto"/>
        <w:rPr>
          <w:rFonts w:ascii="Times New Roman" w:hAnsi="Times New Roman"/>
          <w:sz w:val="24"/>
        </w:rPr>
      </w:pPr>
    </w:p>
    <w:p w:rsidR="00513B47" w:rsidRPr="00600E6F" w:rsidRDefault="00513B47" w:rsidP="003408F4">
      <w:pPr>
        <w:tabs>
          <w:tab w:val="num" w:pos="1260"/>
        </w:tabs>
        <w:spacing w:after="0" w:line="240" w:lineRule="auto"/>
        <w:ind w:left="1260"/>
        <w:rPr>
          <w:rFonts w:ascii="Times New Roman" w:hAnsi="Times New Roman"/>
          <w:sz w:val="24"/>
        </w:rPr>
      </w:pPr>
      <w:r w:rsidRPr="00600E6F">
        <w:rPr>
          <w:rFonts w:ascii="Times New Roman" w:hAnsi="Times New Roman"/>
          <w:sz w:val="24"/>
        </w:rPr>
        <w:t>The average annual electricity consumption in California was 6,296 kWh per household. This was an increase of approximately 6 percent compared to the 5,914 kWh per household reported in the 2003 RASS. Televisions, personal computers, and office equipment consume a 5 percent higher proportion of the total consumption compared with the results from the 2003 RASS</w:t>
      </w:r>
      <w:r w:rsidRPr="00600E6F">
        <w:rPr>
          <w:rStyle w:val="FootnoteReference"/>
          <w:rFonts w:ascii="Times New Roman" w:hAnsi="Times New Roman"/>
          <w:sz w:val="24"/>
        </w:rPr>
        <w:footnoteReference w:id="26"/>
      </w:r>
      <w:r w:rsidRPr="00600E6F">
        <w:rPr>
          <w:rFonts w:ascii="Times New Roman" w:hAnsi="Times New Roman"/>
          <w:sz w:val="24"/>
        </w:rPr>
        <w:t>. Figure-3 details the breakdown of the 2009 annual household electricity consumption by end use.</w:t>
      </w:r>
    </w:p>
    <w:p w:rsidR="00513B47" w:rsidRPr="00600E6F" w:rsidRDefault="00513B47" w:rsidP="003408F4">
      <w:pPr>
        <w:spacing w:after="0" w:line="240" w:lineRule="auto"/>
        <w:rPr>
          <w:rFonts w:ascii="Times New Roman" w:hAnsi="Times New Roman"/>
          <w:b/>
          <w:sz w:val="24"/>
        </w:rPr>
      </w:pPr>
    </w:p>
    <w:p w:rsidR="00151BA6" w:rsidRDefault="00151BA6" w:rsidP="003408F4">
      <w:pPr>
        <w:spacing w:after="0" w:line="240" w:lineRule="auto"/>
        <w:rPr>
          <w:rFonts w:ascii="Times New Roman" w:hAnsi="Times New Roman"/>
          <w:b/>
          <w:sz w:val="24"/>
          <w:szCs w:val="24"/>
        </w:rPr>
      </w:pPr>
    </w:p>
    <w:p w:rsidR="00151BA6" w:rsidRPr="00D737C2" w:rsidRDefault="00151BA6" w:rsidP="003408F4">
      <w:pPr>
        <w:spacing w:after="0" w:line="240" w:lineRule="auto"/>
        <w:rPr>
          <w:rFonts w:ascii="Times New Roman" w:hAnsi="Times New Roman"/>
          <w:b/>
          <w:sz w:val="24"/>
          <w:szCs w:val="24"/>
        </w:rPr>
      </w:pPr>
    </w:p>
    <w:p w:rsidR="00513B47" w:rsidRPr="00600E6F" w:rsidRDefault="00A576A0" w:rsidP="003408F4">
      <w:pPr>
        <w:tabs>
          <w:tab w:val="num" w:pos="1260"/>
        </w:tabs>
        <w:spacing w:after="0" w:line="240" w:lineRule="auto"/>
        <w:ind w:left="1260"/>
        <w:rPr>
          <w:rFonts w:ascii="Times New Roman" w:hAnsi="Times New Roman"/>
          <w:sz w:val="24"/>
        </w:rPr>
      </w:pPr>
      <w:r>
        <w:rPr>
          <w:rFonts w:ascii="Times New Roman" w:hAnsi="Times New Roman"/>
          <w:b/>
          <w:sz w:val="24"/>
        </w:rPr>
        <w:br w:type="page"/>
      </w:r>
      <w:r w:rsidR="00513B47" w:rsidRPr="00600E6F">
        <w:rPr>
          <w:rFonts w:ascii="Times New Roman" w:hAnsi="Times New Roman"/>
          <w:b/>
          <w:sz w:val="24"/>
        </w:rPr>
        <w:lastRenderedPageBreak/>
        <w:t>Figure-11:</w:t>
      </w:r>
      <w:r w:rsidR="00513B47" w:rsidRPr="00600E6F">
        <w:rPr>
          <w:rFonts w:ascii="Times New Roman" w:hAnsi="Times New Roman"/>
          <w:sz w:val="24"/>
        </w:rPr>
        <w:t xml:space="preserve">  2009 annual household electricity consumption by end use</w:t>
      </w:r>
    </w:p>
    <w:p w:rsidR="00513B47" w:rsidRPr="00600E6F" w:rsidRDefault="00513B47" w:rsidP="003408F4">
      <w:pPr>
        <w:tabs>
          <w:tab w:val="num" w:pos="1260"/>
        </w:tabs>
        <w:spacing w:after="0" w:line="240" w:lineRule="auto"/>
        <w:ind w:left="1260"/>
        <w:rPr>
          <w:rFonts w:ascii="Times New Roman" w:hAnsi="Times New Roman"/>
          <w:sz w:val="24"/>
        </w:rPr>
      </w:pPr>
    </w:p>
    <w:p w:rsidR="00513B47" w:rsidRPr="00600E6F" w:rsidRDefault="008D705C" w:rsidP="003408F4">
      <w:pPr>
        <w:tabs>
          <w:tab w:val="num" w:pos="1260"/>
        </w:tabs>
        <w:spacing w:after="0" w:line="240" w:lineRule="auto"/>
        <w:ind w:left="1260"/>
        <w:rPr>
          <w:rFonts w:ascii="Times New Roman" w:hAnsi="Times New Roman"/>
          <w:sz w:val="24"/>
        </w:rPr>
      </w:pPr>
      <w:r>
        <w:rPr>
          <w:rFonts w:ascii="Times New Roman" w:hAnsi="Times New Roman"/>
          <w:noProof/>
          <w:sz w:val="24"/>
        </w:rPr>
        <w:drawing>
          <wp:inline distT="0" distB="0" distL="0" distR="0" wp14:anchorId="02B49E06" wp14:editId="661EF9CF">
            <wp:extent cx="4541992" cy="3713102"/>
            <wp:effectExtent l="57150" t="19050" r="68108" b="115948"/>
            <wp:docPr id="3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48"/>
                    <pic:cNvPicPr/>
                  </pic:nvPicPr>
                  <pic:blipFill>
                    <a:blip r:embed="rId31" cstate="print"/>
                    <a:stretch>
                      <a:fillRect/>
                    </a:stretch>
                  </pic:blipFill>
                  <pic:spPr>
                    <a:xfrm>
                      <a:off x="0" y="0"/>
                      <a:ext cx="4541992" cy="3713102"/>
                    </a:xfrm>
                    <a:prstGeom prst="rect">
                      <a:avLst/>
                    </a:prstGeom>
                    <a:ln>
                      <a:solidFill>
                        <a:schemeClr val="tx1"/>
                      </a:solidFill>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tabs>
          <w:tab w:val="num" w:pos="1260"/>
        </w:tabs>
        <w:spacing w:after="0" w:line="240" w:lineRule="auto"/>
        <w:ind w:left="1260"/>
        <w:rPr>
          <w:rFonts w:ascii="Times New Roman" w:hAnsi="Times New Roman"/>
          <w:b/>
          <w:sz w:val="24"/>
        </w:rPr>
      </w:pPr>
    </w:p>
    <w:p w:rsidR="00513B47" w:rsidRPr="00600E6F" w:rsidRDefault="00513B47" w:rsidP="003408F4">
      <w:pPr>
        <w:tabs>
          <w:tab w:val="num" w:pos="1260"/>
        </w:tabs>
        <w:spacing w:after="0" w:line="240" w:lineRule="auto"/>
        <w:ind w:left="1260"/>
        <w:rPr>
          <w:rFonts w:ascii="Times New Roman" w:hAnsi="Times New Roman"/>
          <w:b/>
          <w:sz w:val="24"/>
        </w:rPr>
      </w:pPr>
      <w:r w:rsidRPr="00600E6F">
        <w:rPr>
          <w:rFonts w:ascii="Times New Roman" w:hAnsi="Times New Roman"/>
          <w:b/>
          <w:sz w:val="24"/>
        </w:rPr>
        <w:t>The average annual natural gas consumption in California households was 354</w:t>
      </w:r>
      <w:r w:rsidRPr="00600E6F">
        <w:rPr>
          <w:rFonts w:ascii="Times New Roman" w:hAnsi="Times New Roman"/>
          <w:sz w:val="24"/>
        </w:rPr>
        <w:t xml:space="preserve"> therms per household based on billing data from PG&amp;E, SDG&amp;E, and SoCal Gas. The household natural gas UEC decreased by approximately 18 percent from the 431 therms per household reported in the 2003 RASS. Figure 3 details the breakdown of the 2009 annual household natural gas consumption by end-use. Compared to the 2003 RASS, consumption for water heating increased by 5 percent to 49 percent, whereas space heating decreased by 7 percent to 37 percent</w:t>
      </w:r>
      <w:r w:rsidRPr="00600E6F">
        <w:rPr>
          <w:rStyle w:val="FootnoteReference"/>
          <w:rFonts w:ascii="Times New Roman" w:hAnsi="Times New Roman"/>
          <w:sz w:val="24"/>
        </w:rPr>
        <w:footnoteReference w:id="27"/>
      </w:r>
      <w:r w:rsidRPr="00600E6F">
        <w:rPr>
          <w:rFonts w:ascii="Times New Roman" w:hAnsi="Times New Roman"/>
          <w:sz w:val="24"/>
        </w:rPr>
        <w:t xml:space="preserve">. </w:t>
      </w:r>
    </w:p>
    <w:p w:rsidR="00513B47" w:rsidRDefault="00513B47"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151BA6" w:rsidRDefault="00151BA6" w:rsidP="003408F4">
      <w:pPr>
        <w:spacing w:after="0" w:line="240" w:lineRule="auto"/>
        <w:rPr>
          <w:rFonts w:ascii="Times New Roman" w:hAnsi="Times New Roman"/>
          <w:b/>
          <w:sz w:val="24"/>
          <w:szCs w:val="24"/>
        </w:rPr>
      </w:pP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tabs>
          <w:tab w:val="num" w:pos="1260"/>
        </w:tabs>
        <w:spacing w:after="0" w:line="240" w:lineRule="auto"/>
        <w:ind w:left="1260"/>
        <w:rPr>
          <w:rFonts w:ascii="Times New Roman" w:hAnsi="Times New Roman"/>
          <w:sz w:val="24"/>
        </w:rPr>
      </w:pPr>
      <w:r w:rsidRPr="00600E6F">
        <w:rPr>
          <w:rFonts w:ascii="Times New Roman" w:hAnsi="Times New Roman"/>
          <w:b/>
          <w:sz w:val="24"/>
        </w:rPr>
        <w:t>Figure-12:</w:t>
      </w:r>
      <w:r w:rsidRPr="00600E6F">
        <w:rPr>
          <w:rFonts w:ascii="Times New Roman" w:hAnsi="Times New Roman"/>
          <w:sz w:val="24"/>
        </w:rPr>
        <w:t xml:space="preserve">  2009 Annual Household Natural Gas Consumption by End-use</w:t>
      </w:r>
    </w:p>
    <w:p w:rsidR="00513B47" w:rsidRPr="00600E6F" w:rsidRDefault="00513B47" w:rsidP="003408F4">
      <w:pPr>
        <w:tabs>
          <w:tab w:val="num" w:pos="1260"/>
        </w:tabs>
        <w:spacing w:after="0" w:line="240" w:lineRule="auto"/>
        <w:ind w:left="1260"/>
        <w:rPr>
          <w:rFonts w:ascii="Times New Roman" w:hAnsi="Times New Roman"/>
          <w:sz w:val="24"/>
        </w:rPr>
      </w:pPr>
    </w:p>
    <w:p w:rsidR="00513B47" w:rsidRPr="00600E6F" w:rsidRDefault="008D705C" w:rsidP="003408F4">
      <w:pPr>
        <w:tabs>
          <w:tab w:val="num" w:pos="1260"/>
        </w:tabs>
        <w:spacing w:after="0" w:line="240" w:lineRule="auto"/>
        <w:ind w:left="1260"/>
        <w:rPr>
          <w:rFonts w:ascii="Times New Roman" w:hAnsi="Times New Roman"/>
          <w:b/>
          <w:sz w:val="24"/>
        </w:rPr>
      </w:pPr>
      <w:r>
        <w:rPr>
          <w:rFonts w:ascii="Times New Roman" w:hAnsi="Times New Roman"/>
          <w:noProof/>
          <w:sz w:val="24"/>
        </w:rPr>
        <w:drawing>
          <wp:inline distT="0" distB="0" distL="0" distR="0" wp14:anchorId="4D626BCB" wp14:editId="53CE234F">
            <wp:extent cx="4524375" cy="3429000"/>
            <wp:effectExtent l="19050" t="19050" r="47625" b="57150"/>
            <wp:docPr id="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2"/>
                    <a:srcRect/>
                    <a:stretch>
                      <a:fillRect/>
                    </a:stretch>
                  </pic:blipFill>
                  <pic:spPr bwMode="auto">
                    <a:xfrm>
                      <a:off x="0" y="0"/>
                      <a:ext cx="4524375" cy="3429000"/>
                    </a:xfrm>
                    <a:prstGeom prst="rect">
                      <a:avLst/>
                    </a:prstGeom>
                    <a:noFill/>
                    <a:ln w="6350" cmpd="sng">
                      <a:solidFill>
                        <a:srgbClr val="000000"/>
                      </a:solidFill>
                      <a:miter lim="800000"/>
                      <a:headEnd/>
                      <a:tailEnd/>
                    </a:ln>
                    <a:effectLst>
                      <a:outerShdw dist="38100" dir="3600019" algn="ctr" rotWithShape="0">
                        <a:srgbClr val="A6A6A6"/>
                      </a:outerShdw>
                    </a:effectLst>
                  </pic:spPr>
                </pic:pic>
              </a:graphicData>
            </a:graphic>
          </wp:inline>
        </w:drawing>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ind w:left="540" w:firstLine="720"/>
        <w:rPr>
          <w:rFonts w:ascii="Times New Roman" w:hAnsi="Times New Roman"/>
          <w:b/>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Table-B:</w:t>
      </w:r>
      <w:r w:rsidRPr="00600E6F">
        <w:rPr>
          <w:rFonts w:ascii="Times New Roman" w:hAnsi="Times New Roman"/>
          <w:sz w:val="24"/>
        </w:rPr>
        <w:t xml:space="preserve">  PLA Market Actors &amp; Relationships </w:t>
      </w:r>
    </w:p>
    <w:p w:rsidR="00513B47" w:rsidRPr="00600E6F" w:rsidRDefault="00513B47" w:rsidP="003408F4">
      <w:pPr>
        <w:spacing w:after="0" w:line="240" w:lineRule="auto"/>
        <w:rPr>
          <w:rFonts w:ascii="Times New Roman" w:hAnsi="Times New Roman"/>
          <w:sz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3"/>
        <w:gridCol w:w="7167"/>
      </w:tblGrid>
      <w:tr w:rsidR="00513B47" w:rsidRPr="00513B65" w:rsidTr="00C31CC0">
        <w:trPr>
          <w:tblHeader/>
        </w:trPr>
        <w:tc>
          <w:tcPr>
            <w:tcW w:w="1638" w:type="dxa"/>
          </w:tcPr>
          <w:p w:rsidR="00513B47" w:rsidRPr="00C31CC0" w:rsidRDefault="00513B47" w:rsidP="003408F4">
            <w:pPr>
              <w:spacing w:before="40" w:after="40"/>
              <w:contextualSpacing/>
              <w:jc w:val="center"/>
              <w:rPr>
                <w:rFonts w:ascii="Times New Roman" w:hAnsi="Times New Roman"/>
                <w:b/>
                <w:sz w:val="24"/>
                <w:szCs w:val="24"/>
              </w:rPr>
            </w:pPr>
            <w:r w:rsidRPr="00C31CC0">
              <w:rPr>
                <w:rFonts w:ascii="Times New Roman" w:hAnsi="Times New Roman"/>
                <w:b/>
                <w:sz w:val="24"/>
                <w:szCs w:val="24"/>
              </w:rPr>
              <w:t>Relevant Actors</w:t>
            </w:r>
          </w:p>
        </w:tc>
        <w:tc>
          <w:tcPr>
            <w:tcW w:w="7542" w:type="dxa"/>
          </w:tcPr>
          <w:p w:rsidR="00513B47" w:rsidRPr="00600E6F" w:rsidRDefault="00513B47" w:rsidP="00513B65">
            <w:pPr>
              <w:spacing w:before="40" w:after="40"/>
              <w:contextualSpacing/>
              <w:rPr>
                <w:rFonts w:ascii="Times New Roman" w:hAnsi="Times New Roman"/>
                <w:b/>
                <w:sz w:val="24"/>
                <w:szCs w:val="24"/>
              </w:rPr>
            </w:pPr>
            <w:r w:rsidRPr="00600E6F">
              <w:rPr>
                <w:rFonts w:ascii="Times New Roman" w:hAnsi="Times New Roman"/>
                <w:b/>
                <w:sz w:val="24"/>
                <w:szCs w:val="24"/>
              </w:rPr>
              <w:t>Relationships &amp; Dynamics Among Market Actors</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Product Manufacturers</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Develop and commercialize a family of technologies based on long-term roadmap planning. The products derived from the manufacturer’s technology roadmap are released to the markets on an annual basis with incremental new features for consumer electronics categories.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The effective point-to-influence of manufacturers would be their technology development roadmap whereby IOUs have the opportunities to influence the manufacturers on a longer-term strategic basis.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Distributors</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Most of the appliance and electronic products reach the market through two distribution layers – manufacturers to regional distributor, and then regional distributor to local retailers. The distributor layer is an important layer that must be taken into account in the IOU’s program design. </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The distributor’s key value is to provide product inventory and logistics management on the behalf of the manufacturers and retailers. The manufacturer ideally benefits from working with a distributor as the </w:t>
            </w:r>
            <w:r w:rsidRPr="00600E6F">
              <w:rPr>
                <w:rFonts w:ascii="Times New Roman" w:hAnsi="Times New Roman"/>
                <w:sz w:val="24"/>
                <w:szCs w:val="24"/>
              </w:rPr>
              <w:lastRenderedPageBreak/>
              <w:t xml:space="preserve">manufacturer has fewer ship-to locations and fewer retailers to sell their product to. The distributor would break out bulk product packaging and do all the individual shipping and selling to retailers for the manufacturers.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Similarly, the retailer ideally benefits from working with a distributor as the retailer has fewer manufacturers to work with in purchasing their products. The retailer would be able to purchase a wide range of products from different manufacturers which the distributor represents. Sometimes the distributor may even own the product inventory thus allowing the manufacturers and retailers to mitigate the financial risk of holding their own product inventories.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The distributor has significant influences on the manufacturers and retailers. The distributor would be very selective in which manufacturers to represent, which products to carry in their inventories, and which retailers they would sell to. They look for assurance that the represented products would have high sales volume based on the evaluation of the brand’s marketing strength, brand advertising and other market data.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The IOUs, representing large regional markets, could work together to exert coordinated influence on the distributor. This in turn would make it easier to the IOUs to convince the retailers to sell and manufacturers to produce products carried by their distributors.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lastRenderedPageBreak/>
              <w:t>Retailer – National</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Retailers serve their target customer bases with store outlets across the country. The national retailers make product purchasing decisions based on maximum sales potential to their target customer base and bulk discounts for those products.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One of the retailer’s key objectives is to maximize the sales of their most profitable products. Therefore, the IOUs could influence the retailer’s ability to reach their key objectives through inventive program and joint promotions to generate sales uplifts.</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Retailer – Regional</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Similar to national retailer chain but operates on smaller geographical market foot print. The regional retailers sell products to their targeted customer base through store outlets located within the regional market. The regional retailers generally have less clout in influencing the manufacturers and distributors due to their lower sales volume.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The regional retailers have similar business objectives as any other retailers, maximizing the sales by focusing on highly popular products in the markets. Therefore, the IOUs could influence the retailer’s ability to reach their key objectives through inventive program and join promotion to generate sales uplifts.</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lastRenderedPageBreak/>
              <w:t>Retailer – Small</w:t>
            </w:r>
          </w:p>
        </w:tc>
        <w:tc>
          <w:tcPr>
            <w:tcW w:w="7542" w:type="dxa"/>
          </w:tcPr>
          <w:p w:rsidR="00513B47"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Most of the small retailers are privately owned and operate with one or two store outlets in local markets. Their small purchasing power does not allow them to purchase products from big distributors. As a result, the majority of small retailers join large buying groups so that they can leverage their collective buying power to compete with the larger retailers.</w:t>
            </w:r>
          </w:p>
          <w:p w:rsidR="00B94056" w:rsidRPr="00600E6F" w:rsidRDefault="00B94056"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Small retailers could be an effective channel for reaching small hard-to-reach markets for IOUs programs.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E-commerce Retailer/Resellers</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E-commerce has a growing importance in the customer’s product purchasing process. The customer toggles back and forth between the traditional brick-and-mortar retailers and e-commerce sites for product research, price shopping, purchases, and post sales support.</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IOUs will explore new sales channel strategies that include the integration of traditional brick-and-mortar and e-commerce channels to facilitate ease of access to energy efficiency information; enabling customers to readily find information about energy efficient products and services, identify participating retailers in their neighborhoods, and complete on-line sign-ups to receive notification about special efficiency offerings, rebates, or incentives.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Recycle Service Provider</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At least 18 states have enacted landfill bans for appliances since 2000 to extend the life of the nation’s landfills, requiring private industry and public sector to implement recycling of these goods. The recycling service providers enable the customer to dispose unwanted appliances and turn recycled appliances into valuable resources manufacturing raw materials. Recycling appliances has positive impact on the environment, since some material takes four times as much energy to manufacture material from their virgin state as it does to make the same steel from recycled scraps.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The typical services provided range from logistic arrangements to pick up of old appliances; tracking recycled items’ serial number, </w:t>
            </w:r>
            <w:r w:rsidRPr="00600E6F">
              <w:rPr>
                <w:rFonts w:ascii="Times New Roman" w:hAnsi="Times New Roman"/>
                <w:sz w:val="24"/>
                <w:szCs w:val="24"/>
              </w:rPr>
              <w:lastRenderedPageBreak/>
              <w:t xml:space="preserve">manufacturer, model; dismantling the appliances into various materials; glass recycling by removing all glass and create cullet to be used in remanufacturing; shredding the separated materials to reduce their size; sorting  shredded material into non-ferrous metals, plastics and other distinct categories which are then bulk packed for transport; commodity sales of the recycled materials in a wide range of new products and keeping building block materials out of landfills.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The recycle service provider works with the retailers for bulk pickup of collected turn-in old appliances from the retailers’ new appliance customers, collaborate with organization such as Utilities to pick up individual old appliances from the Utility’s customers. The bulk pickup from the retailer’s collection point is more cost effective as compare to individual pickup from multiple customer homes.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lastRenderedPageBreak/>
              <w:t>Pay TV Service Providers</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There are nearly 22 million set-top boxes (STB) delivering paid television content to California residential markets. Nearly all of these STBs are owned and installed by approximately nine large Pay TV service providers. In 2009, set-top boxes in California homes consumed approximately 4.4 billion kilowatt-hours of electricity, which is a significant consumption load demanding a strategic approach to improving the efficiency and reducing the cost of operating these electronics relied upon by so many customers.</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 </w:t>
            </w: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These service providers have relatively strong marketing power with their customers. They have the opportunity to access a customer’s home, track STB inventory, device configuration and possibly power states of the installed devices. They would be in a unique position to provide home energy management systems through these ubiquitous set-top boxes.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Contractors</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Contractors have significant influence on home owner’s purchase of low-touch appliances such as pool-pump/motor and water-heaters. IOUs could use midstream incentive to influence the products that the contractors carry and recommend to their customers.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The IOUs have the opportunity to influence the contractors by providing:</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C31CC0">
            <w:pPr>
              <w:numPr>
                <w:ilvl w:val="6"/>
                <w:numId w:val="108"/>
              </w:numPr>
              <w:spacing w:before="40" w:after="40" w:line="240" w:lineRule="auto"/>
              <w:ind w:left="432" w:hanging="432"/>
              <w:contextualSpacing/>
              <w:rPr>
                <w:rFonts w:ascii="Times New Roman" w:eastAsia="Times New Roman" w:hAnsi="Times New Roman"/>
                <w:sz w:val="24"/>
                <w:szCs w:val="24"/>
              </w:rPr>
            </w:pPr>
            <w:r w:rsidRPr="00600E6F">
              <w:rPr>
                <w:rFonts w:ascii="Times New Roman" w:hAnsi="Times New Roman"/>
                <w:sz w:val="24"/>
                <w:szCs w:val="24"/>
              </w:rPr>
              <w:t>Incentives for projects installed by certified or qualified contractors would be an effective solution to ensure pool pump and motor retrofit projects be in compliance to code T20.</w:t>
            </w:r>
          </w:p>
          <w:p w:rsidR="00513B47" w:rsidRPr="00B94056" w:rsidRDefault="00513B47" w:rsidP="00C31CC0">
            <w:pPr>
              <w:numPr>
                <w:ilvl w:val="6"/>
                <w:numId w:val="108"/>
              </w:numPr>
              <w:spacing w:before="40" w:after="40" w:line="240" w:lineRule="auto"/>
              <w:ind w:left="432" w:hanging="432"/>
              <w:contextualSpacing/>
              <w:rPr>
                <w:rFonts w:ascii="Times New Roman" w:hAnsi="Times New Roman"/>
                <w:sz w:val="24"/>
                <w:szCs w:val="24"/>
              </w:rPr>
            </w:pPr>
            <w:r w:rsidRPr="00600E6F">
              <w:rPr>
                <w:rFonts w:ascii="Times New Roman" w:hAnsi="Times New Roman"/>
                <w:sz w:val="24"/>
                <w:szCs w:val="24"/>
              </w:rPr>
              <w:lastRenderedPageBreak/>
              <w:t xml:space="preserve">Training either at the IOU’s Energy Centers or in conjunction within store retailer trainings on installing energy efficiency products and control system, IOUs energy efficiency programs and codes and standard relating to energy efficiency. </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lastRenderedPageBreak/>
              <w:t>ACEEE</w:t>
            </w:r>
          </w:p>
        </w:tc>
        <w:tc>
          <w:tcPr>
            <w:tcW w:w="7542" w:type="dxa"/>
          </w:tcPr>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The American Council for an Energy-Efficient Economy (ACEEE) is a nonprofit organization founded in 1980 by researchers in the energy field that aims to advance energy efficiency policies, programs, technologies, investments, and behaviors. ACEEE carries out its mission by collaborating with government, private sectors, research institutions and other nonprofit organizations to cover energy efficiency policy and technology issues.</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CEE</w:t>
            </w:r>
          </w:p>
        </w:tc>
        <w:tc>
          <w:tcPr>
            <w:tcW w:w="7542" w:type="dxa"/>
          </w:tcPr>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The Consortium for Energy Efficiency (CEE) is a consortium of efficiency whereby program administrators from across the U.S. and Canada who work together on common approaches to advancing efficiency. Through joining forces, the individual efficiency programs of CEE are able to partner not only with each other, but with other industries, trade associations, and government agencies. By working together with CEE, administrators leverage the effect of their funding dollars, exchange information on effective practices and, by doing so, and achieve greater energy efficiency for the public good.</w:t>
            </w:r>
          </w:p>
        </w:tc>
      </w:tr>
      <w:tr w:rsidR="00513B47" w:rsidRPr="00513B65" w:rsidTr="00C31CC0">
        <w:tc>
          <w:tcPr>
            <w:tcW w:w="1638" w:type="dxa"/>
          </w:tcPr>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Advocate Organizations</w:t>
            </w:r>
          </w:p>
          <w:p w:rsidR="00513B47" w:rsidRPr="00600E6F" w:rsidRDefault="00513B47" w:rsidP="003408F4">
            <w:pPr>
              <w:spacing w:before="40" w:after="40"/>
              <w:contextualSpacing/>
              <w:rPr>
                <w:rFonts w:ascii="Times New Roman" w:hAnsi="Times New Roman"/>
                <w:sz w:val="24"/>
                <w:szCs w:val="24"/>
              </w:rPr>
            </w:pP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Non-profit organizations dedicated to advocates for various stake holder groups (end-customer, environment, manufacturers, etc.) and at time exert influences on California’s energy policies making process and California IOUs activities. Examples of such organizations in California would be Natural Resources Defense Council (NRDC) and Division of Ratepayer Advocates (DRA).</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NRDC is an effective environmental action group, combining the grassroots power of 1.3 million members and online activists with the courtroom clout and expertise of more than 350 lawyers, scientists and other professionals. NRDC staffs work with businesses, elected leaders, and community groups on the biggest issues we face today such as “Curbing Global Warming and Creating the Clean Energy Future”.</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The DRA is an independent consumer advocate within the California Public Utilities Commission (CPUC) that advocates solely on behalf of investor owned utility ratepayers.  DRA plays a critical role in ensuring that the customers of California’s energy, water, and telecommunications utilities are represented at the CPUC and in other forums that affect how much consumers will pay for utility services and the reliability and safety of those services. Additionally, DRA supports </w:t>
            </w:r>
            <w:r w:rsidRPr="00600E6F">
              <w:rPr>
                <w:rFonts w:ascii="Times New Roman" w:hAnsi="Times New Roman"/>
                <w:sz w:val="24"/>
                <w:szCs w:val="24"/>
              </w:rPr>
              <w:lastRenderedPageBreak/>
              <w:t xml:space="preserve">environmental protections and seeks to ensure that utility actions comport with CPUC rules and California environmental laws. DRA actively participates in CPUC proceedings to aid the Commission in developing the record from which it will formulate its final decisions.  DRA also actively lobbies decision-makers on behalf of ratepayers to ensure that the consumer perspective is heard.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Both NRDC and DRC are active key players in California’s energy industry. They provide inputs into CPUC’s policy and rule making processes. </w:t>
            </w:r>
          </w:p>
        </w:tc>
      </w:tr>
      <w:tr w:rsidR="00513B47" w:rsidRPr="00513B65" w:rsidTr="00C31CC0">
        <w:tc>
          <w:tcPr>
            <w:tcW w:w="1638" w:type="dxa"/>
          </w:tcPr>
          <w:p w:rsidR="00513B47" w:rsidRPr="00600E6F" w:rsidRDefault="00513B47" w:rsidP="00EE6FC1">
            <w:pPr>
              <w:spacing w:before="40" w:after="40"/>
              <w:ind w:firstLine="90"/>
              <w:contextualSpacing/>
              <w:rPr>
                <w:rFonts w:ascii="Times New Roman" w:hAnsi="Times New Roman"/>
                <w:sz w:val="24"/>
                <w:szCs w:val="24"/>
              </w:rPr>
            </w:pPr>
            <w:r w:rsidRPr="00600E6F">
              <w:rPr>
                <w:rFonts w:ascii="Times New Roman" w:hAnsi="Times New Roman"/>
                <w:sz w:val="24"/>
                <w:szCs w:val="24"/>
              </w:rPr>
              <w:lastRenderedPageBreak/>
              <w:t>EPA Energy Star</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Energy Star is a joint program of the U.S. Environmental Protection Agency and the U.S. Department of Energy helping the market to adopt energy efficient products and practices. Energy Star helps customers make energy efficient choices by providing a market accepted energy performance rating system that is being used across the country on hundreds of thousands of PLA products.  </w:t>
            </w:r>
          </w:p>
          <w:p w:rsidR="00513B47" w:rsidRPr="00600E6F" w:rsidRDefault="00513B47" w:rsidP="003408F4">
            <w:pPr>
              <w:spacing w:before="40" w:after="40"/>
              <w:contextualSpacing/>
              <w:rPr>
                <w:rFonts w:ascii="Times New Roman" w:hAnsi="Times New Roman"/>
                <w:sz w:val="24"/>
                <w:szCs w:val="24"/>
              </w:rPr>
            </w:pPr>
          </w:p>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Energy Star</w:t>
            </w:r>
            <w:r w:rsidRPr="00600E6F" w:rsidDel="00A5282F">
              <w:rPr>
                <w:rFonts w:ascii="Times New Roman" w:hAnsi="Times New Roman"/>
                <w:sz w:val="24"/>
                <w:szCs w:val="24"/>
              </w:rPr>
              <w:t xml:space="preserve"> </w:t>
            </w:r>
            <w:r w:rsidRPr="00600E6F">
              <w:rPr>
                <w:rFonts w:ascii="Times New Roman" w:hAnsi="Times New Roman"/>
                <w:sz w:val="24"/>
                <w:szCs w:val="24"/>
              </w:rPr>
              <w:t>works with the manufacturers, trade associations, government agencies and utilities to set energy performance rating system.</w:t>
            </w:r>
          </w:p>
        </w:tc>
      </w:tr>
      <w:tr w:rsidR="00513B47" w:rsidRPr="00513B65" w:rsidTr="00C31CC0">
        <w:tc>
          <w:tcPr>
            <w:tcW w:w="1638" w:type="dxa"/>
          </w:tcPr>
          <w:p w:rsidR="00513B47" w:rsidRPr="00600E6F" w:rsidRDefault="00513B47" w:rsidP="00EE6FC1">
            <w:pPr>
              <w:spacing w:before="40" w:after="40"/>
              <w:ind w:firstLine="90"/>
              <w:contextualSpacing/>
              <w:rPr>
                <w:rFonts w:ascii="Times New Roman" w:hAnsi="Times New Roman"/>
                <w:sz w:val="24"/>
                <w:szCs w:val="24"/>
              </w:rPr>
            </w:pPr>
            <w:r w:rsidRPr="00600E6F">
              <w:rPr>
                <w:rFonts w:ascii="Times New Roman" w:hAnsi="Times New Roman"/>
                <w:sz w:val="24"/>
                <w:szCs w:val="24"/>
              </w:rPr>
              <w:t>EPA RAD</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EPA Responsible Appliance Disposal (RAD) is a voluntary partnership program that began in October 2006 by the U.S. Environmental Protection Agency to help protect the ozone layer and reduce emissions of greenhouse gases using best practices. As part of the RAD program, partners recover ozone-depleting chemicals from old refrigerators, freezers, window air conditioners, and dehumidifiers.</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  </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 EPA RAD serves as a technical clearinghouse on responsible appliance disposal program development and implementation; calculates annual and cumulative program benefits in terms of ozone-depleted savings and greenhouse gas emission savings and equivalents and, as available, potential cost savings; and provides partner recognition for achievement, such as through press releases, brochures, articles, and awards.</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  </w:t>
            </w:r>
          </w:p>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EPA RAD partners include utilities, retailers, local governments, manufacturers, universities, and other interested organizations.</w:t>
            </w:r>
          </w:p>
        </w:tc>
      </w:tr>
      <w:tr w:rsidR="00513B47" w:rsidRPr="00513B65" w:rsidTr="00C31CC0">
        <w:tc>
          <w:tcPr>
            <w:tcW w:w="1638" w:type="dxa"/>
          </w:tcPr>
          <w:p w:rsidR="00513B47" w:rsidRPr="00600E6F" w:rsidRDefault="00513B47" w:rsidP="00EE6FC1">
            <w:pPr>
              <w:spacing w:before="40" w:after="40"/>
              <w:ind w:firstLine="90"/>
              <w:contextualSpacing/>
              <w:rPr>
                <w:rFonts w:ascii="Times New Roman" w:hAnsi="Times New Roman"/>
                <w:sz w:val="24"/>
                <w:szCs w:val="24"/>
              </w:rPr>
            </w:pPr>
            <w:r w:rsidRPr="00600E6F">
              <w:rPr>
                <w:rFonts w:ascii="Times New Roman" w:hAnsi="Times New Roman"/>
                <w:sz w:val="24"/>
                <w:szCs w:val="24"/>
              </w:rPr>
              <w:t>CEC</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The California Energy Commission (CEC) is the state's primary energy policy and planning agency. It is responsible for promoting energy </w:t>
            </w:r>
            <w:r w:rsidRPr="00600E6F">
              <w:rPr>
                <w:rFonts w:ascii="Times New Roman" w:hAnsi="Times New Roman"/>
                <w:sz w:val="24"/>
                <w:szCs w:val="24"/>
              </w:rPr>
              <w:lastRenderedPageBreak/>
              <w:t xml:space="preserve">efficiency by setting the state's appliance and building efficiency standards Title-20 and Title-24 respectively. The CEC works with local government to enforce those standards. The IOUs work very closely with the CEC to develop energy efficient codes for appliances and plug-loads. </w:t>
            </w:r>
          </w:p>
        </w:tc>
      </w:tr>
      <w:tr w:rsidR="00513B47" w:rsidRPr="00513B65" w:rsidTr="003425E2">
        <w:tc>
          <w:tcPr>
            <w:tcW w:w="1638"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lastRenderedPageBreak/>
              <w:t>Local Government</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In D.05-01-055, the Commission also directed the IOUs to initiate energy efficiency partnerships with local governments.  Having continued this practice in the </w:t>
            </w:r>
            <w:r w:rsidRPr="00513B65">
              <w:rPr>
                <w:rFonts w:ascii="Times New Roman" w:hAnsi="Times New Roman"/>
                <w:sz w:val="24"/>
                <w:szCs w:val="24"/>
              </w:rPr>
              <w:t>201</w:t>
            </w:r>
            <w:r w:rsidR="00151BA6" w:rsidRPr="00513B65">
              <w:rPr>
                <w:rFonts w:ascii="Times New Roman" w:hAnsi="Times New Roman"/>
                <w:sz w:val="24"/>
                <w:szCs w:val="24"/>
              </w:rPr>
              <w:t>3</w:t>
            </w:r>
            <w:r w:rsidRPr="00513B65">
              <w:rPr>
                <w:rFonts w:ascii="Times New Roman" w:hAnsi="Times New Roman"/>
                <w:sz w:val="24"/>
                <w:szCs w:val="24"/>
              </w:rPr>
              <w:t>-201</w:t>
            </w:r>
            <w:r w:rsidR="00151BA6" w:rsidRPr="00513B65">
              <w:rPr>
                <w:rFonts w:ascii="Times New Roman" w:hAnsi="Times New Roman"/>
                <w:sz w:val="24"/>
                <w:szCs w:val="24"/>
              </w:rPr>
              <w:t>4</w:t>
            </w:r>
            <w:r w:rsidRPr="00600E6F">
              <w:rPr>
                <w:rFonts w:ascii="Times New Roman" w:hAnsi="Times New Roman"/>
                <w:sz w:val="24"/>
                <w:szCs w:val="24"/>
              </w:rPr>
              <w:t xml:space="preserve"> portfolios, the IOUs now have two portfolio cycles and almost seven years of experience with increasing levels of local government. The IOUs continue to partner with local governments to increase the delivery of energy efficiency and enh</w:t>
            </w:r>
            <w:r w:rsidR="00513B65">
              <w:rPr>
                <w:rFonts w:ascii="Times New Roman" w:hAnsi="Times New Roman"/>
                <w:sz w:val="24"/>
                <w:szCs w:val="24"/>
              </w:rPr>
              <w:t xml:space="preserve">ance code compliance programs. </w:t>
            </w:r>
          </w:p>
        </w:tc>
      </w:tr>
      <w:tr w:rsidR="00513B47" w:rsidRPr="00513B65" w:rsidTr="00C31CC0">
        <w:tc>
          <w:tcPr>
            <w:tcW w:w="1638" w:type="dxa"/>
          </w:tcPr>
          <w:p w:rsidR="00513B65" w:rsidRDefault="00513B65" w:rsidP="003408F4">
            <w:pPr>
              <w:spacing w:before="40" w:after="40"/>
              <w:contextualSpacing/>
              <w:rPr>
                <w:rFonts w:ascii="Times New Roman" w:hAnsi="Times New Roman"/>
                <w:sz w:val="24"/>
                <w:szCs w:val="24"/>
              </w:rPr>
            </w:pPr>
          </w:p>
          <w:p w:rsidR="00513B47" w:rsidRPr="00600E6F" w:rsidRDefault="00513B47" w:rsidP="00EE6FC1">
            <w:pPr>
              <w:spacing w:before="40" w:after="40"/>
              <w:ind w:left="90"/>
              <w:contextualSpacing/>
              <w:rPr>
                <w:rFonts w:ascii="Times New Roman" w:hAnsi="Times New Roman"/>
                <w:sz w:val="24"/>
                <w:szCs w:val="24"/>
              </w:rPr>
            </w:pPr>
            <w:r w:rsidRPr="00600E6F">
              <w:rPr>
                <w:rFonts w:ascii="Times New Roman" w:hAnsi="Times New Roman"/>
                <w:sz w:val="24"/>
                <w:szCs w:val="24"/>
              </w:rPr>
              <w:t>Regional Utilities / IOUs</w:t>
            </w:r>
          </w:p>
        </w:tc>
        <w:tc>
          <w:tcPr>
            <w:tcW w:w="7542" w:type="dxa"/>
          </w:tcPr>
          <w:p w:rsidR="00513B47" w:rsidRPr="00600E6F" w:rsidRDefault="00513B47" w:rsidP="00B94056">
            <w:pPr>
              <w:spacing w:before="40" w:after="40"/>
              <w:contextualSpacing/>
              <w:rPr>
                <w:rFonts w:ascii="Times New Roman" w:hAnsi="Times New Roman"/>
                <w:sz w:val="24"/>
                <w:szCs w:val="24"/>
              </w:rPr>
            </w:pPr>
            <w:r w:rsidRPr="00600E6F">
              <w:rPr>
                <w:rFonts w:ascii="Times New Roman" w:hAnsi="Times New Roman"/>
                <w:sz w:val="24"/>
                <w:szCs w:val="24"/>
              </w:rPr>
              <w:t xml:space="preserve">The IOUs collaborate with each other and other regional Municipality-Run-Utilities to share resources, information, and joint research projects. By working closely with each other, the IOUs seek to increase the collective negotiating power when working with PLA retailers. </w:t>
            </w:r>
          </w:p>
        </w:tc>
      </w:tr>
      <w:tr w:rsidR="00513B47" w:rsidRPr="00513B65" w:rsidTr="00C31CC0">
        <w:tc>
          <w:tcPr>
            <w:tcW w:w="1638" w:type="dxa"/>
          </w:tcPr>
          <w:p w:rsidR="00513B47" w:rsidRPr="00600E6F" w:rsidRDefault="00513B47" w:rsidP="00EE6FC1">
            <w:pPr>
              <w:spacing w:before="40" w:after="40"/>
              <w:ind w:firstLine="90"/>
              <w:contextualSpacing/>
              <w:rPr>
                <w:rFonts w:ascii="Times New Roman" w:hAnsi="Times New Roman"/>
                <w:sz w:val="24"/>
                <w:szCs w:val="24"/>
              </w:rPr>
            </w:pPr>
            <w:r w:rsidRPr="00600E6F">
              <w:rPr>
                <w:rFonts w:ascii="Times New Roman" w:hAnsi="Times New Roman"/>
                <w:sz w:val="24"/>
                <w:szCs w:val="24"/>
              </w:rPr>
              <w:t>Customers</w:t>
            </w:r>
          </w:p>
        </w:tc>
        <w:tc>
          <w:tcPr>
            <w:tcW w:w="7542" w:type="dxa"/>
          </w:tcPr>
          <w:p w:rsidR="00513B47"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End-user of residential Energy Efficient products and services that are provided by sales channels through IOUs’ EE program intervention. </w:t>
            </w:r>
          </w:p>
          <w:p w:rsidR="00513B47" w:rsidRPr="00600E6F" w:rsidRDefault="00513B47" w:rsidP="003408F4">
            <w:pPr>
              <w:spacing w:before="40" w:after="40"/>
              <w:contextualSpacing/>
              <w:rPr>
                <w:rFonts w:ascii="Times New Roman" w:hAnsi="Times New Roman"/>
                <w:sz w:val="24"/>
                <w:szCs w:val="24"/>
              </w:rPr>
            </w:pPr>
          </w:p>
          <w:p w:rsidR="00513B65" w:rsidRPr="00600E6F" w:rsidRDefault="00513B47" w:rsidP="003408F4">
            <w:pPr>
              <w:spacing w:before="40" w:after="40"/>
              <w:contextualSpacing/>
              <w:rPr>
                <w:rFonts w:ascii="Times New Roman" w:hAnsi="Times New Roman"/>
                <w:sz w:val="24"/>
                <w:szCs w:val="24"/>
              </w:rPr>
            </w:pPr>
            <w:r w:rsidRPr="00600E6F">
              <w:rPr>
                <w:rFonts w:ascii="Times New Roman" w:hAnsi="Times New Roman"/>
                <w:sz w:val="24"/>
                <w:szCs w:val="24"/>
              </w:rPr>
              <w:t xml:space="preserve">The IOUs may reference to the PLC framework to segment the customer bases for targeted intervention initiatives. </w:t>
            </w:r>
          </w:p>
        </w:tc>
      </w:tr>
    </w:tbl>
    <w:p w:rsidR="008542CE" w:rsidRDefault="008542CE" w:rsidP="00C31CC0">
      <w:pPr>
        <w:spacing w:after="0" w:line="240" w:lineRule="auto"/>
        <w:ind w:left="1260"/>
        <w:rPr>
          <w:rFonts w:ascii="Times New Roman" w:hAnsi="Times New Roman"/>
          <w:b/>
          <w:sz w:val="24"/>
          <w:szCs w:val="24"/>
        </w:rPr>
      </w:pPr>
    </w:p>
    <w:p w:rsidR="008542CE" w:rsidRDefault="008542CE" w:rsidP="00C31CC0">
      <w:pPr>
        <w:spacing w:after="0" w:line="240" w:lineRule="auto"/>
        <w:ind w:left="1260"/>
        <w:rPr>
          <w:rFonts w:ascii="Times New Roman" w:hAnsi="Times New Roman"/>
          <w:b/>
          <w:sz w:val="24"/>
          <w:szCs w:val="24"/>
        </w:rPr>
      </w:pPr>
    </w:p>
    <w:p w:rsidR="00513B47" w:rsidRDefault="00513B47" w:rsidP="00C31CC0">
      <w:pPr>
        <w:numPr>
          <w:ilvl w:val="1"/>
          <w:numId w:val="105"/>
        </w:numPr>
        <w:tabs>
          <w:tab w:val="clear" w:pos="1800"/>
          <w:tab w:val="num" w:pos="1260"/>
        </w:tabs>
        <w:spacing w:after="0" w:line="240" w:lineRule="auto"/>
        <w:ind w:left="1260"/>
        <w:rPr>
          <w:rFonts w:ascii="Times New Roman" w:hAnsi="Times New Roman"/>
          <w:b/>
          <w:sz w:val="24"/>
          <w:szCs w:val="24"/>
        </w:rPr>
      </w:pPr>
      <w:r w:rsidRPr="00600E6F">
        <w:rPr>
          <w:rFonts w:ascii="Times New Roman" w:hAnsi="Times New Roman"/>
          <w:b/>
          <w:sz w:val="24"/>
          <w:szCs w:val="24"/>
        </w:rPr>
        <w:t>A market characterization and assessment of the relationships/dynamics among market actors, including identification of the key barriers and opportunities to advance demand side management technologies and strategies;</w:t>
      </w:r>
    </w:p>
    <w:p w:rsidR="008542CE" w:rsidRPr="00600E6F" w:rsidRDefault="008542CE" w:rsidP="00C31CC0">
      <w:pPr>
        <w:spacing w:after="0" w:line="240" w:lineRule="auto"/>
        <w:ind w:left="1260"/>
        <w:rPr>
          <w:rFonts w:ascii="Times New Roman" w:hAnsi="Times New Roman"/>
          <w:b/>
          <w:sz w:val="24"/>
          <w:szCs w:val="24"/>
        </w:rPr>
      </w:pPr>
    </w:p>
    <w:p w:rsidR="00513B47" w:rsidRPr="00600E6F" w:rsidRDefault="00513B47" w:rsidP="003408F4">
      <w:pPr>
        <w:tabs>
          <w:tab w:val="num" w:pos="1260"/>
        </w:tabs>
        <w:spacing w:after="0" w:line="240" w:lineRule="auto"/>
        <w:ind w:left="1260"/>
        <w:rPr>
          <w:rFonts w:ascii="Times New Roman" w:hAnsi="Times New Roman"/>
          <w:sz w:val="24"/>
          <w:szCs w:val="24"/>
        </w:rPr>
      </w:pPr>
      <w:r w:rsidRPr="00600E6F">
        <w:rPr>
          <w:rFonts w:ascii="Times New Roman" w:hAnsi="Times New Roman"/>
          <w:sz w:val="24"/>
          <w:szCs w:val="24"/>
        </w:rPr>
        <w:t xml:space="preserve">Utilities face uphill battles in influencing the PLA markets due to powerful national market trends that dominate manufacturers and national retailers’ choice of product offering. Other market characteristics that pose great challenges to the current product-by-product program design include: small incremental energy savings from many plug load devices resulting in product-based programs that are not cost effective for IOUs; the consumer electronics’ rapid product life cycle of 6-12 months pose significant difficulties in establishing saving baselines and timely work-paper approval for individual measures; and growing trends of networked home electronics making energy savings attribution on a product-by-product basis problematic.  </w:t>
      </w:r>
    </w:p>
    <w:p w:rsidR="00513B47" w:rsidRPr="00600E6F" w:rsidRDefault="00513B47" w:rsidP="003408F4">
      <w:pPr>
        <w:tabs>
          <w:tab w:val="num" w:pos="1260"/>
        </w:tabs>
        <w:spacing w:after="0" w:line="240" w:lineRule="auto"/>
        <w:ind w:left="1260"/>
        <w:rPr>
          <w:rFonts w:ascii="Times New Roman" w:hAnsi="Times New Roman"/>
          <w:sz w:val="24"/>
          <w:szCs w:val="24"/>
        </w:rPr>
      </w:pPr>
    </w:p>
    <w:p w:rsidR="00513B47" w:rsidRPr="00600E6F" w:rsidRDefault="00513B47" w:rsidP="003408F4">
      <w:pPr>
        <w:tabs>
          <w:tab w:val="num" w:pos="1260"/>
        </w:tabs>
        <w:spacing w:after="0" w:line="240" w:lineRule="auto"/>
        <w:ind w:left="1260"/>
        <w:rPr>
          <w:rFonts w:ascii="Times New Roman" w:hAnsi="Times New Roman"/>
          <w:sz w:val="24"/>
          <w:szCs w:val="24"/>
        </w:rPr>
      </w:pPr>
      <w:r w:rsidRPr="00600E6F">
        <w:rPr>
          <w:rFonts w:ascii="Times New Roman" w:hAnsi="Times New Roman"/>
          <w:sz w:val="24"/>
          <w:szCs w:val="24"/>
        </w:rPr>
        <w:t xml:space="preserve">There are still specific product-based saving opportunities that address specific market barriers or conditions. However, the big market trends suggest a holistic market transformation approach that targets an overall reduction in plug loads and </w:t>
      </w:r>
      <w:r w:rsidRPr="00600E6F">
        <w:rPr>
          <w:rFonts w:ascii="Times New Roman" w:hAnsi="Times New Roman"/>
          <w:sz w:val="24"/>
          <w:szCs w:val="24"/>
        </w:rPr>
        <w:lastRenderedPageBreak/>
        <w:t xml:space="preserve">using Unit Energy Consumption (UEC) as a market transformation indicator (MTI) could be more effective in addressing the market long term barriers. In this approach, the program could rely on California Residential Appliance Saturation Survey or equivalent reports which provide forecast of plug load use in California as a basis for the measurement of program impacts. Once a forecast of plug load energy usage is established, the targets could be set for changing the UEC curve to slow its growth or even lower its intensity over time. This approach could improve flexibility in measure implementation by moving away from the work paper process and short-term cost-effectiveness requirements that hamper effective product based program design in fast-moving markets. </w:t>
      </w:r>
    </w:p>
    <w:p w:rsidR="00513B47" w:rsidRPr="00600E6F" w:rsidRDefault="00513B47" w:rsidP="003408F4">
      <w:pPr>
        <w:tabs>
          <w:tab w:val="num" w:pos="1260"/>
        </w:tabs>
        <w:spacing w:after="0" w:line="240" w:lineRule="auto"/>
        <w:ind w:left="1260"/>
        <w:rPr>
          <w:rFonts w:ascii="Times New Roman" w:hAnsi="Times New Roman"/>
          <w:sz w:val="24"/>
          <w:szCs w:val="24"/>
        </w:rPr>
      </w:pPr>
    </w:p>
    <w:p w:rsidR="00513B47" w:rsidRPr="00600E6F" w:rsidRDefault="00513B47" w:rsidP="003408F4">
      <w:pPr>
        <w:tabs>
          <w:tab w:val="num" w:pos="1260"/>
        </w:tabs>
        <w:spacing w:after="0" w:line="240" w:lineRule="auto"/>
        <w:ind w:left="1260"/>
        <w:rPr>
          <w:rFonts w:ascii="Times New Roman" w:hAnsi="Times New Roman"/>
          <w:sz w:val="24"/>
          <w:szCs w:val="24"/>
        </w:rPr>
      </w:pPr>
      <w:r w:rsidRPr="00600E6F">
        <w:rPr>
          <w:rFonts w:ascii="Times New Roman" w:hAnsi="Times New Roman"/>
          <w:sz w:val="24"/>
          <w:szCs w:val="24"/>
        </w:rPr>
        <w:t xml:space="preserve">The PLA sub-programs could evaluate current pilots, such as the PG&amp;E Home Energy Centers that provide consumers with energy usage information from smart meters or SCE’s proposed Power Management that provide an umbrella approach to influence the overall reduction in miscellaneous plug loads in California homes. By 2015, we expect smart chip-enabled and networked appliances to be available, and thus fueling the proliferation of more comprehensive home automation and energy management systems (i.e., Intelligent Home Network, comprehensive Home Automatic Network and etc.). These systems will help customers lower their overall energy consumption at home instead of focusing on savings per product basis. The Emerging Technology activities in the 2013-14 period will assess the enabling smart and connected PLA technologies that have the potentials to deliver not only hardware based energy savings, but also information feedback to enable broad customer’s behavior savings opportunities. </w:t>
      </w:r>
    </w:p>
    <w:p w:rsidR="00513B47" w:rsidRPr="00600E6F" w:rsidRDefault="00513B47" w:rsidP="003408F4">
      <w:pPr>
        <w:tabs>
          <w:tab w:val="num" w:pos="1260"/>
        </w:tabs>
        <w:spacing w:after="0" w:line="240" w:lineRule="auto"/>
        <w:ind w:left="1260"/>
        <w:rPr>
          <w:rFonts w:ascii="Times New Roman" w:hAnsi="Times New Roman"/>
          <w:sz w:val="24"/>
          <w:szCs w:val="24"/>
        </w:rPr>
      </w:pPr>
    </w:p>
    <w:p w:rsidR="00513B47" w:rsidRPr="00600E6F" w:rsidRDefault="00513B47" w:rsidP="003408F4">
      <w:pPr>
        <w:tabs>
          <w:tab w:val="num" w:pos="1260"/>
        </w:tabs>
        <w:spacing w:after="0" w:line="240" w:lineRule="auto"/>
        <w:ind w:left="1260"/>
        <w:rPr>
          <w:rFonts w:ascii="Times New Roman" w:hAnsi="Times New Roman"/>
          <w:sz w:val="24"/>
          <w:szCs w:val="24"/>
        </w:rPr>
      </w:pPr>
      <w:r w:rsidRPr="00600E6F">
        <w:rPr>
          <w:rFonts w:ascii="Times New Roman" w:hAnsi="Times New Roman"/>
          <w:sz w:val="24"/>
          <w:szCs w:val="24"/>
        </w:rPr>
        <w:t>On the state of recycling, the saturation level of second refrigerators and freezers has been slowly creeping up over the last decade. From the 2009 CEC Residential Appliance Saturation Study</w:t>
      </w:r>
      <w:r w:rsidRPr="00600E6F">
        <w:rPr>
          <w:rStyle w:val="FootnoteReference"/>
          <w:rFonts w:ascii="Times New Roman" w:hAnsi="Times New Roman"/>
          <w:sz w:val="24"/>
          <w:szCs w:val="24"/>
        </w:rPr>
        <w:footnoteReference w:id="28"/>
      </w:r>
      <w:r w:rsidRPr="00600E6F">
        <w:rPr>
          <w:rFonts w:ascii="Times New Roman" w:hAnsi="Times New Roman"/>
          <w:sz w:val="24"/>
          <w:szCs w:val="24"/>
        </w:rPr>
        <w:t>, the second refrigerator and freezer saturation levels are up to 33% for second refrigerator and 23% for additional freezer for the statewide single family home. This is a marked increase of secondary refrigerators from the 2003 RASS results, which may have resulted from the popularity of large super-stores such as Costco and Super Wal-Mart stores in the past ten years. The large discount stores encourage large bulk food purchases, which in turn, generates the need for increased food cooling storage. The current Statewide Appliance Recycling channel offers customers the convenience of free-pickup plus small cash incentives for old working refrigerators to help minimize the return of units back to the used-appliance market as secondary refrigerators. Similarly, the IOUs work with the retailer based appliance recycling channel to offer customers the convenience of “deliver-and-haul” by hauling away the old appliance when the new one is delivered. Furthermore, the PLA sub-program supports the US EPA RAD, which eliminates the current market practice of reselling old appliances removed from customer homes during the delivery of new ones.</w:t>
      </w:r>
    </w:p>
    <w:p w:rsidR="00513B47" w:rsidRPr="00600E6F" w:rsidRDefault="00513B47" w:rsidP="003408F4">
      <w:pPr>
        <w:tabs>
          <w:tab w:val="num" w:pos="1260"/>
        </w:tabs>
        <w:spacing w:after="0" w:line="240" w:lineRule="auto"/>
        <w:ind w:left="1260"/>
        <w:rPr>
          <w:rFonts w:ascii="Times New Roman" w:hAnsi="Times New Roman"/>
          <w:sz w:val="24"/>
          <w:szCs w:val="24"/>
        </w:rPr>
      </w:pPr>
    </w:p>
    <w:p w:rsidR="00513B47" w:rsidRPr="00600E6F" w:rsidRDefault="00513B47" w:rsidP="003408F4">
      <w:pPr>
        <w:tabs>
          <w:tab w:val="num" w:pos="1260"/>
        </w:tabs>
        <w:spacing w:after="0" w:line="240" w:lineRule="auto"/>
        <w:ind w:left="1260"/>
        <w:rPr>
          <w:rFonts w:ascii="Times New Roman" w:hAnsi="Times New Roman"/>
          <w:b/>
          <w:sz w:val="24"/>
          <w:szCs w:val="24"/>
        </w:rPr>
      </w:pPr>
      <w:r w:rsidRPr="00600E6F">
        <w:rPr>
          <w:rFonts w:ascii="Times New Roman" w:hAnsi="Times New Roman"/>
          <w:b/>
          <w:sz w:val="24"/>
          <w:szCs w:val="24"/>
        </w:rPr>
        <w:t>Market Actors and Their Relationship in the Markets</w:t>
      </w:r>
    </w:p>
    <w:p w:rsidR="00513B47" w:rsidRPr="00600E6F" w:rsidRDefault="00513B47" w:rsidP="003408F4">
      <w:pPr>
        <w:tabs>
          <w:tab w:val="num" w:pos="1260"/>
        </w:tabs>
        <w:spacing w:after="0" w:line="240" w:lineRule="auto"/>
        <w:ind w:left="1260"/>
        <w:rPr>
          <w:rFonts w:ascii="Times New Roman" w:hAnsi="Times New Roman"/>
          <w:sz w:val="24"/>
          <w:szCs w:val="24"/>
        </w:rPr>
      </w:pPr>
      <w:r w:rsidRPr="00600E6F">
        <w:rPr>
          <w:rFonts w:ascii="Times New Roman" w:hAnsi="Times New Roman"/>
          <w:sz w:val="24"/>
          <w:szCs w:val="24"/>
        </w:rPr>
        <w:lastRenderedPageBreak/>
        <w:t xml:space="preserve">Depending on the application and appliances, market actors within the supply chain may be involved in the delivery of products and services to the customers. The list of key market actors and the dynamic relationship among them is discussed in Table-B. </w:t>
      </w:r>
    </w:p>
    <w:p w:rsidR="00513B47" w:rsidRPr="00600E6F" w:rsidRDefault="00513B47" w:rsidP="003408F4">
      <w:pPr>
        <w:tabs>
          <w:tab w:val="num" w:pos="1260"/>
        </w:tabs>
        <w:spacing w:after="0" w:line="240" w:lineRule="auto"/>
        <w:ind w:left="1260"/>
        <w:rPr>
          <w:rFonts w:ascii="Times New Roman" w:hAnsi="Times New Roman"/>
          <w:sz w:val="24"/>
          <w:szCs w:val="24"/>
        </w:rPr>
      </w:pPr>
    </w:p>
    <w:p w:rsidR="00513B47" w:rsidRPr="00600E6F" w:rsidRDefault="00513B47" w:rsidP="00C31CC0">
      <w:pPr>
        <w:numPr>
          <w:ilvl w:val="1"/>
          <w:numId w:val="105"/>
        </w:numPr>
        <w:tabs>
          <w:tab w:val="clear" w:pos="1800"/>
          <w:tab w:val="num" w:pos="1260"/>
        </w:tabs>
        <w:spacing w:after="0" w:line="240" w:lineRule="auto"/>
        <w:ind w:left="1260"/>
        <w:rPr>
          <w:rFonts w:ascii="Times New Roman" w:hAnsi="Times New Roman"/>
          <w:b/>
          <w:sz w:val="24"/>
          <w:szCs w:val="24"/>
        </w:rPr>
      </w:pPr>
      <w:r w:rsidRPr="00600E6F">
        <w:rPr>
          <w:rFonts w:ascii="Times New Roman" w:hAnsi="Times New Roman"/>
          <w:b/>
          <w:sz w:val="24"/>
          <w:szCs w:val="24"/>
        </w:rPr>
        <w:t>A description of the proposed intervention(s) and its/their intended results, and specify which barriers the intervention is intended to address;</w:t>
      </w:r>
    </w:p>
    <w:p w:rsidR="00513B47" w:rsidRPr="00600E6F" w:rsidRDefault="00513B47" w:rsidP="003408F4">
      <w:pPr>
        <w:autoSpaceDE w:val="0"/>
        <w:autoSpaceDN w:val="0"/>
        <w:adjustRightInd w:val="0"/>
        <w:spacing w:after="0" w:line="240" w:lineRule="auto"/>
        <w:ind w:left="1260"/>
        <w:rPr>
          <w:rFonts w:ascii="Times New Roman" w:hAnsi="Times New Roman"/>
          <w:sz w:val="24"/>
          <w:szCs w:val="24"/>
        </w:rPr>
      </w:pPr>
      <w:r w:rsidRPr="00600E6F">
        <w:rPr>
          <w:rFonts w:ascii="Times New Roman" w:hAnsi="Times New Roman"/>
          <w:sz w:val="24"/>
          <w:szCs w:val="24"/>
        </w:rPr>
        <w:t xml:space="preserve">The PLA sub-program is designed with the overarching objectives of influencing the market to produce and sell high energy efficient products, customers to adopt energy efficient products and employ energy conservation usage behavior, and codes and standards to support minimum energy efficiency levels across all PLA product categories. The PPMs (Section 9, iv, (c)) are goal posts guiding the program’s efforts and MTIs (Section 12, vi) provide feedback on how the program progresses against the overarching objective stated above. Table-C below identifies key market barriers, and the intended market effects from the proposed intervention.  </w:t>
      </w:r>
    </w:p>
    <w:p w:rsidR="00513B47" w:rsidRDefault="00513B47" w:rsidP="003408F4">
      <w:pPr>
        <w:spacing w:after="0" w:line="240" w:lineRule="auto"/>
        <w:rPr>
          <w:rFonts w:ascii="Times New Roman" w:hAnsi="Times New Roman"/>
          <w:b/>
          <w:sz w:val="24"/>
          <w:szCs w:val="24"/>
        </w:rPr>
      </w:pPr>
    </w:p>
    <w:p w:rsidR="00A576A0" w:rsidRPr="00600E6F" w:rsidRDefault="00A576A0" w:rsidP="003408F4">
      <w:pPr>
        <w:spacing w:after="0" w:line="240" w:lineRule="auto"/>
        <w:rPr>
          <w:rFonts w:ascii="Times New Roman" w:hAnsi="Times New Roman"/>
          <w:b/>
          <w:sz w:val="24"/>
          <w:szCs w:val="24"/>
        </w:rPr>
      </w:pPr>
    </w:p>
    <w:p w:rsidR="00513B47" w:rsidRPr="00600E6F" w:rsidRDefault="00513B47" w:rsidP="003408F4">
      <w:pPr>
        <w:spacing w:after="0" w:line="240" w:lineRule="auto"/>
        <w:rPr>
          <w:rFonts w:ascii="Times New Roman" w:hAnsi="Times New Roman"/>
          <w:sz w:val="24"/>
          <w:szCs w:val="24"/>
        </w:rPr>
      </w:pPr>
      <w:r w:rsidRPr="00600E6F">
        <w:rPr>
          <w:rFonts w:ascii="Times New Roman" w:hAnsi="Times New Roman"/>
          <w:b/>
          <w:sz w:val="24"/>
          <w:szCs w:val="24"/>
        </w:rPr>
        <w:t>Table-C:</w:t>
      </w:r>
      <w:r w:rsidRPr="00600E6F">
        <w:rPr>
          <w:rFonts w:ascii="Times New Roman" w:hAnsi="Times New Roman"/>
          <w:sz w:val="24"/>
          <w:szCs w:val="24"/>
        </w:rPr>
        <w:t xml:space="preserve">  Market Barriers and Market Affects from Proposed Intervention</w:t>
      </w:r>
    </w:p>
    <w:p w:rsidR="00513B47" w:rsidRPr="00600E6F" w:rsidRDefault="00513B47" w:rsidP="003408F4">
      <w:pPr>
        <w:spacing w:after="0" w:line="240" w:lineRule="auto"/>
        <w:rPr>
          <w:rFonts w:ascii="Times New Roman" w:hAnsi="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3150"/>
        <w:gridCol w:w="5670"/>
      </w:tblGrid>
      <w:tr w:rsidR="00513B47" w:rsidRPr="00F50F8B" w:rsidTr="003425E2">
        <w:trPr>
          <w:tblHeader/>
        </w:trPr>
        <w:tc>
          <w:tcPr>
            <w:tcW w:w="720" w:type="dxa"/>
          </w:tcPr>
          <w:p w:rsidR="00513B47" w:rsidRPr="00600E6F" w:rsidRDefault="00513B47" w:rsidP="003408F4">
            <w:pPr>
              <w:spacing w:after="0" w:line="240" w:lineRule="auto"/>
              <w:contextualSpacing/>
              <w:jc w:val="center"/>
              <w:rPr>
                <w:rFonts w:ascii="Times New Roman" w:hAnsi="Times New Roman"/>
                <w:b/>
                <w:sz w:val="20"/>
              </w:rPr>
            </w:pPr>
            <w:r w:rsidRPr="00600E6F">
              <w:rPr>
                <w:rFonts w:ascii="Times New Roman" w:hAnsi="Times New Roman"/>
                <w:b/>
                <w:sz w:val="20"/>
              </w:rPr>
              <w:t>#</w:t>
            </w:r>
          </w:p>
        </w:tc>
        <w:tc>
          <w:tcPr>
            <w:tcW w:w="3150" w:type="dxa"/>
          </w:tcPr>
          <w:p w:rsidR="00513B47" w:rsidRPr="00600E6F" w:rsidRDefault="00513B47" w:rsidP="003408F4">
            <w:pPr>
              <w:spacing w:after="0" w:line="240" w:lineRule="auto"/>
              <w:contextualSpacing/>
              <w:jc w:val="center"/>
              <w:rPr>
                <w:rFonts w:ascii="Times New Roman" w:hAnsi="Times New Roman"/>
                <w:b/>
                <w:sz w:val="20"/>
              </w:rPr>
            </w:pPr>
            <w:r w:rsidRPr="00600E6F">
              <w:rPr>
                <w:rFonts w:ascii="Times New Roman" w:hAnsi="Times New Roman"/>
                <w:b/>
                <w:sz w:val="20"/>
              </w:rPr>
              <w:t>Barrier</w:t>
            </w:r>
          </w:p>
        </w:tc>
        <w:tc>
          <w:tcPr>
            <w:tcW w:w="5670" w:type="dxa"/>
          </w:tcPr>
          <w:p w:rsidR="00513B47" w:rsidRPr="00600E6F" w:rsidRDefault="00513B47" w:rsidP="003408F4">
            <w:pPr>
              <w:spacing w:after="0" w:line="240" w:lineRule="auto"/>
              <w:contextualSpacing/>
              <w:jc w:val="center"/>
              <w:rPr>
                <w:rFonts w:ascii="Times New Roman" w:hAnsi="Times New Roman"/>
                <w:b/>
                <w:sz w:val="20"/>
              </w:rPr>
            </w:pPr>
            <w:r w:rsidRPr="00600E6F">
              <w:rPr>
                <w:rFonts w:ascii="Times New Roman" w:hAnsi="Times New Roman"/>
                <w:b/>
                <w:sz w:val="20"/>
              </w:rPr>
              <w:t>Interventions &amp; Intended Results</w:t>
            </w: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1</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High first cost</w:t>
            </w: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Applying appropriate incentive to influence the market or the customer through the appropriate stream (upstream, midstream or downstream) </w:t>
            </w: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The intended results of this intervention are to help customers overcome the high first-cost barrier and encourage adoption of higher energy efficient products over standard offerings.</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2</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Lack of retailer sales staff knowledge on how to sell energy efficiency products</w:t>
            </w: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Providing in-store training for sales staff or associates on program guidelines and energy efficiency.</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The intended results of this intervention are to increase sales sales staff’s or associates’ knowledge and increase accessibility to energy efficiency information thus enabling more effective sales efforts.</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3</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Lack of contractor’s awareness of energy efficiency products and code requirements</w:t>
            </w:r>
          </w:p>
        </w:tc>
        <w:tc>
          <w:tcPr>
            <w:tcW w:w="5670" w:type="dxa"/>
          </w:tcPr>
          <w:p w:rsidR="00513B47" w:rsidRPr="00600E6F" w:rsidRDefault="00513B47" w:rsidP="00C31CC0">
            <w:pPr>
              <w:numPr>
                <w:ilvl w:val="0"/>
                <w:numId w:val="72"/>
              </w:numPr>
              <w:spacing w:after="0" w:line="240" w:lineRule="auto"/>
              <w:ind w:left="432" w:hanging="432"/>
              <w:contextualSpacing/>
              <w:rPr>
                <w:rFonts w:ascii="Times New Roman" w:eastAsia="Times New Roman" w:hAnsi="Times New Roman"/>
                <w:sz w:val="20"/>
              </w:rPr>
            </w:pPr>
            <w:r w:rsidRPr="00600E6F">
              <w:rPr>
                <w:rFonts w:ascii="Times New Roman" w:hAnsi="Times New Roman"/>
                <w:sz w:val="20"/>
              </w:rPr>
              <w:t>Providing training for contactors either at IOU’s Energy Centers or in conjunction with the in-store retailer trainings.</w:t>
            </w:r>
          </w:p>
          <w:p w:rsidR="00513B47" w:rsidRPr="00600E6F" w:rsidRDefault="00513B47" w:rsidP="00C31CC0">
            <w:pPr>
              <w:numPr>
                <w:ilvl w:val="0"/>
                <w:numId w:val="72"/>
              </w:numPr>
              <w:spacing w:after="0" w:line="240" w:lineRule="auto"/>
              <w:ind w:left="432" w:hanging="432"/>
              <w:contextualSpacing/>
              <w:rPr>
                <w:rFonts w:ascii="Times New Roman" w:eastAsia="Times New Roman" w:hAnsi="Times New Roman"/>
                <w:sz w:val="20"/>
              </w:rPr>
            </w:pPr>
            <w:r w:rsidRPr="00600E6F">
              <w:rPr>
                <w:rFonts w:ascii="Times New Roman" w:hAnsi="Times New Roman"/>
                <w:sz w:val="20"/>
              </w:rPr>
              <w:t>Providing incentives to projects installed by certified or qualified contractors</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The intended result of this intervention is to increase the contractor’s knowledge on energy efficiency. Thus enable more effective sales efforts and higher efficient installed projects.</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4</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Lack of customer’s knowledge on benefits of energy efficiency</w:t>
            </w:r>
          </w:p>
        </w:tc>
        <w:tc>
          <w:tcPr>
            <w:tcW w:w="5670" w:type="dxa"/>
          </w:tcPr>
          <w:p w:rsidR="00513B47" w:rsidRPr="00600E6F" w:rsidRDefault="00513B47" w:rsidP="00C31CC0">
            <w:pPr>
              <w:numPr>
                <w:ilvl w:val="0"/>
                <w:numId w:val="73"/>
              </w:numPr>
              <w:spacing w:after="0" w:line="240" w:lineRule="auto"/>
              <w:ind w:left="432" w:hanging="432"/>
              <w:contextualSpacing/>
              <w:rPr>
                <w:rFonts w:ascii="Times New Roman" w:eastAsia="Times New Roman" w:hAnsi="Times New Roman"/>
                <w:sz w:val="20"/>
              </w:rPr>
            </w:pPr>
            <w:r w:rsidRPr="00600E6F">
              <w:rPr>
                <w:rFonts w:ascii="Times New Roman" w:hAnsi="Times New Roman"/>
                <w:sz w:val="20"/>
              </w:rPr>
              <w:t>Providing in-store demo to customers</w:t>
            </w:r>
          </w:p>
          <w:p w:rsidR="00513B47" w:rsidRPr="00600E6F" w:rsidRDefault="00513B47" w:rsidP="00C31CC0">
            <w:pPr>
              <w:numPr>
                <w:ilvl w:val="0"/>
                <w:numId w:val="73"/>
              </w:numPr>
              <w:spacing w:after="0" w:line="240" w:lineRule="auto"/>
              <w:ind w:left="432" w:hanging="432"/>
              <w:contextualSpacing/>
              <w:rPr>
                <w:rFonts w:ascii="Times New Roman" w:eastAsia="Times New Roman" w:hAnsi="Times New Roman"/>
                <w:sz w:val="20"/>
              </w:rPr>
            </w:pPr>
            <w:r w:rsidRPr="00600E6F">
              <w:rPr>
                <w:rFonts w:ascii="Times New Roman" w:hAnsi="Times New Roman"/>
                <w:sz w:val="20"/>
              </w:rPr>
              <w:t>Enhancing in-store marketing and education materials</w:t>
            </w:r>
          </w:p>
          <w:p w:rsidR="00513B47" w:rsidRPr="00600E6F" w:rsidRDefault="00513B47" w:rsidP="00C31CC0">
            <w:pPr>
              <w:numPr>
                <w:ilvl w:val="0"/>
                <w:numId w:val="73"/>
              </w:numPr>
              <w:spacing w:after="0" w:line="240" w:lineRule="auto"/>
              <w:ind w:left="432" w:hanging="432"/>
              <w:contextualSpacing/>
              <w:rPr>
                <w:rFonts w:ascii="Times New Roman" w:eastAsia="Times New Roman" w:hAnsi="Times New Roman"/>
                <w:sz w:val="20"/>
              </w:rPr>
            </w:pPr>
            <w:r w:rsidRPr="00600E6F">
              <w:rPr>
                <w:rFonts w:ascii="Times New Roman" w:hAnsi="Times New Roman"/>
                <w:sz w:val="20"/>
              </w:rPr>
              <w:t>Providing product information on websites and other communication channels</w:t>
            </w:r>
          </w:p>
          <w:p w:rsidR="00513B47" w:rsidRPr="00600E6F" w:rsidRDefault="00513B47" w:rsidP="00C31CC0">
            <w:pPr>
              <w:numPr>
                <w:ilvl w:val="0"/>
                <w:numId w:val="73"/>
              </w:numPr>
              <w:spacing w:after="0" w:line="240" w:lineRule="auto"/>
              <w:ind w:left="432" w:hanging="432"/>
              <w:contextualSpacing/>
              <w:rPr>
                <w:rFonts w:ascii="Times New Roman" w:eastAsia="Times New Roman" w:hAnsi="Times New Roman"/>
                <w:sz w:val="20"/>
              </w:rPr>
            </w:pPr>
            <w:r w:rsidRPr="00600E6F">
              <w:rPr>
                <w:rFonts w:ascii="Times New Roman" w:hAnsi="Times New Roman"/>
                <w:sz w:val="20"/>
              </w:rPr>
              <w:t xml:space="preserve">Providing customer education at community out-reach events </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The intended result of this intervention is to increase the customer’s knowledge on how energy efficiency benefits their lives and to impart “energy efficiency” as the preferred life style and choice in </w:t>
            </w:r>
            <w:r w:rsidRPr="00600E6F">
              <w:rPr>
                <w:rFonts w:ascii="Times New Roman" w:hAnsi="Times New Roman"/>
                <w:sz w:val="20"/>
              </w:rPr>
              <w:lastRenderedPageBreak/>
              <w:t>new product purchases.</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lastRenderedPageBreak/>
              <w:t>5</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Incremental savings too small to motivate customer’s behavior changes and not cost effective for IOU’s program</w:t>
            </w: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Create a holistic and flexible program to address residential plug loads as a category and develop intervention that targets an overall reduction in plug loads. It would also require an evaluation framework that assesses the overall reduction in plug loads due to multiple measures, instead of focusing on a per-product/per-measure evaluation framework.</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The intended results of this intervention is to move away from the short-term cost-effectiveness requirements and work paper process that hampers effective product based program design in fast-moving markets.</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6</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Short product life cycle for miscellaneous electronics make the establishment of baseline difficult and timely work-paper development and approval impractical</w:t>
            </w:r>
          </w:p>
          <w:p w:rsidR="00513B47" w:rsidRPr="00600E6F" w:rsidRDefault="00513B47" w:rsidP="003408F4">
            <w:pPr>
              <w:spacing w:after="0" w:line="240" w:lineRule="auto"/>
              <w:contextualSpacing/>
              <w:rPr>
                <w:rFonts w:ascii="Times New Roman" w:hAnsi="Times New Roman"/>
                <w:sz w:val="20"/>
              </w:rPr>
            </w:pP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Same solution as above – moving toward comprehensive approach rather than focusing on per-product/per measure program.</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Targeting the same intended results as above.</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7</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Proliferation of interconnected electronics and small devices making intervention per products less efficient.</w:t>
            </w: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Same solution as above – moving toward comprehensive approach rather than focusing on per-product/per measure program.</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Targeting the same intended results as above.</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8</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National market trends dominate the PLA markets  </w:t>
            </w: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Develop longer-term market transformation initiatives that seek to influence key market actors’ long-term technology development roadmap. </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This also calls for the program design and evaluation framework that address the residential plug loads as a category and develop programs that target an overall reduction in plug loads versus saving per-product/per-measure. </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Targeting the same intended results as above.</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t>9</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The market is able to make more money by selling older but still working appliances to the second-hand markets as compared to permanently dispose them. </w:t>
            </w:r>
          </w:p>
        </w:tc>
        <w:tc>
          <w:tcPr>
            <w:tcW w:w="567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Data suggests that around 11% of the customers prefer to sell their old appliances into the used appliance markets. Additionally, about 10% - 25% of old appliances picked up by the retailers are often reconditioned and put back into the used appliance market.  </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Proposed Intervention to address customers that sell their old appliances to used appliance market - Provide free-pickup and downstream incentive and/or other strategies to customer who surrenders their old but still working appliances to IOUs. This strategy will win over customers who seek the most convenient way to dispose of their old appliance. </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Proposed Intervention to address retailers that sell the collected old appliance to used appliance markets:</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C31CC0">
            <w:pPr>
              <w:pStyle w:val="ListParagraph"/>
              <w:numPr>
                <w:ilvl w:val="0"/>
                <w:numId w:val="120"/>
              </w:numPr>
              <w:spacing w:after="0" w:line="240" w:lineRule="auto"/>
              <w:ind w:left="252" w:hanging="252"/>
              <w:rPr>
                <w:rFonts w:ascii="Times New Roman" w:eastAsia="Times New Roman" w:hAnsi="Times New Roman"/>
                <w:sz w:val="20"/>
              </w:rPr>
            </w:pPr>
            <w:r w:rsidRPr="00600E6F">
              <w:rPr>
                <w:rFonts w:ascii="Times New Roman" w:hAnsi="Times New Roman"/>
                <w:sz w:val="20"/>
              </w:rPr>
              <w:t>Provide higher midstream incentives to retailers that provide completed cradle-to-grave product life cycle management and compliance to EPA RAD</w:t>
            </w:r>
          </w:p>
          <w:p w:rsidR="00513B47" w:rsidRPr="00600E6F" w:rsidRDefault="00513B47" w:rsidP="00C31CC0">
            <w:pPr>
              <w:pStyle w:val="ListParagraph"/>
              <w:numPr>
                <w:ilvl w:val="0"/>
                <w:numId w:val="120"/>
              </w:numPr>
              <w:spacing w:after="0" w:line="240" w:lineRule="auto"/>
              <w:ind w:left="252" w:hanging="252"/>
              <w:rPr>
                <w:rFonts w:ascii="Times New Roman" w:eastAsia="Times New Roman" w:hAnsi="Times New Roman"/>
                <w:sz w:val="20"/>
              </w:rPr>
            </w:pPr>
            <w:r w:rsidRPr="00600E6F">
              <w:rPr>
                <w:rFonts w:ascii="Times New Roman" w:hAnsi="Times New Roman"/>
                <w:sz w:val="20"/>
              </w:rPr>
              <w:t xml:space="preserve">Provide to customer down-stream incentives plus free-pickup of </w:t>
            </w:r>
            <w:r w:rsidRPr="00600E6F">
              <w:rPr>
                <w:rFonts w:ascii="Times New Roman" w:hAnsi="Times New Roman"/>
                <w:sz w:val="20"/>
              </w:rPr>
              <w:lastRenderedPageBreak/>
              <w:t xml:space="preserve">old but still working appliances </w:t>
            </w:r>
          </w:p>
          <w:p w:rsidR="00513B47" w:rsidRPr="00600E6F" w:rsidRDefault="00513B47" w:rsidP="00C31CC0">
            <w:pPr>
              <w:pStyle w:val="ListParagraph"/>
              <w:numPr>
                <w:ilvl w:val="0"/>
                <w:numId w:val="120"/>
              </w:numPr>
              <w:spacing w:after="0" w:line="240" w:lineRule="auto"/>
              <w:ind w:left="252" w:hanging="252"/>
              <w:rPr>
                <w:rFonts w:ascii="Times New Roman" w:eastAsia="Times New Roman" w:hAnsi="Times New Roman"/>
                <w:sz w:val="20"/>
              </w:rPr>
            </w:pPr>
            <w:r w:rsidRPr="00600E6F">
              <w:rPr>
                <w:rFonts w:ascii="Times New Roman" w:hAnsi="Times New Roman"/>
                <w:sz w:val="20"/>
              </w:rPr>
              <w:t xml:space="preserve">Increase in-store marketing education’s efforts to educate the customer about high operating cost from using old appliances. </w:t>
            </w:r>
          </w:p>
          <w:p w:rsidR="00513B47" w:rsidRPr="00600E6F" w:rsidRDefault="00513B47" w:rsidP="003408F4">
            <w:pPr>
              <w:spacing w:after="0" w:line="240" w:lineRule="auto"/>
              <w:contextualSpacing/>
              <w:rPr>
                <w:rFonts w:ascii="Times New Roman" w:hAnsi="Times New Roman"/>
                <w:sz w:val="20"/>
              </w:rPr>
            </w:pPr>
          </w:p>
        </w:tc>
      </w:tr>
      <w:tr w:rsidR="00513B47" w:rsidRPr="00F50F8B" w:rsidTr="003425E2">
        <w:tc>
          <w:tcPr>
            <w:tcW w:w="720" w:type="dxa"/>
          </w:tcPr>
          <w:p w:rsidR="00513B47" w:rsidRPr="00600E6F" w:rsidRDefault="00513B47" w:rsidP="003408F4">
            <w:pPr>
              <w:spacing w:after="0" w:line="240" w:lineRule="auto"/>
              <w:contextualSpacing/>
              <w:jc w:val="center"/>
              <w:rPr>
                <w:rFonts w:ascii="Times New Roman" w:hAnsi="Times New Roman"/>
                <w:sz w:val="20"/>
              </w:rPr>
            </w:pPr>
            <w:r w:rsidRPr="00600E6F">
              <w:rPr>
                <w:rFonts w:ascii="Times New Roman" w:hAnsi="Times New Roman"/>
                <w:sz w:val="20"/>
              </w:rPr>
              <w:lastRenderedPageBreak/>
              <w:t>10</w:t>
            </w:r>
          </w:p>
        </w:tc>
        <w:tc>
          <w:tcPr>
            <w:tcW w:w="3150" w:type="dxa"/>
          </w:tcPr>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 xml:space="preserve">Customer’s lack of awareness of the high energy cost in operating secondary and older appliances. This has led to the significant growth of secondary refrigerators and freezers found in homes over the last decade. </w:t>
            </w:r>
          </w:p>
          <w:p w:rsidR="00513B47" w:rsidRPr="00600E6F" w:rsidRDefault="00513B47" w:rsidP="003408F4">
            <w:pPr>
              <w:spacing w:after="0" w:line="240" w:lineRule="auto"/>
              <w:contextualSpacing/>
              <w:rPr>
                <w:rFonts w:ascii="Times New Roman" w:hAnsi="Times New Roman"/>
                <w:sz w:val="20"/>
              </w:rPr>
            </w:pPr>
          </w:p>
        </w:tc>
        <w:tc>
          <w:tcPr>
            <w:tcW w:w="5670" w:type="dxa"/>
          </w:tcPr>
          <w:p w:rsidR="00513B47" w:rsidRPr="00600E6F" w:rsidRDefault="00513B47" w:rsidP="00C31CC0">
            <w:pPr>
              <w:pStyle w:val="ListParagraph"/>
              <w:numPr>
                <w:ilvl w:val="0"/>
                <w:numId w:val="121"/>
              </w:numPr>
              <w:spacing w:after="0" w:line="240" w:lineRule="auto"/>
              <w:ind w:left="252" w:hanging="270"/>
              <w:rPr>
                <w:rFonts w:ascii="Times New Roman" w:eastAsia="Times New Roman" w:hAnsi="Times New Roman"/>
                <w:sz w:val="20"/>
              </w:rPr>
            </w:pPr>
            <w:r w:rsidRPr="00600E6F">
              <w:rPr>
                <w:rFonts w:ascii="Times New Roman" w:hAnsi="Times New Roman"/>
                <w:sz w:val="20"/>
              </w:rPr>
              <w:t xml:space="preserve">Increase marketing education and outreach efforts on the high operating cost when using old and or refurbished/resold appliances. </w:t>
            </w:r>
          </w:p>
          <w:p w:rsidR="00513B47" w:rsidRPr="00600E6F" w:rsidRDefault="00513B47" w:rsidP="00C31CC0">
            <w:pPr>
              <w:pStyle w:val="ListParagraph"/>
              <w:numPr>
                <w:ilvl w:val="0"/>
                <w:numId w:val="121"/>
              </w:numPr>
              <w:spacing w:after="0" w:line="240" w:lineRule="auto"/>
              <w:ind w:left="252" w:hanging="270"/>
              <w:rPr>
                <w:rFonts w:ascii="Times New Roman" w:eastAsia="Times New Roman" w:hAnsi="Times New Roman"/>
                <w:sz w:val="20"/>
              </w:rPr>
            </w:pPr>
            <w:r w:rsidRPr="00600E6F">
              <w:rPr>
                <w:rFonts w:ascii="Times New Roman" w:hAnsi="Times New Roman"/>
                <w:sz w:val="20"/>
              </w:rPr>
              <w:t xml:space="preserve">Provide free-pickup and downstream incentive and/or other incentives to customers who surrenders their secondary old but still working appliances to IOUs. This strategy will win over customers who seek the most convenient way to dispose of their old appliance. </w:t>
            </w:r>
          </w:p>
          <w:p w:rsidR="00513B47" w:rsidRPr="00600E6F" w:rsidRDefault="00513B47" w:rsidP="003408F4">
            <w:pPr>
              <w:spacing w:after="0" w:line="240" w:lineRule="auto"/>
              <w:contextualSpacing/>
              <w:rPr>
                <w:rFonts w:ascii="Times New Roman" w:hAnsi="Times New Roman"/>
                <w:sz w:val="20"/>
              </w:rPr>
            </w:pPr>
          </w:p>
          <w:p w:rsidR="00513B47" w:rsidRPr="00600E6F" w:rsidRDefault="00513B47" w:rsidP="003408F4">
            <w:pPr>
              <w:spacing w:after="0" w:line="240" w:lineRule="auto"/>
              <w:contextualSpacing/>
              <w:rPr>
                <w:rFonts w:ascii="Times New Roman" w:hAnsi="Times New Roman"/>
                <w:sz w:val="20"/>
              </w:rPr>
            </w:pPr>
            <w:r w:rsidRPr="00600E6F">
              <w:rPr>
                <w:rFonts w:ascii="Times New Roman" w:hAnsi="Times New Roman"/>
                <w:sz w:val="20"/>
              </w:rPr>
              <w:t>To reverse this trend, the IOUs are directing more focus toward retiring secondary units in the 2013-2014 Transition Period. And to better distinguish and track “primary” vs. “secondary” units, the IOUs will explore new program design logic to more clearly differentiate between a primary and a secondary unit. Also, this new process may require additional verification procedures to ensure the participants would demonstrate persistence of this removal and not replace the secondary unit at a later date.</w:t>
            </w:r>
          </w:p>
          <w:p w:rsidR="00513B47" w:rsidRPr="00600E6F" w:rsidRDefault="00513B47" w:rsidP="003408F4">
            <w:pPr>
              <w:spacing w:after="0" w:line="240" w:lineRule="auto"/>
              <w:contextualSpacing/>
              <w:rPr>
                <w:rFonts w:ascii="Times New Roman" w:hAnsi="Times New Roman"/>
                <w:sz w:val="20"/>
              </w:rPr>
            </w:pPr>
          </w:p>
        </w:tc>
      </w:tr>
    </w:tbl>
    <w:p w:rsidR="00513B47" w:rsidRDefault="00513B47" w:rsidP="003408F4">
      <w:pPr>
        <w:spacing w:after="0" w:line="240" w:lineRule="auto"/>
        <w:rPr>
          <w:rFonts w:ascii="Times New Roman" w:hAnsi="Times New Roman"/>
          <w:b/>
          <w:sz w:val="24"/>
        </w:rPr>
      </w:pPr>
    </w:p>
    <w:p w:rsidR="00825B00" w:rsidRPr="00600E6F" w:rsidRDefault="00825B00" w:rsidP="003408F4">
      <w:pPr>
        <w:spacing w:after="0" w:line="240" w:lineRule="auto"/>
        <w:rPr>
          <w:rFonts w:ascii="Times New Roman" w:hAnsi="Times New Roman"/>
          <w:b/>
          <w:sz w:val="24"/>
        </w:rPr>
      </w:pPr>
    </w:p>
    <w:p w:rsidR="00513B47" w:rsidRPr="00600E6F" w:rsidRDefault="00513B47" w:rsidP="00C31CC0">
      <w:pPr>
        <w:numPr>
          <w:ilvl w:val="1"/>
          <w:numId w:val="105"/>
        </w:numPr>
        <w:tabs>
          <w:tab w:val="clear" w:pos="1800"/>
          <w:tab w:val="num" w:pos="1260"/>
        </w:tabs>
        <w:spacing w:after="0" w:line="240" w:lineRule="auto"/>
        <w:ind w:left="1260"/>
        <w:rPr>
          <w:rFonts w:ascii="Times New Roman" w:hAnsi="Times New Roman"/>
          <w:b/>
          <w:sz w:val="24"/>
        </w:rPr>
      </w:pPr>
      <w:r w:rsidRPr="00600E6F">
        <w:rPr>
          <w:rFonts w:ascii="Times New Roman" w:hAnsi="Times New Roman"/>
          <w:b/>
          <w:sz w:val="24"/>
        </w:rPr>
        <w:t>A coherent program, or “market,” logic model that ensures a solid causal relationship between the proposed intervention(s) and its/their intended results</w:t>
      </w:r>
      <w:r w:rsidRPr="00600E6F">
        <w:rPr>
          <w:rStyle w:val="FootnoteReference"/>
          <w:rFonts w:ascii="Times New Roman" w:hAnsi="Times New Roman"/>
          <w:b/>
          <w:sz w:val="24"/>
        </w:rPr>
        <w:footnoteReference w:id="29"/>
      </w:r>
      <w:r w:rsidRPr="00600E6F">
        <w:rPr>
          <w:rFonts w:ascii="Times New Roman" w:hAnsi="Times New Roman"/>
          <w:b/>
          <w:sz w:val="24"/>
        </w:rPr>
        <w:t>;</w:t>
      </w:r>
    </w:p>
    <w:p w:rsidR="00513B47" w:rsidRPr="00600E6F" w:rsidRDefault="00513B47" w:rsidP="003408F4">
      <w:pPr>
        <w:spacing w:after="0" w:line="240" w:lineRule="auto"/>
        <w:ind w:left="1260"/>
        <w:rPr>
          <w:rFonts w:ascii="Times New Roman" w:hAnsi="Times New Roman"/>
          <w:sz w:val="24"/>
        </w:rPr>
      </w:pP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Refer to Section 10(l) for detailed diagrams of PLA sub-program logic models that describe the relationship between the proposed interventions and their intended results.</w:t>
      </w: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 xml:space="preserve">  </w:t>
      </w: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The Principal logic model (PLA Program Logic) for the Plug Load and Appliance Program (PLA) is the governing model for the PLA program components. This program component is responsible for selecting and prioritizing new products to be introduced to incentive programs as well as for judging when markets for products currently in incentive programs have been transformed so that the products can be removed from incentive programs. The PLA Incentive logic model portrays the logic of the incentive program, i.e. the production aspect of the PLA program.</w:t>
      </w:r>
    </w:p>
    <w:p w:rsidR="00513B47" w:rsidRPr="00600E6F" w:rsidRDefault="00513B47" w:rsidP="003408F4">
      <w:pPr>
        <w:spacing w:after="0" w:line="240" w:lineRule="auto"/>
        <w:ind w:left="1260"/>
        <w:rPr>
          <w:rFonts w:ascii="Times New Roman" w:hAnsi="Times New Roman"/>
          <w:sz w:val="24"/>
        </w:rPr>
      </w:pPr>
    </w:p>
    <w:p w:rsidR="00513B47" w:rsidRPr="00600E6F" w:rsidRDefault="00513B47" w:rsidP="003408F4">
      <w:pPr>
        <w:spacing w:after="0" w:line="240" w:lineRule="auto"/>
        <w:ind w:left="1260"/>
        <w:rPr>
          <w:rFonts w:ascii="Times New Roman" w:hAnsi="Times New Roman"/>
          <w:b/>
          <w:sz w:val="24"/>
        </w:rPr>
      </w:pPr>
      <w:r w:rsidRPr="00600E6F">
        <w:rPr>
          <w:rFonts w:ascii="Times New Roman" w:hAnsi="Times New Roman"/>
          <w:b/>
          <w:sz w:val="24"/>
        </w:rPr>
        <w:t>PLA Program Logic</w:t>
      </w: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 xml:space="preserve">Since the primary function of this program component is to make decisions about the entry and exit of products to and from the PLA Incentive programs, the central activity is represented in the model by the Program Decision Panel (A). The logic of the program component is that this decision panel takes information and research </w:t>
      </w:r>
      <w:r w:rsidRPr="00600E6F">
        <w:rPr>
          <w:rFonts w:ascii="Times New Roman" w:hAnsi="Times New Roman"/>
          <w:sz w:val="24"/>
        </w:rPr>
        <w:lastRenderedPageBreak/>
        <w:t>from many sources and makes its decisions, assures that programs are designed and tested and that they are ready as production programs. The sources that feed into and receive feedback from the Decision Panel are: Priority &amp; goals for PLA incentive and program activities (B), market, industry, stakeholder inputs, market research, and M&amp;E studies (C2), codes and standards (C1), and ETP inputs (D). With all of this information the decision panel facilitates solution workbooks, activity tracking workbook, and, of course, lists of new and old measures. More centrally, it oversees the education and influence of market actors and stakeholders (F), which produces collaboration and agreements (M), thus overcoming some market barriers at that level. It also causes trials and pilots to be completed (O), which also feeds into the agreements with PLA stakeholders and manufacturers. These agreements promote end user purchase and installations and recycling among participants and ultimately non-participants as well (spillover).</w:t>
      </w:r>
    </w:p>
    <w:p w:rsidR="00151BA6" w:rsidRPr="00D737C2" w:rsidRDefault="00151BA6" w:rsidP="003408F4">
      <w:pPr>
        <w:spacing w:after="0" w:line="240" w:lineRule="auto"/>
        <w:ind w:left="1260"/>
        <w:rPr>
          <w:rFonts w:ascii="Times New Roman" w:hAnsi="Times New Roman"/>
          <w:sz w:val="24"/>
          <w:szCs w:val="24"/>
        </w:rPr>
      </w:pPr>
    </w:p>
    <w:p w:rsidR="00513B47" w:rsidRPr="00600E6F" w:rsidRDefault="00513B47" w:rsidP="003408F4">
      <w:pPr>
        <w:spacing w:after="0" w:line="240" w:lineRule="auto"/>
        <w:ind w:left="1260"/>
        <w:rPr>
          <w:rFonts w:ascii="Times New Roman" w:hAnsi="Times New Roman"/>
          <w:b/>
          <w:sz w:val="24"/>
        </w:rPr>
      </w:pPr>
      <w:r w:rsidRPr="00600E6F">
        <w:rPr>
          <w:rFonts w:ascii="Times New Roman" w:hAnsi="Times New Roman"/>
          <w:b/>
          <w:sz w:val="24"/>
        </w:rPr>
        <w:t>PLA Incentive Program Logic</w:t>
      </w:r>
    </w:p>
    <w:p w:rsidR="00513B47" w:rsidRPr="00600E6F" w:rsidRDefault="00513B47" w:rsidP="00600E6F">
      <w:pPr>
        <w:spacing w:after="0" w:line="240" w:lineRule="auto"/>
        <w:ind w:left="1260"/>
        <w:rPr>
          <w:rFonts w:ascii="Times New Roman" w:hAnsi="Times New Roman"/>
          <w:sz w:val="24"/>
        </w:rPr>
      </w:pPr>
      <w:r w:rsidRPr="00600E6F">
        <w:rPr>
          <w:rFonts w:ascii="Times New Roman" w:hAnsi="Times New Roman"/>
          <w:sz w:val="24"/>
        </w:rPr>
        <w:t>The PLA Program Logic described above addresses the collaborations and agreements that the IOUs generate with various market actors and stakeholders, but the PLA Incentive program logic specifies these activities in more detail. The activities at this level include promotion, and outreach events, EA Universal Audit Tool (D), advertising and direct mailing and incentives (G), engaging manufacturers with upstream incentives (B), engaging retailers and distributors (C), and working through professional and trade organizations to engage contractors, architects, and engineers to support best practices (F). These agreements and collaborations yield reductions in market barriers at the upstream and midstream levels so that program products will be stocked and available to customers. The direct mail, advertising, and EA UAT promote the products directly to consumers so that they will look for the products at stores, and purchase them, reflecting the overcoming of barriers sufficient to generate the initial purchase. After the initial purchase, further barriers are reduced and more purchases are envisioned, both under the program and outside of the program (spillover).</w:t>
      </w:r>
    </w:p>
    <w:p w:rsidR="00825B00" w:rsidRPr="00600E6F" w:rsidRDefault="00825B00" w:rsidP="003408F4">
      <w:pPr>
        <w:spacing w:after="0" w:line="240" w:lineRule="auto"/>
        <w:ind w:left="1260" w:hanging="360"/>
        <w:rPr>
          <w:rFonts w:ascii="Times New Roman" w:hAnsi="Times New Roman"/>
          <w:sz w:val="24"/>
        </w:rPr>
      </w:pPr>
    </w:p>
    <w:p w:rsidR="00513B47" w:rsidRPr="00600E6F" w:rsidRDefault="00513B47" w:rsidP="00C31CC0">
      <w:pPr>
        <w:numPr>
          <w:ilvl w:val="1"/>
          <w:numId w:val="105"/>
        </w:numPr>
        <w:tabs>
          <w:tab w:val="clear" w:pos="1800"/>
          <w:tab w:val="num" w:pos="1260"/>
        </w:tabs>
        <w:spacing w:after="0" w:line="240" w:lineRule="auto"/>
        <w:ind w:left="1260"/>
        <w:rPr>
          <w:rFonts w:ascii="Times New Roman" w:hAnsi="Times New Roman"/>
          <w:b/>
          <w:sz w:val="24"/>
        </w:rPr>
      </w:pPr>
      <w:r w:rsidRPr="00600E6F">
        <w:rPr>
          <w:rFonts w:ascii="Times New Roman" w:hAnsi="Times New Roman"/>
          <w:b/>
          <w:sz w:val="24"/>
        </w:rPr>
        <w:t>Appropriate evaluation plans and corresponding Market Transformation indicators and Program Performance Metrics based on the program logic model.</w:t>
      </w: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sz w:val="24"/>
        </w:rPr>
        <w:t>Due to the need to comply with the Decision’s timeline for filing the 2013-2014 PIP, and our desire to comply with earlier Decisions that call for gathering stakeholder input in informing market transformation efforts, we suggest that a full market effects evaluation plan be developed during the formulation of the Joint EM&amp;V Pla</w:t>
      </w:r>
      <w:r w:rsidR="000A3C69">
        <w:rPr>
          <w:rFonts w:ascii="Times New Roman" w:hAnsi="Times New Roman"/>
          <w:sz w:val="24"/>
        </w:rPr>
        <w:t>n as described in section “18.1,</w:t>
      </w:r>
      <w:r w:rsidRPr="00600E6F">
        <w:rPr>
          <w:rFonts w:ascii="Times New Roman" w:hAnsi="Times New Roman"/>
          <w:sz w:val="24"/>
        </w:rPr>
        <w:t xml:space="preserve"> Evaluation Budget” in Decision R.09-11-014. Until then, we suggest the following approach:</w:t>
      </w:r>
    </w:p>
    <w:p w:rsidR="00513B47" w:rsidRPr="00600E6F" w:rsidRDefault="00513B47" w:rsidP="003408F4">
      <w:pPr>
        <w:spacing w:after="0" w:line="240" w:lineRule="auto"/>
        <w:ind w:left="1260"/>
        <w:rPr>
          <w:rFonts w:ascii="Times New Roman" w:hAnsi="Times New Roman"/>
          <w:sz w:val="24"/>
        </w:rPr>
      </w:pP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b/>
          <w:sz w:val="24"/>
        </w:rPr>
        <w:t>Summative evaluation - Market Effects:</w:t>
      </w:r>
      <w:r w:rsidRPr="00600E6F">
        <w:rPr>
          <w:rFonts w:ascii="Times New Roman" w:hAnsi="Times New Roman"/>
          <w:sz w:val="24"/>
        </w:rPr>
        <w:t xml:space="preserve">  The market transformation program’s theory and logic model will be used to guide the evaluation efforts. The scope of the market effects study should be defined by the MT program’s scope. The timeline for specific market effects that are to be evaluated should be defined by the MT program theory. Among other indicators, the program theory may specify changes in market characteristics that can be evaluated, such as 1) Spillover, 2) attitudes, </w:t>
      </w:r>
      <w:r w:rsidRPr="00600E6F">
        <w:rPr>
          <w:rFonts w:ascii="Times New Roman" w:hAnsi="Times New Roman"/>
          <w:sz w:val="24"/>
        </w:rPr>
        <w:lastRenderedPageBreak/>
        <w:t>awareness and knowledge, 3) reductions in specific market barrier, 4) current pricing and product availability, and 5) other market milestones.</w:t>
      </w:r>
    </w:p>
    <w:p w:rsidR="00513B47" w:rsidRPr="00600E6F" w:rsidRDefault="00513B47" w:rsidP="003408F4">
      <w:pPr>
        <w:spacing w:after="0" w:line="240" w:lineRule="auto"/>
        <w:ind w:left="1260"/>
        <w:rPr>
          <w:rFonts w:ascii="Times New Roman" w:hAnsi="Times New Roman"/>
          <w:sz w:val="24"/>
        </w:rPr>
      </w:pP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b/>
          <w:sz w:val="24"/>
        </w:rPr>
        <w:t>Formative evaluation:</w:t>
      </w:r>
      <w:r w:rsidRPr="00600E6F">
        <w:rPr>
          <w:rFonts w:ascii="Times New Roman" w:hAnsi="Times New Roman"/>
          <w:sz w:val="24"/>
        </w:rPr>
        <w:t xml:space="preserve">  The formative evaluation of a market transformation program is typically performed at the intervention (i.e. program) level. The methods are the same as would be used in a program process evaluation, and would include interviews with program staff, participants and non-participants as well as an assessment of the program’s direct outputs. </w:t>
      </w:r>
    </w:p>
    <w:p w:rsidR="00513B47" w:rsidRPr="00600E6F" w:rsidRDefault="00513B47" w:rsidP="003408F4">
      <w:pPr>
        <w:spacing w:after="0" w:line="240" w:lineRule="auto"/>
        <w:ind w:left="1260"/>
        <w:rPr>
          <w:rFonts w:ascii="Times New Roman" w:hAnsi="Times New Roman"/>
          <w:sz w:val="24"/>
        </w:rPr>
      </w:pP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b/>
          <w:sz w:val="24"/>
        </w:rPr>
        <w:t>Attribution:</w:t>
      </w:r>
      <w:r w:rsidRPr="00600E6F">
        <w:rPr>
          <w:rFonts w:ascii="Times New Roman" w:hAnsi="Times New Roman"/>
          <w:sz w:val="24"/>
        </w:rPr>
        <w:t xml:space="preserve">  Outside of California, most guidelines for evaluating market transformation acknowledge that it is very difficult to attribute market effects to any single program, and nearly impossible to partition out the respective contributions of several coordinated programs on market effects and market transformation. In California, the Framework (Sebold et al., 2001) emphasized that attribution of market effects to programs bears further research. Others (Rosenberg &amp; Hoefgen, 2009; Keating &amp; Prahl (MT Workshop, Nov 2011) suggest that declaring the program’s strategic intent through the market transformation initiative’s theory and logic model is key to establishing future claim on transformation effects. The methods proposed by Rosenberg &amp;</w:t>
      </w:r>
      <w:r w:rsidR="00151BA6">
        <w:rPr>
          <w:rFonts w:ascii="Times New Roman" w:hAnsi="Times New Roman"/>
          <w:sz w:val="24"/>
          <w:szCs w:val="24"/>
        </w:rPr>
        <w:t xml:space="preserve"> </w:t>
      </w:r>
      <w:r w:rsidRPr="00600E6F">
        <w:rPr>
          <w:rFonts w:ascii="Times New Roman" w:hAnsi="Times New Roman"/>
          <w:sz w:val="24"/>
        </w:rPr>
        <w:t>Hoefgen (2009) for attributing market effects to individual programs include a number of approaches, all of them qualitative: self-report of spillover and free ridership; cross-sectional comparisons with other geographic regions; structured expert judging; and case studies. But attribution using a “preponderance of evidence” approach would likely be expensive and still yield arguable results. Attribution by nature focuses on individual efforts, and we believe the market transformation evaluation discourse should be focused on collaboration. We will disregard MT attribution by realizing we all have a “Shared Mission” of meeting the CPUC’s very aggressive Strategic Plan goals and it doesn’t matter which entity contributed how much but whether, as a state with our numerous market actors, we were successful or not. The PLA sub-program’s MTI will be based on the Commission Staff’s recommendation as shown in Table-D below.</w:t>
      </w:r>
    </w:p>
    <w:p w:rsidR="00513B47" w:rsidRDefault="00513B47" w:rsidP="003408F4">
      <w:pPr>
        <w:spacing w:after="0" w:line="240" w:lineRule="auto"/>
        <w:rPr>
          <w:rFonts w:ascii="Times New Roman" w:hAnsi="Times New Roman"/>
          <w:sz w:val="24"/>
        </w:rPr>
      </w:pPr>
    </w:p>
    <w:p w:rsidR="008542CE" w:rsidRDefault="008542CE" w:rsidP="003408F4">
      <w:pPr>
        <w:spacing w:after="0" w:line="240" w:lineRule="auto"/>
        <w:rPr>
          <w:rFonts w:ascii="Times New Roman" w:hAnsi="Times New Roman"/>
          <w:sz w:val="24"/>
        </w:rPr>
      </w:pPr>
    </w:p>
    <w:p w:rsidR="008542CE" w:rsidRPr="00600E6F" w:rsidRDefault="008542CE" w:rsidP="003408F4">
      <w:pPr>
        <w:spacing w:after="0" w:line="240" w:lineRule="auto"/>
        <w:rPr>
          <w:rFonts w:ascii="Times New Roman" w:hAnsi="Times New Roman"/>
          <w:sz w:val="24"/>
        </w:rPr>
      </w:pPr>
    </w:p>
    <w:p w:rsidR="00513B47" w:rsidRPr="00600E6F" w:rsidRDefault="00513B47" w:rsidP="003408F4">
      <w:pPr>
        <w:spacing w:after="0" w:line="240" w:lineRule="auto"/>
        <w:ind w:left="1260"/>
        <w:rPr>
          <w:rFonts w:ascii="Times New Roman" w:hAnsi="Times New Roman"/>
          <w:sz w:val="24"/>
        </w:rPr>
      </w:pPr>
      <w:r w:rsidRPr="00600E6F">
        <w:rPr>
          <w:rFonts w:ascii="Times New Roman" w:hAnsi="Times New Roman"/>
          <w:b/>
          <w:sz w:val="24"/>
        </w:rPr>
        <w:t>Table-D:</w:t>
      </w:r>
      <w:r w:rsidRPr="00600E6F">
        <w:rPr>
          <w:rFonts w:ascii="Times New Roman" w:hAnsi="Times New Roman"/>
          <w:sz w:val="24"/>
        </w:rPr>
        <w:t xml:space="preserve">   PLA Market Transformation Indicators</w:t>
      </w:r>
      <w:r w:rsidRPr="00600E6F">
        <w:rPr>
          <w:rStyle w:val="FootnoteReference"/>
          <w:rFonts w:ascii="Times New Roman" w:hAnsi="Times New Roman"/>
          <w:sz w:val="24"/>
        </w:rPr>
        <w:footnoteReference w:id="30"/>
      </w:r>
    </w:p>
    <w:p w:rsidR="00513B47" w:rsidRPr="00600E6F" w:rsidRDefault="00513B47" w:rsidP="003408F4">
      <w:pPr>
        <w:spacing w:after="0" w:line="240" w:lineRule="auto"/>
        <w:ind w:left="1260" w:hanging="360"/>
        <w:rPr>
          <w:rFonts w:ascii="Times New Roman" w:hAnsi="Times New Roman"/>
          <w:sz w:val="24"/>
        </w:rPr>
      </w:pPr>
    </w:p>
    <w:tbl>
      <w:tblPr>
        <w:tblW w:w="82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6642"/>
      </w:tblGrid>
      <w:tr w:rsidR="00513B47" w:rsidRPr="007C74E5" w:rsidTr="00657138">
        <w:tc>
          <w:tcPr>
            <w:tcW w:w="1638" w:type="dxa"/>
          </w:tcPr>
          <w:p w:rsidR="00513B47" w:rsidRPr="00600E6F" w:rsidRDefault="00513B47" w:rsidP="003408F4">
            <w:pPr>
              <w:spacing w:after="0" w:line="240" w:lineRule="auto"/>
              <w:jc w:val="center"/>
              <w:rPr>
                <w:rFonts w:ascii="Times New Roman" w:hAnsi="Times New Roman"/>
                <w:b/>
                <w:color w:val="000000"/>
              </w:rPr>
            </w:pPr>
            <w:r w:rsidRPr="00600E6F">
              <w:rPr>
                <w:rFonts w:ascii="Times New Roman" w:hAnsi="Times New Roman"/>
                <w:b/>
                <w:color w:val="000000"/>
              </w:rPr>
              <w:t>MTI #</w:t>
            </w:r>
          </w:p>
        </w:tc>
        <w:tc>
          <w:tcPr>
            <w:tcW w:w="6642" w:type="dxa"/>
          </w:tcPr>
          <w:p w:rsidR="00513B47" w:rsidRPr="00600E6F" w:rsidRDefault="00513B47" w:rsidP="003408F4">
            <w:pPr>
              <w:spacing w:after="0" w:line="240" w:lineRule="auto"/>
              <w:jc w:val="center"/>
              <w:rPr>
                <w:rFonts w:ascii="Times New Roman" w:hAnsi="Times New Roman"/>
                <w:b/>
                <w:color w:val="000000"/>
              </w:rPr>
            </w:pPr>
            <w:r w:rsidRPr="00600E6F">
              <w:rPr>
                <w:rFonts w:ascii="Times New Roman" w:hAnsi="Times New Roman"/>
                <w:b/>
                <w:color w:val="000000"/>
              </w:rPr>
              <w:t>Description</w:t>
            </w:r>
          </w:p>
        </w:tc>
      </w:tr>
      <w:tr w:rsidR="00513B47" w:rsidRPr="007C74E5" w:rsidTr="00657138">
        <w:trPr>
          <w:trHeight w:val="188"/>
        </w:trPr>
        <w:tc>
          <w:tcPr>
            <w:tcW w:w="1638" w:type="dxa"/>
          </w:tcPr>
          <w:p w:rsidR="00513B47" w:rsidRPr="00600E6F" w:rsidRDefault="00513B47" w:rsidP="003408F4">
            <w:pPr>
              <w:spacing w:after="0" w:line="240" w:lineRule="auto"/>
              <w:jc w:val="center"/>
              <w:rPr>
                <w:rFonts w:ascii="Times New Roman" w:hAnsi="Times New Roman"/>
                <w:color w:val="000000"/>
              </w:rPr>
            </w:pPr>
            <w:r w:rsidRPr="00600E6F">
              <w:rPr>
                <w:rFonts w:ascii="Times New Roman" w:hAnsi="Times New Roman"/>
                <w:color w:val="000000"/>
              </w:rPr>
              <w:t>Appliance-3</w:t>
            </w:r>
          </w:p>
        </w:tc>
        <w:tc>
          <w:tcPr>
            <w:tcW w:w="6642" w:type="dxa"/>
          </w:tcPr>
          <w:p w:rsidR="00513B47" w:rsidRPr="00600E6F" w:rsidRDefault="00513B47" w:rsidP="003408F4">
            <w:pPr>
              <w:spacing w:after="0" w:line="240" w:lineRule="auto"/>
              <w:rPr>
                <w:rFonts w:ascii="Times New Roman" w:hAnsi="Times New Roman"/>
                <w:color w:val="000000"/>
              </w:rPr>
            </w:pPr>
            <w:r w:rsidRPr="00600E6F">
              <w:rPr>
                <w:rFonts w:ascii="Times New Roman" w:hAnsi="Times New Roman"/>
                <w:color w:val="000000"/>
              </w:rPr>
              <w:t>Percentage of key appliances sold in California that are ENERGY STAR®</w:t>
            </w:r>
          </w:p>
        </w:tc>
      </w:tr>
    </w:tbl>
    <w:p w:rsidR="00513B47" w:rsidRDefault="00513B47" w:rsidP="003408F4">
      <w:pPr>
        <w:spacing w:after="0" w:line="240" w:lineRule="auto"/>
        <w:ind w:left="720"/>
        <w:rPr>
          <w:rFonts w:ascii="Times New Roman" w:hAnsi="Times New Roman"/>
          <w:b/>
          <w:sz w:val="24"/>
        </w:rPr>
      </w:pPr>
    </w:p>
    <w:p w:rsidR="00F94DB4" w:rsidRDefault="00F94DB4" w:rsidP="003408F4">
      <w:pPr>
        <w:spacing w:after="0" w:line="240" w:lineRule="auto"/>
        <w:ind w:left="720"/>
        <w:rPr>
          <w:rFonts w:ascii="Times New Roman" w:hAnsi="Times New Roman"/>
          <w:b/>
          <w:sz w:val="24"/>
        </w:rPr>
      </w:pPr>
    </w:p>
    <w:p w:rsidR="008542CE" w:rsidRPr="00600E6F" w:rsidRDefault="008542CE" w:rsidP="003408F4">
      <w:pPr>
        <w:spacing w:after="0" w:line="240" w:lineRule="auto"/>
        <w:ind w:left="720"/>
        <w:rPr>
          <w:rFonts w:ascii="Times New Roman" w:hAnsi="Times New Roman"/>
          <w:b/>
          <w:sz w:val="24"/>
        </w:rPr>
      </w:pPr>
    </w:p>
    <w:p w:rsidR="00513B47" w:rsidRPr="00600E6F" w:rsidRDefault="00513B47" w:rsidP="00C31CC0">
      <w:pPr>
        <w:numPr>
          <w:ilvl w:val="0"/>
          <w:numId w:val="29"/>
        </w:numPr>
        <w:spacing w:after="0" w:line="240" w:lineRule="auto"/>
        <w:ind w:left="720" w:hanging="720"/>
        <w:rPr>
          <w:rFonts w:ascii="Times New Roman" w:hAnsi="Times New Roman"/>
          <w:b/>
          <w:sz w:val="24"/>
        </w:rPr>
      </w:pPr>
      <w:r w:rsidRPr="00600E6F">
        <w:rPr>
          <w:rFonts w:ascii="Times New Roman" w:hAnsi="Times New Roman"/>
          <w:b/>
          <w:sz w:val="24"/>
        </w:rPr>
        <w:lastRenderedPageBreak/>
        <w:t xml:space="preserve">Additional information as required by Commission decision or ruling or as needed:  </w:t>
      </w:r>
      <w:r w:rsidRPr="00600E6F">
        <w:rPr>
          <w:rFonts w:ascii="Times New Roman" w:hAnsi="Times New Roman"/>
          <w:sz w:val="24"/>
        </w:rPr>
        <w:t>Include here additional information as required by Commission decision or ruling (As applicable. Indicate decision or ruling and page numbers)</w:t>
      </w:r>
    </w:p>
    <w:p w:rsidR="00513B47" w:rsidRPr="00600E6F" w:rsidRDefault="00513B47" w:rsidP="003408F4">
      <w:pPr>
        <w:spacing w:after="0" w:line="240" w:lineRule="auto"/>
        <w:ind w:left="720"/>
        <w:rPr>
          <w:rFonts w:ascii="Times New Roman" w:hAnsi="Times New Roman"/>
          <w:b/>
          <w:sz w:val="24"/>
        </w:rPr>
      </w:pPr>
    </w:p>
    <w:p w:rsidR="008542CE" w:rsidRDefault="008542CE" w:rsidP="003408F4">
      <w:pPr>
        <w:spacing w:after="0" w:line="240" w:lineRule="auto"/>
        <w:rPr>
          <w:rFonts w:ascii="Times New Roman" w:hAnsi="Times New Roman"/>
          <w:b/>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Table-E:</w:t>
      </w:r>
      <w:r w:rsidRPr="00600E6F">
        <w:rPr>
          <w:rFonts w:ascii="Times New Roman" w:hAnsi="Times New Roman"/>
          <w:sz w:val="24"/>
        </w:rPr>
        <w:t xml:space="preserve">  Final Decision’s Ordering Paragraphs on PLA Sub-program</w:t>
      </w:r>
      <w:r w:rsidRPr="00600E6F">
        <w:rPr>
          <w:rStyle w:val="FootnoteReference"/>
          <w:rFonts w:ascii="Times New Roman" w:hAnsi="Times New Roman"/>
          <w:sz w:val="24"/>
        </w:rPr>
        <w:footnoteReference w:id="31"/>
      </w:r>
      <w:r w:rsidRPr="00600E6F">
        <w:rPr>
          <w:rFonts w:ascii="Times New Roman" w:hAnsi="Times New Roman"/>
          <w:sz w:val="24"/>
        </w:rPr>
        <w:t xml:space="preserve"> </w:t>
      </w:r>
    </w:p>
    <w:p w:rsidR="00513B47" w:rsidRPr="00600E6F" w:rsidRDefault="00513B47" w:rsidP="003408F4">
      <w:pPr>
        <w:spacing w:after="0" w:line="240" w:lineRule="auto"/>
        <w:ind w:left="720"/>
        <w:rPr>
          <w:rFonts w:ascii="Times New Roman" w:hAnsi="Times New Roman"/>
          <w:b/>
          <w:sz w:val="24"/>
        </w:rPr>
      </w:pPr>
    </w:p>
    <w:tbl>
      <w:tblPr>
        <w:tblW w:w="98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8"/>
        <w:gridCol w:w="4680"/>
        <w:gridCol w:w="1530"/>
      </w:tblGrid>
      <w:tr w:rsidR="00513B47" w:rsidRPr="00F50F8B" w:rsidTr="00657138">
        <w:trPr>
          <w:trHeight w:val="494"/>
          <w:tblHeader/>
        </w:trPr>
        <w:tc>
          <w:tcPr>
            <w:tcW w:w="3618" w:type="dxa"/>
            <w:vAlign w:val="center"/>
          </w:tcPr>
          <w:p w:rsidR="00513B47" w:rsidRPr="00600E6F" w:rsidRDefault="00513B47" w:rsidP="003408F4">
            <w:pPr>
              <w:spacing w:after="0" w:line="240" w:lineRule="auto"/>
              <w:jc w:val="center"/>
              <w:rPr>
                <w:rFonts w:ascii="Times New Roman" w:hAnsi="Times New Roman"/>
                <w:b/>
              </w:rPr>
            </w:pPr>
            <w:r w:rsidRPr="00600E6F">
              <w:rPr>
                <w:rFonts w:ascii="Times New Roman" w:hAnsi="Times New Roman"/>
                <w:b/>
              </w:rPr>
              <w:t>Ordering Paragraph</w:t>
            </w:r>
          </w:p>
        </w:tc>
        <w:tc>
          <w:tcPr>
            <w:tcW w:w="4680" w:type="dxa"/>
            <w:vAlign w:val="center"/>
          </w:tcPr>
          <w:p w:rsidR="00513B47" w:rsidRPr="00600E6F" w:rsidRDefault="00513B47" w:rsidP="003408F4">
            <w:pPr>
              <w:spacing w:after="0" w:line="240" w:lineRule="auto"/>
              <w:jc w:val="center"/>
              <w:rPr>
                <w:rFonts w:ascii="Times New Roman" w:hAnsi="Times New Roman"/>
                <w:b/>
              </w:rPr>
            </w:pPr>
            <w:r w:rsidRPr="00600E6F">
              <w:rPr>
                <w:rFonts w:ascii="Times New Roman" w:hAnsi="Times New Roman"/>
                <w:b/>
              </w:rPr>
              <w:t>SW PLA PIP’s Response</w:t>
            </w:r>
          </w:p>
        </w:tc>
        <w:tc>
          <w:tcPr>
            <w:tcW w:w="1530" w:type="dxa"/>
            <w:vAlign w:val="center"/>
          </w:tcPr>
          <w:p w:rsidR="00513B47" w:rsidRPr="00600E6F" w:rsidRDefault="00513B47" w:rsidP="003408F4">
            <w:pPr>
              <w:spacing w:after="0" w:line="240" w:lineRule="auto"/>
              <w:jc w:val="center"/>
              <w:rPr>
                <w:rFonts w:ascii="Times New Roman" w:hAnsi="Times New Roman"/>
                <w:b/>
                <w:sz w:val="20"/>
              </w:rPr>
            </w:pPr>
            <w:r w:rsidRPr="00600E6F">
              <w:rPr>
                <w:rFonts w:ascii="Times New Roman" w:hAnsi="Times New Roman"/>
                <w:b/>
                <w:sz w:val="20"/>
              </w:rPr>
              <w:t>PLA PIP’s Reference</w:t>
            </w:r>
          </w:p>
        </w:tc>
      </w:tr>
      <w:tr w:rsidR="00513B47" w:rsidRPr="00F50F8B" w:rsidTr="00657138">
        <w:trPr>
          <w:trHeight w:val="1043"/>
        </w:trPr>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Include the criteria used to determine the best delivery channel for any given plug load or appliance incentive or intervention - OP 63</w:t>
            </w: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Criteria used to determine the best delivery channels for any given PLA product is based on the market characteristics for the products and specific barriers or market opportunities.</w:t>
            </w:r>
          </w:p>
          <w:p w:rsidR="00513B47" w:rsidRPr="00600E6F" w:rsidRDefault="00513B47" w:rsidP="003408F4">
            <w:pPr>
              <w:spacing w:after="0" w:line="240" w:lineRule="auto"/>
              <w:rPr>
                <w:rFonts w:ascii="Times New Roman" w:hAnsi="Times New Roman"/>
              </w:rPr>
            </w:pP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10(f)</w:t>
            </w:r>
          </w:p>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10 (i)(i,ii,iii)</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Identify the selected delivery channels for all measures - OP 64</w:t>
            </w:r>
          </w:p>
          <w:p w:rsidR="00513B47" w:rsidRPr="00600E6F" w:rsidRDefault="00513B47" w:rsidP="003408F4">
            <w:pPr>
              <w:spacing w:after="0" w:line="240" w:lineRule="auto"/>
              <w:rPr>
                <w:rFonts w:ascii="Times New Roman" w:hAnsi="Times New Roman"/>
              </w:rPr>
            </w:pP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 xml:space="preserve">The selected delivery channels for all measures follow practice of the current cycle. </w:t>
            </w:r>
          </w:p>
          <w:p w:rsidR="00513B47" w:rsidRPr="00600E6F" w:rsidRDefault="00513B47" w:rsidP="003408F4">
            <w:pPr>
              <w:spacing w:after="0" w:line="240" w:lineRule="auto"/>
              <w:rPr>
                <w:rFonts w:ascii="Times New Roman" w:hAnsi="Times New Roman"/>
              </w:rPr>
            </w:pPr>
          </w:p>
          <w:p w:rsidR="00513B47" w:rsidRPr="00600E6F" w:rsidRDefault="00513B47" w:rsidP="003408F4">
            <w:pPr>
              <w:spacing w:after="0" w:line="240" w:lineRule="auto"/>
              <w:rPr>
                <w:rFonts w:ascii="Times New Roman" w:hAnsi="Times New Roman"/>
              </w:rPr>
            </w:pPr>
            <w:r w:rsidRPr="00600E6F">
              <w:rPr>
                <w:rFonts w:ascii="Times New Roman" w:hAnsi="Times New Roman"/>
              </w:rPr>
              <w:t>For post-2012, the criteria used to determine the best delivery channels is based on the current cycle practices</w:t>
            </w:r>
          </w:p>
          <w:p w:rsidR="00513B47" w:rsidRPr="00600E6F" w:rsidRDefault="00513B47" w:rsidP="003408F4">
            <w:pPr>
              <w:spacing w:after="0" w:line="240" w:lineRule="auto"/>
              <w:rPr>
                <w:rFonts w:ascii="Times New Roman" w:hAnsi="Times New Roman"/>
              </w:rPr>
            </w:pP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10(f)</w:t>
            </w:r>
          </w:p>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10 (i)(i,ii,iii)</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Identify where synergies allow for more coordinated engagement work with retailers and manufacturers - OP 64</w:t>
            </w:r>
          </w:p>
          <w:p w:rsidR="00513B47" w:rsidRPr="00600E6F" w:rsidRDefault="00513B47" w:rsidP="003408F4">
            <w:pPr>
              <w:spacing w:after="0" w:line="240" w:lineRule="auto"/>
              <w:rPr>
                <w:rFonts w:ascii="Times New Roman" w:hAnsi="Times New Roman"/>
              </w:rPr>
            </w:pP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The PLA sub-program framework provides guidance for synergistic collaboration with industry partners as the measures transition through different market adoption stage.</w:t>
            </w:r>
          </w:p>
          <w:p w:rsidR="00513B47" w:rsidRPr="00600E6F" w:rsidRDefault="00513B47" w:rsidP="003408F4">
            <w:pPr>
              <w:spacing w:after="0" w:line="240" w:lineRule="auto"/>
              <w:rPr>
                <w:rFonts w:ascii="Times New Roman" w:hAnsi="Times New Roman"/>
              </w:rPr>
            </w:pPr>
            <w:r w:rsidRPr="00600E6F">
              <w:rPr>
                <w:rFonts w:ascii="Times New Roman" w:hAnsi="Times New Roman"/>
              </w:rPr>
              <w:t xml:space="preserve"> </w:t>
            </w: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9(a)</w:t>
            </w:r>
          </w:p>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12(ii)</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Simplify and streamline program to maximize synergies with manufacturers and retailers and reduce administrative costs - OP 65</w:t>
            </w:r>
          </w:p>
          <w:p w:rsidR="00513B47" w:rsidRPr="00600E6F" w:rsidRDefault="00513B47" w:rsidP="003408F4">
            <w:pPr>
              <w:spacing w:after="0" w:line="240" w:lineRule="auto"/>
              <w:rPr>
                <w:rFonts w:ascii="Times New Roman" w:hAnsi="Times New Roman"/>
              </w:rPr>
            </w:pP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The PLA sub-program framework provides guidance for simplifying and streamlining program in order to maximize the collaboration with industry partners for reducing cost.</w:t>
            </w: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9(a)</w:t>
            </w:r>
          </w:p>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10(c)</w:t>
            </w:r>
          </w:p>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12(ii)</w:t>
            </w:r>
          </w:p>
        </w:tc>
      </w:tr>
      <w:tr w:rsidR="00513B47" w:rsidRPr="00F50F8B" w:rsidTr="00657138">
        <w:tc>
          <w:tcPr>
            <w:tcW w:w="3618" w:type="dxa"/>
          </w:tcPr>
          <w:p w:rsidR="00513B47" w:rsidRDefault="00513B47" w:rsidP="003408F4">
            <w:pPr>
              <w:spacing w:after="0" w:line="240" w:lineRule="auto"/>
              <w:rPr>
                <w:rFonts w:ascii="Times New Roman" w:hAnsi="Times New Roman"/>
              </w:rPr>
            </w:pPr>
            <w:r w:rsidRPr="00600E6F">
              <w:rPr>
                <w:rFonts w:ascii="Times New Roman" w:hAnsi="Times New Roman"/>
              </w:rPr>
              <w:t>Explore how to implement voluntary product specifications that support the development of mandatory “horizontal standards” (i.e., product standards that lead to energy savings across many categories) - OP 66</w:t>
            </w:r>
          </w:p>
          <w:p w:rsidR="00F94DB4" w:rsidRPr="00600E6F" w:rsidRDefault="00F94DB4" w:rsidP="003408F4">
            <w:pPr>
              <w:spacing w:after="0" w:line="240" w:lineRule="auto"/>
              <w:rPr>
                <w:rFonts w:ascii="Times New Roman" w:hAnsi="Times New Roman"/>
              </w:rPr>
            </w:pP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Coordination with NRDC, Code &amp; Standard bodies, manufacturers and other market actors to develop and adopt “horizontal standards” for multiple product groups.</w:t>
            </w: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11(d)</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Re-orient Appliance Recycling Program and take all feasible steps in minimizing cost while maximizing savings - OP 68</w:t>
            </w: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 xml:space="preserve">Increase collaboration with retailers and the current appliance recycle service providers to support completed cradle-to-grave product life cycle management and encouraging disposal of older inefficient products from the grid.  </w:t>
            </w:r>
          </w:p>
          <w:p w:rsidR="00513B47" w:rsidRPr="00600E6F" w:rsidRDefault="00513B47" w:rsidP="003408F4">
            <w:pPr>
              <w:spacing w:after="0" w:line="240" w:lineRule="auto"/>
              <w:rPr>
                <w:rFonts w:ascii="Times New Roman" w:hAnsi="Times New Roman"/>
              </w:rPr>
            </w:pP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10(iv,v)</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Discuss how the program advance market transformation toward Title 20 Codes &amp; Standards changes - OP 67</w:t>
            </w:r>
          </w:p>
          <w:p w:rsidR="00513B47" w:rsidRPr="00600E6F" w:rsidRDefault="00513B47" w:rsidP="003408F4">
            <w:pPr>
              <w:spacing w:after="0" w:line="240" w:lineRule="auto"/>
              <w:rPr>
                <w:rFonts w:ascii="Times New Roman" w:hAnsi="Times New Roman"/>
              </w:rPr>
            </w:pP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lastRenderedPageBreak/>
              <w:t>Work with manufacturers, Codes &amp; Standards bodies to influence code development and approval process</w:t>
            </w:r>
          </w:p>
          <w:p w:rsidR="00513B47" w:rsidRPr="00600E6F" w:rsidRDefault="00513B47" w:rsidP="003408F4">
            <w:pPr>
              <w:spacing w:after="0" w:line="240" w:lineRule="auto"/>
              <w:rPr>
                <w:rFonts w:ascii="Times New Roman" w:hAnsi="Times New Roman"/>
              </w:rPr>
            </w:pP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lastRenderedPageBreak/>
              <w:t>Section 12(ii)</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lastRenderedPageBreak/>
              <w:t>Identify potential pilot projects or trials to test new program designs that would improve marketplace innovation and engagement and homeowner awareness within the 2013-2014 timeframe – OP 71</w:t>
            </w:r>
          </w:p>
          <w:p w:rsidR="00513B47" w:rsidRPr="00600E6F" w:rsidRDefault="00513B47" w:rsidP="003408F4">
            <w:pPr>
              <w:spacing w:after="0" w:line="240" w:lineRule="auto"/>
              <w:rPr>
                <w:rFonts w:ascii="Times New Roman" w:hAnsi="Times New Roman"/>
              </w:rPr>
            </w:pP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PLA sub-program identifies multiple potential trial and pilot projects planned for the 2013-13 Transition Period to evaluate new program delivery methods through a variety of channels and industry partners.</w:t>
            </w: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11(d)</w:t>
            </w:r>
          </w:p>
        </w:tc>
      </w:tr>
      <w:tr w:rsidR="00513B47" w:rsidRPr="00F50F8B" w:rsidTr="00657138">
        <w:tc>
          <w:tcPr>
            <w:tcW w:w="3618"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Propose initiatives that have been designed to accomplish “market transformation” – OP 162</w:t>
            </w:r>
          </w:p>
        </w:tc>
        <w:tc>
          <w:tcPr>
            <w:tcW w:w="468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Proposing PLA sub-program framework with embedded market transformation functions and dedicated program activities for driving successive waves of advance PLA technologies through the market adoption life cycle. The proposed PLA sub-program framework employ stage-gate process for managing the flow of technologies through IOUs EE programs.</w:t>
            </w:r>
          </w:p>
          <w:p w:rsidR="00513B47" w:rsidRPr="00600E6F" w:rsidRDefault="00513B47" w:rsidP="003408F4">
            <w:pPr>
              <w:spacing w:after="0" w:line="240" w:lineRule="auto"/>
              <w:rPr>
                <w:rFonts w:ascii="Times New Roman" w:hAnsi="Times New Roman"/>
              </w:rPr>
            </w:pPr>
          </w:p>
        </w:tc>
        <w:tc>
          <w:tcPr>
            <w:tcW w:w="1530" w:type="dxa"/>
          </w:tcPr>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9(a)</w:t>
            </w:r>
          </w:p>
          <w:p w:rsidR="00513B47" w:rsidRPr="00600E6F" w:rsidRDefault="00513B47" w:rsidP="003408F4">
            <w:pPr>
              <w:spacing w:after="0" w:line="240" w:lineRule="auto"/>
              <w:rPr>
                <w:rFonts w:ascii="Times New Roman" w:hAnsi="Times New Roman"/>
                <w:sz w:val="20"/>
              </w:rPr>
            </w:pPr>
            <w:r w:rsidRPr="00600E6F">
              <w:rPr>
                <w:rFonts w:ascii="Times New Roman" w:hAnsi="Times New Roman"/>
                <w:sz w:val="20"/>
              </w:rPr>
              <w:t>Section 12(ii)</w:t>
            </w:r>
          </w:p>
        </w:tc>
      </w:tr>
    </w:tbl>
    <w:p w:rsidR="00513B47" w:rsidRPr="00600E6F" w:rsidRDefault="00513B47" w:rsidP="003408F4">
      <w:pPr>
        <w:spacing w:after="0" w:line="240" w:lineRule="auto"/>
        <w:ind w:left="720"/>
        <w:rPr>
          <w:rFonts w:ascii="Times New Roman" w:hAnsi="Times New Roman"/>
          <w:sz w:val="24"/>
        </w:rPr>
      </w:pPr>
    </w:p>
    <w:p w:rsidR="00F94DB4" w:rsidRDefault="00F94DB4" w:rsidP="00600E6F">
      <w:pPr>
        <w:spacing w:after="0" w:line="240" w:lineRule="auto"/>
        <w:ind w:left="-90"/>
        <w:rPr>
          <w:rFonts w:ascii="Times New Roman" w:hAnsi="Times New Roman"/>
          <w:sz w:val="24"/>
        </w:rPr>
      </w:pPr>
    </w:p>
    <w:p w:rsidR="00513B47" w:rsidRPr="00600E6F" w:rsidRDefault="00513B47" w:rsidP="00600E6F">
      <w:pPr>
        <w:spacing w:after="0" w:line="240" w:lineRule="auto"/>
        <w:ind w:left="-90"/>
        <w:rPr>
          <w:rFonts w:ascii="Times New Roman" w:hAnsi="Times New Roman"/>
          <w:sz w:val="24"/>
        </w:rPr>
      </w:pPr>
      <w:r w:rsidRPr="00600E6F">
        <w:rPr>
          <w:rFonts w:ascii="Times New Roman" w:hAnsi="Times New Roman"/>
          <w:sz w:val="24"/>
        </w:rPr>
        <w:t>Additionally, Table-F below provides the Final Decision’s requirements on the Re-orientation of the Appliance Recycling activities and IOUs’ responses.</w:t>
      </w:r>
    </w:p>
    <w:p w:rsidR="00825B00" w:rsidRPr="00600E6F" w:rsidRDefault="00825B00" w:rsidP="003408F4">
      <w:pPr>
        <w:spacing w:after="0" w:line="240" w:lineRule="auto"/>
        <w:rPr>
          <w:rFonts w:ascii="Times New Roman" w:hAnsi="Times New Roman"/>
          <w:b/>
          <w:sz w:val="24"/>
        </w:rPr>
      </w:pPr>
    </w:p>
    <w:p w:rsidR="00513B47" w:rsidRPr="00600E6F" w:rsidRDefault="00513B47" w:rsidP="003408F4">
      <w:pPr>
        <w:spacing w:after="0" w:line="240" w:lineRule="auto"/>
        <w:ind w:left="-90"/>
        <w:rPr>
          <w:rFonts w:ascii="Times New Roman" w:hAnsi="Times New Roman"/>
          <w:sz w:val="24"/>
        </w:rPr>
      </w:pPr>
      <w:r w:rsidRPr="00600E6F">
        <w:rPr>
          <w:rFonts w:ascii="Times New Roman" w:hAnsi="Times New Roman"/>
          <w:b/>
          <w:sz w:val="24"/>
        </w:rPr>
        <w:t>Table-F:</w:t>
      </w:r>
      <w:r w:rsidRPr="00600E6F">
        <w:rPr>
          <w:rFonts w:ascii="Times New Roman" w:hAnsi="Times New Roman"/>
          <w:sz w:val="24"/>
        </w:rPr>
        <w:t xml:space="preserve">  Final Decision’s Requirements on Appliance Recycling</w:t>
      </w:r>
      <w:r w:rsidRPr="00600E6F">
        <w:rPr>
          <w:rStyle w:val="FootnoteReference"/>
          <w:rFonts w:ascii="Times New Roman" w:hAnsi="Times New Roman"/>
          <w:sz w:val="24"/>
        </w:rPr>
        <w:footnoteReference w:id="32"/>
      </w:r>
      <w:r w:rsidRPr="00600E6F">
        <w:rPr>
          <w:rFonts w:ascii="Times New Roman" w:hAnsi="Times New Roman"/>
          <w:sz w:val="24"/>
        </w:rPr>
        <w:t xml:space="preserve"> </w:t>
      </w: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4590"/>
        <w:gridCol w:w="1440"/>
      </w:tblGrid>
      <w:tr w:rsidR="00513B47" w:rsidRPr="00F50F8B" w:rsidTr="00657138">
        <w:trPr>
          <w:trHeight w:val="242"/>
          <w:tblHeader/>
        </w:trPr>
        <w:tc>
          <w:tcPr>
            <w:tcW w:w="3690" w:type="dxa"/>
          </w:tcPr>
          <w:p w:rsidR="00513B47" w:rsidRPr="00600E6F" w:rsidRDefault="00513B47" w:rsidP="003408F4">
            <w:pPr>
              <w:spacing w:after="0" w:line="240" w:lineRule="auto"/>
              <w:jc w:val="center"/>
              <w:rPr>
                <w:rFonts w:ascii="Times New Roman" w:hAnsi="Times New Roman"/>
                <w:b/>
              </w:rPr>
            </w:pPr>
            <w:r w:rsidRPr="00600E6F">
              <w:rPr>
                <w:rFonts w:ascii="Times New Roman" w:hAnsi="Times New Roman"/>
                <w:b/>
              </w:rPr>
              <w:t>Final Decision’s Requirements</w:t>
            </w:r>
          </w:p>
        </w:tc>
        <w:tc>
          <w:tcPr>
            <w:tcW w:w="4590" w:type="dxa"/>
          </w:tcPr>
          <w:p w:rsidR="00513B47" w:rsidRPr="00600E6F" w:rsidRDefault="00513B47" w:rsidP="003408F4">
            <w:pPr>
              <w:tabs>
                <w:tab w:val="center" w:pos="4320"/>
                <w:tab w:val="right" w:pos="8640"/>
              </w:tabs>
              <w:spacing w:after="0" w:line="240" w:lineRule="auto"/>
              <w:jc w:val="center"/>
              <w:rPr>
                <w:rFonts w:ascii="Times New Roman" w:hAnsi="Times New Roman"/>
                <w:b/>
              </w:rPr>
            </w:pPr>
            <w:r w:rsidRPr="00600E6F">
              <w:rPr>
                <w:rFonts w:ascii="Times New Roman" w:hAnsi="Times New Roman"/>
                <w:b/>
              </w:rPr>
              <w:t>SW PLA PIP’s Response</w:t>
            </w:r>
          </w:p>
        </w:tc>
        <w:tc>
          <w:tcPr>
            <w:tcW w:w="1440" w:type="dxa"/>
          </w:tcPr>
          <w:p w:rsidR="00513B47" w:rsidRPr="00600E6F" w:rsidRDefault="00513B47" w:rsidP="003408F4">
            <w:pPr>
              <w:tabs>
                <w:tab w:val="center" w:pos="4320"/>
                <w:tab w:val="right" w:pos="8640"/>
              </w:tabs>
              <w:spacing w:after="0" w:line="240" w:lineRule="auto"/>
              <w:jc w:val="center"/>
              <w:rPr>
                <w:rFonts w:ascii="Times New Roman" w:hAnsi="Times New Roman"/>
                <w:b/>
              </w:rPr>
            </w:pPr>
            <w:r w:rsidRPr="00600E6F">
              <w:rPr>
                <w:rFonts w:ascii="Times New Roman" w:hAnsi="Times New Roman"/>
                <w:b/>
              </w:rPr>
              <w:t>PLA PIP’s Reference</w:t>
            </w:r>
          </w:p>
        </w:tc>
      </w:tr>
      <w:tr w:rsidR="00513B47" w:rsidRPr="00F50F8B" w:rsidTr="00657138">
        <w:trPr>
          <w:trHeight w:val="926"/>
        </w:trPr>
        <w:tc>
          <w:tcPr>
            <w:tcW w:w="3690" w:type="dxa"/>
          </w:tcPr>
          <w:p w:rsidR="00513B47" w:rsidRPr="00600E6F"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hAnsi="Times New Roman"/>
              </w:rPr>
            </w:pPr>
            <w:r w:rsidRPr="00600E6F">
              <w:rPr>
                <w:rFonts w:ascii="Times New Roman" w:hAnsi="Times New Roman"/>
              </w:rPr>
              <w:t>Add New Appliances: Expand recycling efforts to include clothes washers and air conditioners - (FD, page 206).</w:t>
            </w: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Explore the opportunities to add new appliances but will not consider clothes washers or room air conditioners as both have been proven not to be cost effective.</w:t>
            </w:r>
          </w:p>
          <w:p w:rsidR="00513B47" w:rsidRPr="00600E6F" w:rsidRDefault="00513B47" w:rsidP="003408F4">
            <w:pPr>
              <w:spacing w:after="0" w:line="240" w:lineRule="auto"/>
              <w:rPr>
                <w:rFonts w:ascii="Times New Roman" w:hAnsi="Times New Roman"/>
              </w:rPr>
            </w:pP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10(v)</w:t>
            </w:r>
          </w:p>
        </w:tc>
      </w:tr>
      <w:tr w:rsidR="00513B47" w:rsidRPr="00F50F8B" w:rsidTr="00657138">
        <w:tc>
          <w:tcPr>
            <w:tcW w:w="3690" w:type="dxa"/>
          </w:tcPr>
          <w:p w:rsidR="00513B47" w:rsidRPr="00600E6F"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eastAsia="Times New Roman" w:hAnsi="Times New Roman"/>
              </w:rPr>
            </w:pPr>
            <w:r w:rsidRPr="00600E6F">
              <w:rPr>
                <w:rFonts w:ascii="Times New Roman" w:hAnsi="Times New Roman"/>
              </w:rPr>
              <w:t>Switch to Distribution Center Pick-Ups: Reduce overall program costs by directing retailers to pick up units for recycling. IOU program collections of appliances in the home could be replaced by collections at partner retailer distribution centers. IOUs must avoid duplicating existing efforts with these strategies - (FD, page 206).</w:t>
            </w:r>
          </w:p>
          <w:p w:rsidR="00513B47" w:rsidRPr="00600E6F" w:rsidRDefault="00513B47" w:rsidP="003408F4">
            <w:pPr>
              <w:pStyle w:val="ListParagraph"/>
              <w:tabs>
                <w:tab w:val="center" w:pos="4320"/>
                <w:tab w:val="right" w:pos="8640"/>
              </w:tabs>
              <w:spacing w:after="0" w:line="240" w:lineRule="auto"/>
              <w:ind w:left="342"/>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Will use the results of SCE’s Retailer Based Appliance Recycling Trial Study to develop the new Retailer Base Appliance Recycling Element.</w:t>
            </w: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10(iv)</w:t>
            </w:r>
          </w:p>
        </w:tc>
      </w:tr>
      <w:tr w:rsidR="00513B47" w:rsidRPr="00F50F8B" w:rsidTr="00657138">
        <w:tc>
          <w:tcPr>
            <w:tcW w:w="3690" w:type="dxa"/>
          </w:tcPr>
          <w:p w:rsidR="00513B47" w:rsidRPr="00600E6F"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eastAsia="Times New Roman" w:hAnsi="Times New Roman"/>
              </w:rPr>
            </w:pPr>
            <w:r w:rsidRPr="00600E6F">
              <w:rPr>
                <w:rFonts w:ascii="Times New Roman" w:hAnsi="Times New Roman"/>
              </w:rPr>
              <w:t xml:space="preserve">Emphasize High Consumption and Secondary Units: Target units with highest savings potential and </w:t>
            </w:r>
            <w:r w:rsidRPr="00600E6F">
              <w:rPr>
                <w:rFonts w:ascii="Times New Roman" w:hAnsi="Times New Roman"/>
              </w:rPr>
              <w:lastRenderedPageBreak/>
              <w:t>emphasize collection and recycling of vintage models, secondary units, and extra freezers - (FD, page 206).</w:t>
            </w:r>
          </w:p>
          <w:p w:rsidR="00513B47" w:rsidRPr="00600E6F" w:rsidRDefault="00513B47" w:rsidP="003408F4">
            <w:pPr>
              <w:pStyle w:val="ListParagraph"/>
              <w:tabs>
                <w:tab w:val="center" w:pos="4320"/>
                <w:tab w:val="right" w:pos="8640"/>
              </w:tabs>
              <w:spacing w:after="0" w:line="240" w:lineRule="auto"/>
              <w:ind w:left="342"/>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lastRenderedPageBreak/>
              <w:t>Increasing focus on recycling of higher consumption and secondary units as part of the Statewide Appliance Recycling activities.</w:t>
            </w: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10(v)</w:t>
            </w:r>
          </w:p>
        </w:tc>
      </w:tr>
      <w:tr w:rsidR="00513B47" w:rsidRPr="00F50F8B" w:rsidTr="00657138">
        <w:tc>
          <w:tcPr>
            <w:tcW w:w="3690" w:type="dxa"/>
          </w:tcPr>
          <w:p w:rsidR="00513B47" w:rsidRDefault="00513B47" w:rsidP="00C31CC0">
            <w:pPr>
              <w:pStyle w:val="ListParagraph"/>
              <w:numPr>
                <w:ilvl w:val="5"/>
                <w:numId w:val="110"/>
              </w:numPr>
              <w:tabs>
                <w:tab w:val="center" w:pos="342"/>
                <w:tab w:val="right" w:pos="8640"/>
              </w:tabs>
              <w:spacing w:after="0" w:line="240" w:lineRule="auto"/>
              <w:ind w:left="342" w:hanging="342"/>
              <w:contextualSpacing w:val="0"/>
              <w:outlineLvl w:val="2"/>
              <w:rPr>
                <w:rFonts w:ascii="Times New Roman" w:eastAsia="Times New Roman" w:hAnsi="Times New Roman"/>
              </w:rPr>
            </w:pPr>
            <w:r w:rsidRPr="00600E6F">
              <w:rPr>
                <w:rFonts w:ascii="Times New Roman" w:hAnsi="Times New Roman"/>
              </w:rPr>
              <w:lastRenderedPageBreak/>
              <w:t>Influence Appliance Purchaser’s Decision: Use the results of current recycling retailer trials to determine the best approaches to partnering with retailers. These partnerships could seek to cost-effectively capture savings through influencing a new appliance purchaser’s decision to retire their old units. IOU retailer partnerships could include delivering new appliances at the same time as collecting old units for recycling. The IOUs should seek to coordinate collection of old units with appliance manufacturers and recyclers - (FD, page 206).</w:t>
            </w:r>
          </w:p>
          <w:p w:rsidR="00F94DB4" w:rsidRPr="00600E6F" w:rsidRDefault="00F94DB4" w:rsidP="00C31CC0">
            <w:pPr>
              <w:pStyle w:val="ListParagraph"/>
              <w:tabs>
                <w:tab w:val="center" w:pos="342"/>
                <w:tab w:val="right" w:pos="8640"/>
              </w:tabs>
              <w:spacing w:after="0" w:line="240" w:lineRule="auto"/>
              <w:ind w:left="342"/>
              <w:contextualSpacing w:val="0"/>
              <w:outlineLvl w:val="2"/>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Will use the results of SCE’s Retailer Based Appliance Recycling Trial Study to develop the new Retailer Base Appliance Recycling Element.</w:t>
            </w: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10(iv)</w:t>
            </w:r>
          </w:p>
        </w:tc>
      </w:tr>
      <w:tr w:rsidR="00513B47" w:rsidRPr="00F50F8B" w:rsidTr="00657138">
        <w:tc>
          <w:tcPr>
            <w:tcW w:w="3690" w:type="dxa"/>
          </w:tcPr>
          <w:p w:rsidR="00513B47" w:rsidRPr="00600E6F"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eastAsia="Times New Roman" w:hAnsi="Times New Roman"/>
              </w:rPr>
            </w:pPr>
            <w:r w:rsidRPr="00600E6F">
              <w:rPr>
                <w:rFonts w:ascii="Times New Roman" w:hAnsi="Times New Roman"/>
              </w:rPr>
              <w:t>Participants Receive Appliance Incentives upon Surrender of old Appliance: Condition the provision of appliance incentives upon surrender of older units for recycling - (FD, page 207).</w:t>
            </w:r>
          </w:p>
          <w:p w:rsidR="00513B47" w:rsidRPr="00600E6F" w:rsidRDefault="00513B47" w:rsidP="003408F4">
            <w:pPr>
              <w:pStyle w:val="ListParagraph"/>
              <w:tabs>
                <w:tab w:val="center" w:pos="4320"/>
                <w:tab w:val="right" w:pos="8640"/>
              </w:tabs>
              <w:spacing w:after="0" w:line="240" w:lineRule="auto"/>
              <w:ind w:left="342"/>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Will focus on combining rebates for the purchase of high efficient appliance and Retailer Based Appliance Recycling program. This new strategy allows customers to participate in appliance recycling as part of the new appliance delivery-and-haul away process. This approach will not require customer to surrender their appliance as part of the rebate process but still allows IOU’s to reduce program implementation cost while providing options that i</w:t>
            </w:r>
            <w:r w:rsidR="00513B65">
              <w:rPr>
                <w:rFonts w:ascii="Times New Roman" w:hAnsi="Times New Roman"/>
              </w:rPr>
              <w:t>mprove the customer experience.</w:t>
            </w: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10(v)</w:t>
            </w:r>
          </w:p>
        </w:tc>
      </w:tr>
      <w:tr w:rsidR="00513B47" w:rsidRPr="00F50F8B" w:rsidTr="00657138">
        <w:tc>
          <w:tcPr>
            <w:tcW w:w="3690" w:type="dxa"/>
          </w:tcPr>
          <w:p w:rsidR="00513B47" w:rsidRPr="00600E6F"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eastAsia="Times New Roman" w:hAnsi="Times New Roman"/>
              </w:rPr>
            </w:pPr>
            <w:r w:rsidRPr="00600E6F">
              <w:rPr>
                <w:rFonts w:ascii="Times New Roman" w:hAnsi="Times New Roman"/>
              </w:rPr>
              <w:t>Transition of Recycling to Market Actors: Transition the current appliance recycling program to market players by a specific date - (FD, page 207).</w:t>
            </w:r>
          </w:p>
          <w:p w:rsidR="00513B47" w:rsidRPr="00600E6F" w:rsidRDefault="00513B47" w:rsidP="003408F4">
            <w:pPr>
              <w:pStyle w:val="ListParagraph"/>
              <w:tabs>
                <w:tab w:val="center" w:pos="4320"/>
                <w:tab w:val="right" w:pos="8640"/>
              </w:tabs>
              <w:spacing w:after="0" w:line="240" w:lineRule="auto"/>
              <w:ind w:left="342"/>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Transition of the current appliance recycling program to market players by a specific date could not be answered with certainty at this point. The IOUs will continue to engage the Commission and appropriate market actors on this – See Section 10(v) for more detail intervention treatment in</w:t>
            </w:r>
            <w:r w:rsidR="00513B65">
              <w:rPr>
                <w:rFonts w:ascii="Times New Roman" w:hAnsi="Times New Roman"/>
              </w:rPr>
              <w:t xml:space="preserve"> the short-mid and long terms. </w:t>
            </w: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10(v)</w:t>
            </w:r>
          </w:p>
        </w:tc>
      </w:tr>
      <w:tr w:rsidR="00513B47" w:rsidRPr="00F50F8B" w:rsidTr="00657138">
        <w:tc>
          <w:tcPr>
            <w:tcW w:w="3690" w:type="dxa"/>
          </w:tcPr>
          <w:p w:rsidR="00513B47"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eastAsia="Times New Roman" w:hAnsi="Times New Roman"/>
              </w:rPr>
            </w:pPr>
            <w:r w:rsidRPr="00600E6F">
              <w:rPr>
                <w:rFonts w:ascii="Times New Roman" w:hAnsi="Times New Roman"/>
              </w:rPr>
              <w:t>Highest Standard of Recycling: Require ARP participating recyclers to comply with highest standards of recycling, including for GHG emissions in refrigerants and foam insulation - (FD, page 207).</w:t>
            </w:r>
          </w:p>
          <w:p w:rsidR="00F94DB4" w:rsidRPr="00600E6F" w:rsidRDefault="00F94DB4" w:rsidP="00C31CC0">
            <w:pPr>
              <w:pStyle w:val="ListParagraph"/>
              <w:tabs>
                <w:tab w:val="center" w:pos="342"/>
                <w:tab w:val="right" w:pos="8640"/>
              </w:tabs>
              <w:spacing w:after="0" w:line="240" w:lineRule="auto"/>
              <w:ind w:left="342"/>
              <w:contextualSpacing w:val="0"/>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lastRenderedPageBreak/>
              <w:t>Continue to require all participating recycling service providers to comply with the EPA RAD (Responsible Appliance Disposal) guidance.</w:t>
            </w:r>
          </w:p>
          <w:p w:rsidR="00513B47" w:rsidRPr="00600E6F" w:rsidRDefault="00513B47" w:rsidP="003408F4">
            <w:pPr>
              <w:spacing w:after="0" w:line="240" w:lineRule="auto"/>
              <w:rPr>
                <w:rFonts w:ascii="Times New Roman" w:hAnsi="Times New Roman"/>
              </w:rPr>
            </w:pP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10(iv, v)</w:t>
            </w:r>
          </w:p>
        </w:tc>
      </w:tr>
      <w:tr w:rsidR="00513B47" w:rsidRPr="00F50F8B" w:rsidTr="00657138">
        <w:tc>
          <w:tcPr>
            <w:tcW w:w="3690" w:type="dxa"/>
          </w:tcPr>
          <w:p w:rsidR="00513B47" w:rsidRPr="00600E6F" w:rsidRDefault="00513B47" w:rsidP="00C31CC0">
            <w:pPr>
              <w:pStyle w:val="ListParagraph"/>
              <w:numPr>
                <w:ilvl w:val="5"/>
                <w:numId w:val="110"/>
              </w:numPr>
              <w:tabs>
                <w:tab w:val="center" w:pos="342"/>
                <w:tab w:val="right" w:pos="8640"/>
              </w:tabs>
              <w:spacing w:after="0" w:line="240" w:lineRule="auto"/>
              <w:ind w:left="342" w:hanging="342"/>
              <w:contextualSpacing w:val="0"/>
              <w:rPr>
                <w:rFonts w:ascii="Times New Roman" w:eastAsia="Times New Roman" w:hAnsi="Times New Roman"/>
              </w:rPr>
            </w:pPr>
            <w:r w:rsidRPr="00600E6F">
              <w:rPr>
                <w:rFonts w:ascii="Times New Roman" w:hAnsi="Times New Roman"/>
              </w:rPr>
              <w:lastRenderedPageBreak/>
              <w:t>Properly Target Multifamily Residences: Develop new recycling approaches for the multifamily sector, including a bulk exchange approach - (FD, page 207).</w:t>
            </w:r>
          </w:p>
          <w:p w:rsidR="00513B47" w:rsidRPr="00600E6F" w:rsidRDefault="00513B47" w:rsidP="003408F4">
            <w:pPr>
              <w:pStyle w:val="ListParagraph"/>
              <w:tabs>
                <w:tab w:val="center" w:pos="4320"/>
                <w:tab w:val="right" w:pos="8640"/>
              </w:tabs>
              <w:spacing w:after="0" w:line="240" w:lineRule="auto"/>
              <w:ind w:left="342"/>
              <w:rPr>
                <w:rFonts w:ascii="Times New Roman" w:hAnsi="Times New Roman"/>
              </w:rPr>
            </w:pPr>
          </w:p>
        </w:tc>
        <w:tc>
          <w:tcPr>
            <w:tcW w:w="459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Offer bulk pickups (at reduced recycling costs) and explore adding new program element to include appliance exchange program.</w:t>
            </w:r>
          </w:p>
          <w:p w:rsidR="00513B47" w:rsidRPr="00600E6F" w:rsidRDefault="00513B47" w:rsidP="003408F4">
            <w:pPr>
              <w:spacing w:after="0" w:line="240" w:lineRule="auto"/>
              <w:rPr>
                <w:rFonts w:ascii="Times New Roman" w:hAnsi="Times New Roman"/>
              </w:rPr>
            </w:pPr>
          </w:p>
        </w:tc>
        <w:tc>
          <w:tcPr>
            <w:tcW w:w="1440" w:type="dxa"/>
          </w:tcPr>
          <w:p w:rsidR="00513B47" w:rsidRPr="00600E6F" w:rsidRDefault="00513B47" w:rsidP="003408F4">
            <w:pPr>
              <w:spacing w:after="0" w:line="240" w:lineRule="auto"/>
              <w:rPr>
                <w:rFonts w:ascii="Times New Roman" w:hAnsi="Times New Roman"/>
              </w:rPr>
            </w:pPr>
            <w:r w:rsidRPr="00600E6F">
              <w:rPr>
                <w:rFonts w:ascii="Times New Roman" w:hAnsi="Times New Roman"/>
              </w:rPr>
              <w:t>Section 10(v)</w:t>
            </w:r>
          </w:p>
        </w:tc>
      </w:tr>
    </w:tbl>
    <w:p w:rsidR="00513B47" w:rsidRPr="00600E6F" w:rsidRDefault="00513B47" w:rsidP="003408F4">
      <w:pPr>
        <w:spacing w:after="0" w:line="240" w:lineRule="auto"/>
        <w:ind w:left="360" w:hanging="360"/>
        <w:rPr>
          <w:rFonts w:ascii="Times New Roman" w:hAnsi="Times New Roman"/>
          <w:b/>
          <w:sz w:val="24"/>
        </w:rPr>
      </w:pPr>
    </w:p>
    <w:p w:rsidR="00513B47" w:rsidRPr="00F50F8B" w:rsidRDefault="00513B47" w:rsidP="00A05269">
      <w:pPr>
        <w:spacing w:after="0" w:line="240" w:lineRule="auto"/>
        <w:rPr>
          <w:rFonts w:cs="Calibri"/>
          <w:b/>
          <w:sz w:val="24"/>
          <w:szCs w:val="24"/>
        </w:rPr>
      </w:pPr>
    </w:p>
    <w:p w:rsidR="00513B47" w:rsidRPr="00600E6F" w:rsidRDefault="00F94DB4" w:rsidP="00A05269">
      <w:pPr>
        <w:spacing w:after="0" w:line="240" w:lineRule="auto"/>
        <w:ind w:left="360" w:hanging="360"/>
        <w:rPr>
          <w:rFonts w:ascii="Times New Roman" w:hAnsi="Times New Roman"/>
          <w:sz w:val="24"/>
        </w:rPr>
      </w:pPr>
      <w:r>
        <w:rPr>
          <w:rFonts w:ascii="Times New Roman" w:hAnsi="Times New Roman"/>
          <w:b/>
          <w:sz w:val="24"/>
        </w:rPr>
        <w:br w:type="page"/>
      </w:r>
      <w:r w:rsidR="00E7041A" w:rsidRPr="00600E6F">
        <w:rPr>
          <w:rFonts w:ascii="Times New Roman" w:hAnsi="Times New Roman"/>
          <w:b/>
          <w:sz w:val="24"/>
        </w:rPr>
        <w:lastRenderedPageBreak/>
        <w:t>1.</w:t>
      </w:r>
      <w:r w:rsidR="00E7041A" w:rsidRPr="00600E6F">
        <w:rPr>
          <w:rFonts w:ascii="Times New Roman" w:hAnsi="Times New Roman"/>
          <w:b/>
          <w:sz w:val="24"/>
        </w:rPr>
        <w:tab/>
        <w:t>Program Name:</w:t>
      </w:r>
      <w:r w:rsidR="00E7041A" w:rsidRPr="00600E6F">
        <w:rPr>
          <w:rFonts w:ascii="Times New Roman" w:hAnsi="Times New Roman"/>
          <w:sz w:val="24"/>
        </w:rPr>
        <w:tab/>
        <w:t>Multifamily Energy Efficiency Rebate Program (MFEER)</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b/>
          <w:sz w:val="24"/>
        </w:rPr>
        <w:t>Program Type:</w:t>
      </w:r>
      <w:r w:rsidRPr="00600E6F">
        <w:rPr>
          <w:rFonts w:ascii="Times New Roman" w:hAnsi="Times New Roman"/>
          <w:sz w:val="24"/>
        </w:rPr>
        <w:tab/>
        <w:t>Core</w:t>
      </w:r>
    </w:p>
    <w:p w:rsidR="0093736E" w:rsidRPr="00600E6F" w:rsidRDefault="0093736E" w:rsidP="00600E6F">
      <w:pPr>
        <w:spacing w:after="0" w:line="240" w:lineRule="auto"/>
        <w:ind w:left="360"/>
        <w:rPr>
          <w:rFonts w:ascii="Times New Roman" w:hAnsi="Times New Roman"/>
          <w:sz w:val="24"/>
        </w:rPr>
      </w:pPr>
    </w:p>
    <w:p w:rsidR="00513B47" w:rsidRPr="00600E6F" w:rsidRDefault="00E7041A" w:rsidP="00A05269">
      <w:pPr>
        <w:tabs>
          <w:tab w:val="left" w:pos="360"/>
        </w:tabs>
        <w:spacing w:after="0" w:line="240" w:lineRule="auto"/>
        <w:rPr>
          <w:rFonts w:ascii="Times New Roman" w:hAnsi="Times New Roman"/>
          <w:b/>
          <w:sz w:val="24"/>
        </w:rPr>
      </w:pPr>
      <w:r w:rsidRPr="00600E6F">
        <w:rPr>
          <w:rFonts w:ascii="Times New Roman" w:hAnsi="Times New Roman"/>
          <w:b/>
          <w:sz w:val="24"/>
        </w:rPr>
        <w:t>2.</w:t>
      </w:r>
      <w:r w:rsidRPr="00600E6F">
        <w:rPr>
          <w:rFonts w:ascii="Times New Roman" w:hAnsi="Times New Roman"/>
          <w:b/>
          <w:sz w:val="24"/>
        </w:rPr>
        <w:tab/>
        <w:t>Projected Program Budget Table</w:t>
      </w:r>
    </w:p>
    <w:p w:rsidR="0093736E" w:rsidRPr="00600E6F" w:rsidRDefault="00513B47" w:rsidP="00600E6F">
      <w:pPr>
        <w:tabs>
          <w:tab w:val="num" w:pos="720"/>
        </w:tabs>
        <w:spacing w:after="0" w:line="240" w:lineRule="auto"/>
        <w:rPr>
          <w:rFonts w:ascii="Times New Roman" w:hAnsi="Times New Roman"/>
          <w:b/>
          <w:sz w:val="24"/>
        </w:rPr>
      </w:pPr>
      <w:r w:rsidRPr="00600E6F">
        <w:rPr>
          <w:rFonts w:ascii="Times New Roman" w:hAnsi="Times New Roman"/>
          <w:sz w:val="24"/>
        </w:rPr>
        <w:t xml:space="preserve">       </w:t>
      </w:r>
      <w:r w:rsidR="00E7041A" w:rsidRPr="00600E6F">
        <w:rPr>
          <w:rFonts w:ascii="Times New Roman" w:hAnsi="Times New Roman"/>
          <w:b/>
          <w:sz w:val="24"/>
        </w:rPr>
        <w:t xml:space="preserve">Table 1 - </w:t>
      </w:r>
      <w:r w:rsidR="00E7041A" w:rsidRPr="00600E6F">
        <w:rPr>
          <w:rFonts w:ascii="Times New Roman" w:hAnsi="Times New Roman"/>
          <w:color w:val="000000"/>
          <w:sz w:val="24"/>
        </w:rPr>
        <w:t xml:space="preserve">reference the </w:t>
      </w:r>
      <w:r w:rsidRPr="00600E6F">
        <w:rPr>
          <w:rFonts w:ascii="Times New Roman" w:hAnsi="Times New Roman"/>
          <w:color w:val="000000"/>
          <w:sz w:val="24"/>
        </w:rPr>
        <w:t>Cal</w:t>
      </w:r>
      <w:r w:rsidR="00E7041A" w:rsidRPr="00600E6F">
        <w:rPr>
          <w:rFonts w:ascii="Times New Roman" w:hAnsi="Times New Roman"/>
          <w:color w:val="000000"/>
          <w:sz w:val="24"/>
        </w:rPr>
        <w:t>SPREE for budget details</w:t>
      </w:r>
    </w:p>
    <w:p w:rsidR="00513B47" w:rsidRPr="00600E6F" w:rsidRDefault="00513B47" w:rsidP="00A05269">
      <w:pPr>
        <w:tabs>
          <w:tab w:val="num" w:pos="720"/>
        </w:tabs>
        <w:spacing w:after="0" w:line="240" w:lineRule="auto"/>
        <w:rPr>
          <w:rFonts w:ascii="Times New Roman" w:hAnsi="Times New Roman"/>
          <w:sz w:val="24"/>
        </w:rPr>
      </w:pPr>
    </w:p>
    <w:p w:rsidR="0093736E" w:rsidRPr="00600E6F" w:rsidRDefault="00E7041A" w:rsidP="00600E6F">
      <w:pPr>
        <w:spacing w:after="0" w:line="240" w:lineRule="auto"/>
        <w:rPr>
          <w:rFonts w:ascii="Times New Roman" w:hAnsi="Times New Roman"/>
          <w:b/>
          <w:sz w:val="24"/>
        </w:rPr>
      </w:pPr>
      <w:r w:rsidRPr="00600E6F">
        <w:rPr>
          <w:rFonts w:ascii="Times New Roman" w:hAnsi="Times New Roman"/>
          <w:b/>
          <w:sz w:val="24"/>
        </w:rPr>
        <w:t xml:space="preserve">3.   Projected Program Gross Impacts Table – by calendar year </w:t>
      </w:r>
    </w:p>
    <w:p w:rsidR="0093736E" w:rsidRPr="00600E6F" w:rsidRDefault="00E7041A" w:rsidP="00600E6F">
      <w:pPr>
        <w:pStyle w:val="Caption"/>
        <w:tabs>
          <w:tab w:val="left" w:pos="360"/>
        </w:tabs>
        <w:rPr>
          <w:sz w:val="24"/>
        </w:rPr>
      </w:pPr>
      <w:r w:rsidRPr="00600E6F">
        <w:rPr>
          <w:sz w:val="24"/>
        </w:rPr>
        <w:tab/>
        <w:t xml:space="preserve">Table 2 </w:t>
      </w:r>
      <w:r w:rsidRPr="00600E6F">
        <w:rPr>
          <w:b w:val="0"/>
          <w:sz w:val="24"/>
        </w:rPr>
        <w:t xml:space="preserve">- </w:t>
      </w:r>
      <w:r w:rsidRPr="00600E6F">
        <w:rPr>
          <w:b w:val="0"/>
          <w:color w:val="000000"/>
          <w:sz w:val="24"/>
        </w:rPr>
        <w:t xml:space="preserve">reference the </w:t>
      </w:r>
      <w:r w:rsidR="00513B47" w:rsidRPr="00600E6F">
        <w:rPr>
          <w:b w:val="0"/>
          <w:color w:val="000000"/>
          <w:sz w:val="24"/>
        </w:rPr>
        <w:t>Cal</w:t>
      </w:r>
      <w:r w:rsidRPr="00600E6F">
        <w:rPr>
          <w:b w:val="0"/>
          <w:color w:val="000000"/>
          <w:sz w:val="24"/>
        </w:rPr>
        <w:t>SPREE for projected gross impact details</w:t>
      </w:r>
    </w:p>
    <w:p w:rsidR="00513B47" w:rsidRPr="00600E6F" w:rsidRDefault="00513B47" w:rsidP="00A05269">
      <w:pPr>
        <w:spacing w:after="0" w:line="240" w:lineRule="auto"/>
        <w:rPr>
          <w:rFonts w:ascii="Times New Roman" w:hAnsi="Times New Roman"/>
          <w:sz w:val="24"/>
        </w:rPr>
      </w:pPr>
    </w:p>
    <w:p w:rsidR="0093736E" w:rsidRPr="00600E6F" w:rsidRDefault="00E7041A" w:rsidP="00600E6F">
      <w:pPr>
        <w:tabs>
          <w:tab w:val="left" w:pos="360"/>
        </w:tabs>
        <w:spacing w:after="0" w:line="240" w:lineRule="auto"/>
        <w:rPr>
          <w:rFonts w:ascii="Times New Roman" w:hAnsi="Times New Roman"/>
          <w:b/>
          <w:sz w:val="24"/>
        </w:rPr>
      </w:pPr>
      <w:r w:rsidRPr="00600E6F">
        <w:rPr>
          <w:rFonts w:ascii="Times New Roman" w:hAnsi="Times New Roman"/>
          <w:b/>
          <w:sz w:val="24"/>
        </w:rPr>
        <w:t>4.</w:t>
      </w:r>
      <w:r w:rsidRPr="00600E6F">
        <w:rPr>
          <w:rFonts w:ascii="Times New Roman" w:hAnsi="Times New Roman"/>
          <w:b/>
          <w:sz w:val="24"/>
        </w:rPr>
        <w:tab/>
        <w:t>Program Description</w:t>
      </w:r>
    </w:p>
    <w:p w:rsidR="00513B47" w:rsidRPr="00600E6F" w:rsidRDefault="00513B47" w:rsidP="00A05269">
      <w:pPr>
        <w:spacing w:after="0" w:line="240" w:lineRule="auto"/>
        <w:ind w:left="360"/>
        <w:rPr>
          <w:rFonts w:ascii="Times New Roman" w:hAnsi="Times New Roman"/>
          <w:b/>
          <w:sz w:val="24"/>
        </w:rPr>
      </w:pPr>
    </w:p>
    <w:p w:rsidR="00513B47" w:rsidRPr="00600E6F" w:rsidRDefault="00E7041A" w:rsidP="00A05269">
      <w:pPr>
        <w:spacing w:after="0" w:line="240" w:lineRule="auto"/>
        <w:ind w:left="360"/>
        <w:rPr>
          <w:rFonts w:ascii="Times New Roman" w:hAnsi="Times New Roman"/>
          <w:b/>
          <w:sz w:val="24"/>
        </w:rPr>
      </w:pPr>
      <w:r w:rsidRPr="00600E6F">
        <w:rPr>
          <w:rFonts w:ascii="Times New Roman" w:hAnsi="Times New Roman"/>
          <w:b/>
          <w:sz w:val="24"/>
        </w:rPr>
        <w:t>a)</w:t>
      </w:r>
      <w:r w:rsidRPr="00600E6F">
        <w:rPr>
          <w:rFonts w:ascii="Times New Roman" w:hAnsi="Times New Roman"/>
          <w:b/>
          <w:sz w:val="24"/>
        </w:rPr>
        <w:tab/>
      </w:r>
      <w:r w:rsidRPr="00600E6F">
        <w:rPr>
          <w:rFonts w:ascii="Times New Roman" w:hAnsi="Times New Roman"/>
          <w:b/>
          <w:sz w:val="24"/>
          <w:u w:val="single"/>
        </w:rPr>
        <w:t>Describe program</w:t>
      </w:r>
    </w:p>
    <w:p w:rsidR="00513B47" w:rsidRPr="00600E6F" w:rsidRDefault="00513B47" w:rsidP="00A05269">
      <w:pPr>
        <w:spacing w:after="0" w:line="240" w:lineRule="auto"/>
        <w:ind w:left="360"/>
        <w:rPr>
          <w:rFonts w:ascii="Times New Roman" w:hAnsi="Times New Roman"/>
          <w:sz w:val="24"/>
        </w:rPr>
      </w:pP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 xml:space="preserve">The MFEER is a continuation of the existing statewide program within the residential energy efficiency portfolios. In accordance with the Strategic Plan, this program advances comprehensive energy efficiency measures, including: whole house solutions, plug load efficiency, visual monitoring and displays, performance standards, local government opportunities, and DSM integration.  </w:t>
      </w:r>
    </w:p>
    <w:p w:rsidR="00513B47" w:rsidRPr="00600E6F" w:rsidRDefault="00513B47" w:rsidP="00A05269">
      <w:pPr>
        <w:spacing w:after="0" w:line="240" w:lineRule="auto"/>
        <w:ind w:left="360"/>
        <w:rPr>
          <w:rFonts w:ascii="Times New Roman" w:hAnsi="Times New Roman"/>
          <w:color w:val="000000"/>
          <w:sz w:val="24"/>
        </w:rPr>
      </w:pP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color w:val="000000"/>
          <w:sz w:val="24"/>
        </w:rPr>
        <w:t>Historically, owners and managers of multifamily properties have been less responsive to energy efficiency efforts than other residential customers.  As one of California’s largest segments, this unique market warrants additional attention and effort needed to motivate property owners and managers to actively participate in energy efficiency programs. The MFEER proposes a series of comprehensive measures designed to address systems within multifamily housing.</w:t>
      </w:r>
    </w:p>
    <w:p w:rsidR="0093736E" w:rsidRPr="00600E6F" w:rsidRDefault="0093736E" w:rsidP="00600E6F">
      <w:pPr>
        <w:autoSpaceDE w:val="0"/>
        <w:autoSpaceDN w:val="0"/>
        <w:adjustRightInd w:val="0"/>
        <w:spacing w:after="0" w:line="240" w:lineRule="auto"/>
        <w:ind w:left="360"/>
        <w:rPr>
          <w:rFonts w:ascii="Times New Roman" w:hAnsi="Times New Roman"/>
          <w:color w:val="000000"/>
          <w:sz w:val="24"/>
        </w:rPr>
      </w:pPr>
    </w:p>
    <w:p w:rsidR="0093736E" w:rsidRPr="00600E6F" w:rsidRDefault="00E7041A" w:rsidP="00600E6F">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The MFEER offers </w:t>
      </w:r>
      <w:r w:rsidR="00513B47" w:rsidRPr="00600E6F">
        <w:rPr>
          <w:rFonts w:ascii="Times New Roman" w:hAnsi="Times New Roman"/>
          <w:color w:val="000000"/>
          <w:sz w:val="24"/>
        </w:rPr>
        <w:t>a variety of incentives</w:t>
      </w:r>
      <w:r w:rsidRPr="00600E6F">
        <w:rPr>
          <w:rFonts w:ascii="Times New Roman" w:hAnsi="Times New Roman"/>
          <w:color w:val="000000"/>
          <w:sz w:val="24"/>
        </w:rPr>
        <w:t xml:space="preserve"> for energy efficient products </w:t>
      </w:r>
      <w:r w:rsidR="00513B47" w:rsidRPr="00600E6F">
        <w:rPr>
          <w:rFonts w:ascii="Times New Roman" w:hAnsi="Times New Roman"/>
          <w:color w:val="000000"/>
          <w:sz w:val="24"/>
        </w:rPr>
        <w:t xml:space="preserve">and services </w:t>
      </w:r>
      <w:r w:rsidRPr="00600E6F">
        <w:rPr>
          <w:rFonts w:ascii="Times New Roman" w:hAnsi="Times New Roman"/>
          <w:color w:val="000000"/>
          <w:sz w:val="24"/>
        </w:rPr>
        <w:t xml:space="preserve">to motivate the multifamily property owners/managers to install energy efficient products in both common and dwelling areas of multifamily complexes and common areas of mobile home parks and condominiums.  An additional objective is to heighten the energy efficiency awareness of property owners/managers and tenants.  </w:t>
      </w:r>
    </w:p>
    <w:p w:rsidR="0093736E" w:rsidRPr="00600E6F" w:rsidRDefault="0093736E" w:rsidP="00600E6F">
      <w:pPr>
        <w:autoSpaceDE w:val="0"/>
        <w:autoSpaceDN w:val="0"/>
        <w:adjustRightInd w:val="0"/>
        <w:spacing w:after="0" w:line="240" w:lineRule="auto"/>
        <w:ind w:left="360"/>
        <w:rPr>
          <w:rFonts w:ascii="Times New Roman" w:hAnsi="Times New Roman"/>
          <w:color w:val="000000"/>
          <w:sz w:val="24"/>
        </w:rPr>
      </w:pP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The creation of energy</w:t>
      </w:r>
      <w:r w:rsidRPr="00600E6F">
        <w:rPr>
          <w:rFonts w:ascii="Cambria Math" w:hAnsi="Cambria Math"/>
          <w:color w:val="000000"/>
          <w:sz w:val="24"/>
        </w:rPr>
        <w:t>‐</w:t>
      </w:r>
      <w:r w:rsidRPr="00600E6F">
        <w:rPr>
          <w:rFonts w:ascii="Times New Roman" w:hAnsi="Times New Roman"/>
          <w:color w:val="000000"/>
          <w:sz w:val="24"/>
        </w:rPr>
        <w:t xml:space="preserve">efficient complexes provides benefits beyond the direct energy savings. Through the incorporation of energy efficient measures by multifamily property owners and managers, tenant behaviors can be influenced and comfort improved. The hope is that these behaviors can contribute to a virtual cycle of energy efficiency </w:t>
      </w:r>
      <w:r w:rsidRPr="00600E6F">
        <w:rPr>
          <w:rFonts w:ascii="Cambria Math" w:hAnsi="Cambria Math"/>
          <w:color w:val="000000"/>
          <w:sz w:val="24"/>
        </w:rPr>
        <w:t>‐</w:t>
      </w:r>
      <w:r w:rsidRPr="00600E6F">
        <w:rPr>
          <w:rFonts w:ascii="Times New Roman" w:hAnsi="Times New Roman"/>
          <w:color w:val="000000"/>
          <w:sz w:val="24"/>
        </w:rPr>
        <w:t xml:space="preserve"> as tenants receive upgrades that reduce their energy costs and improve comfort, they in turn recruit and mentor other tenants.</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The MFEER </w:t>
      </w:r>
      <w:r w:rsidR="00513B47" w:rsidRPr="00600E6F">
        <w:rPr>
          <w:rFonts w:ascii="Times New Roman" w:hAnsi="Times New Roman"/>
          <w:color w:val="000000"/>
          <w:sz w:val="24"/>
        </w:rPr>
        <w:t>addresses</w:t>
      </w:r>
      <w:r w:rsidRPr="00600E6F">
        <w:rPr>
          <w:rFonts w:ascii="Times New Roman" w:hAnsi="Times New Roman"/>
          <w:color w:val="000000"/>
          <w:sz w:val="24"/>
        </w:rPr>
        <w:t xml:space="preserve"> the ongoing concern with “split incentives”, where the residents are not the owners of the property, so they lack incentive to improve their energy usage.  Similarly, the property owners do not live on-site and pay higher utility expenses due to inefficient appliances, thus lack any incentive to upgrade.  The MFEER </w:t>
      </w:r>
      <w:r w:rsidR="00513B47" w:rsidRPr="00600E6F">
        <w:rPr>
          <w:rFonts w:ascii="Times New Roman" w:hAnsi="Times New Roman"/>
          <w:color w:val="000000"/>
          <w:sz w:val="24"/>
        </w:rPr>
        <w:t>is</w:t>
      </w:r>
      <w:r w:rsidRPr="00600E6F">
        <w:rPr>
          <w:rFonts w:ascii="Times New Roman" w:hAnsi="Times New Roman"/>
          <w:color w:val="000000"/>
          <w:sz w:val="24"/>
        </w:rPr>
        <w:t xml:space="preserve"> designed to drive this customer segment toward participation by offering property owners a variety of energy efficiency measures and services.</w:t>
      </w:r>
      <w:r w:rsidRPr="00600E6F">
        <w:rPr>
          <w:rFonts w:ascii="Times New Roman" w:hAnsi="Times New Roman"/>
          <w:sz w:val="24"/>
        </w:rPr>
        <w:t xml:space="preserve"> </w:t>
      </w:r>
    </w:p>
    <w:p w:rsidR="0093736E" w:rsidRPr="00600E6F" w:rsidRDefault="0093736E" w:rsidP="00600E6F">
      <w:pPr>
        <w:autoSpaceDE w:val="0"/>
        <w:autoSpaceDN w:val="0"/>
        <w:adjustRightInd w:val="0"/>
        <w:spacing w:after="0" w:line="240" w:lineRule="auto"/>
        <w:ind w:left="360"/>
        <w:rPr>
          <w:rFonts w:ascii="Times New Roman" w:hAnsi="Times New Roman"/>
          <w:b/>
          <w:sz w:val="24"/>
        </w:rPr>
      </w:pP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b/>
          <w:sz w:val="24"/>
        </w:rPr>
        <w:lastRenderedPageBreak/>
        <w:t>Program Integration:</w:t>
      </w:r>
      <w:r w:rsidRPr="00600E6F">
        <w:rPr>
          <w:rFonts w:ascii="Times New Roman" w:hAnsi="Times New Roman"/>
          <w:sz w:val="24"/>
        </w:rPr>
        <w:t xml:space="preserve">  </w:t>
      </w:r>
      <w:r w:rsidRPr="00600E6F">
        <w:rPr>
          <w:rFonts w:ascii="Times New Roman" w:hAnsi="Times New Roman"/>
          <w:color w:val="000000"/>
          <w:sz w:val="24"/>
        </w:rPr>
        <w:t xml:space="preserve">The MFEER marketing plans include print material, direct mail campaigns, print advertisement, trade show exhibitions, </w:t>
      </w:r>
      <w:r w:rsidR="00513B47" w:rsidRPr="00600E6F">
        <w:rPr>
          <w:rFonts w:ascii="Times New Roman" w:hAnsi="Times New Roman"/>
          <w:color w:val="000000"/>
          <w:sz w:val="24"/>
        </w:rPr>
        <w:t xml:space="preserve">and </w:t>
      </w:r>
      <w:r w:rsidRPr="00600E6F">
        <w:rPr>
          <w:rFonts w:ascii="Times New Roman" w:hAnsi="Times New Roman"/>
          <w:color w:val="000000"/>
          <w:sz w:val="24"/>
        </w:rPr>
        <w:t>presentations</w:t>
      </w:r>
      <w:r w:rsidR="00513B47" w:rsidRPr="00600E6F">
        <w:rPr>
          <w:rFonts w:ascii="Times New Roman" w:hAnsi="Times New Roman"/>
          <w:color w:val="000000"/>
          <w:sz w:val="24"/>
        </w:rPr>
        <w:t xml:space="preserve"> to related target market organizations.;</w:t>
      </w:r>
      <w:r w:rsidRPr="00600E6F">
        <w:rPr>
          <w:rFonts w:ascii="Times New Roman" w:hAnsi="Times New Roman"/>
          <w:color w:val="000000"/>
          <w:sz w:val="24"/>
        </w:rPr>
        <w:t xml:space="preserve"> </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The program also links program incentives from the PLA) and coordinates with the Energy Savings Assistance Program (ESAP), Middle Income Direct Install (MIDI) Program, Multifamily Energy Upgrade California (MF EUC) Program, as well as other Energy Efficiency programs. </w:t>
      </w:r>
    </w:p>
    <w:p w:rsidR="00513B47" w:rsidRPr="00600E6F" w:rsidRDefault="00513B47" w:rsidP="00A05269">
      <w:pPr>
        <w:spacing w:after="0" w:line="240" w:lineRule="auto"/>
        <w:ind w:left="360"/>
        <w:rPr>
          <w:rFonts w:ascii="Times New Roman" w:hAnsi="Times New Roman"/>
          <w:sz w:val="24"/>
        </w:rPr>
      </w:pPr>
    </w:p>
    <w:p w:rsidR="00513B47" w:rsidRPr="00600E6F" w:rsidRDefault="00E7041A"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b/>
          <w:sz w:val="24"/>
        </w:rPr>
        <w:t xml:space="preserve">Support for </w:t>
      </w:r>
      <w:r w:rsidR="00513B47" w:rsidRPr="00600E6F">
        <w:rPr>
          <w:rFonts w:ascii="Times New Roman" w:hAnsi="Times New Roman"/>
          <w:b/>
          <w:sz w:val="24"/>
        </w:rPr>
        <w:t>ESAP Qualifying</w:t>
      </w:r>
      <w:r w:rsidRPr="00600E6F">
        <w:rPr>
          <w:rFonts w:ascii="Times New Roman" w:hAnsi="Times New Roman"/>
          <w:b/>
          <w:sz w:val="24"/>
        </w:rPr>
        <w:t xml:space="preserve"> and Non-</w:t>
      </w:r>
      <w:r w:rsidR="00513B47" w:rsidRPr="00600E6F">
        <w:rPr>
          <w:rFonts w:ascii="Times New Roman" w:hAnsi="Times New Roman"/>
          <w:b/>
          <w:sz w:val="24"/>
        </w:rPr>
        <w:t>ESAP</w:t>
      </w:r>
      <w:r w:rsidRPr="00600E6F">
        <w:rPr>
          <w:rFonts w:ascii="Times New Roman" w:hAnsi="Times New Roman"/>
          <w:b/>
          <w:sz w:val="24"/>
        </w:rPr>
        <w:t xml:space="preserve"> Qualifying Low Income Families</w:t>
      </w:r>
      <w:r w:rsidRPr="00600E6F">
        <w:rPr>
          <w:rFonts w:ascii="Times New Roman" w:hAnsi="Times New Roman"/>
          <w:sz w:val="24"/>
        </w:rPr>
        <w:t xml:space="preserve">:  </w:t>
      </w:r>
      <w:r w:rsidRPr="00600E6F">
        <w:rPr>
          <w:rFonts w:ascii="Times New Roman" w:hAnsi="Times New Roman"/>
          <w:color w:val="000000"/>
          <w:sz w:val="24"/>
        </w:rPr>
        <w:t xml:space="preserve">To make property owners/managers aware of income-qualified services available to tenants, the MFEER promotes the </w:t>
      </w:r>
      <w:r w:rsidR="00513B47" w:rsidRPr="00600E6F">
        <w:rPr>
          <w:rFonts w:ascii="Times New Roman" w:hAnsi="Times New Roman"/>
          <w:color w:val="000000"/>
          <w:sz w:val="24"/>
        </w:rPr>
        <w:t>ESA Program</w:t>
      </w:r>
      <w:r w:rsidRPr="00600E6F">
        <w:rPr>
          <w:rFonts w:ascii="Times New Roman" w:hAnsi="Times New Roman"/>
          <w:color w:val="000000"/>
          <w:sz w:val="24"/>
        </w:rPr>
        <w:t xml:space="preserve"> within the customer application</w:t>
      </w:r>
      <w:r w:rsidR="00513B47" w:rsidRPr="00600E6F">
        <w:rPr>
          <w:rFonts w:ascii="Times New Roman" w:hAnsi="Times New Roman"/>
          <w:color w:val="000000"/>
          <w:sz w:val="24"/>
        </w:rPr>
        <w:t xml:space="preserve"> and outreach efforts</w:t>
      </w:r>
      <w:r w:rsidRPr="00600E6F">
        <w:rPr>
          <w:rFonts w:ascii="Times New Roman" w:hAnsi="Times New Roman"/>
          <w:color w:val="000000"/>
          <w:sz w:val="24"/>
        </w:rPr>
        <w:t xml:space="preserve">. </w:t>
      </w:r>
      <w:r w:rsidRPr="00600E6F">
        <w:rPr>
          <w:rFonts w:ascii="Times New Roman" w:hAnsi="Times New Roman"/>
          <w:sz w:val="24"/>
        </w:rPr>
        <w:t>The MFEER will work with municipal entities to support AB811 to serve the needs of non-</w:t>
      </w:r>
      <w:r w:rsidR="00513B47" w:rsidRPr="00600E6F">
        <w:rPr>
          <w:rFonts w:ascii="Times New Roman" w:hAnsi="Times New Roman"/>
          <w:sz w:val="24"/>
        </w:rPr>
        <w:t>ESAP</w:t>
      </w:r>
      <w:r w:rsidRPr="00600E6F">
        <w:rPr>
          <w:rFonts w:ascii="Times New Roman" w:hAnsi="Times New Roman"/>
          <w:sz w:val="24"/>
        </w:rPr>
        <w:t xml:space="preserve"> qualifying low income families while still adhering to MFEER’s program design.</w:t>
      </w:r>
    </w:p>
    <w:p w:rsidR="0093736E" w:rsidRPr="00600E6F" w:rsidRDefault="0093736E" w:rsidP="00600E6F">
      <w:pPr>
        <w:tabs>
          <w:tab w:val="num" w:pos="720"/>
        </w:tabs>
        <w:spacing w:after="0" w:line="240" w:lineRule="auto"/>
        <w:rPr>
          <w:rFonts w:ascii="Times New Roman" w:hAnsi="Times New Roman"/>
          <w:sz w:val="24"/>
        </w:rPr>
      </w:pPr>
    </w:p>
    <w:p w:rsidR="0093736E" w:rsidRPr="00600E6F" w:rsidRDefault="00E7041A" w:rsidP="00600E6F">
      <w:pPr>
        <w:spacing w:after="0" w:line="240" w:lineRule="auto"/>
        <w:ind w:left="360"/>
        <w:rPr>
          <w:rFonts w:ascii="Times New Roman" w:hAnsi="Times New Roman"/>
          <w:b/>
          <w:sz w:val="24"/>
        </w:rPr>
      </w:pPr>
      <w:r w:rsidRPr="00600E6F">
        <w:rPr>
          <w:rFonts w:ascii="Times New Roman" w:hAnsi="Times New Roman"/>
          <w:b/>
          <w:sz w:val="24"/>
        </w:rPr>
        <w:t>b)</w:t>
      </w:r>
      <w:r w:rsidRPr="00600E6F">
        <w:rPr>
          <w:rFonts w:ascii="Times New Roman" w:hAnsi="Times New Roman"/>
          <w:b/>
          <w:sz w:val="24"/>
        </w:rPr>
        <w:tab/>
      </w:r>
      <w:r w:rsidRPr="00600E6F">
        <w:rPr>
          <w:rFonts w:ascii="Times New Roman" w:hAnsi="Times New Roman"/>
          <w:b/>
          <w:sz w:val="24"/>
          <w:u w:val="single"/>
        </w:rPr>
        <w:t>List measures</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Measures and services to reduce energy usage may include, but are not limited to, the following:</w:t>
      </w:r>
    </w:p>
    <w:p w:rsidR="0093736E" w:rsidRPr="00600E6F" w:rsidRDefault="0093736E" w:rsidP="00600E6F">
      <w:pPr>
        <w:spacing w:after="0" w:line="240" w:lineRule="auto"/>
        <w:ind w:left="720"/>
        <w:rPr>
          <w:rFonts w:ascii="Times New Roman" w:hAnsi="Times New Roman"/>
          <w:b/>
          <w:sz w:val="24"/>
        </w:rPr>
      </w:pPr>
    </w:p>
    <w:p w:rsidR="00513B47" w:rsidRPr="00600E6F" w:rsidRDefault="00513B47" w:rsidP="00A05269">
      <w:pPr>
        <w:spacing w:after="0" w:line="240" w:lineRule="auto"/>
        <w:ind w:left="720"/>
        <w:rPr>
          <w:rFonts w:ascii="Times New Roman" w:hAnsi="Times New Roman"/>
          <w:b/>
          <w:sz w:val="24"/>
        </w:rPr>
      </w:pPr>
      <w:r w:rsidRPr="00600E6F">
        <w:rPr>
          <w:rFonts w:ascii="Times New Roman" w:hAnsi="Times New Roman"/>
          <w:b/>
          <w:sz w:val="24"/>
        </w:rPr>
        <w:t>Lighting</w:t>
      </w:r>
    </w:p>
    <w:p w:rsidR="0093736E" w:rsidRPr="00600E6F" w:rsidRDefault="00E7041A" w:rsidP="00C31CC0">
      <w:pPr>
        <w:numPr>
          <w:ilvl w:val="0"/>
          <w:numId w:val="87"/>
        </w:numPr>
        <w:spacing w:after="0" w:line="240" w:lineRule="auto"/>
        <w:rPr>
          <w:rStyle w:val="Heading4Char"/>
          <w:b w:val="0"/>
          <w:sz w:val="24"/>
        </w:rPr>
      </w:pPr>
      <w:r w:rsidRPr="00600E6F">
        <w:rPr>
          <w:rStyle w:val="Heading4Char"/>
          <w:b w:val="0"/>
          <w:sz w:val="24"/>
        </w:rPr>
        <w:t>Screw-in CFL Reflector bulbs (ENERGY STAR® Qualified)</w:t>
      </w:r>
    </w:p>
    <w:p w:rsidR="00513B47" w:rsidRPr="00600E6F" w:rsidRDefault="00513B47" w:rsidP="00C31CC0">
      <w:pPr>
        <w:pStyle w:val="ListParagraph"/>
        <w:numPr>
          <w:ilvl w:val="0"/>
          <w:numId w:val="87"/>
        </w:numPr>
        <w:spacing w:after="0" w:line="240" w:lineRule="auto"/>
        <w:contextualSpacing w:val="0"/>
        <w:rPr>
          <w:rFonts w:ascii="Times New Roman" w:hAnsi="Times New Roman"/>
          <w:sz w:val="24"/>
        </w:rPr>
      </w:pPr>
      <w:r w:rsidRPr="00600E6F">
        <w:rPr>
          <w:rFonts w:ascii="Times New Roman" w:hAnsi="Times New Roman"/>
          <w:sz w:val="24"/>
        </w:rPr>
        <w:t>Interior LED Lamps</w:t>
      </w:r>
    </w:p>
    <w:p w:rsidR="0093736E" w:rsidRPr="00600E6F" w:rsidRDefault="00E7041A" w:rsidP="00C31CC0">
      <w:pPr>
        <w:numPr>
          <w:ilvl w:val="0"/>
          <w:numId w:val="87"/>
        </w:numPr>
        <w:spacing w:after="0" w:line="240" w:lineRule="auto"/>
        <w:rPr>
          <w:rStyle w:val="Heading4Char"/>
          <w:b w:val="0"/>
          <w:sz w:val="24"/>
        </w:rPr>
      </w:pPr>
      <w:r w:rsidRPr="00600E6F">
        <w:rPr>
          <w:rStyle w:val="Heading4Char"/>
          <w:b w:val="0"/>
          <w:sz w:val="24"/>
        </w:rPr>
        <w:t>Interior CFL Fixtures (ENERGY STAR® Qualified)</w:t>
      </w:r>
    </w:p>
    <w:p w:rsidR="0093736E" w:rsidRPr="00600E6F" w:rsidRDefault="00E7041A" w:rsidP="00C31CC0">
      <w:pPr>
        <w:numPr>
          <w:ilvl w:val="0"/>
          <w:numId w:val="87"/>
        </w:numPr>
        <w:spacing w:after="0" w:line="240" w:lineRule="auto"/>
        <w:rPr>
          <w:rStyle w:val="Heading4Char"/>
          <w:b w:val="0"/>
          <w:sz w:val="24"/>
        </w:rPr>
      </w:pPr>
      <w:r w:rsidRPr="00600E6F">
        <w:rPr>
          <w:rStyle w:val="Heading4Char"/>
          <w:b w:val="0"/>
          <w:sz w:val="24"/>
        </w:rPr>
        <w:t>T5 or Lamps w/electronic ballasts</w:t>
      </w:r>
    </w:p>
    <w:p w:rsidR="0093736E" w:rsidRPr="00600E6F" w:rsidRDefault="00E7041A" w:rsidP="00C31CC0">
      <w:pPr>
        <w:numPr>
          <w:ilvl w:val="0"/>
          <w:numId w:val="87"/>
        </w:numPr>
        <w:spacing w:after="0" w:line="240" w:lineRule="auto"/>
        <w:rPr>
          <w:rStyle w:val="Heading4Char"/>
          <w:b w:val="0"/>
          <w:sz w:val="24"/>
        </w:rPr>
      </w:pPr>
      <w:r w:rsidRPr="00600E6F">
        <w:rPr>
          <w:rStyle w:val="Heading4Char"/>
          <w:b w:val="0"/>
          <w:sz w:val="24"/>
        </w:rPr>
        <w:t>Exterior CFL fixtures (ENERGY STAR® Qualified)</w:t>
      </w:r>
    </w:p>
    <w:p w:rsidR="00513B47" w:rsidRPr="00600E6F" w:rsidRDefault="00513B47" w:rsidP="00C31CC0">
      <w:pPr>
        <w:pStyle w:val="ListParagraph"/>
        <w:numPr>
          <w:ilvl w:val="0"/>
          <w:numId w:val="87"/>
        </w:numPr>
        <w:spacing w:after="0" w:line="240" w:lineRule="auto"/>
        <w:contextualSpacing w:val="0"/>
        <w:rPr>
          <w:rFonts w:ascii="Times New Roman" w:hAnsi="Times New Roman"/>
          <w:sz w:val="24"/>
        </w:rPr>
      </w:pPr>
      <w:r w:rsidRPr="00600E6F">
        <w:rPr>
          <w:rFonts w:ascii="Times New Roman" w:hAnsi="Times New Roman"/>
          <w:sz w:val="24"/>
        </w:rPr>
        <w:t xml:space="preserve">Exterior LED lamps </w:t>
      </w:r>
    </w:p>
    <w:p w:rsidR="00513B47" w:rsidRPr="00600E6F" w:rsidRDefault="00513B47" w:rsidP="00C31CC0">
      <w:pPr>
        <w:pStyle w:val="ListParagraph"/>
        <w:numPr>
          <w:ilvl w:val="0"/>
          <w:numId w:val="87"/>
        </w:numPr>
        <w:spacing w:after="0" w:line="240" w:lineRule="auto"/>
        <w:contextualSpacing w:val="0"/>
        <w:rPr>
          <w:rFonts w:ascii="Times New Roman" w:hAnsi="Times New Roman"/>
          <w:sz w:val="24"/>
        </w:rPr>
      </w:pPr>
      <w:r w:rsidRPr="00600E6F">
        <w:rPr>
          <w:rFonts w:ascii="Times New Roman" w:hAnsi="Times New Roman"/>
          <w:sz w:val="24"/>
        </w:rPr>
        <w:t>Exterior LED fixtures</w:t>
      </w:r>
    </w:p>
    <w:p w:rsidR="0093736E" w:rsidRPr="00600E6F" w:rsidRDefault="00E7041A" w:rsidP="00C31CC0">
      <w:pPr>
        <w:numPr>
          <w:ilvl w:val="0"/>
          <w:numId w:val="87"/>
        </w:numPr>
        <w:spacing w:after="0" w:line="240" w:lineRule="auto"/>
        <w:rPr>
          <w:rStyle w:val="Heading4Char"/>
          <w:b w:val="0"/>
          <w:sz w:val="24"/>
        </w:rPr>
      </w:pPr>
      <w:r w:rsidRPr="00600E6F">
        <w:rPr>
          <w:rStyle w:val="Heading4Char"/>
          <w:b w:val="0"/>
          <w:sz w:val="24"/>
        </w:rPr>
        <w:t>Occupancy sensors</w:t>
      </w:r>
    </w:p>
    <w:p w:rsidR="0093736E" w:rsidRPr="00600E6F" w:rsidRDefault="00E7041A" w:rsidP="00C31CC0">
      <w:pPr>
        <w:numPr>
          <w:ilvl w:val="0"/>
          <w:numId w:val="87"/>
        </w:numPr>
        <w:spacing w:after="0" w:line="240" w:lineRule="auto"/>
        <w:rPr>
          <w:rStyle w:val="Heading4Char"/>
          <w:b w:val="0"/>
          <w:sz w:val="24"/>
        </w:rPr>
      </w:pPr>
      <w:r w:rsidRPr="00600E6F">
        <w:rPr>
          <w:rStyle w:val="Heading4Char"/>
          <w:b w:val="0"/>
          <w:sz w:val="24"/>
        </w:rPr>
        <w:t>Photocells</w:t>
      </w:r>
    </w:p>
    <w:p w:rsidR="0093736E" w:rsidRPr="00600E6F" w:rsidRDefault="00513B47" w:rsidP="00C31CC0">
      <w:pPr>
        <w:numPr>
          <w:ilvl w:val="0"/>
          <w:numId w:val="87"/>
        </w:numPr>
        <w:spacing w:after="0" w:line="240" w:lineRule="auto"/>
        <w:rPr>
          <w:rStyle w:val="Heading4Char"/>
          <w:b w:val="0"/>
          <w:sz w:val="24"/>
        </w:rPr>
      </w:pPr>
      <w:r w:rsidRPr="00600E6F">
        <w:rPr>
          <w:rStyle w:val="Heading4Char"/>
          <w:b w:val="0"/>
          <w:sz w:val="24"/>
        </w:rPr>
        <w:t>Ceiling Fans</w:t>
      </w:r>
      <w:r w:rsidR="00E7041A" w:rsidRPr="00600E6F">
        <w:rPr>
          <w:rStyle w:val="Heading4Char"/>
          <w:b w:val="0"/>
          <w:sz w:val="24"/>
        </w:rPr>
        <w:t xml:space="preserve"> (ENERGY STAR® Qualified)</w:t>
      </w:r>
    </w:p>
    <w:p w:rsidR="00513B47" w:rsidRPr="00600E6F" w:rsidRDefault="00513B47" w:rsidP="00C31CC0">
      <w:pPr>
        <w:pStyle w:val="ListParagraph"/>
        <w:numPr>
          <w:ilvl w:val="0"/>
          <w:numId w:val="87"/>
        </w:numPr>
        <w:spacing w:after="0" w:line="240" w:lineRule="auto"/>
        <w:contextualSpacing w:val="0"/>
        <w:rPr>
          <w:rFonts w:ascii="Times New Roman" w:hAnsi="Times New Roman"/>
          <w:sz w:val="24"/>
        </w:rPr>
      </w:pPr>
      <w:r w:rsidRPr="00600E6F">
        <w:rPr>
          <w:rFonts w:ascii="Times New Roman" w:hAnsi="Times New Roman"/>
          <w:sz w:val="24"/>
        </w:rPr>
        <w:t>LED Pool and Spa lighting</w:t>
      </w:r>
    </w:p>
    <w:p w:rsidR="00513B47" w:rsidRPr="00600E6F" w:rsidRDefault="00513B47" w:rsidP="00C31CC0">
      <w:pPr>
        <w:pStyle w:val="ListParagraph"/>
        <w:numPr>
          <w:ilvl w:val="0"/>
          <w:numId w:val="87"/>
        </w:numPr>
        <w:spacing w:after="0" w:line="240" w:lineRule="auto"/>
        <w:contextualSpacing w:val="0"/>
        <w:rPr>
          <w:rFonts w:ascii="Times New Roman" w:hAnsi="Times New Roman"/>
          <w:sz w:val="24"/>
        </w:rPr>
      </w:pPr>
      <w:r w:rsidRPr="00600E6F">
        <w:rPr>
          <w:rFonts w:ascii="Times New Roman" w:hAnsi="Times New Roman"/>
          <w:sz w:val="24"/>
        </w:rPr>
        <w:t>Vending Machine Controls</w:t>
      </w:r>
    </w:p>
    <w:p w:rsidR="00513B47" w:rsidRPr="00600E6F" w:rsidRDefault="00513B47" w:rsidP="00A05269">
      <w:pPr>
        <w:spacing w:after="0" w:line="240" w:lineRule="auto"/>
        <w:ind w:left="720"/>
        <w:rPr>
          <w:rFonts w:ascii="Times New Roman" w:hAnsi="Times New Roman"/>
          <w:b/>
          <w:sz w:val="24"/>
        </w:rPr>
      </w:pPr>
    </w:p>
    <w:p w:rsidR="00513B47" w:rsidRPr="00600E6F" w:rsidRDefault="00513B47" w:rsidP="00A05269">
      <w:pPr>
        <w:spacing w:after="0" w:line="240" w:lineRule="auto"/>
        <w:ind w:left="720"/>
        <w:rPr>
          <w:rFonts w:ascii="Times New Roman" w:hAnsi="Times New Roman"/>
          <w:b/>
          <w:sz w:val="24"/>
        </w:rPr>
      </w:pPr>
      <w:r w:rsidRPr="00600E6F">
        <w:rPr>
          <w:rFonts w:ascii="Times New Roman" w:hAnsi="Times New Roman"/>
          <w:b/>
          <w:sz w:val="24"/>
        </w:rPr>
        <w:t>Building Envelope</w:t>
      </w:r>
    </w:p>
    <w:p w:rsidR="00513B47" w:rsidRPr="00600E6F" w:rsidRDefault="00513B47" w:rsidP="00C31CC0">
      <w:pPr>
        <w:pStyle w:val="ListParagraph"/>
        <w:numPr>
          <w:ilvl w:val="0"/>
          <w:numId w:val="88"/>
        </w:numPr>
        <w:spacing w:after="0" w:line="240" w:lineRule="auto"/>
        <w:contextualSpacing w:val="0"/>
        <w:rPr>
          <w:rFonts w:ascii="Times New Roman" w:hAnsi="Times New Roman"/>
          <w:sz w:val="24"/>
        </w:rPr>
      </w:pPr>
      <w:r w:rsidRPr="00600E6F">
        <w:rPr>
          <w:rFonts w:ascii="Times New Roman" w:hAnsi="Times New Roman"/>
          <w:sz w:val="24"/>
        </w:rPr>
        <w:t>High Performance Dual-Pane Windows</w:t>
      </w:r>
    </w:p>
    <w:p w:rsidR="00513B47" w:rsidRPr="00600E6F" w:rsidRDefault="00513B47" w:rsidP="00C31CC0">
      <w:pPr>
        <w:pStyle w:val="ListParagraph"/>
        <w:numPr>
          <w:ilvl w:val="0"/>
          <w:numId w:val="88"/>
        </w:numPr>
        <w:spacing w:after="0" w:line="240" w:lineRule="auto"/>
        <w:contextualSpacing w:val="0"/>
        <w:rPr>
          <w:rFonts w:ascii="Times New Roman" w:hAnsi="Times New Roman"/>
          <w:sz w:val="24"/>
        </w:rPr>
      </w:pPr>
      <w:r w:rsidRPr="00600E6F">
        <w:rPr>
          <w:rFonts w:ascii="Times New Roman" w:hAnsi="Times New Roman"/>
          <w:sz w:val="24"/>
        </w:rPr>
        <w:t>Attic and/or wall insulation</w:t>
      </w:r>
    </w:p>
    <w:p w:rsidR="00513B47" w:rsidRPr="00600E6F" w:rsidRDefault="00513B47" w:rsidP="00A05269">
      <w:pPr>
        <w:spacing w:after="0" w:line="240" w:lineRule="auto"/>
        <w:ind w:left="720"/>
        <w:rPr>
          <w:rFonts w:ascii="Times New Roman" w:hAnsi="Times New Roman"/>
          <w:sz w:val="24"/>
        </w:rPr>
      </w:pPr>
    </w:p>
    <w:p w:rsidR="00513B47" w:rsidRPr="00600E6F" w:rsidRDefault="00513B47" w:rsidP="00A05269">
      <w:pPr>
        <w:spacing w:after="0" w:line="240" w:lineRule="auto"/>
        <w:ind w:left="720"/>
        <w:rPr>
          <w:rFonts w:ascii="Times New Roman" w:hAnsi="Times New Roman"/>
          <w:b/>
          <w:sz w:val="24"/>
        </w:rPr>
      </w:pPr>
      <w:r w:rsidRPr="00600E6F">
        <w:rPr>
          <w:rFonts w:ascii="Times New Roman" w:hAnsi="Times New Roman"/>
          <w:b/>
          <w:sz w:val="24"/>
        </w:rPr>
        <w:t>Water Heating</w:t>
      </w:r>
    </w:p>
    <w:p w:rsidR="00513B47" w:rsidRPr="00600E6F" w:rsidRDefault="00513B47" w:rsidP="00C31CC0">
      <w:pPr>
        <w:pStyle w:val="ListParagraph"/>
        <w:numPr>
          <w:ilvl w:val="0"/>
          <w:numId w:val="89"/>
        </w:numPr>
        <w:spacing w:after="0" w:line="240" w:lineRule="auto"/>
        <w:contextualSpacing w:val="0"/>
        <w:rPr>
          <w:rFonts w:ascii="Times New Roman" w:hAnsi="Times New Roman"/>
          <w:sz w:val="24"/>
        </w:rPr>
      </w:pPr>
      <w:r w:rsidRPr="00600E6F">
        <w:rPr>
          <w:rFonts w:ascii="Times New Roman" w:hAnsi="Times New Roman"/>
          <w:sz w:val="24"/>
        </w:rPr>
        <w:t>Electric storage water heaters</w:t>
      </w:r>
    </w:p>
    <w:p w:rsidR="0093736E" w:rsidRPr="00600E6F" w:rsidRDefault="00E7041A" w:rsidP="00C31CC0">
      <w:pPr>
        <w:numPr>
          <w:ilvl w:val="0"/>
          <w:numId w:val="89"/>
        </w:numPr>
        <w:spacing w:after="0" w:line="240" w:lineRule="auto"/>
        <w:rPr>
          <w:rStyle w:val="Heading4Char"/>
          <w:b w:val="0"/>
          <w:sz w:val="24"/>
        </w:rPr>
      </w:pPr>
      <w:r w:rsidRPr="00600E6F">
        <w:rPr>
          <w:rStyle w:val="Heading4Char"/>
          <w:b w:val="0"/>
          <w:sz w:val="24"/>
        </w:rPr>
        <w:t>Central system natural gas water heaters</w:t>
      </w:r>
    </w:p>
    <w:p w:rsidR="0093736E" w:rsidRPr="00600E6F" w:rsidRDefault="00E7041A" w:rsidP="00C31CC0">
      <w:pPr>
        <w:numPr>
          <w:ilvl w:val="0"/>
          <w:numId w:val="89"/>
        </w:numPr>
        <w:spacing w:after="0" w:line="240" w:lineRule="auto"/>
        <w:rPr>
          <w:rStyle w:val="Heading4Char"/>
          <w:b w:val="0"/>
          <w:sz w:val="24"/>
        </w:rPr>
      </w:pPr>
      <w:r w:rsidRPr="00600E6F">
        <w:rPr>
          <w:rStyle w:val="Heading4Char"/>
          <w:b w:val="0"/>
          <w:sz w:val="24"/>
        </w:rPr>
        <w:t>Natural gas water heater and/or boiler controllers</w:t>
      </w:r>
    </w:p>
    <w:p w:rsidR="0093736E" w:rsidRPr="00600E6F" w:rsidRDefault="00E7041A" w:rsidP="00C31CC0">
      <w:pPr>
        <w:numPr>
          <w:ilvl w:val="0"/>
          <w:numId w:val="89"/>
        </w:numPr>
        <w:spacing w:after="0" w:line="240" w:lineRule="auto"/>
        <w:rPr>
          <w:rStyle w:val="Heading4Char"/>
          <w:b w:val="0"/>
          <w:sz w:val="24"/>
        </w:rPr>
      </w:pPr>
      <w:r w:rsidRPr="00600E6F">
        <w:rPr>
          <w:rStyle w:val="Heading4Char"/>
          <w:b w:val="0"/>
          <w:sz w:val="24"/>
        </w:rPr>
        <w:t>Natural gas storage water heater</w:t>
      </w:r>
    </w:p>
    <w:p w:rsidR="00513B47" w:rsidRDefault="00513B47" w:rsidP="00A05269">
      <w:pPr>
        <w:spacing w:after="0" w:line="240" w:lineRule="auto"/>
        <w:rPr>
          <w:rFonts w:ascii="Times New Roman" w:hAnsi="Times New Roman"/>
          <w:sz w:val="24"/>
        </w:rPr>
      </w:pPr>
    </w:p>
    <w:p w:rsidR="00513B65" w:rsidRDefault="00513B65" w:rsidP="00A05269">
      <w:pPr>
        <w:spacing w:after="0" w:line="240" w:lineRule="auto"/>
        <w:rPr>
          <w:rFonts w:ascii="Times New Roman" w:hAnsi="Times New Roman"/>
          <w:sz w:val="24"/>
        </w:rPr>
      </w:pPr>
    </w:p>
    <w:p w:rsidR="00513B65" w:rsidRDefault="00513B65" w:rsidP="00A05269">
      <w:pPr>
        <w:spacing w:after="0" w:line="240" w:lineRule="auto"/>
        <w:rPr>
          <w:rFonts w:ascii="Times New Roman" w:hAnsi="Times New Roman"/>
          <w:sz w:val="24"/>
        </w:rPr>
      </w:pPr>
    </w:p>
    <w:p w:rsidR="00421BBD" w:rsidRPr="00600E6F" w:rsidRDefault="00421BBD" w:rsidP="00A05269">
      <w:pPr>
        <w:spacing w:after="0" w:line="240" w:lineRule="auto"/>
        <w:rPr>
          <w:rFonts w:ascii="Times New Roman" w:hAnsi="Times New Roman"/>
          <w:sz w:val="24"/>
        </w:rPr>
      </w:pPr>
    </w:p>
    <w:p w:rsidR="00513B47" w:rsidRPr="00600E6F" w:rsidRDefault="00513B47" w:rsidP="00A05269">
      <w:pPr>
        <w:spacing w:after="0" w:line="240" w:lineRule="auto"/>
        <w:ind w:left="720"/>
        <w:rPr>
          <w:rFonts w:ascii="Times New Roman" w:hAnsi="Times New Roman"/>
          <w:b/>
          <w:sz w:val="24"/>
        </w:rPr>
      </w:pPr>
      <w:r w:rsidRPr="00600E6F">
        <w:rPr>
          <w:rFonts w:ascii="Times New Roman" w:hAnsi="Times New Roman"/>
          <w:b/>
          <w:sz w:val="24"/>
        </w:rPr>
        <w:lastRenderedPageBreak/>
        <w:t>HVAC</w:t>
      </w:r>
    </w:p>
    <w:p w:rsidR="00513B47" w:rsidRPr="00600E6F" w:rsidRDefault="00513B47" w:rsidP="00C31CC0">
      <w:pPr>
        <w:pStyle w:val="ListParagraph"/>
        <w:numPr>
          <w:ilvl w:val="0"/>
          <w:numId w:val="90"/>
        </w:numPr>
        <w:spacing w:after="0" w:line="240" w:lineRule="auto"/>
        <w:contextualSpacing w:val="0"/>
        <w:rPr>
          <w:rFonts w:ascii="Times New Roman" w:hAnsi="Times New Roman"/>
          <w:sz w:val="24"/>
        </w:rPr>
      </w:pPr>
      <w:r w:rsidRPr="00600E6F">
        <w:rPr>
          <w:rFonts w:ascii="Times New Roman" w:hAnsi="Times New Roman"/>
          <w:sz w:val="24"/>
        </w:rPr>
        <w:t>Package terminal air conditioners &amp; heat pumps</w:t>
      </w:r>
    </w:p>
    <w:p w:rsidR="00513B47" w:rsidRPr="00600E6F" w:rsidRDefault="00513B47" w:rsidP="00C31CC0">
      <w:pPr>
        <w:pStyle w:val="ListParagraph"/>
        <w:numPr>
          <w:ilvl w:val="0"/>
          <w:numId w:val="90"/>
        </w:numPr>
        <w:spacing w:after="0" w:line="240" w:lineRule="auto"/>
        <w:contextualSpacing w:val="0"/>
        <w:rPr>
          <w:rFonts w:ascii="Times New Roman" w:hAnsi="Times New Roman"/>
          <w:sz w:val="24"/>
        </w:rPr>
      </w:pPr>
      <w:r w:rsidRPr="00600E6F">
        <w:rPr>
          <w:rFonts w:ascii="Times New Roman" w:hAnsi="Times New Roman"/>
          <w:sz w:val="24"/>
        </w:rPr>
        <w:t>Unitary AC Units</w:t>
      </w:r>
    </w:p>
    <w:p w:rsidR="00513B47" w:rsidRPr="00600E6F" w:rsidRDefault="00513B47" w:rsidP="00C31CC0">
      <w:pPr>
        <w:pStyle w:val="ListParagraph"/>
        <w:numPr>
          <w:ilvl w:val="0"/>
          <w:numId w:val="90"/>
        </w:numPr>
        <w:spacing w:after="0" w:line="240" w:lineRule="auto"/>
        <w:contextualSpacing w:val="0"/>
        <w:rPr>
          <w:rFonts w:ascii="Times New Roman" w:hAnsi="Times New Roman"/>
          <w:sz w:val="24"/>
        </w:rPr>
      </w:pPr>
      <w:r w:rsidRPr="00600E6F">
        <w:rPr>
          <w:rFonts w:ascii="Times New Roman" w:hAnsi="Times New Roman"/>
          <w:sz w:val="24"/>
        </w:rPr>
        <w:t>HVAC Quality Maintenance</w:t>
      </w:r>
    </w:p>
    <w:p w:rsidR="00513B47" w:rsidRPr="00600E6F" w:rsidRDefault="00513B47" w:rsidP="00C31CC0">
      <w:pPr>
        <w:pStyle w:val="ListParagraph"/>
        <w:numPr>
          <w:ilvl w:val="0"/>
          <w:numId w:val="90"/>
        </w:numPr>
        <w:spacing w:after="0" w:line="240" w:lineRule="auto"/>
        <w:contextualSpacing w:val="0"/>
        <w:rPr>
          <w:rFonts w:ascii="Times New Roman" w:hAnsi="Times New Roman"/>
          <w:sz w:val="24"/>
        </w:rPr>
      </w:pPr>
      <w:r w:rsidRPr="00600E6F">
        <w:rPr>
          <w:rFonts w:ascii="Times New Roman" w:hAnsi="Times New Roman"/>
          <w:sz w:val="24"/>
        </w:rPr>
        <w:t>Brushless Fan Motor for Central AC</w:t>
      </w:r>
    </w:p>
    <w:p w:rsidR="00513B47" w:rsidRPr="00600E6F" w:rsidRDefault="00513B47" w:rsidP="00C31CC0">
      <w:pPr>
        <w:pStyle w:val="ListParagraph"/>
        <w:numPr>
          <w:ilvl w:val="0"/>
          <w:numId w:val="90"/>
        </w:numPr>
        <w:spacing w:after="0" w:line="240" w:lineRule="auto"/>
        <w:contextualSpacing w:val="0"/>
        <w:rPr>
          <w:rFonts w:ascii="Times New Roman" w:hAnsi="Times New Roman"/>
          <w:sz w:val="24"/>
        </w:rPr>
      </w:pPr>
      <w:r w:rsidRPr="00600E6F">
        <w:rPr>
          <w:rFonts w:ascii="Times New Roman" w:hAnsi="Times New Roman"/>
          <w:sz w:val="24"/>
        </w:rPr>
        <w:t>Evaporative Coolers</w:t>
      </w:r>
    </w:p>
    <w:p w:rsidR="00513B47" w:rsidRPr="00600E6F" w:rsidRDefault="00513B47" w:rsidP="00C31CC0">
      <w:pPr>
        <w:pStyle w:val="ListParagraph"/>
        <w:numPr>
          <w:ilvl w:val="0"/>
          <w:numId w:val="90"/>
        </w:numPr>
        <w:spacing w:after="0" w:line="240" w:lineRule="auto"/>
        <w:contextualSpacing w:val="0"/>
        <w:rPr>
          <w:rFonts w:ascii="Times New Roman" w:hAnsi="Times New Roman"/>
          <w:sz w:val="24"/>
        </w:rPr>
      </w:pPr>
      <w:r w:rsidRPr="00600E6F">
        <w:rPr>
          <w:rFonts w:ascii="Times New Roman" w:hAnsi="Times New Roman"/>
          <w:sz w:val="24"/>
        </w:rPr>
        <w:t>Programmable Thermostats</w:t>
      </w:r>
    </w:p>
    <w:p w:rsidR="00513B47" w:rsidRPr="00600E6F" w:rsidRDefault="00513B47" w:rsidP="00A05269">
      <w:pPr>
        <w:spacing w:after="0" w:line="240" w:lineRule="auto"/>
        <w:ind w:left="720"/>
        <w:rPr>
          <w:rFonts w:ascii="Times New Roman" w:hAnsi="Times New Roman"/>
          <w:sz w:val="24"/>
        </w:rPr>
      </w:pPr>
    </w:p>
    <w:p w:rsidR="00513B47" w:rsidRPr="00600E6F" w:rsidRDefault="00513B47" w:rsidP="00A05269">
      <w:pPr>
        <w:spacing w:after="0" w:line="240" w:lineRule="auto"/>
        <w:ind w:left="720"/>
        <w:rPr>
          <w:rFonts w:ascii="Times New Roman" w:hAnsi="Times New Roman"/>
          <w:b/>
          <w:sz w:val="24"/>
        </w:rPr>
      </w:pPr>
      <w:r w:rsidRPr="00600E6F">
        <w:rPr>
          <w:rFonts w:ascii="Times New Roman" w:hAnsi="Times New Roman"/>
          <w:b/>
          <w:sz w:val="24"/>
        </w:rPr>
        <w:t>Appliances</w:t>
      </w:r>
    </w:p>
    <w:p w:rsidR="00513B47" w:rsidRPr="00600E6F" w:rsidRDefault="00513B47" w:rsidP="00C31CC0">
      <w:pPr>
        <w:pStyle w:val="ListParagraph"/>
        <w:numPr>
          <w:ilvl w:val="0"/>
          <w:numId w:val="91"/>
        </w:numPr>
        <w:spacing w:after="0" w:line="240" w:lineRule="auto"/>
        <w:contextualSpacing w:val="0"/>
        <w:rPr>
          <w:rFonts w:ascii="Times New Roman" w:hAnsi="Times New Roman"/>
          <w:sz w:val="24"/>
        </w:rPr>
      </w:pPr>
      <w:r w:rsidRPr="00600E6F">
        <w:rPr>
          <w:rFonts w:ascii="Times New Roman" w:hAnsi="Times New Roman"/>
          <w:sz w:val="24"/>
        </w:rPr>
        <w:t>Refrigerators (ENERGY STAR® Qualified)</w:t>
      </w:r>
    </w:p>
    <w:p w:rsidR="00513B47" w:rsidRPr="00600E6F" w:rsidRDefault="00513B47" w:rsidP="00C31CC0">
      <w:pPr>
        <w:pStyle w:val="ListParagraph"/>
        <w:numPr>
          <w:ilvl w:val="0"/>
          <w:numId w:val="91"/>
        </w:numPr>
        <w:spacing w:after="0" w:line="240" w:lineRule="auto"/>
        <w:contextualSpacing w:val="0"/>
        <w:rPr>
          <w:rFonts w:ascii="Times New Roman" w:hAnsi="Times New Roman"/>
          <w:sz w:val="24"/>
        </w:rPr>
      </w:pPr>
      <w:r w:rsidRPr="00600E6F">
        <w:rPr>
          <w:rFonts w:ascii="Times New Roman" w:hAnsi="Times New Roman"/>
          <w:sz w:val="24"/>
        </w:rPr>
        <w:t>High-efficiency Clothes Washers</w:t>
      </w:r>
    </w:p>
    <w:p w:rsidR="00513B47" w:rsidRPr="00600E6F" w:rsidRDefault="00513B47" w:rsidP="00C31CC0">
      <w:pPr>
        <w:pStyle w:val="ListParagraph"/>
        <w:numPr>
          <w:ilvl w:val="0"/>
          <w:numId w:val="91"/>
        </w:numPr>
        <w:spacing w:after="0" w:line="240" w:lineRule="auto"/>
        <w:contextualSpacing w:val="0"/>
        <w:rPr>
          <w:rFonts w:ascii="Times New Roman" w:hAnsi="Times New Roman"/>
          <w:sz w:val="24"/>
        </w:rPr>
      </w:pPr>
      <w:r w:rsidRPr="00600E6F">
        <w:rPr>
          <w:rFonts w:ascii="Times New Roman" w:hAnsi="Times New Roman"/>
          <w:sz w:val="24"/>
        </w:rPr>
        <w:t>High-efficiency Dishwasher</w:t>
      </w:r>
    </w:p>
    <w:p w:rsidR="0093736E" w:rsidRPr="00600E6F" w:rsidRDefault="00E7041A" w:rsidP="00C31CC0">
      <w:pPr>
        <w:numPr>
          <w:ilvl w:val="0"/>
          <w:numId w:val="91"/>
        </w:numPr>
        <w:spacing w:after="0" w:line="240" w:lineRule="auto"/>
        <w:rPr>
          <w:rStyle w:val="Heading4Char"/>
          <w:b w:val="0"/>
          <w:sz w:val="24"/>
        </w:rPr>
      </w:pPr>
      <w:r w:rsidRPr="00600E6F">
        <w:rPr>
          <w:rStyle w:val="Heading4Char"/>
          <w:b w:val="0"/>
          <w:sz w:val="24"/>
        </w:rPr>
        <w:t>Central natural gas furnace</w:t>
      </w:r>
    </w:p>
    <w:p w:rsidR="00513B47" w:rsidRPr="00600E6F" w:rsidRDefault="00513B47" w:rsidP="00C31CC0">
      <w:pPr>
        <w:pStyle w:val="ListParagraph"/>
        <w:numPr>
          <w:ilvl w:val="0"/>
          <w:numId w:val="91"/>
        </w:numPr>
        <w:spacing w:after="0" w:line="240" w:lineRule="auto"/>
        <w:contextualSpacing w:val="0"/>
        <w:rPr>
          <w:rFonts w:ascii="Times New Roman" w:hAnsi="Times New Roman"/>
          <w:sz w:val="24"/>
        </w:rPr>
      </w:pPr>
      <w:r w:rsidRPr="00600E6F">
        <w:rPr>
          <w:rFonts w:ascii="Times New Roman" w:hAnsi="Times New Roman"/>
          <w:sz w:val="24"/>
        </w:rPr>
        <w:t>Cold Water Clothes Washers</w:t>
      </w:r>
    </w:p>
    <w:p w:rsidR="00513B47" w:rsidRPr="00600E6F" w:rsidRDefault="00513B47" w:rsidP="00A05269">
      <w:pPr>
        <w:spacing w:after="0" w:line="240" w:lineRule="auto"/>
        <w:ind w:left="720"/>
        <w:rPr>
          <w:rFonts w:ascii="Times New Roman" w:hAnsi="Times New Roman"/>
          <w:sz w:val="24"/>
        </w:rPr>
      </w:pPr>
    </w:p>
    <w:p w:rsidR="00513B47" w:rsidRPr="00600E6F" w:rsidRDefault="00513B47" w:rsidP="00A05269">
      <w:pPr>
        <w:spacing w:after="0" w:line="240" w:lineRule="auto"/>
        <w:ind w:left="720"/>
        <w:rPr>
          <w:rFonts w:ascii="Times New Roman" w:hAnsi="Times New Roman"/>
          <w:b/>
          <w:sz w:val="24"/>
        </w:rPr>
      </w:pPr>
      <w:r w:rsidRPr="00600E6F">
        <w:rPr>
          <w:rFonts w:ascii="Times New Roman" w:hAnsi="Times New Roman"/>
          <w:b/>
          <w:sz w:val="24"/>
        </w:rPr>
        <w:t>Pumping</w:t>
      </w:r>
    </w:p>
    <w:p w:rsidR="00513B47" w:rsidRPr="00600E6F" w:rsidRDefault="00513B47" w:rsidP="00C31CC0">
      <w:pPr>
        <w:pStyle w:val="ListParagraph"/>
        <w:numPr>
          <w:ilvl w:val="0"/>
          <w:numId w:val="92"/>
        </w:numPr>
        <w:spacing w:after="0" w:line="240" w:lineRule="auto"/>
        <w:contextualSpacing w:val="0"/>
        <w:rPr>
          <w:rFonts w:ascii="Times New Roman" w:hAnsi="Times New Roman"/>
          <w:sz w:val="24"/>
        </w:rPr>
      </w:pPr>
      <w:r w:rsidRPr="00600E6F">
        <w:rPr>
          <w:rFonts w:ascii="Times New Roman" w:hAnsi="Times New Roman"/>
          <w:sz w:val="24"/>
        </w:rPr>
        <w:t>Variable Speed Pool Pumps</w:t>
      </w:r>
    </w:p>
    <w:p w:rsidR="00513B47" w:rsidRPr="00600E6F" w:rsidRDefault="00513B47" w:rsidP="00C31CC0">
      <w:pPr>
        <w:pStyle w:val="ListParagraph"/>
        <w:numPr>
          <w:ilvl w:val="0"/>
          <w:numId w:val="92"/>
        </w:numPr>
        <w:spacing w:after="0" w:line="240" w:lineRule="auto"/>
        <w:contextualSpacing w:val="0"/>
        <w:rPr>
          <w:rFonts w:ascii="Times New Roman" w:hAnsi="Times New Roman"/>
          <w:sz w:val="24"/>
        </w:rPr>
      </w:pPr>
      <w:r w:rsidRPr="00600E6F">
        <w:rPr>
          <w:rFonts w:ascii="Times New Roman" w:hAnsi="Times New Roman"/>
          <w:sz w:val="24"/>
        </w:rPr>
        <w:t>Programmable Thermostats (Common Areas only)</w:t>
      </w:r>
    </w:p>
    <w:p w:rsidR="00513B47" w:rsidRPr="00600E6F" w:rsidRDefault="00513B47" w:rsidP="00C31CC0">
      <w:pPr>
        <w:pStyle w:val="ListParagraph"/>
        <w:numPr>
          <w:ilvl w:val="0"/>
          <w:numId w:val="92"/>
        </w:numPr>
        <w:spacing w:after="0" w:line="240" w:lineRule="auto"/>
        <w:contextualSpacing w:val="0"/>
        <w:rPr>
          <w:rFonts w:ascii="Times New Roman" w:hAnsi="Times New Roman"/>
          <w:sz w:val="24"/>
        </w:rPr>
      </w:pPr>
      <w:r w:rsidRPr="00600E6F">
        <w:rPr>
          <w:rFonts w:ascii="Times New Roman" w:hAnsi="Times New Roman"/>
          <w:sz w:val="24"/>
        </w:rPr>
        <w:t>Demand Control for Centralized Water Heater Recirculation Pump</w:t>
      </w:r>
    </w:p>
    <w:p w:rsidR="0093736E" w:rsidRPr="00600E6F" w:rsidRDefault="0093736E" w:rsidP="00600E6F">
      <w:pPr>
        <w:spacing w:after="0" w:line="240" w:lineRule="auto"/>
        <w:ind w:left="720"/>
        <w:rPr>
          <w:rFonts w:ascii="Times New Roman" w:hAnsi="Times New Roman"/>
          <w:sz w:val="24"/>
        </w:rPr>
      </w:pP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Measures may be added or removed from the program as technologies evolve and market potential warrants.</w:t>
      </w:r>
    </w:p>
    <w:p w:rsidR="00513B47" w:rsidRPr="00600E6F" w:rsidRDefault="00513B47" w:rsidP="00A05269">
      <w:pPr>
        <w:spacing w:after="0" w:line="240" w:lineRule="auto"/>
        <w:ind w:left="360"/>
        <w:rPr>
          <w:rFonts w:ascii="Times New Roman" w:hAnsi="Times New Roman"/>
          <w:b/>
          <w:sz w:val="24"/>
        </w:rPr>
      </w:pPr>
    </w:p>
    <w:p w:rsidR="00513B47" w:rsidRPr="00600E6F" w:rsidRDefault="00E7041A" w:rsidP="00A05269">
      <w:pPr>
        <w:spacing w:after="0" w:line="240" w:lineRule="auto"/>
        <w:ind w:left="360"/>
        <w:rPr>
          <w:rFonts w:ascii="Times New Roman" w:hAnsi="Times New Roman"/>
          <w:b/>
          <w:sz w:val="24"/>
        </w:rPr>
      </w:pPr>
      <w:r w:rsidRPr="00600E6F">
        <w:rPr>
          <w:rFonts w:ascii="Times New Roman" w:hAnsi="Times New Roman"/>
          <w:b/>
          <w:sz w:val="24"/>
        </w:rPr>
        <w:t>c)</w:t>
      </w:r>
      <w:r w:rsidRPr="00600E6F">
        <w:rPr>
          <w:rFonts w:ascii="Times New Roman" w:hAnsi="Times New Roman"/>
          <w:b/>
          <w:sz w:val="24"/>
        </w:rPr>
        <w:tab/>
      </w:r>
      <w:r w:rsidRPr="00600E6F">
        <w:rPr>
          <w:rFonts w:ascii="Times New Roman" w:hAnsi="Times New Roman"/>
          <w:b/>
          <w:sz w:val="24"/>
          <w:u w:val="single"/>
        </w:rPr>
        <w:t>List Non-incentive Customer Services</w:t>
      </w: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 xml:space="preserve">MFEER schedules training workshops to educate contractors about the benefits of the measures offered by this program and other energy efficiency programs, including the </w:t>
      </w:r>
      <w:r w:rsidR="00513B47" w:rsidRPr="00600E6F">
        <w:rPr>
          <w:rFonts w:ascii="Times New Roman" w:hAnsi="Times New Roman"/>
          <w:sz w:val="24"/>
        </w:rPr>
        <w:t>ESA</w:t>
      </w:r>
      <w:r w:rsidRPr="00600E6F">
        <w:rPr>
          <w:rFonts w:ascii="Times New Roman" w:hAnsi="Times New Roman"/>
          <w:sz w:val="24"/>
        </w:rPr>
        <w:t xml:space="preserve"> program.</w:t>
      </w:r>
    </w:p>
    <w:p w:rsidR="0093736E" w:rsidRPr="00600E6F" w:rsidRDefault="0093736E" w:rsidP="00600E6F">
      <w:pPr>
        <w:spacing w:after="0" w:line="240" w:lineRule="auto"/>
        <w:rPr>
          <w:rFonts w:ascii="Times New Roman" w:hAnsi="Times New Roman"/>
          <w:b/>
          <w:sz w:val="24"/>
        </w:rPr>
      </w:pPr>
    </w:p>
    <w:p w:rsidR="0093736E" w:rsidRPr="00600E6F" w:rsidRDefault="00E7041A" w:rsidP="00600E6F">
      <w:pPr>
        <w:tabs>
          <w:tab w:val="left" w:pos="360"/>
        </w:tabs>
        <w:spacing w:after="0" w:line="240" w:lineRule="auto"/>
        <w:rPr>
          <w:rFonts w:ascii="Times New Roman" w:hAnsi="Times New Roman"/>
          <w:b/>
          <w:sz w:val="24"/>
        </w:rPr>
      </w:pPr>
      <w:r w:rsidRPr="00600E6F">
        <w:rPr>
          <w:rFonts w:ascii="Times New Roman" w:hAnsi="Times New Roman"/>
          <w:b/>
          <w:sz w:val="24"/>
        </w:rPr>
        <w:t>5.</w:t>
      </w:r>
      <w:r w:rsidRPr="00600E6F">
        <w:rPr>
          <w:rFonts w:ascii="Times New Roman" w:hAnsi="Times New Roman"/>
          <w:b/>
          <w:sz w:val="24"/>
        </w:rPr>
        <w:tab/>
        <w:t>Program Rationale and Expected Outcome</w:t>
      </w:r>
    </w:p>
    <w:p w:rsidR="00513B47" w:rsidRPr="00600E6F" w:rsidRDefault="00513B47" w:rsidP="00A05269">
      <w:pPr>
        <w:spacing w:after="0" w:line="240" w:lineRule="auto"/>
        <w:ind w:left="360"/>
        <w:rPr>
          <w:rFonts w:ascii="Times New Roman" w:hAnsi="Times New Roman"/>
          <w:b/>
          <w:sz w:val="24"/>
        </w:rPr>
      </w:pPr>
    </w:p>
    <w:p w:rsidR="00513B47" w:rsidRPr="00600E6F" w:rsidRDefault="00E7041A" w:rsidP="00A05269">
      <w:pPr>
        <w:spacing w:after="0" w:line="240" w:lineRule="auto"/>
        <w:ind w:left="360"/>
        <w:rPr>
          <w:rFonts w:ascii="Times New Roman" w:hAnsi="Times New Roman"/>
          <w:b/>
          <w:sz w:val="24"/>
        </w:rPr>
      </w:pPr>
      <w:r w:rsidRPr="00600E6F">
        <w:rPr>
          <w:rFonts w:ascii="Times New Roman" w:hAnsi="Times New Roman"/>
          <w:b/>
          <w:sz w:val="24"/>
        </w:rPr>
        <w:t>a)</w:t>
      </w:r>
      <w:r w:rsidRPr="00600E6F">
        <w:rPr>
          <w:rFonts w:ascii="Times New Roman" w:hAnsi="Times New Roman"/>
          <w:b/>
          <w:sz w:val="24"/>
        </w:rPr>
        <w:tab/>
      </w:r>
      <w:r w:rsidRPr="00600E6F">
        <w:rPr>
          <w:rFonts w:ascii="Times New Roman" w:hAnsi="Times New Roman"/>
          <w:b/>
          <w:sz w:val="24"/>
          <w:u w:val="single"/>
        </w:rPr>
        <w:t>Quantitative Baseline and Market Transformation Information</w:t>
      </w:r>
    </w:p>
    <w:p w:rsidR="0093736E" w:rsidRPr="00600E6F" w:rsidRDefault="00E7041A" w:rsidP="00600E6F">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On December 2, 2010, the Commission issued Resolution E-4385, approving Program Performance Metrics (PPMs) for Pacific Gas and Electric Company, Southern California Edison Company, Southern California Gas Company and San Diego Gas and Electric Company for 2010-2012 statewide energy efficiency programs and subprograms.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513B47" w:rsidRDefault="00513B47" w:rsidP="00A05269">
      <w:pPr>
        <w:spacing w:after="0" w:line="240" w:lineRule="auto"/>
        <w:ind w:left="360"/>
        <w:rPr>
          <w:rFonts w:ascii="Times New Roman" w:hAnsi="Times New Roman"/>
          <w:color w:val="000000"/>
          <w:sz w:val="24"/>
        </w:rPr>
      </w:pPr>
    </w:p>
    <w:p w:rsidR="00513B65" w:rsidRDefault="00513B65" w:rsidP="00A05269">
      <w:pPr>
        <w:spacing w:after="0" w:line="240" w:lineRule="auto"/>
        <w:ind w:left="360"/>
        <w:rPr>
          <w:rFonts w:ascii="Times New Roman" w:hAnsi="Times New Roman"/>
          <w:color w:val="000000"/>
          <w:sz w:val="24"/>
        </w:rPr>
      </w:pPr>
    </w:p>
    <w:p w:rsidR="00513B65" w:rsidRDefault="00513B65" w:rsidP="00A05269">
      <w:pPr>
        <w:spacing w:after="0" w:line="240" w:lineRule="auto"/>
        <w:ind w:left="360"/>
        <w:rPr>
          <w:rFonts w:ascii="Times New Roman" w:hAnsi="Times New Roman"/>
          <w:color w:val="000000"/>
          <w:sz w:val="24"/>
        </w:rPr>
      </w:pPr>
    </w:p>
    <w:p w:rsidR="00513B65" w:rsidRDefault="00513B65" w:rsidP="00A05269">
      <w:pPr>
        <w:spacing w:after="0" w:line="240" w:lineRule="auto"/>
        <w:ind w:left="360"/>
        <w:rPr>
          <w:rFonts w:ascii="Times New Roman" w:hAnsi="Times New Roman"/>
          <w:color w:val="000000"/>
          <w:sz w:val="24"/>
        </w:rPr>
      </w:pPr>
    </w:p>
    <w:p w:rsidR="00513B65" w:rsidRDefault="00513B65" w:rsidP="00A05269">
      <w:pPr>
        <w:spacing w:after="0" w:line="240" w:lineRule="auto"/>
        <w:ind w:left="360"/>
        <w:rPr>
          <w:rFonts w:ascii="Times New Roman" w:hAnsi="Times New Roman"/>
          <w:color w:val="000000"/>
          <w:sz w:val="24"/>
        </w:rPr>
      </w:pPr>
    </w:p>
    <w:p w:rsidR="00513B65" w:rsidRPr="00600E6F" w:rsidRDefault="00513B65" w:rsidP="00A05269">
      <w:pPr>
        <w:spacing w:after="0" w:line="240" w:lineRule="auto"/>
        <w:ind w:left="360"/>
        <w:rPr>
          <w:rFonts w:ascii="Times New Roman" w:hAnsi="Times New Roman"/>
          <w:color w:val="000000"/>
          <w:sz w:val="24"/>
        </w:rPr>
      </w:pPr>
    </w:p>
    <w:p w:rsidR="0093736E" w:rsidRPr="00600E6F" w:rsidRDefault="00E7041A" w:rsidP="00600E6F">
      <w:pPr>
        <w:spacing w:after="0" w:line="240" w:lineRule="auto"/>
        <w:ind w:left="360"/>
        <w:rPr>
          <w:rFonts w:ascii="Times New Roman" w:hAnsi="Times New Roman"/>
          <w:color w:val="000000"/>
          <w:sz w:val="24"/>
        </w:rPr>
      </w:pPr>
      <w:r w:rsidRPr="00600E6F">
        <w:rPr>
          <w:rFonts w:ascii="Times New Roman" w:hAnsi="Times New Roman"/>
          <w:color w:val="000000"/>
          <w:sz w:val="24"/>
        </w:rPr>
        <w:lastRenderedPageBreak/>
        <w:t>Below are the approved PPMs and metric types for the Multifamily Energy Efficiency Rebate Program (Resolution E-4385, Appendix A):</w:t>
      </w:r>
    </w:p>
    <w:p w:rsidR="00513B65" w:rsidRPr="00600E6F" w:rsidRDefault="00513B65" w:rsidP="00600E6F">
      <w:pPr>
        <w:spacing w:after="0" w:line="240" w:lineRule="auto"/>
        <w:ind w:left="360"/>
        <w:rPr>
          <w:rFonts w:ascii="Times New Roman" w:hAnsi="Times New Roman"/>
          <w:b/>
          <w:sz w:val="24"/>
        </w:rPr>
      </w:pP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b/>
          <w:sz w:val="24"/>
        </w:rPr>
        <w:t>Table 3</w:t>
      </w:r>
      <w:r w:rsidRPr="00600E6F">
        <w:rPr>
          <w:rFonts w:ascii="Times New Roman" w:hAnsi="Times New Roman"/>
          <w:sz w:val="24"/>
        </w:rPr>
        <w:t xml:space="preserve"> – </w:t>
      </w:r>
      <w:r w:rsidR="00513B47" w:rsidRPr="00600E6F">
        <w:rPr>
          <w:rFonts w:ascii="Times New Roman" w:hAnsi="Times New Roman"/>
          <w:sz w:val="24"/>
        </w:rPr>
        <w:t>MFEER PPM</w:t>
      </w:r>
    </w:p>
    <w:tbl>
      <w:tblPr>
        <w:tblW w:w="8820" w:type="dxa"/>
        <w:tblInd w:w="288" w:type="dxa"/>
        <w:tblLayout w:type="fixed"/>
        <w:tblLook w:val="00A0" w:firstRow="1" w:lastRow="0" w:firstColumn="1" w:lastColumn="0" w:noHBand="0" w:noVBand="0"/>
      </w:tblPr>
      <w:tblGrid>
        <w:gridCol w:w="1440"/>
        <w:gridCol w:w="6660"/>
        <w:gridCol w:w="720"/>
      </w:tblGrid>
      <w:tr w:rsidR="00513B47" w:rsidRPr="00F50F8B" w:rsidTr="001C4DFE">
        <w:tc>
          <w:tcPr>
            <w:tcW w:w="1440" w:type="dxa"/>
            <w:tcBorders>
              <w:top w:val="single" w:sz="4" w:space="0" w:color="auto"/>
              <w:left w:val="single" w:sz="4" w:space="0" w:color="auto"/>
              <w:bottom w:val="single" w:sz="4" w:space="0" w:color="auto"/>
              <w:right w:val="single" w:sz="4" w:space="0" w:color="auto"/>
            </w:tcBorders>
          </w:tcPr>
          <w:p w:rsidR="00513B47" w:rsidRPr="00600E6F" w:rsidRDefault="00E7041A" w:rsidP="00A05269">
            <w:pPr>
              <w:spacing w:after="0" w:line="240" w:lineRule="auto"/>
              <w:rPr>
                <w:rFonts w:ascii="Times New Roman" w:hAnsi="Times New Roman"/>
                <w:b/>
                <w:color w:val="000000"/>
                <w:sz w:val="24"/>
              </w:rPr>
            </w:pPr>
            <w:r w:rsidRPr="00600E6F">
              <w:rPr>
                <w:rFonts w:ascii="Times New Roman" w:hAnsi="Times New Roman"/>
                <w:b/>
                <w:color w:val="000000"/>
                <w:sz w:val="24"/>
              </w:rPr>
              <w:t>Multi-Family Energy Efficiency Rebate</w:t>
            </w:r>
          </w:p>
        </w:tc>
        <w:tc>
          <w:tcPr>
            <w:tcW w:w="6660" w:type="dxa"/>
            <w:tcBorders>
              <w:top w:val="single" w:sz="4" w:space="0" w:color="auto"/>
              <w:left w:val="single" w:sz="4" w:space="0" w:color="auto"/>
              <w:bottom w:val="single" w:sz="4" w:space="0" w:color="auto"/>
              <w:right w:val="single" w:sz="4" w:space="0" w:color="auto"/>
            </w:tcBorders>
          </w:tcPr>
          <w:p w:rsidR="0093736E" w:rsidRPr="00600E6F" w:rsidRDefault="00513B47" w:rsidP="00600E6F">
            <w:pPr>
              <w:spacing w:after="0" w:line="240" w:lineRule="auto"/>
              <w:rPr>
                <w:rFonts w:ascii="Times New Roman" w:hAnsi="Times New Roman"/>
                <w:sz w:val="24"/>
              </w:rPr>
            </w:pPr>
            <w:r w:rsidRPr="00600E6F">
              <w:rPr>
                <w:rFonts w:ascii="Times New Roman" w:hAnsi="Times New Roman"/>
                <w:sz w:val="24"/>
              </w:rPr>
              <w:t xml:space="preserve">1. </w:t>
            </w:r>
            <w:r w:rsidRPr="00600E6F">
              <w:rPr>
                <w:rFonts w:ascii="Times New Roman" w:hAnsi="Times New Roman"/>
                <w:color w:val="000000"/>
                <w:sz w:val="24"/>
              </w:rPr>
              <w:t>Percentage of non-lighting measure savings as compared to the total EE measures adopted in the MFEER program. (KWh for single-commodity IOU and BTU for mixed-commodity IOU.)</w:t>
            </w:r>
          </w:p>
        </w:tc>
        <w:tc>
          <w:tcPr>
            <w:tcW w:w="720" w:type="dxa"/>
            <w:tcBorders>
              <w:top w:val="single" w:sz="4" w:space="0" w:color="auto"/>
              <w:left w:val="single" w:sz="4" w:space="0" w:color="auto"/>
              <w:bottom w:val="single" w:sz="4" w:space="0" w:color="auto"/>
              <w:right w:val="single" w:sz="4" w:space="0" w:color="auto"/>
            </w:tcBorders>
          </w:tcPr>
          <w:p w:rsidR="0093736E" w:rsidRPr="00600E6F" w:rsidRDefault="00513B47" w:rsidP="00600E6F">
            <w:pPr>
              <w:spacing w:after="0" w:line="240" w:lineRule="auto"/>
              <w:rPr>
                <w:rFonts w:ascii="Times New Roman" w:hAnsi="Times New Roman"/>
                <w:sz w:val="24"/>
              </w:rPr>
            </w:pPr>
            <w:r w:rsidRPr="00600E6F">
              <w:rPr>
                <w:rFonts w:ascii="Times New Roman" w:hAnsi="Times New Roman"/>
                <w:sz w:val="24"/>
              </w:rPr>
              <w:t>2a</w:t>
            </w:r>
          </w:p>
        </w:tc>
      </w:tr>
    </w:tbl>
    <w:p w:rsidR="00513B47" w:rsidRPr="00600E6F" w:rsidRDefault="00513B47" w:rsidP="00A05269">
      <w:pPr>
        <w:spacing w:after="0" w:line="240" w:lineRule="auto"/>
        <w:ind w:left="360"/>
        <w:rPr>
          <w:rFonts w:ascii="Times New Roman" w:hAnsi="Times New Roman"/>
          <w:sz w:val="24"/>
        </w:rPr>
      </w:pPr>
    </w:p>
    <w:p w:rsidR="0093736E" w:rsidRPr="00600E6F" w:rsidRDefault="00E7041A" w:rsidP="00600E6F">
      <w:pPr>
        <w:spacing w:after="0" w:line="240" w:lineRule="auto"/>
        <w:ind w:left="360"/>
        <w:rPr>
          <w:rFonts w:ascii="Times New Roman" w:hAnsi="Times New Roman"/>
          <w:b/>
          <w:sz w:val="24"/>
        </w:rPr>
      </w:pPr>
      <w:r w:rsidRPr="00600E6F">
        <w:rPr>
          <w:rFonts w:ascii="Times New Roman" w:hAnsi="Times New Roman"/>
          <w:b/>
          <w:sz w:val="24"/>
        </w:rPr>
        <w:t>b)</w:t>
      </w:r>
      <w:r w:rsidRPr="00600E6F">
        <w:rPr>
          <w:rFonts w:ascii="Times New Roman" w:hAnsi="Times New Roman"/>
          <w:b/>
          <w:sz w:val="24"/>
        </w:rPr>
        <w:tab/>
      </w:r>
      <w:r w:rsidRPr="00600E6F">
        <w:rPr>
          <w:rFonts w:ascii="Times New Roman" w:hAnsi="Times New Roman"/>
          <w:b/>
          <w:sz w:val="24"/>
          <w:u w:val="single"/>
        </w:rPr>
        <w:t>Market Transformation Indicators</w:t>
      </w:r>
    </w:p>
    <w:p w:rsidR="0093736E" w:rsidRPr="00600E6F" w:rsidRDefault="00151BA6" w:rsidP="00600E6F">
      <w:pPr>
        <w:ind w:left="360"/>
        <w:rPr>
          <w:rFonts w:ascii="Times New Roman" w:hAnsi="Times New Roman"/>
          <w:sz w:val="24"/>
          <w:szCs w:val="24"/>
        </w:rPr>
      </w:pPr>
      <w:r w:rsidRPr="001C4DFE">
        <w:rPr>
          <w:rFonts w:ascii="Times New Roman" w:hAnsi="Times New Roman"/>
          <w:sz w:val="24"/>
          <w:szCs w:val="24"/>
        </w:rPr>
        <w:t xml:space="preserve">Per </w:t>
      </w:r>
      <w:r w:rsidR="00E7041A" w:rsidRPr="00600E6F">
        <w:rPr>
          <w:rFonts w:ascii="Times New Roman" w:hAnsi="Times New Roman"/>
          <w:sz w:val="24"/>
          <w:szCs w:val="24"/>
        </w:rPr>
        <w:t>Resolution E-4385</w:t>
      </w:r>
      <w:r w:rsidRPr="001C4DFE">
        <w:rPr>
          <w:rFonts w:ascii="Times New Roman" w:hAnsi="Times New Roman"/>
          <w:sz w:val="24"/>
          <w:szCs w:val="24"/>
        </w:rPr>
        <w:t>,</w:t>
      </w:r>
      <w:r w:rsidR="00E7041A" w:rsidRPr="00600E6F">
        <w:rPr>
          <w:rFonts w:ascii="Times New Roman" w:hAnsi="Times New Roman"/>
          <w:sz w:val="24"/>
          <w:szCs w:val="24"/>
        </w:rPr>
        <w:t xml:space="preserve"> a </w:t>
      </w:r>
      <w:r w:rsidRPr="001C4DFE">
        <w:rPr>
          <w:rFonts w:ascii="Times New Roman" w:hAnsi="Times New Roman"/>
          <w:sz w:val="24"/>
          <w:szCs w:val="24"/>
        </w:rPr>
        <w:t>subset</w:t>
      </w:r>
      <w:r w:rsidR="00E7041A" w:rsidRPr="00600E6F">
        <w:rPr>
          <w:rFonts w:ascii="Times New Roman" w:hAnsi="Times New Roman"/>
          <w:sz w:val="24"/>
          <w:szCs w:val="24"/>
        </w:rPr>
        <w:t xml:space="preserve"> of market transformation indicators (MTIs) for statewide energy efficiency programs and subprograms</w:t>
      </w:r>
      <w:r w:rsidRPr="001C4DFE">
        <w:rPr>
          <w:rFonts w:ascii="Times New Roman" w:hAnsi="Times New Roman"/>
          <w:sz w:val="24"/>
          <w:szCs w:val="24"/>
        </w:rPr>
        <w:t xml:space="preserve"> were </w:t>
      </w:r>
      <w:r w:rsidR="00E7041A" w:rsidRPr="00600E6F">
        <w:rPr>
          <w:rFonts w:ascii="Times New Roman" w:hAnsi="Times New Roman"/>
          <w:sz w:val="24"/>
          <w:szCs w:val="24"/>
        </w:rPr>
        <w:t xml:space="preserve">presented at a public workshop </w:t>
      </w:r>
      <w:r w:rsidRPr="001C4DFE">
        <w:rPr>
          <w:rFonts w:ascii="Times New Roman" w:hAnsi="Times New Roman"/>
          <w:sz w:val="24"/>
          <w:szCs w:val="24"/>
        </w:rPr>
        <w:t xml:space="preserve">on November 7, 2011, </w:t>
      </w:r>
      <w:r w:rsidR="00E7041A" w:rsidRPr="00600E6F">
        <w:rPr>
          <w:rFonts w:ascii="Times New Roman" w:hAnsi="Times New Roman"/>
          <w:sz w:val="24"/>
          <w:szCs w:val="24"/>
        </w:rPr>
        <w:t>to allow for public comments and discussion before being finalized.</w:t>
      </w:r>
      <w:r w:rsidRPr="001C4DFE">
        <w:rPr>
          <w:rFonts w:ascii="Times New Roman" w:hAnsi="Times New Roman"/>
          <w:sz w:val="24"/>
          <w:szCs w:val="24"/>
        </w:rPr>
        <w:t>  Per</w:t>
      </w:r>
      <w:r w:rsidR="00E7041A" w:rsidRPr="00600E6F">
        <w:rPr>
          <w:rFonts w:ascii="Times New Roman" w:hAnsi="Times New Roman"/>
          <w:sz w:val="24"/>
          <w:szCs w:val="24"/>
        </w:rPr>
        <w:t xml:space="preserve"> Energy Division </w:t>
      </w:r>
      <w:r w:rsidRPr="001C4DFE">
        <w:rPr>
          <w:rFonts w:ascii="Times New Roman" w:hAnsi="Times New Roman"/>
          <w:sz w:val="24"/>
          <w:szCs w:val="24"/>
        </w:rPr>
        <w:t>Guidance on June 19, 2012, the MTIs to be found in A</w:t>
      </w:r>
      <w:r w:rsidR="00F4715E">
        <w:rPr>
          <w:rFonts w:ascii="Times New Roman" w:hAnsi="Times New Roman"/>
          <w:sz w:val="24"/>
          <w:szCs w:val="24"/>
        </w:rPr>
        <w:t>ppendix</w:t>
      </w:r>
      <w:r w:rsidRPr="001C4DFE">
        <w:rPr>
          <w:rFonts w:ascii="Times New Roman" w:hAnsi="Times New Roman"/>
          <w:sz w:val="24"/>
          <w:szCs w:val="24"/>
        </w:rPr>
        <w:t xml:space="preserve"> “H” are approved</w:t>
      </w:r>
      <w:r w:rsidR="00E7041A" w:rsidRPr="00600E6F">
        <w:rPr>
          <w:rFonts w:ascii="Times New Roman" w:hAnsi="Times New Roman"/>
          <w:sz w:val="24"/>
          <w:szCs w:val="24"/>
        </w:rPr>
        <w:t xml:space="preserve"> for </w:t>
      </w:r>
      <w:r w:rsidRPr="001C4DFE">
        <w:rPr>
          <w:rFonts w:ascii="Times New Roman" w:hAnsi="Times New Roman"/>
          <w:sz w:val="24"/>
          <w:szCs w:val="24"/>
        </w:rPr>
        <w:t>this sub-program</w:t>
      </w:r>
      <w:r w:rsidR="00E7041A" w:rsidRPr="00600E6F">
        <w:rPr>
          <w:rFonts w:ascii="Times New Roman" w:hAnsi="Times New Roman"/>
          <w:sz w:val="24"/>
          <w:szCs w:val="24"/>
        </w:rPr>
        <w:t xml:space="preserve"> as </w:t>
      </w:r>
      <w:r w:rsidRPr="001C4DFE">
        <w:rPr>
          <w:rFonts w:ascii="Times New Roman" w:hAnsi="Times New Roman"/>
          <w:sz w:val="24"/>
          <w:szCs w:val="24"/>
        </w:rPr>
        <w:t xml:space="preserve">applicable. </w:t>
      </w:r>
    </w:p>
    <w:p w:rsidR="00513B47" w:rsidRPr="00600E6F" w:rsidRDefault="00E7041A" w:rsidP="00A05269">
      <w:pPr>
        <w:spacing w:after="0" w:line="240" w:lineRule="auto"/>
        <w:ind w:left="360"/>
        <w:rPr>
          <w:rFonts w:ascii="Times New Roman" w:hAnsi="Times New Roman"/>
          <w:b/>
          <w:sz w:val="24"/>
        </w:rPr>
      </w:pPr>
      <w:r w:rsidRPr="00600E6F">
        <w:rPr>
          <w:rFonts w:ascii="Times New Roman" w:hAnsi="Times New Roman"/>
          <w:b/>
          <w:sz w:val="24"/>
        </w:rPr>
        <w:t>c)</w:t>
      </w:r>
      <w:r w:rsidRPr="00600E6F">
        <w:rPr>
          <w:rFonts w:ascii="Times New Roman" w:hAnsi="Times New Roman"/>
          <w:b/>
          <w:sz w:val="24"/>
        </w:rPr>
        <w:tab/>
      </w:r>
      <w:r w:rsidRPr="00600E6F">
        <w:rPr>
          <w:rFonts w:ascii="Times New Roman" w:hAnsi="Times New Roman"/>
          <w:b/>
          <w:sz w:val="24"/>
          <w:u w:val="single"/>
        </w:rPr>
        <w:t>Program Design to Overcome Barriers</w:t>
      </w:r>
    </w:p>
    <w:p w:rsidR="00513B47" w:rsidRPr="00600E6F" w:rsidRDefault="00E7041A" w:rsidP="00A05269">
      <w:pPr>
        <w:spacing w:after="0" w:line="240" w:lineRule="auto"/>
        <w:ind w:left="360"/>
        <w:rPr>
          <w:rFonts w:ascii="Times New Roman" w:hAnsi="Times New Roman"/>
          <w:color w:val="000000"/>
          <w:sz w:val="24"/>
        </w:rPr>
      </w:pPr>
      <w:r w:rsidRPr="00600E6F">
        <w:rPr>
          <w:rFonts w:ascii="Times New Roman" w:hAnsi="Times New Roman"/>
          <w:color w:val="000000"/>
          <w:sz w:val="24"/>
        </w:rPr>
        <w:t>Previous MFEER participants often state their intent to continue upgrading their complexes with energy-efficient products.  Lowered energy bills and reduced maintenance efforts (e.g., changing out short-lived incandescent lamps) are economical.  Below is a list of program barriers:</w:t>
      </w:r>
    </w:p>
    <w:p w:rsidR="0093736E" w:rsidRPr="00600E6F" w:rsidRDefault="0093736E" w:rsidP="00600E6F">
      <w:pPr>
        <w:spacing w:after="0" w:line="240" w:lineRule="auto"/>
        <w:ind w:left="360"/>
        <w:rPr>
          <w:rFonts w:ascii="Times New Roman" w:hAnsi="Times New Roman"/>
          <w:color w:val="000000"/>
          <w:sz w:val="24"/>
        </w:rPr>
      </w:pPr>
    </w:p>
    <w:p w:rsidR="00513B47" w:rsidRPr="00600E6F" w:rsidRDefault="00E7041A" w:rsidP="00A05269">
      <w:pPr>
        <w:autoSpaceDE w:val="0"/>
        <w:autoSpaceDN w:val="0"/>
        <w:adjustRightInd w:val="0"/>
        <w:spacing w:after="0" w:line="240" w:lineRule="auto"/>
        <w:ind w:left="360"/>
        <w:rPr>
          <w:rFonts w:ascii="Times New Roman" w:hAnsi="Times New Roman"/>
          <w:b/>
          <w:sz w:val="24"/>
          <w:u w:val="single"/>
        </w:rPr>
      </w:pPr>
      <w:r w:rsidRPr="00600E6F">
        <w:rPr>
          <w:rFonts w:ascii="Times New Roman" w:hAnsi="Times New Roman"/>
          <w:b/>
          <w:sz w:val="24"/>
          <w:u w:val="single"/>
        </w:rPr>
        <w:t>Ongoing Concern with Split Incentives</w:t>
      </w:r>
    </w:p>
    <w:p w:rsidR="00513B47" w:rsidRPr="00600E6F" w:rsidRDefault="00E7041A"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sz w:val="24"/>
        </w:rPr>
        <w:t xml:space="preserve">While some market barriers are the same as for other residential programs such as the HEER (described below), others are unique to the MFEER. For this program, which must deal with both owners/managers of multi-family buildings and with tenants, the split-incentive barrier is high. Any measure or appliance that is installed in the tenant dwelling area will provide benefits to the tenant while costs may go to the owner/manager. This fact implies an uphill effort to get owner/manager participation.   </w:t>
      </w: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In alignment with California’s BBEES and EAP policy initiatives, and advanced by the Strategic Plan, the MFEER is in the unique position to overcome the split incentive barrier by serving two distinct beneficiaries of energy savings, the property owner and the tenant.  </w:t>
      </w: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MFEER design has been overcoming the split incentive barrier since the program's inception in 2002, as had its predecessor; the Residential Contractor Program did since 1999.  Program design has been effective to such an extent that the majority of MFEER rebates paid were for products installed in tenant dwelling units.</w:t>
      </w:r>
    </w:p>
    <w:p w:rsidR="0093736E" w:rsidRPr="00600E6F" w:rsidRDefault="0093736E" w:rsidP="00600E6F">
      <w:pPr>
        <w:autoSpaceDE w:val="0"/>
        <w:autoSpaceDN w:val="0"/>
        <w:adjustRightInd w:val="0"/>
        <w:spacing w:after="0" w:line="240" w:lineRule="auto"/>
        <w:ind w:left="360"/>
        <w:rPr>
          <w:rFonts w:ascii="Times New Roman" w:hAnsi="Times New Roman"/>
          <w:b/>
          <w:sz w:val="24"/>
        </w:rPr>
      </w:pPr>
    </w:p>
    <w:p w:rsidR="00513B47" w:rsidRPr="00600E6F" w:rsidRDefault="00513B47" w:rsidP="00A05269">
      <w:pPr>
        <w:autoSpaceDE w:val="0"/>
        <w:autoSpaceDN w:val="0"/>
        <w:adjustRightInd w:val="0"/>
        <w:spacing w:after="0" w:line="240" w:lineRule="auto"/>
        <w:ind w:left="360"/>
        <w:rPr>
          <w:rFonts w:ascii="Times New Roman" w:hAnsi="Times New Roman"/>
          <w:b/>
          <w:sz w:val="24"/>
        </w:rPr>
      </w:pPr>
      <w:r w:rsidRPr="00600E6F">
        <w:rPr>
          <w:rFonts w:ascii="Times New Roman" w:hAnsi="Times New Roman"/>
          <w:b/>
          <w:sz w:val="24"/>
        </w:rPr>
        <w:t>The diversity of multifamily building types makes it highly challenging to develop program delivery models, incentives and consistent packages of building upgrade measures that meet the needs of every situation.</w:t>
      </w:r>
    </w:p>
    <w:p w:rsidR="00513B47" w:rsidRPr="00600E6F" w:rsidRDefault="00513B47" w:rsidP="00A05269">
      <w:pPr>
        <w:autoSpaceDE w:val="0"/>
        <w:autoSpaceDN w:val="0"/>
        <w:adjustRightInd w:val="0"/>
        <w:spacing w:after="0" w:line="240" w:lineRule="auto"/>
        <w:ind w:left="360"/>
        <w:rPr>
          <w:rFonts w:ascii="Times New Roman" w:hAnsi="Times New Roman"/>
          <w:sz w:val="24"/>
        </w:rPr>
      </w:pPr>
    </w:p>
    <w:p w:rsidR="00513B47" w:rsidRPr="00600E6F" w:rsidRDefault="00513B47"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sz w:val="24"/>
        </w:rPr>
        <w:t xml:space="preserve">The multifamily sector encompasses a range of building sizes, system types and configurations of dwelling units and nonresidential areas.  Because multifamily building types are so diverse, it is highly challenging to develop program delivery models, incentive </w:t>
      </w:r>
      <w:r w:rsidRPr="00600E6F">
        <w:rPr>
          <w:rFonts w:ascii="Times New Roman" w:hAnsi="Times New Roman"/>
          <w:sz w:val="24"/>
        </w:rPr>
        <w:lastRenderedPageBreak/>
        <w:t>programs and consistent packages of building upgrade measures that meet the needs of every situation.</w:t>
      </w:r>
    </w:p>
    <w:p w:rsidR="00513B47" w:rsidRPr="00600E6F" w:rsidRDefault="00513B47" w:rsidP="00A05269">
      <w:pPr>
        <w:autoSpaceDE w:val="0"/>
        <w:autoSpaceDN w:val="0"/>
        <w:adjustRightInd w:val="0"/>
        <w:spacing w:after="0" w:line="240" w:lineRule="auto"/>
        <w:ind w:left="360"/>
        <w:rPr>
          <w:rFonts w:ascii="Times New Roman" w:hAnsi="Times New Roman"/>
          <w:sz w:val="24"/>
        </w:rPr>
      </w:pP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In many cases, the property owner or manager’s energy efficiency knowledge is limited.  As such, deciphering though the variety of offered measures can prove to be challenging, and in some cases even discouraging.  Additionally, in a multifamily building’s lifecycle, there are specific times when it is most cost effective and convenient for the property owners/mangers to make energy and green upgrades.  The program needs to focus on these triggers or entry points to engage and educate customers on energy efficiency benefits.</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513B47" w:rsidRPr="00600E6F" w:rsidRDefault="00513B47"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color w:val="000000"/>
          <w:sz w:val="24"/>
        </w:rPr>
        <w:t xml:space="preserve">MFEER has proven success </w:t>
      </w:r>
      <w:r w:rsidRPr="00600E6F">
        <w:rPr>
          <w:rFonts w:ascii="Times New Roman" w:hAnsi="Times New Roman"/>
          <w:sz w:val="24"/>
        </w:rPr>
        <w:t xml:space="preserve">developing an established network of professionals who are experienced in their specific trade and are effective at both marketing program availability to potential clients and installing the specific set of measures. </w:t>
      </w:r>
    </w:p>
    <w:p w:rsidR="00513B47" w:rsidRPr="00600E6F" w:rsidRDefault="00513B47" w:rsidP="00A05269">
      <w:pPr>
        <w:autoSpaceDE w:val="0"/>
        <w:autoSpaceDN w:val="0"/>
        <w:adjustRightInd w:val="0"/>
        <w:spacing w:after="0" w:line="240" w:lineRule="auto"/>
        <w:ind w:left="360"/>
        <w:rPr>
          <w:rFonts w:ascii="Times New Roman" w:hAnsi="Times New Roman"/>
          <w:sz w:val="24"/>
        </w:rPr>
      </w:pPr>
    </w:p>
    <w:p w:rsidR="00513B47" w:rsidRPr="00600E6F" w:rsidRDefault="00513B47"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sz w:val="24"/>
        </w:rPr>
        <w:t>This network of professionals tailors their services (lighting, HVAC, appliances, etc.) to take advantage of these entry points.</w:t>
      </w:r>
    </w:p>
    <w:p w:rsidR="00513B47" w:rsidRPr="00600E6F" w:rsidRDefault="00513B47" w:rsidP="00A05269">
      <w:pPr>
        <w:autoSpaceDE w:val="0"/>
        <w:autoSpaceDN w:val="0"/>
        <w:adjustRightInd w:val="0"/>
        <w:spacing w:after="0" w:line="240" w:lineRule="auto"/>
        <w:ind w:left="360"/>
        <w:rPr>
          <w:rFonts w:ascii="Times New Roman" w:hAnsi="Times New Roman"/>
          <w:b/>
          <w:sz w:val="24"/>
        </w:rPr>
      </w:pPr>
    </w:p>
    <w:p w:rsidR="00513B47" w:rsidRPr="00600E6F" w:rsidRDefault="00E7041A"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b/>
          <w:sz w:val="24"/>
        </w:rPr>
        <w:t>Difficult to reach due to property owners lack cohesiveness as a group and high turn-over rate of property managers</w:t>
      </w:r>
    </w:p>
    <w:p w:rsidR="00513B47" w:rsidRPr="00600E6F" w:rsidRDefault="00513B47" w:rsidP="00A05269">
      <w:pPr>
        <w:autoSpaceDE w:val="0"/>
        <w:autoSpaceDN w:val="0"/>
        <w:adjustRightInd w:val="0"/>
        <w:spacing w:after="0" w:line="240" w:lineRule="auto"/>
        <w:ind w:left="360"/>
        <w:rPr>
          <w:rFonts w:ascii="Times New Roman" w:hAnsi="Times New Roman"/>
          <w:sz w:val="24"/>
        </w:rPr>
      </w:pPr>
    </w:p>
    <w:p w:rsidR="00513B47" w:rsidRPr="00600E6F" w:rsidRDefault="00E7041A"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sz w:val="24"/>
        </w:rPr>
        <w:t xml:space="preserve">Further planning difficulties are generated by the fact that property owners/managers, in large part, are not a cohesive group. This leads to disparities and gaps in industry knowledge and poses a barrier to knowledge sharing. In addition, since on-site property managers tend to be somewhat transient, maintaining consistent contact is difficult. </w:t>
      </w: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The multifamily property sector consists of commercial enterprises that provide residential living spaces.  In this quasi-commercial role, the property owner straddles the residential and commercial energy efficiency programs’ definitions. The MFEER specifically addresses their often overlooked needs.</w:t>
      </w: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The desired outcome of MFEER implementation is to realize long-term energy savings through the installation of energy-efficient products in both the common areas and dwelling units of multifamily complexes and the common areas of condominium complexes and mobile home parks.  Another objective is the inclusion of rented mobile homes when those park owners/managers are making replacements in common areas. </w:t>
      </w:r>
    </w:p>
    <w:p w:rsidR="0093736E" w:rsidRPr="00600E6F" w:rsidRDefault="0093736E" w:rsidP="00600E6F">
      <w:pPr>
        <w:autoSpaceDE w:val="0"/>
        <w:autoSpaceDN w:val="0"/>
        <w:adjustRightInd w:val="0"/>
        <w:spacing w:after="0" w:line="240" w:lineRule="auto"/>
        <w:ind w:left="360"/>
        <w:rPr>
          <w:rFonts w:ascii="Times New Roman" w:hAnsi="Times New Roman"/>
          <w:color w:val="000000"/>
          <w:sz w:val="24"/>
        </w:rPr>
      </w:pPr>
    </w:p>
    <w:p w:rsidR="0093736E" w:rsidRPr="00600E6F" w:rsidRDefault="00E7041A" w:rsidP="00600E6F">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The creation of energy-efficient complexes provides benefits beyond the direct energy savings to common areas.  Through the incorporation of EE measures by multifamily property owners and managers, the opinions and behaviors of tenants can be influenced.  These behaviors can contribute to a self-reinforcing cycle of EE responsibility throughout a complex as more knowledgeable customers install measures that can reduce the overall energy footprint, with no loss of safety or comfort.</w:t>
      </w:r>
    </w:p>
    <w:p w:rsidR="0093736E" w:rsidRPr="00600E6F" w:rsidRDefault="0093736E" w:rsidP="00600E6F">
      <w:pPr>
        <w:spacing w:after="0" w:line="240" w:lineRule="auto"/>
        <w:ind w:left="360"/>
        <w:rPr>
          <w:rFonts w:ascii="Times New Roman" w:hAnsi="Times New Roman"/>
          <w:b/>
          <w:sz w:val="24"/>
        </w:rPr>
      </w:pPr>
    </w:p>
    <w:p w:rsidR="0093736E" w:rsidRPr="00600E6F" w:rsidRDefault="00E7041A" w:rsidP="00600E6F">
      <w:pPr>
        <w:spacing w:after="0" w:line="240" w:lineRule="auto"/>
        <w:ind w:left="360"/>
        <w:rPr>
          <w:rFonts w:ascii="Times New Roman" w:hAnsi="Times New Roman"/>
          <w:b/>
          <w:sz w:val="24"/>
        </w:rPr>
      </w:pPr>
      <w:r w:rsidRPr="00600E6F">
        <w:rPr>
          <w:rFonts w:ascii="Times New Roman" w:hAnsi="Times New Roman"/>
          <w:b/>
          <w:sz w:val="24"/>
        </w:rPr>
        <w:t>Issue of Affordability</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Out-of-pocket costs pose a significant participation barrier for the customer.  With the exception of some of the larger property management firms, pay-back terms, no matter how favorable, are perceived as an unacceptable risk by the average customer.</w:t>
      </w:r>
    </w:p>
    <w:p w:rsidR="0093736E" w:rsidRPr="00600E6F" w:rsidRDefault="0093736E" w:rsidP="0001414E">
      <w:pPr>
        <w:autoSpaceDE w:val="0"/>
        <w:autoSpaceDN w:val="0"/>
        <w:adjustRightInd w:val="0"/>
        <w:spacing w:after="0" w:line="240" w:lineRule="auto"/>
        <w:ind w:left="360"/>
        <w:rPr>
          <w:rFonts w:ascii="Times New Roman" w:hAnsi="Times New Roman"/>
          <w:color w:val="000000"/>
          <w:sz w:val="24"/>
        </w:rPr>
      </w:pPr>
    </w:p>
    <w:p w:rsidR="00151BA6" w:rsidRDefault="00151BA6" w:rsidP="00151BA6">
      <w:pPr>
        <w:autoSpaceDE w:val="0"/>
        <w:autoSpaceDN w:val="0"/>
        <w:adjustRightInd w:val="0"/>
        <w:spacing w:after="0" w:line="240" w:lineRule="auto"/>
        <w:ind w:left="360"/>
        <w:rPr>
          <w:rFonts w:ascii="Times New Roman" w:hAnsi="Times New Roman"/>
          <w:color w:val="000000"/>
          <w:sz w:val="24"/>
          <w:szCs w:val="24"/>
        </w:rPr>
      </w:pPr>
    </w:p>
    <w:p w:rsidR="00513B47" w:rsidRPr="00600E6F" w:rsidRDefault="00E7041A" w:rsidP="00A05269">
      <w:pPr>
        <w:autoSpaceDE w:val="0"/>
        <w:autoSpaceDN w:val="0"/>
        <w:adjustRightInd w:val="0"/>
        <w:spacing w:after="0" w:line="240" w:lineRule="auto"/>
        <w:ind w:left="360"/>
        <w:rPr>
          <w:rFonts w:ascii="Times New Roman" w:hAnsi="Times New Roman"/>
          <w:b/>
          <w:color w:val="000000"/>
          <w:sz w:val="24"/>
        </w:rPr>
      </w:pPr>
      <w:r w:rsidRPr="00600E6F">
        <w:rPr>
          <w:rFonts w:ascii="Times New Roman" w:hAnsi="Times New Roman"/>
          <w:b/>
          <w:color w:val="000000"/>
          <w:sz w:val="24"/>
        </w:rPr>
        <w:lastRenderedPageBreak/>
        <w:t>Program Integration to Overcome Barriers</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Multifamily building owners and managers find it daunting to sort through the various programs, funding and incentive options, and program requirements.  </w:t>
      </w:r>
      <w:r w:rsidR="00E7041A" w:rsidRPr="00600E6F">
        <w:rPr>
          <w:rFonts w:ascii="Times New Roman" w:hAnsi="Times New Roman"/>
          <w:color w:val="000000"/>
          <w:sz w:val="24"/>
        </w:rPr>
        <w:t xml:space="preserve">To address the trend toward comprehensive solutions and to reduce the potential for lost opportunities, MFEER will integrate opportunities with other energy efficiency programs and services, such as the </w:t>
      </w:r>
      <w:r w:rsidRPr="00600E6F">
        <w:rPr>
          <w:rFonts w:ascii="Times New Roman" w:hAnsi="Times New Roman"/>
          <w:color w:val="000000"/>
          <w:sz w:val="24"/>
        </w:rPr>
        <w:t xml:space="preserve">existing ESA Program and </w:t>
      </w:r>
      <w:r w:rsidR="00E7041A" w:rsidRPr="00600E6F">
        <w:rPr>
          <w:rFonts w:ascii="Times New Roman" w:hAnsi="Times New Roman"/>
          <w:color w:val="000000"/>
          <w:sz w:val="24"/>
        </w:rPr>
        <w:t xml:space="preserve">ARP, </w:t>
      </w:r>
      <w:r w:rsidRPr="00600E6F">
        <w:rPr>
          <w:rFonts w:ascii="Times New Roman" w:hAnsi="Times New Roman"/>
          <w:color w:val="000000"/>
          <w:sz w:val="24"/>
        </w:rPr>
        <w:t>as well as the MF EUC</w:t>
      </w:r>
      <w:r w:rsidR="00E7041A" w:rsidRPr="00600E6F">
        <w:rPr>
          <w:rFonts w:ascii="Times New Roman" w:hAnsi="Times New Roman"/>
          <w:color w:val="000000"/>
          <w:sz w:val="24"/>
        </w:rPr>
        <w:t xml:space="preserve"> and </w:t>
      </w:r>
      <w:r w:rsidRPr="00600E6F">
        <w:rPr>
          <w:rFonts w:ascii="Times New Roman" w:hAnsi="Times New Roman"/>
          <w:color w:val="000000"/>
          <w:sz w:val="24"/>
        </w:rPr>
        <w:t>MIDI</w:t>
      </w:r>
      <w:r w:rsidR="00E7041A" w:rsidRPr="00600E6F">
        <w:rPr>
          <w:rFonts w:ascii="Times New Roman" w:hAnsi="Times New Roman"/>
          <w:color w:val="000000"/>
          <w:sz w:val="24"/>
        </w:rPr>
        <w:t xml:space="preserve"> programs.</w:t>
      </w:r>
      <w:r w:rsidRPr="00600E6F">
        <w:rPr>
          <w:rFonts w:ascii="Times New Roman" w:hAnsi="Times New Roman"/>
          <w:color w:val="000000"/>
          <w:sz w:val="24"/>
        </w:rPr>
        <w:t xml:space="preserve">  While programs will be coordinated and integrated, their respective policies and procedures will be followed in the delivery of services. Operational efficiencies will be employed to streamline the application process and installation of measures.</w:t>
      </w:r>
      <w:r w:rsidR="00E7041A" w:rsidRPr="00600E6F">
        <w:rPr>
          <w:rFonts w:ascii="Times New Roman" w:hAnsi="Times New Roman"/>
          <w:color w:val="000000"/>
          <w:sz w:val="24"/>
        </w:rPr>
        <w:t xml:space="preserve">  This </w:t>
      </w:r>
      <w:r w:rsidRPr="00600E6F">
        <w:rPr>
          <w:rFonts w:ascii="Times New Roman" w:hAnsi="Times New Roman"/>
          <w:color w:val="000000"/>
          <w:sz w:val="24"/>
        </w:rPr>
        <w:t>unprecedented integrated approach combines market</w:t>
      </w:r>
      <w:r w:rsidRPr="00600E6F">
        <w:rPr>
          <w:rFonts w:ascii="Cambria Math" w:hAnsi="Cambria Math"/>
          <w:color w:val="000000"/>
          <w:sz w:val="24"/>
        </w:rPr>
        <w:t>‐</w:t>
      </w:r>
      <w:r w:rsidRPr="00600E6F">
        <w:rPr>
          <w:rFonts w:ascii="Times New Roman" w:hAnsi="Times New Roman"/>
          <w:color w:val="000000"/>
          <w:sz w:val="24"/>
        </w:rPr>
        <w:t>rate and income</w:t>
      </w:r>
      <w:r w:rsidRPr="00600E6F">
        <w:rPr>
          <w:rFonts w:ascii="Cambria Math" w:hAnsi="Cambria Math"/>
          <w:color w:val="000000"/>
          <w:sz w:val="24"/>
        </w:rPr>
        <w:t>‐</w:t>
      </w:r>
      <w:r w:rsidRPr="00600E6F">
        <w:rPr>
          <w:rFonts w:ascii="Times New Roman" w:hAnsi="Times New Roman"/>
          <w:color w:val="000000"/>
          <w:sz w:val="24"/>
        </w:rPr>
        <w:t>qualified energy efficiency measures that will benefit multifamily property owners and tenants; providing the opportunity to educate building owners on the benefits of energy efficiency and conservation efforts spanning the range of needs for the multifamily market.</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 xml:space="preserve">This </w:t>
      </w:r>
      <w:r w:rsidR="00E7041A" w:rsidRPr="00600E6F">
        <w:rPr>
          <w:rFonts w:ascii="Times New Roman" w:hAnsi="Times New Roman"/>
          <w:color w:val="000000"/>
          <w:sz w:val="24"/>
        </w:rPr>
        <w:t>collaboration should increase participation levels for each respective program.</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93736E" w:rsidRPr="00600E6F" w:rsidRDefault="00E7041A" w:rsidP="00C31CC0">
      <w:pPr>
        <w:numPr>
          <w:ilvl w:val="0"/>
          <w:numId w:val="55"/>
        </w:num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MFEER will continue to work with the ARP to promote the turn-in of inefficient (but functional) property owner-owned refrigerators. To generate interest and gain higher participation levels through joint marketing efforts, MFEER will also consider opportunities to cooperate with other energy efficiency programs or services.  </w:t>
      </w:r>
    </w:p>
    <w:p w:rsidR="0093736E" w:rsidRPr="00600E6F" w:rsidRDefault="00E7041A" w:rsidP="00C31CC0">
      <w:pPr>
        <w:numPr>
          <w:ilvl w:val="0"/>
          <w:numId w:val="55"/>
        </w:num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MFEER will promote the </w:t>
      </w:r>
      <w:r w:rsidR="00513B47" w:rsidRPr="00600E6F">
        <w:rPr>
          <w:rFonts w:ascii="Times New Roman" w:hAnsi="Times New Roman"/>
          <w:color w:val="000000"/>
          <w:sz w:val="24"/>
        </w:rPr>
        <w:t>ESA Program</w:t>
      </w:r>
      <w:r w:rsidRPr="00600E6F">
        <w:rPr>
          <w:rFonts w:ascii="Times New Roman" w:hAnsi="Times New Roman"/>
          <w:color w:val="000000"/>
          <w:sz w:val="24"/>
        </w:rPr>
        <w:t xml:space="preserve"> and the California Alternate Rates for Energy (CARE) program within the application by making the property owner/manager aware of the available income-qualified services for the tenants.  Additional marketing efforts may include reaching tenants through direct-mail to promote services not offered under MFEER, such as the CARE electricity bill discount of 20% or more and the income-qualified refrigerator replacement.</w:t>
      </w:r>
    </w:p>
    <w:p w:rsidR="00513B47" w:rsidRPr="00600E6F" w:rsidRDefault="00513B47" w:rsidP="00A05269">
      <w:pPr>
        <w:autoSpaceDE w:val="0"/>
        <w:autoSpaceDN w:val="0"/>
        <w:adjustRightInd w:val="0"/>
        <w:spacing w:after="0" w:line="240" w:lineRule="auto"/>
        <w:rPr>
          <w:rFonts w:ascii="Times New Roman" w:hAnsi="Times New Roman"/>
          <w:color w:val="000000"/>
          <w:sz w:val="24"/>
        </w:rPr>
      </w:pPr>
    </w:p>
    <w:p w:rsidR="0093736E" w:rsidRPr="00600E6F" w:rsidRDefault="00E7041A" w:rsidP="00C31CC0">
      <w:pPr>
        <w:numPr>
          <w:ilvl w:val="0"/>
          <w:numId w:val="55"/>
        </w:num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MFEER will coordinate with the </w:t>
      </w:r>
      <w:r w:rsidR="00513B47" w:rsidRPr="00600E6F">
        <w:rPr>
          <w:rFonts w:ascii="Times New Roman" w:hAnsi="Times New Roman"/>
          <w:color w:val="000000"/>
          <w:sz w:val="24"/>
        </w:rPr>
        <w:t>Energy Advisor (“HEA”)</w:t>
      </w:r>
      <w:r w:rsidRPr="00600E6F">
        <w:rPr>
          <w:rFonts w:ascii="Times New Roman" w:hAnsi="Times New Roman"/>
          <w:color w:val="000000"/>
          <w:sz w:val="24"/>
        </w:rPr>
        <w:t xml:space="preserve"> program to promote, and potentially develop, a survey specific to the multifamily segment that engages the property owners/managers by helping identify opportunities for saving energy and money by using MFEER and other energy efficiency programs.</w:t>
      </w:r>
    </w:p>
    <w:p w:rsidR="00513B47" w:rsidRPr="00600E6F" w:rsidRDefault="00513B47" w:rsidP="00C31CC0">
      <w:pPr>
        <w:numPr>
          <w:ilvl w:val="0"/>
          <w:numId w:val="55"/>
        </w:num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MF EUC program seeks deeper energy savings through a comprehensive approach.  The program targets property owners/managers with scheduled project rehabilitation who are willing to invest in a performance-based whole-building approach.  The incentives are designed to influence the implementation of comprehensive measures and therefore are based off of energy reduction achieved.  As such, MFEER will guide property owners/managers with comprehensive project potential to the MF EUC program.  </w:t>
      </w:r>
    </w:p>
    <w:p w:rsidR="00513B47" w:rsidRPr="00600E6F" w:rsidRDefault="00513B47" w:rsidP="00A05269">
      <w:pPr>
        <w:spacing w:after="0" w:line="240" w:lineRule="auto"/>
        <w:ind w:left="720"/>
        <w:rPr>
          <w:rFonts w:ascii="Times New Roman" w:hAnsi="Times New Roman"/>
          <w:sz w:val="24"/>
        </w:rPr>
      </w:pPr>
    </w:p>
    <w:p w:rsidR="0093736E" w:rsidRPr="00600E6F" w:rsidRDefault="00E7041A" w:rsidP="00600E6F">
      <w:pPr>
        <w:spacing w:after="0" w:line="240" w:lineRule="auto"/>
        <w:ind w:left="360"/>
        <w:rPr>
          <w:rFonts w:ascii="Times New Roman" w:hAnsi="Times New Roman"/>
          <w:b/>
          <w:sz w:val="24"/>
        </w:rPr>
      </w:pPr>
      <w:r w:rsidRPr="00600E6F">
        <w:rPr>
          <w:rFonts w:ascii="Times New Roman" w:hAnsi="Times New Roman"/>
          <w:b/>
          <w:sz w:val="24"/>
        </w:rPr>
        <w:t>d)</w:t>
      </w:r>
      <w:r w:rsidRPr="00600E6F">
        <w:rPr>
          <w:rFonts w:ascii="Times New Roman" w:hAnsi="Times New Roman"/>
          <w:b/>
          <w:sz w:val="24"/>
        </w:rPr>
        <w:tab/>
      </w:r>
      <w:r w:rsidRPr="00600E6F">
        <w:rPr>
          <w:rFonts w:ascii="Times New Roman" w:hAnsi="Times New Roman"/>
          <w:b/>
          <w:sz w:val="24"/>
          <w:u w:val="single"/>
        </w:rPr>
        <w:t>Quantitative Program Targets</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 xml:space="preserve">The statewide MFEER is striving to meet the following program activity targets.  The proposed targets may be modified due to funding restrictions, especially for </w:t>
      </w:r>
      <w:r w:rsidR="00513B47" w:rsidRPr="00600E6F">
        <w:rPr>
          <w:rFonts w:ascii="Times New Roman" w:hAnsi="Times New Roman"/>
          <w:sz w:val="24"/>
        </w:rPr>
        <w:t>the</w:t>
      </w:r>
      <w:r w:rsidR="00561D1D">
        <w:rPr>
          <w:rFonts w:ascii="Times New Roman" w:hAnsi="Times New Roman"/>
          <w:sz w:val="24"/>
        </w:rPr>
        <w:t xml:space="preserve"> </w:t>
      </w:r>
      <w:r w:rsidR="00513B47" w:rsidRPr="00600E6F">
        <w:rPr>
          <w:rFonts w:ascii="Times New Roman" w:hAnsi="Times New Roman"/>
          <w:sz w:val="24"/>
        </w:rPr>
        <w:t>2013-2014</w:t>
      </w:r>
      <w:r w:rsidRPr="00600E6F">
        <w:rPr>
          <w:rFonts w:ascii="Times New Roman" w:hAnsi="Times New Roman"/>
          <w:sz w:val="24"/>
        </w:rPr>
        <w:t xml:space="preserve"> year.  </w:t>
      </w:r>
    </w:p>
    <w:p w:rsidR="00513B47" w:rsidRPr="00600E6F" w:rsidRDefault="00513B47" w:rsidP="00A05269">
      <w:pPr>
        <w:rPr>
          <w:rStyle w:val="Heading2Char"/>
          <w:rFonts w:ascii="Times New Roman" w:hAnsi="Times New Roman"/>
          <w:b w:val="0"/>
          <w:i w:val="0"/>
          <w:sz w:val="24"/>
        </w:rPr>
      </w:pPr>
    </w:p>
    <w:p w:rsidR="00151BA6" w:rsidRDefault="00151BA6" w:rsidP="00A05269">
      <w:pPr>
        <w:rPr>
          <w:rStyle w:val="Heading2Char"/>
          <w:rFonts w:ascii="Times New Roman" w:hAnsi="Times New Roman" w:cs="Times New Roman"/>
          <w:b w:val="0"/>
          <w:bCs w:val="0"/>
          <w:i w:val="0"/>
          <w:iCs w:val="0"/>
          <w:sz w:val="24"/>
          <w:szCs w:val="24"/>
        </w:rPr>
      </w:pPr>
    </w:p>
    <w:p w:rsidR="00151BA6" w:rsidRPr="00600E6F" w:rsidRDefault="00151BA6" w:rsidP="00A05269">
      <w:pPr>
        <w:rPr>
          <w:rStyle w:val="Heading2Char"/>
          <w:rFonts w:ascii="Times New Roman" w:hAnsi="Times New Roman" w:cs="Times New Roman"/>
          <w:b w:val="0"/>
          <w:bCs w:val="0"/>
          <w:i w:val="0"/>
          <w:iCs w:val="0"/>
          <w:sz w:val="24"/>
          <w:szCs w:val="24"/>
        </w:rPr>
      </w:pPr>
    </w:p>
    <w:p w:rsidR="0093736E" w:rsidRPr="00600E6F" w:rsidRDefault="00E7041A" w:rsidP="00600E6F">
      <w:pPr>
        <w:pStyle w:val="Caption"/>
        <w:ind w:firstLine="360"/>
        <w:rPr>
          <w:sz w:val="24"/>
        </w:rPr>
      </w:pPr>
      <w:r w:rsidRPr="00600E6F">
        <w:rPr>
          <w:sz w:val="24"/>
        </w:rPr>
        <w:lastRenderedPageBreak/>
        <w:t xml:space="preserve">Table 5:  </w:t>
      </w:r>
      <w:r w:rsidRPr="00600E6F">
        <w:rPr>
          <w:b w:val="0"/>
          <w:sz w:val="24"/>
        </w:rPr>
        <w:t>Proposed Program Activity Targets</w:t>
      </w:r>
      <w:r w:rsidR="00513B47" w:rsidRPr="00600E6F">
        <w:rPr>
          <w:sz w:val="24"/>
        </w:rPr>
        <w:t xml:space="preserve"> </w:t>
      </w:r>
    </w:p>
    <w:tbl>
      <w:tblPr>
        <w:tblW w:w="9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2658"/>
        <w:gridCol w:w="2658"/>
      </w:tblGrid>
      <w:tr w:rsidR="00513B47" w:rsidRPr="00F50F8B" w:rsidTr="00657138">
        <w:trPr>
          <w:trHeight w:val="503"/>
          <w:tblHeader/>
        </w:trPr>
        <w:tc>
          <w:tcPr>
            <w:tcW w:w="4140" w:type="dxa"/>
            <w:noWrap/>
            <w:vAlign w:val="bottom"/>
          </w:tcPr>
          <w:p w:rsidR="00513B47" w:rsidRPr="00600E6F" w:rsidRDefault="00513B47" w:rsidP="00A05269">
            <w:pPr>
              <w:spacing w:after="0" w:line="240" w:lineRule="auto"/>
              <w:jc w:val="center"/>
              <w:rPr>
                <w:rFonts w:ascii="Times New Roman" w:hAnsi="Times New Roman"/>
                <w:b/>
              </w:rPr>
            </w:pPr>
            <w:r w:rsidRPr="00600E6F">
              <w:rPr>
                <w:rFonts w:ascii="Times New Roman" w:hAnsi="Times New Roman"/>
                <w:b/>
              </w:rPr>
              <w:t>Program Target</w:t>
            </w:r>
          </w:p>
        </w:tc>
        <w:tc>
          <w:tcPr>
            <w:tcW w:w="2658" w:type="dxa"/>
            <w:vAlign w:val="bottom"/>
          </w:tcPr>
          <w:p w:rsidR="00513B47" w:rsidRPr="00600E6F" w:rsidRDefault="00513B47" w:rsidP="00A05269">
            <w:pPr>
              <w:spacing w:after="0" w:line="240" w:lineRule="auto"/>
              <w:jc w:val="center"/>
              <w:rPr>
                <w:rFonts w:ascii="Times New Roman" w:hAnsi="Times New Roman"/>
                <w:b/>
              </w:rPr>
            </w:pPr>
            <w:r w:rsidRPr="00600E6F">
              <w:rPr>
                <w:rFonts w:ascii="Times New Roman" w:hAnsi="Times New Roman"/>
                <w:b/>
              </w:rPr>
              <w:t>Program Target by 2013</w:t>
            </w:r>
          </w:p>
        </w:tc>
        <w:tc>
          <w:tcPr>
            <w:tcW w:w="2658" w:type="dxa"/>
            <w:vAlign w:val="bottom"/>
          </w:tcPr>
          <w:p w:rsidR="00513B47" w:rsidRPr="00600E6F" w:rsidRDefault="00513B47" w:rsidP="00A05269">
            <w:pPr>
              <w:spacing w:after="0" w:line="240" w:lineRule="auto"/>
              <w:jc w:val="center"/>
              <w:rPr>
                <w:rFonts w:ascii="Times New Roman" w:hAnsi="Times New Roman"/>
                <w:b/>
              </w:rPr>
            </w:pPr>
            <w:r w:rsidRPr="00600E6F">
              <w:rPr>
                <w:rFonts w:ascii="Times New Roman" w:hAnsi="Times New Roman"/>
                <w:b/>
              </w:rPr>
              <w:t>Program Target by 2014</w:t>
            </w:r>
          </w:p>
        </w:tc>
      </w:tr>
      <w:tr w:rsidR="00513B47" w:rsidRPr="00F50F8B" w:rsidTr="00657138">
        <w:trPr>
          <w:trHeight w:val="255"/>
        </w:trPr>
        <w:tc>
          <w:tcPr>
            <w:tcW w:w="4140"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Target #1</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 xml:space="preserve">Direct mailing to reach 5,000 multifamily property owners/manager </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Advertising in trade journal (depended on approved marketing budget)</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Support outreach events such as trade shows</w:t>
            </w:r>
          </w:p>
        </w:tc>
        <w:tc>
          <w:tcPr>
            <w:tcW w:w="2658" w:type="dxa"/>
          </w:tcPr>
          <w:p w:rsidR="00513B47" w:rsidRPr="00600E6F" w:rsidRDefault="00513B47" w:rsidP="00A05269">
            <w:pPr>
              <w:spacing w:after="0" w:line="240" w:lineRule="auto"/>
              <w:rPr>
                <w:rFonts w:ascii="Times New Roman" w:hAnsi="Times New Roman"/>
              </w:rPr>
            </w:pPr>
            <w:r w:rsidRPr="00600E6F">
              <w:rPr>
                <w:rFonts w:ascii="Times New Roman" w:hAnsi="Times New Roman"/>
              </w:rPr>
              <w:t xml:space="preserve">Complete 5,000 pieces of direct mailing, </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 xml:space="preserve">place monthly trade journal advertising, </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attend 2 trade shows per year</w:t>
            </w:r>
          </w:p>
        </w:tc>
        <w:tc>
          <w:tcPr>
            <w:tcW w:w="2658"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Same as 2013</w:t>
            </w:r>
          </w:p>
          <w:p w:rsidR="00513B47" w:rsidRPr="00600E6F" w:rsidRDefault="00513B47" w:rsidP="00A05269">
            <w:pPr>
              <w:spacing w:after="0" w:line="240" w:lineRule="auto"/>
              <w:rPr>
                <w:rFonts w:ascii="Times New Roman" w:hAnsi="Times New Roman"/>
              </w:rPr>
            </w:pPr>
          </w:p>
        </w:tc>
      </w:tr>
      <w:tr w:rsidR="00513B47" w:rsidRPr="00F50F8B" w:rsidTr="00657138">
        <w:trPr>
          <w:trHeight w:val="255"/>
        </w:trPr>
        <w:tc>
          <w:tcPr>
            <w:tcW w:w="4140"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Target #2</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Require 100% of program participating electrical contractors to meet licensing requirements</w:t>
            </w:r>
          </w:p>
          <w:p w:rsidR="00513B47" w:rsidRPr="00600E6F" w:rsidRDefault="00513B47" w:rsidP="00A05269">
            <w:pPr>
              <w:spacing w:after="0" w:line="240" w:lineRule="auto"/>
              <w:rPr>
                <w:rFonts w:ascii="Times New Roman" w:hAnsi="Times New Roman"/>
              </w:rPr>
            </w:pPr>
            <w:r w:rsidRPr="00600E6F">
              <w:rPr>
                <w:rFonts w:ascii="Times New Roman" w:hAnsi="Times New Roman"/>
              </w:rPr>
              <w:t xml:space="preserve"> </w:t>
            </w:r>
          </w:p>
        </w:tc>
        <w:tc>
          <w:tcPr>
            <w:tcW w:w="2658" w:type="dxa"/>
          </w:tcPr>
          <w:p w:rsidR="00513B47" w:rsidRPr="00600E6F" w:rsidRDefault="00513B47" w:rsidP="00A05269">
            <w:pPr>
              <w:spacing w:after="0" w:line="240" w:lineRule="auto"/>
              <w:rPr>
                <w:rFonts w:ascii="Times New Roman" w:hAnsi="Times New Roman"/>
              </w:rPr>
            </w:pPr>
            <w:r w:rsidRPr="00600E6F">
              <w:rPr>
                <w:rFonts w:ascii="Times New Roman" w:hAnsi="Times New Roman"/>
              </w:rPr>
              <w:t>100% for 2013-2014 program cycle</w:t>
            </w:r>
          </w:p>
        </w:tc>
        <w:tc>
          <w:tcPr>
            <w:tcW w:w="2658"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Same as 2013</w:t>
            </w:r>
          </w:p>
          <w:p w:rsidR="00513B47" w:rsidRPr="00600E6F" w:rsidRDefault="00513B47" w:rsidP="00A05269">
            <w:pPr>
              <w:spacing w:after="0" w:line="240" w:lineRule="auto"/>
              <w:rPr>
                <w:rFonts w:ascii="Times New Roman" w:hAnsi="Times New Roman"/>
              </w:rPr>
            </w:pPr>
          </w:p>
        </w:tc>
      </w:tr>
      <w:tr w:rsidR="00513B47" w:rsidRPr="00F50F8B" w:rsidTr="00657138">
        <w:trPr>
          <w:trHeight w:val="255"/>
        </w:trPr>
        <w:tc>
          <w:tcPr>
            <w:tcW w:w="4140"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Target #3</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 xml:space="preserve">Deliver program specific communications to participating contractors </w:t>
            </w:r>
          </w:p>
          <w:p w:rsidR="00513B47" w:rsidRPr="00600E6F" w:rsidRDefault="00513B47" w:rsidP="00A05269">
            <w:pPr>
              <w:spacing w:after="0" w:line="240" w:lineRule="auto"/>
              <w:rPr>
                <w:rFonts w:ascii="Times New Roman" w:hAnsi="Times New Roman"/>
              </w:rPr>
            </w:pPr>
          </w:p>
        </w:tc>
        <w:tc>
          <w:tcPr>
            <w:tcW w:w="2658" w:type="dxa"/>
          </w:tcPr>
          <w:p w:rsidR="00513B47" w:rsidRPr="00600E6F" w:rsidRDefault="00513B47" w:rsidP="00A05269">
            <w:pPr>
              <w:spacing w:after="0" w:line="240" w:lineRule="auto"/>
              <w:rPr>
                <w:rFonts w:ascii="Times New Roman" w:hAnsi="Times New Roman"/>
              </w:rPr>
            </w:pPr>
            <w:r w:rsidRPr="00600E6F">
              <w:rPr>
                <w:rFonts w:ascii="Times New Roman" w:hAnsi="Times New Roman"/>
              </w:rPr>
              <w:t>2 communications per year</w:t>
            </w:r>
          </w:p>
        </w:tc>
        <w:tc>
          <w:tcPr>
            <w:tcW w:w="2658"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Same as 2013</w:t>
            </w:r>
          </w:p>
          <w:p w:rsidR="00513B47" w:rsidRPr="00600E6F" w:rsidRDefault="00513B47" w:rsidP="00A05269">
            <w:pPr>
              <w:spacing w:after="0" w:line="240" w:lineRule="auto"/>
              <w:rPr>
                <w:rFonts w:ascii="Times New Roman" w:hAnsi="Times New Roman"/>
              </w:rPr>
            </w:pPr>
          </w:p>
        </w:tc>
      </w:tr>
      <w:tr w:rsidR="00513B47" w:rsidRPr="00F50F8B" w:rsidTr="00657138">
        <w:trPr>
          <w:trHeight w:val="270"/>
        </w:trPr>
        <w:tc>
          <w:tcPr>
            <w:tcW w:w="4140"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Target #4</w:t>
            </w:r>
          </w:p>
          <w:p w:rsidR="00513B47" w:rsidRPr="00600E6F" w:rsidRDefault="00513B47" w:rsidP="00A05269">
            <w:pPr>
              <w:spacing w:after="0" w:line="240" w:lineRule="auto"/>
              <w:rPr>
                <w:rFonts w:ascii="Times New Roman" w:hAnsi="Times New Roman"/>
              </w:rPr>
            </w:pPr>
          </w:p>
          <w:p w:rsidR="00513B47" w:rsidRPr="00600E6F" w:rsidRDefault="00513B47" w:rsidP="00A05269">
            <w:pPr>
              <w:spacing w:after="0" w:line="240" w:lineRule="auto"/>
              <w:rPr>
                <w:rFonts w:ascii="Times New Roman" w:hAnsi="Times New Roman"/>
              </w:rPr>
            </w:pPr>
            <w:r w:rsidRPr="00600E6F">
              <w:rPr>
                <w:rFonts w:ascii="Times New Roman" w:hAnsi="Times New Roman"/>
              </w:rPr>
              <w:t>Continue to solicit participation from mega property management Company</w:t>
            </w:r>
          </w:p>
          <w:p w:rsidR="00513B47" w:rsidRPr="00600E6F" w:rsidRDefault="00513B47" w:rsidP="00A05269">
            <w:pPr>
              <w:spacing w:after="0" w:line="240" w:lineRule="auto"/>
              <w:rPr>
                <w:rFonts w:ascii="Times New Roman" w:hAnsi="Times New Roman"/>
              </w:rPr>
            </w:pPr>
          </w:p>
        </w:tc>
        <w:tc>
          <w:tcPr>
            <w:tcW w:w="2658" w:type="dxa"/>
          </w:tcPr>
          <w:p w:rsidR="00513B47" w:rsidRPr="00600E6F" w:rsidRDefault="00513B47" w:rsidP="00A05269">
            <w:pPr>
              <w:spacing w:after="0" w:line="240" w:lineRule="auto"/>
              <w:rPr>
                <w:rFonts w:ascii="Times New Roman" w:hAnsi="Times New Roman"/>
              </w:rPr>
            </w:pPr>
            <w:r w:rsidRPr="00600E6F">
              <w:rPr>
                <w:rFonts w:ascii="Times New Roman" w:hAnsi="Times New Roman"/>
              </w:rPr>
              <w:t>3 per year</w:t>
            </w:r>
          </w:p>
        </w:tc>
        <w:tc>
          <w:tcPr>
            <w:tcW w:w="2658" w:type="dxa"/>
            <w:noWrap/>
          </w:tcPr>
          <w:p w:rsidR="00513B47" w:rsidRPr="00600E6F" w:rsidRDefault="00513B47" w:rsidP="00A05269">
            <w:pPr>
              <w:spacing w:after="0" w:line="240" w:lineRule="auto"/>
              <w:rPr>
                <w:rFonts w:ascii="Times New Roman" w:hAnsi="Times New Roman"/>
              </w:rPr>
            </w:pPr>
            <w:r w:rsidRPr="00600E6F">
              <w:rPr>
                <w:rFonts w:ascii="Times New Roman" w:hAnsi="Times New Roman"/>
              </w:rPr>
              <w:t>Same as 2013</w:t>
            </w:r>
            <w:r w:rsidRPr="00600E6F">
              <w:rPr>
                <w:rFonts w:ascii="Times New Roman" w:hAnsi="Times New Roman"/>
              </w:rPr>
              <w:br/>
            </w:r>
          </w:p>
        </w:tc>
      </w:tr>
    </w:tbl>
    <w:p w:rsidR="00513B47" w:rsidRPr="00600E6F" w:rsidRDefault="00513B47" w:rsidP="00A05269">
      <w:pPr>
        <w:spacing w:after="0" w:line="240" w:lineRule="auto"/>
        <w:rPr>
          <w:rFonts w:ascii="Times New Roman" w:hAnsi="Times New Roman"/>
          <w:sz w:val="24"/>
        </w:rPr>
      </w:pPr>
    </w:p>
    <w:p w:rsidR="0093736E" w:rsidRPr="00600E6F" w:rsidRDefault="00E7041A" w:rsidP="00600E6F">
      <w:pPr>
        <w:spacing w:after="0" w:line="240" w:lineRule="auto"/>
        <w:ind w:firstLine="360"/>
        <w:rPr>
          <w:rFonts w:ascii="Times New Roman" w:hAnsi="Times New Roman"/>
          <w:sz w:val="24"/>
        </w:rPr>
      </w:pPr>
      <w:r w:rsidRPr="00600E6F">
        <w:rPr>
          <w:rFonts w:ascii="Times New Roman" w:hAnsi="Times New Roman"/>
          <w:sz w:val="24"/>
        </w:rPr>
        <w:t>Note:  The proposed activities above may be limited by program funding restrictions</w:t>
      </w:r>
    </w:p>
    <w:p w:rsidR="00513B47" w:rsidRPr="00600E6F" w:rsidRDefault="00513B47" w:rsidP="00A05269">
      <w:pPr>
        <w:spacing w:after="0" w:line="240" w:lineRule="auto"/>
        <w:rPr>
          <w:rFonts w:ascii="Times New Roman" w:hAnsi="Times New Roman"/>
          <w:sz w:val="24"/>
        </w:rPr>
      </w:pPr>
    </w:p>
    <w:p w:rsidR="0093736E" w:rsidRPr="00600E6F" w:rsidRDefault="00E7041A" w:rsidP="00600E6F">
      <w:pPr>
        <w:spacing w:after="0" w:line="240" w:lineRule="auto"/>
        <w:ind w:left="360"/>
        <w:rPr>
          <w:rFonts w:ascii="Times New Roman" w:hAnsi="Times New Roman"/>
          <w:b/>
          <w:sz w:val="24"/>
        </w:rPr>
      </w:pPr>
      <w:r w:rsidRPr="00600E6F">
        <w:rPr>
          <w:rFonts w:ascii="Times New Roman" w:hAnsi="Times New Roman"/>
          <w:b/>
          <w:sz w:val="24"/>
        </w:rPr>
        <w:t>e)</w:t>
      </w:r>
      <w:r w:rsidRPr="00600E6F">
        <w:rPr>
          <w:rFonts w:ascii="Times New Roman" w:hAnsi="Times New Roman"/>
          <w:b/>
          <w:sz w:val="24"/>
        </w:rPr>
        <w:tab/>
      </w:r>
      <w:r w:rsidRPr="00600E6F">
        <w:rPr>
          <w:rFonts w:ascii="Times New Roman" w:hAnsi="Times New Roman"/>
          <w:b/>
          <w:sz w:val="24"/>
          <w:u w:val="single"/>
        </w:rPr>
        <w:t>Advancing Strategic Plan Goals and Objectives</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In accordance with the Strategic Plan, this program advances comprehensive energy efficiency measures, including: whole-house solutions, plug-load efficiency, performance standards, leveraging of local government energy partnership opportunities, and DSM integration. As technology progresses, this program will adopt newer measures such as home energy monitoring and displays.  Each of these measures works to reduce the energy and carbon footprint of multifamily dwellings and will create additional energy savings and integration opportunities through inter-program referral, data sharing, and bundling of DSM solutions across energy efficiency, DR, CSI, smart meter and other IDSM efforts.</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The MFEER will support the following Strategic Plan as described below:</w:t>
      </w:r>
    </w:p>
    <w:p w:rsidR="00513B47" w:rsidRPr="00600E6F" w:rsidRDefault="00513B47" w:rsidP="00A05269">
      <w:pPr>
        <w:spacing w:after="0" w:line="240" w:lineRule="auto"/>
        <w:ind w:left="360"/>
        <w:rPr>
          <w:rFonts w:ascii="Times New Roman" w:hAnsi="Times New Roman"/>
          <w:sz w:val="24"/>
        </w:rPr>
      </w:pPr>
    </w:p>
    <w:p w:rsidR="0093736E" w:rsidRPr="00600E6F" w:rsidRDefault="00E7041A" w:rsidP="00C31CC0">
      <w:pPr>
        <w:numPr>
          <w:ilvl w:val="0"/>
          <w:numId w:val="85"/>
        </w:numPr>
        <w:spacing w:after="0" w:line="240" w:lineRule="auto"/>
        <w:ind w:left="720"/>
        <w:rPr>
          <w:rFonts w:ascii="Times New Roman" w:hAnsi="Times New Roman"/>
          <w:sz w:val="24"/>
        </w:rPr>
      </w:pPr>
      <w:r w:rsidRPr="00600E6F">
        <w:rPr>
          <w:rFonts w:ascii="Times New Roman" w:hAnsi="Times New Roman"/>
          <w:sz w:val="24"/>
        </w:rPr>
        <w:t>2.1.3.2.  Home buyers, owners, and renovators will implement a whole-house approach to energy consumption that will guide their purchase and use of existing and new homes, home equipment, household appliances, lighting and “plug load” amenities;</w:t>
      </w:r>
    </w:p>
    <w:p w:rsidR="00513B47" w:rsidRPr="00600E6F" w:rsidRDefault="00513B47" w:rsidP="00A05269">
      <w:pPr>
        <w:spacing w:after="0" w:line="240" w:lineRule="auto"/>
        <w:ind w:left="720"/>
        <w:rPr>
          <w:rFonts w:ascii="Times New Roman" w:hAnsi="Times New Roman"/>
          <w:sz w:val="24"/>
        </w:rPr>
      </w:pPr>
    </w:p>
    <w:p w:rsidR="0093736E" w:rsidRPr="00600E6F" w:rsidRDefault="00E7041A" w:rsidP="00C31CC0">
      <w:pPr>
        <w:numPr>
          <w:ilvl w:val="0"/>
          <w:numId w:val="85"/>
        </w:numPr>
        <w:spacing w:after="0" w:line="240" w:lineRule="auto"/>
        <w:ind w:left="720"/>
        <w:rPr>
          <w:rFonts w:ascii="Times New Roman" w:hAnsi="Times New Roman"/>
          <w:sz w:val="24"/>
        </w:rPr>
      </w:pPr>
      <w:r w:rsidRPr="00600E6F">
        <w:rPr>
          <w:rFonts w:ascii="Times New Roman" w:hAnsi="Times New Roman"/>
          <w:sz w:val="24"/>
        </w:rPr>
        <w:t>2.1.3.3.  Plug loads will be managed by developing consumer electronics and appliances that use less energy and provide tools to enable customers to understand and manage their demand; and</w:t>
      </w:r>
    </w:p>
    <w:p w:rsidR="00513B47" w:rsidRPr="00600E6F" w:rsidRDefault="00513B47" w:rsidP="00A05269">
      <w:pPr>
        <w:spacing w:after="0" w:line="240" w:lineRule="auto"/>
        <w:rPr>
          <w:rFonts w:ascii="Times New Roman" w:hAnsi="Times New Roman"/>
          <w:sz w:val="24"/>
        </w:rPr>
      </w:pPr>
    </w:p>
    <w:p w:rsidR="0093736E" w:rsidRPr="00600E6F" w:rsidRDefault="00E7041A" w:rsidP="00C31CC0">
      <w:pPr>
        <w:numPr>
          <w:ilvl w:val="0"/>
          <w:numId w:val="85"/>
        </w:numPr>
        <w:spacing w:after="0" w:line="240" w:lineRule="auto"/>
        <w:ind w:left="720"/>
        <w:rPr>
          <w:rFonts w:ascii="Times New Roman" w:hAnsi="Times New Roman"/>
          <w:sz w:val="24"/>
        </w:rPr>
      </w:pPr>
      <w:r w:rsidRPr="00600E6F">
        <w:rPr>
          <w:rFonts w:ascii="Times New Roman" w:hAnsi="Times New Roman"/>
          <w:sz w:val="24"/>
        </w:rPr>
        <w:t>2.1.3.4. The residential lighting industry will undergo substantial transformation through the deployment of high-efficiency and high-performance lighting technologies, supported by state and national codes and standards.</w:t>
      </w:r>
    </w:p>
    <w:p w:rsidR="00513B47" w:rsidRPr="00600E6F" w:rsidRDefault="00513B47" w:rsidP="00A05269">
      <w:pPr>
        <w:spacing w:after="0" w:line="240" w:lineRule="auto"/>
        <w:ind w:left="720"/>
        <w:rPr>
          <w:rFonts w:ascii="Times New Roman" w:hAnsi="Times New Roman"/>
          <w:sz w:val="24"/>
        </w:rPr>
      </w:pPr>
    </w:p>
    <w:p w:rsidR="00513B47" w:rsidRPr="00600E6F" w:rsidRDefault="00E7041A" w:rsidP="00A05269">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The current program design does not specifically address the Energy Division's market transformation goal of having 100% of multifamily households achieve a 40% reduction in energy consumption from 2008 levels by 2020.  However, the program is part of the solution to reach the multifamily transformation goal for California. A portion of the 2020 goals could be achieved through codes and standards ratcheting or by other local program’s implementations.  To become a market transformation program, MFEER will need to make significant changes to program design, program cost effectiveness, and many other economic feasibility issues.  Furthermore, the MFEER program will need to be sensitive to the CPUC/CEC market potential studies.</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93736E" w:rsidRPr="00600E6F" w:rsidRDefault="00E7041A" w:rsidP="00C31CC0">
      <w:pPr>
        <w:numPr>
          <w:ilvl w:val="0"/>
          <w:numId w:val="84"/>
        </w:numPr>
        <w:spacing w:after="0" w:line="240" w:lineRule="auto"/>
        <w:rPr>
          <w:rFonts w:ascii="Times New Roman" w:hAnsi="Times New Roman"/>
          <w:b/>
          <w:sz w:val="24"/>
        </w:rPr>
      </w:pPr>
      <w:r w:rsidRPr="00600E6F">
        <w:rPr>
          <w:rFonts w:ascii="Times New Roman" w:hAnsi="Times New Roman"/>
          <w:b/>
          <w:sz w:val="24"/>
        </w:rPr>
        <w:t xml:space="preserve">Program Implementation </w:t>
      </w:r>
    </w:p>
    <w:p w:rsidR="00513B47" w:rsidRPr="00600E6F" w:rsidRDefault="00513B47" w:rsidP="00A05269">
      <w:pPr>
        <w:spacing w:after="0" w:line="240" w:lineRule="auto"/>
        <w:ind w:left="360"/>
        <w:rPr>
          <w:rFonts w:ascii="Times New Roman" w:hAnsi="Times New Roman"/>
          <w:b/>
          <w:sz w:val="24"/>
        </w:rPr>
      </w:pPr>
    </w:p>
    <w:p w:rsidR="00513B47" w:rsidRPr="00600E6F" w:rsidRDefault="00E7041A" w:rsidP="00C31CC0">
      <w:pPr>
        <w:numPr>
          <w:ilvl w:val="1"/>
          <w:numId w:val="84"/>
        </w:numPr>
        <w:tabs>
          <w:tab w:val="left" w:pos="360"/>
        </w:tabs>
        <w:spacing w:after="0" w:line="240" w:lineRule="auto"/>
        <w:rPr>
          <w:rFonts w:ascii="Times New Roman" w:hAnsi="Times New Roman"/>
          <w:b/>
          <w:sz w:val="24"/>
        </w:rPr>
      </w:pPr>
      <w:r w:rsidRPr="00600E6F">
        <w:rPr>
          <w:rFonts w:ascii="Times New Roman" w:hAnsi="Times New Roman"/>
          <w:b/>
          <w:sz w:val="24"/>
          <w:u w:val="single"/>
        </w:rPr>
        <w:t>Statewide IOU coordination</w:t>
      </w:r>
    </w:p>
    <w:p w:rsidR="00513B47" w:rsidRPr="00600E6F" w:rsidRDefault="00513B47" w:rsidP="00A05269">
      <w:pPr>
        <w:tabs>
          <w:tab w:val="left" w:pos="360"/>
        </w:tabs>
        <w:spacing w:after="0" w:line="240" w:lineRule="auto"/>
        <w:ind w:left="720"/>
        <w:rPr>
          <w:rFonts w:ascii="Times New Roman" w:hAnsi="Times New Roman"/>
          <w:b/>
          <w:sz w:val="24"/>
        </w:rPr>
      </w:pPr>
    </w:p>
    <w:p w:rsidR="0093736E" w:rsidRPr="00600E6F" w:rsidRDefault="00E7041A" w:rsidP="00C31CC0">
      <w:pPr>
        <w:numPr>
          <w:ilvl w:val="8"/>
          <w:numId w:val="84"/>
        </w:numPr>
        <w:tabs>
          <w:tab w:val="clear" w:pos="1152"/>
          <w:tab w:val="num" w:pos="1080"/>
        </w:tabs>
        <w:spacing w:after="0" w:line="240" w:lineRule="auto"/>
        <w:ind w:left="1080" w:hanging="270"/>
        <w:rPr>
          <w:rFonts w:ascii="Times New Roman" w:hAnsi="Times New Roman"/>
          <w:sz w:val="24"/>
        </w:rPr>
      </w:pPr>
      <w:r w:rsidRPr="00600E6F">
        <w:rPr>
          <w:rFonts w:ascii="Times New Roman" w:hAnsi="Times New Roman"/>
          <w:b/>
          <w:sz w:val="24"/>
        </w:rPr>
        <w:t>Program name:  Multifamily Energy Efficiency Rebate Program</w:t>
      </w:r>
    </w:p>
    <w:p w:rsidR="0093736E" w:rsidRPr="00600E6F" w:rsidRDefault="00E7041A" w:rsidP="00C31CC0">
      <w:pPr>
        <w:numPr>
          <w:ilvl w:val="8"/>
          <w:numId w:val="84"/>
        </w:numPr>
        <w:spacing w:after="0" w:line="240" w:lineRule="auto"/>
        <w:ind w:left="1080"/>
        <w:rPr>
          <w:rFonts w:ascii="Times New Roman" w:hAnsi="Times New Roman"/>
          <w:b/>
          <w:sz w:val="24"/>
        </w:rPr>
      </w:pPr>
      <w:r w:rsidRPr="00600E6F">
        <w:rPr>
          <w:rFonts w:ascii="Times New Roman" w:hAnsi="Times New Roman"/>
          <w:b/>
          <w:sz w:val="24"/>
        </w:rPr>
        <w:t>Program delivery mechanisms</w:t>
      </w:r>
    </w:p>
    <w:p w:rsidR="00513B47" w:rsidRPr="00600E6F" w:rsidRDefault="00513B47" w:rsidP="00A05269">
      <w:pPr>
        <w:tabs>
          <w:tab w:val="num" w:pos="720"/>
          <w:tab w:val="num" w:pos="1440"/>
        </w:tabs>
        <w:spacing w:after="0" w:line="240" w:lineRule="auto"/>
        <w:ind w:left="720"/>
        <w:rPr>
          <w:rFonts w:ascii="Times New Roman" w:hAnsi="Times New Roman"/>
          <w:sz w:val="24"/>
        </w:rPr>
      </w:pPr>
    </w:p>
    <w:p w:rsidR="00513B47" w:rsidRPr="00600E6F" w:rsidRDefault="00E7041A" w:rsidP="00A05269">
      <w:pPr>
        <w:tabs>
          <w:tab w:val="num" w:pos="720"/>
          <w:tab w:val="num" w:pos="1440"/>
        </w:tabs>
        <w:spacing w:after="0" w:line="240" w:lineRule="auto"/>
        <w:ind w:left="720"/>
        <w:rPr>
          <w:rFonts w:ascii="Times New Roman" w:hAnsi="Times New Roman"/>
          <w:sz w:val="24"/>
        </w:rPr>
      </w:pPr>
      <w:r w:rsidRPr="00600E6F">
        <w:rPr>
          <w:rFonts w:ascii="Times New Roman" w:hAnsi="Times New Roman"/>
          <w:sz w:val="24"/>
        </w:rPr>
        <w:t xml:space="preserve">The MFEER </w:t>
      </w:r>
      <w:r w:rsidR="00513B47" w:rsidRPr="00600E6F">
        <w:rPr>
          <w:rFonts w:ascii="Times New Roman" w:hAnsi="Times New Roman"/>
          <w:sz w:val="24"/>
        </w:rPr>
        <w:t>offers a variety of incentives</w:t>
      </w:r>
      <w:r w:rsidRPr="00600E6F">
        <w:rPr>
          <w:rFonts w:ascii="Times New Roman" w:hAnsi="Times New Roman"/>
          <w:sz w:val="24"/>
        </w:rPr>
        <w:t xml:space="preserve"> for installing qualified energy-efficiency products in existing apartment dwelling units and in the common areas of apartment and condominium complexes, and common areas of mobile home parks.  Property owners and managers of existing residential multifamily complexes with two or more dwelling units may qualify.</w:t>
      </w:r>
    </w:p>
    <w:p w:rsidR="0093736E" w:rsidRPr="00600E6F" w:rsidRDefault="0093736E" w:rsidP="00600E6F">
      <w:pPr>
        <w:tabs>
          <w:tab w:val="num" w:pos="720"/>
          <w:tab w:val="num" w:pos="1440"/>
        </w:tabs>
        <w:spacing w:after="0" w:line="240" w:lineRule="auto"/>
        <w:rPr>
          <w:rFonts w:ascii="Times New Roman" w:hAnsi="Times New Roman"/>
          <w:sz w:val="24"/>
        </w:rPr>
      </w:pPr>
    </w:p>
    <w:p w:rsidR="0093736E" w:rsidRPr="00600E6F" w:rsidRDefault="00513B47" w:rsidP="00600E6F">
      <w:pPr>
        <w:tabs>
          <w:tab w:val="num" w:pos="720"/>
          <w:tab w:val="num" w:pos="1440"/>
        </w:tabs>
        <w:spacing w:after="0" w:line="240" w:lineRule="auto"/>
        <w:ind w:left="720"/>
        <w:rPr>
          <w:rFonts w:ascii="Times New Roman" w:hAnsi="Times New Roman"/>
          <w:sz w:val="24"/>
        </w:rPr>
      </w:pPr>
      <w:r w:rsidRPr="00600E6F">
        <w:rPr>
          <w:rFonts w:ascii="Times New Roman" w:hAnsi="Times New Roman"/>
          <w:sz w:val="24"/>
        </w:rPr>
        <w:t>The MFEER offers incentives in the following forms:</w:t>
      </w:r>
    </w:p>
    <w:p w:rsidR="00513B47" w:rsidRPr="00600E6F" w:rsidRDefault="00513B47" w:rsidP="00C31CC0">
      <w:pPr>
        <w:pStyle w:val="ListParagraph"/>
        <w:numPr>
          <w:ilvl w:val="0"/>
          <w:numId w:val="86"/>
        </w:numPr>
        <w:tabs>
          <w:tab w:val="num" w:pos="1440"/>
        </w:tabs>
        <w:spacing w:after="0" w:line="240" w:lineRule="auto"/>
        <w:contextualSpacing w:val="0"/>
        <w:rPr>
          <w:rFonts w:ascii="Times New Roman" w:hAnsi="Times New Roman"/>
          <w:sz w:val="24"/>
        </w:rPr>
      </w:pPr>
      <w:r w:rsidRPr="00600E6F">
        <w:rPr>
          <w:rFonts w:ascii="Times New Roman" w:hAnsi="Times New Roman"/>
          <w:sz w:val="24"/>
        </w:rPr>
        <w:t>Prescribed rebates;</w:t>
      </w:r>
    </w:p>
    <w:p w:rsidR="00513B47" w:rsidRPr="00600E6F" w:rsidRDefault="00513B47" w:rsidP="00C31CC0">
      <w:pPr>
        <w:pStyle w:val="ListParagraph"/>
        <w:numPr>
          <w:ilvl w:val="0"/>
          <w:numId w:val="86"/>
        </w:numPr>
        <w:tabs>
          <w:tab w:val="num" w:pos="1440"/>
        </w:tabs>
        <w:spacing w:after="0" w:line="240" w:lineRule="auto"/>
        <w:contextualSpacing w:val="0"/>
        <w:rPr>
          <w:rFonts w:ascii="Times New Roman" w:hAnsi="Times New Roman"/>
          <w:sz w:val="24"/>
        </w:rPr>
      </w:pPr>
      <w:r w:rsidRPr="00600E6F">
        <w:rPr>
          <w:rFonts w:ascii="Times New Roman" w:hAnsi="Times New Roman"/>
          <w:sz w:val="24"/>
        </w:rPr>
        <w:t>Mid-stream incentives through retailers, distributors, and/or contractors; and</w:t>
      </w:r>
    </w:p>
    <w:p w:rsidR="00513B47" w:rsidRPr="00600E6F" w:rsidRDefault="00513B47" w:rsidP="00C31CC0">
      <w:pPr>
        <w:pStyle w:val="ListParagraph"/>
        <w:numPr>
          <w:ilvl w:val="0"/>
          <w:numId w:val="86"/>
        </w:numPr>
        <w:tabs>
          <w:tab w:val="num" w:pos="1440"/>
        </w:tabs>
        <w:spacing w:after="0" w:line="240" w:lineRule="auto"/>
        <w:contextualSpacing w:val="0"/>
        <w:rPr>
          <w:rFonts w:ascii="Times New Roman" w:hAnsi="Times New Roman"/>
          <w:sz w:val="24"/>
        </w:rPr>
      </w:pPr>
      <w:r w:rsidRPr="00600E6F">
        <w:rPr>
          <w:rFonts w:ascii="Times New Roman" w:hAnsi="Times New Roman"/>
          <w:sz w:val="24"/>
        </w:rPr>
        <w:t>Direct Installation of energy efficiency products</w:t>
      </w:r>
    </w:p>
    <w:p w:rsidR="00513B47" w:rsidRPr="00600E6F" w:rsidRDefault="00513B47" w:rsidP="00A05269">
      <w:pPr>
        <w:tabs>
          <w:tab w:val="num" w:pos="1260"/>
          <w:tab w:val="num" w:pos="1440"/>
        </w:tabs>
        <w:spacing w:after="0" w:line="240" w:lineRule="auto"/>
        <w:rPr>
          <w:rFonts w:ascii="Times New Roman" w:hAnsi="Times New Roman"/>
          <w:sz w:val="24"/>
        </w:rPr>
      </w:pPr>
    </w:p>
    <w:p w:rsidR="0093736E" w:rsidRPr="00600E6F" w:rsidRDefault="00E7041A" w:rsidP="00C31CC0">
      <w:pPr>
        <w:numPr>
          <w:ilvl w:val="8"/>
          <w:numId w:val="84"/>
        </w:numPr>
        <w:tabs>
          <w:tab w:val="num" w:pos="1080"/>
          <w:tab w:val="num" w:pos="2880"/>
        </w:tabs>
        <w:spacing w:after="0" w:line="240" w:lineRule="auto"/>
        <w:ind w:left="1080"/>
        <w:rPr>
          <w:rFonts w:ascii="Times New Roman" w:hAnsi="Times New Roman"/>
          <w:b/>
          <w:sz w:val="24"/>
        </w:rPr>
      </w:pPr>
      <w:r w:rsidRPr="00600E6F">
        <w:rPr>
          <w:rFonts w:ascii="Times New Roman" w:hAnsi="Times New Roman"/>
          <w:b/>
          <w:sz w:val="24"/>
        </w:rPr>
        <w:t>Marketing and outreach plans, e.g. research, target audience, collateral, delivery mechanisms</w:t>
      </w:r>
    </w:p>
    <w:p w:rsidR="0093736E"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The MFEER statewide marketing plans include print collateral material, direct mail campaigns, print media advertisements, trade show exhibitions and presentations</w:t>
      </w:r>
      <w:r w:rsidR="00513B47" w:rsidRPr="00600E6F">
        <w:rPr>
          <w:rFonts w:ascii="Times New Roman" w:hAnsi="Times New Roman"/>
          <w:sz w:val="24"/>
        </w:rPr>
        <w:t xml:space="preserve"> </w:t>
      </w:r>
      <w:r w:rsidR="00513B47" w:rsidRPr="00600E6F">
        <w:rPr>
          <w:rFonts w:ascii="Times New Roman" w:hAnsi="Times New Roman"/>
          <w:color w:val="000000"/>
          <w:sz w:val="24"/>
        </w:rPr>
        <w:t>to related target market organizations</w:t>
      </w:r>
      <w:r w:rsidRPr="00600E6F">
        <w:rPr>
          <w:rFonts w:ascii="Times New Roman" w:hAnsi="Times New Roman"/>
          <w:sz w:val="24"/>
        </w:rPr>
        <w:t>, and leveraging with other IOU energy efficiency efforts and programs where feasible (see targets above, Table 5).</w:t>
      </w:r>
      <w:r w:rsidR="00513B47" w:rsidRPr="00600E6F">
        <w:rPr>
          <w:rFonts w:ascii="Times New Roman" w:hAnsi="Times New Roman"/>
          <w:sz w:val="24"/>
        </w:rPr>
        <w:t xml:space="preserve"> The utilities may use a range of tactics such as; e-mails, flyers, on-Line marketing, direct mail, bill messaging, social media, local events, ethnic media, and other channels that suit the target audience, the message, and the resources. MFEER will also coordinate outreach activity with the ESA Program, WHUP, PLA, HVAC programs to maximize customer engagement and opportunities.</w:t>
      </w:r>
    </w:p>
    <w:p w:rsidR="00151BA6" w:rsidRDefault="00151BA6" w:rsidP="00513B65">
      <w:pPr>
        <w:tabs>
          <w:tab w:val="num" w:pos="1260"/>
          <w:tab w:val="num" w:pos="1440"/>
        </w:tabs>
        <w:spacing w:after="0" w:line="240" w:lineRule="auto"/>
        <w:ind w:left="1080"/>
        <w:rPr>
          <w:rFonts w:ascii="Times New Roman" w:hAnsi="Times New Roman"/>
          <w:sz w:val="24"/>
          <w:szCs w:val="24"/>
        </w:rPr>
      </w:pPr>
    </w:p>
    <w:p w:rsidR="00513B65" w:rsidRPr="00600E6F" w:rsidRDefault="00513B65" w:rsidP="00600E6F">
      <w:pPr>
        <w:tabs>
          <w:tab w:val="num" w:pos="1260"/>
          <w:tab w:val="num" w:pos="1440"/>
        </w:tabs>
        <w:spacing w:after="0" w:line="240" w:lineRule="auto"/>
        <w:ind w:left="1080"/>
        <w:rPr>
          <w:rFonts w:ascii="Times New Roman" w:hAnsi="Times New Roman"/>
          <w:sz w:val="24"/>
          <w:szCs w:val="24"/>
        </w:rPr>
      </w:pPr>
    </w:p>
    <w:p w:rsidR="0093736E" w:rsidRPr="00600E6F" w:rsidRDefault="00E7041A" w:rsidP="00C31CC0">
      <w:pPr>
        <w:numPr>
          <w:ilvl w:val="8"/>
          <w:numId w:val="84"/>
        </w:numPr>
        <w:tabs>
          <w:tab w:val="num" w:pos="1080"/>
          <w:tab w:val="num" w:pos="2880"/>
        </w:tabs>
        <w:spacing w:after="0" w:line="240" w:lineRule="auto"/>
        <w:ind w:left="1080"/>
        <w:rPr>
          <w:rFonts w:ascii="Times New Roman" w:hAnsi="Times New Roman"/>
          <w:b/>
          <w:sz w:val="24"/>
        </w:rPr>
      </w:pPr>
      <w:r w:rsidRPr="00600E6F">
        <w:rPr>
          <w:rFonts w:ascii="Times New Roman" w:hAnsi="Times New Roman"/>
          <w:b/>
          <w:sz w:val="24"/>
        </w:rPr>
        <w:lastRenderedPageBreak/>
        <w:t>IOU program interactions with CEC, ARB, Air Quality Management Districts, local government programs, other government programs as applicable</w:t>
      </w:r>
    </w:p>
    <w:p w:rsidR="00513B47" w:rsidRPr="00600E6F" w:rsidRDefault="00E7041A" w:rsidP="00600E6F">
      <w:pPr>
        <w:tabs>
          <w:tab w:val="num" w:pos="1260"/>
          <w:tab w:val="num" w:pos="1440"/>
        </w:tabs>
        <w:spacing w:after="0" w:line="240" w:lineRule="auto"/>
        <w:ind w:left="1080"/>
        <w:rPr>
          <w:rFonts w:ascii="Times New Roman" w:hAnsi="Times New Roman"/>
          <w:sz w:val="24"/>
        </w:rPr>
      </w:pPr>
      <w:r w:rsidRPr="00600E6F">
        <w:rPr>
          <w:rFonts w:ascii="Times New Roman" w:hAnsi="Times New Roman"/>
          <w:sz w:val="24"/>
        </w:rPr>
        <w:t>The MFEER program will coordinate with CEC, ARB, AQMD, and other local agencies and municipalities to implement environmental programs in support of California’s long term Strategic Plan and CPUC initiatives.</w:t>
      </w:r>
    </w:p>
    <w:p w:rsidR="00513B47" w:rsidRPr="00600E6F" w:rsidRDefault="00513B47" w:rsidP="00A05269">
      <w:pPr>
        <w:spacing w:after="0" w:line="240" w:lineRule="auto"/>
        <w:rPr>
          <w:rFonts w:ascii="Times New Roman" w:hAnsi="Times New Roman"/>
          <w:b/>
          <w:sz w:val="24"/>
        </w:rPr>
      </w:pPr>
    </w:p>
    <w:p w:rsidR="0093736E" w:rsidRPr="00600E6F" w:rsidRDefault="00E7041A" w:rsidP="00C31CC0">
      <w:pPr>
        <w:numPr>
          <w:ilvl w:val="8"/>
          <w:numId w:val="84"/>
        </w:numPr>
        <w:tabs>
          <w:tab w:val="num" w:pos="1080"/>
          <w:tab w:val="num" w:pos="2880"/>
        </w:tabs>
        <w:spacing w:after="0" w:line="240" w:lineRule="auto"/>
        <w:ind w:left="1080"/>
        <w:rPr>
          <w:rFonts w:ascii="Times New Roman" w:hAnsi="Times New Roman"/>
          <w:b/>
          <w:sz w:val="24"/>
        </w:rPr>
      </w:pPr>
      <w:r w:rsidRPr="00600E6F">
        <w:rPr>
          <w:rFonts w:ascii="Times New Roman" w:hAnsi="Times New Roman"/>
          <w:b/>
          <w:sz w:val="24"/>
        </w:rPr>
        <w:t>Similar IOU and POU programs</w:t>
      </w:r>
    </w:p>
    <w:p w:rsidR="0093736E" w:rsidRPr="00600E6F" w:rsidRDefault="00E7041A" w:rsidP="00600E6F">
      <w:pPr>
        <w:tabs>
          <w:tab w:val="num" w:pos="1080"/>
        </w:tabs>
        <w:spacing w:after="0" w:line="240" w:lineRule="auto"/>
        <w:ind w:left="1080"/>
        <w:rPr>
          <w:rFonts w:ascii="Times New Roman" w:hAnsi="Times New Roman"/>
          <w:sz w:val="24"/>
        </w:rPr>
      </w:pPr>
      <w:r w:rsidRPr="00600E6F">
        <w:rPr>
          <w:rFonts w:ascii="Times New Roman" w:hAnsi="Times New Roman"/>
          <w:sz w:val="24"/>
        </w:rPr>
        <w:t>The MFEER is a statewide program. Programs outside of California are implementing similar program designs (e.g., Austin Energy).</w:t>
      </w:r>
    </w:p>
    <w:p w:rsidR="00513B47" w:rsidRPr="00600E6F" w:rsidRDefault="00513B47" w:rsidP="00A05269">
      <w:pPr>
        <w:tabs>
          <w:tab w:val="num" w:pos="1080"/>
        </w:tabs>
        <w:spacing w:after="0" w:line="240" w:lineRule="auto"/>
        <w:ind w:left="1080"/>
        <w:rPr>
          <w:rFonts w:ascii="Times New Roman" w:hAnsi="Times New Roman"/>
          <w:sz w:val="24"/>
        </w:rPr>
      </w:pPr>
    </w:p>
    <w:p w:rsidR="0093736E" w:rsidRPr="00600E6F" w:rsidRDefault="00E7041A" w:rsidP="00C31CC0">
      <w:pPr>
        <w:numPr>
          <w:ilvl w:val="1"/>
          <w:numId w:val="84"/>
        </w:numPr>
        <w:spacing w:after="0" w:line="240" w:lineRule="auto"/>
        <w:rPr>
          <w:rFonts w:ascii="Times New Roman" w:hAnsi="Times New Roman"/>
          <w:b/>
          <w:sz w:val="24"/>
        </w:rPr>
      </w:pPr>
      <w:r w:rsidRPr="00600E6F">
        <w:rPr>
          <w:rFonts w:ascii="Times New Roman" w:hAnsi="Times New Roman"/>
          <w:b/>
          <w:sz w:val="24"/>
          <w:u w:val="single"/>
        </w:rPr>
        <w:t>Program delivery and coordination</w:t>
      </w:r>
    </w:p>
    <w:p w:rsidR="0093736E" w:rsidRPr="00600E6F" w:rsidRDefault="00E7041A" w:rsidP="00600E6F">
      <w:pPr>
        <w:tabs>
          <w:tab w:val="left" w:pos="720"/>
        </w:tabs>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To motivate multifamily property owners/managers to install energy-efficient products in the common areas and dwelling units of multifamily complexes and common areas of mobile home parks and condominiums, the MFEER Program offers prescribed rebates for energy efficient products  An additional objective is to increase the energy efficiency awareness and knowledge  of property owners/managers and tenants.  </w:t>
      </w:r>
    </w:p>
    <w:p w:rsidR="0093736E" w:rsidRPr="00600E6F" w:rsidRDefault="00E7041A" w:rsidP="00600E6F">
      <w:pPr>
        <w:tabs>
          <w:tab w:val="left" w:pos="720"/>
        </w:tabs>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program leverages an extensive network of contractors to reach property owners and property managers.  In addition to these contractors, the program also makes direct outreach to </w:t>
      </w:r>
      <w:r w:rsidR="00513B47" w:rsidRPr="00600E6F">
        <w:rPr>
          <w:rFonts w:ascii="Times New Roman" w:hAnsi="Times New Roman"/>
          <w:color w:val="000000"/>
          <w:sz w:val="24"/>
        </w:rPr>
        <w:t xml:space="preserve">larger </w:t>
      </w:r>
      <w:r w:rsidRPr="00600E6F">
        <w:rPr>
          <w:rFonts w:ascii="Times New Roman" w:hAnsi="Times New Roman"/>
          <w:color w:val="000000"/>
          <w:sz w:val="24"/>
        </w:rPr>
        <w:t xml:space="preserve">property </w:t>
      </w:r>
      <w:r w:rsidR="00513B47" w:rsidRPr="00600E6F">
        <w:rPr>
          <w:rFonts w:ascii="Times New Roman" w:hAnsi="Times New Roman"/>
          <w:color w:val="000000"/>
          <w:sz w:val="24"/>
        </w:rPr>
        <w:t xml:space="preserve">management </w:t>
      </w:r>
      <w:r w:rsidRPr="00600E6F">
        <w:rPr>
          <w:rFonts w:ascii="Times New Roman" w:hAnsi="Times New Roman"/>
          <w:color w:val="000000"/>
          <w:sz w:val="24"/>
        </w:rPr>
        <w:t>companies.  This network of contractors helps identify prospective properties and contact people.  The contractors also help property managers develop lists of improvements that are eligible for utility incentives.  When ready, the contractors install the measures then often will assist the property owners/managers complete the incentive application paperwork.</w:t>
      </w:r>
    </w:p>
    <w:p w:rsidR="0093736E" w:rsidRPr="00600E6F" w:rsidRDefault="00E7041A" w:rsidP="00600E6F">
      <w:pPr>
        <w:tabs>
          <w:tab w:val="left" w:pos="720"/>
        </w:tabs>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For marketing and outreach activities, the MFEER not only reaches out to the end users, but will also make special outreach and training sessions available to the </w:t>
      </w:r>
      <w:r w:rsidR="00513B47" w:rsidRPr="00600E6F">
        <w:rPr>
          <w:rFonts w:ascii="Times New Roman" w:hAnsi="Times New Roman"/>
          <w:color w:val="000000"/>
          <w:sz w:val="24"/>
        </w:rPr>
        <w:t>specific trade</w:t>
      </w:r>
      <w:r w:rsidRPr="00600E6F">
        <w:rPr>
          <w:rFonts w:ascii="Times New Roman" w:hAnsi="Times New Roman"/>
          <w:color w:val="000000"/>
          <w:sz w:val="24"/>
        </w:rPr>
        <w:t xml:space="preserve"> contractors</w:t>
      </w:r>
      <w:r w:rsidR="00513B47" w:rsidRPr="00600E6F">
        <w:rPr>
          <w:rFonts w:ascii="Times New Roman" w:hAnsi="Times New Roman"/>
          <w:color w:val="000000"/>
          <w:sz w:val="24"/>
        </w:rPr>
        <w:t xml:space="preserve">. </w:t>
      </w:r>
    </w:p>
    <w:p w:rsidR="00513B47" w:rsidRPr="00600E6F" w:rsidRDefault="00513B47" w:rsidP="00A05269">
      <w:pPr>
        <w:autoSpaceDE w:val="0"/>
        <w:autoSpaceDN w:val="0"/>
        <w:adjustRightInd w:val="0"/>
        <w:spacing w:after="0" w:line="240" w:lineRule="auto"/>
        <w:ind w:left="360"/>
        <w:rPr>
          <w:rFonts w:ascii="Times New Roman" w:hAnsi="Times New Roman"/>
          <w:color w:val="000000"/>
          <w:sz w:val="24"/>
        </w:rPr>
      </w:pPr>
    </w:p>
    <w:p w:rsidR="0093736E" w:rsidRPr="00600E6F" w:rsidRDefault="00E7041A" w:rsidP="00C31CC0">
      <w:pPr>
        <w:numPr>
          <w:ilvl w:val="8"/>
          <w:numId w:val="84"/>
        </w:numPr>
        <w:spacing w:after="0" w:line="240" w:lineRule="auto"/>
        <w:ind w:left="1166" w:hanging="259"/>
        <w:rPr>
          <w:rFonts w:ascii="Times New Roman" w:hAnsi="Times New Roman"/>
          <w:b/>
          <w:sz w:val="24"/>
        </w:rPr>
      </w:pPr>
      <w:r w:rsidRPr="00600E6F">
        <w:rPr>
          <w:rFonts w:ascii="Times New Roman" w:hAnsi="Times New Roman"/>
          <w:b/>
          <w:sz w:val="24"/>
        </w:rPr>
        <w:t>Emerging Technologies (ET) Program</w:t>
      </w:r>
    </w:p>
    <w:p w:rsidR="0093736E" w:rsidRPr="00600E6F" w:rsidRDefault="00E7041A" w:rsidP="00600E6F">
      <w:pPr>
        <w:tabs>
          <w:tab w:val="num" w:pos="1260"/>
          <w:tab w:val="num" w:pos="1440"/>
        </w:tabs>
        <w:spacing w:after="0" w:line="240" w:lineRule="auto"/>
        <w:ind w:left="1170"/>
        <w:rPr>
          <w:rFonts w:ascii="Times New Roman" w:hAnsi="Times New Roman"/>
          <w:sz w:val="24"/>
        </w:rPr>
      </w:pPr>
      <w:r w:rsidRPr="00600E6F">
        <w:rPr>
          <w:rFonts w:ascii="Times New Roman" w:hAnsi="Times New Roman"/>
          <w:sz w:val="24"/>
        </w:rPr>
        <w:t>The program collaborates with the Emerging Technologies Program in assessing energy efficiency technologies that are new and/or underutilized in the residential/multifamily market.</w:t>
      </w:r>
    </w:p>
    <w:p w:rsidR="0093736E" w:rsidRPr="00600E6F" w:rsidRDefault="0093736E" w:rsidP="00600E6F">
      <w:pPr>
        <w:tabs>
          <w:tab w:val="num" w:pos="1260"/>
          <w:tab w:val="num" w:pos="1440"/>
        </w:tabs>
        <w:spacing w:after="0" w:line="240" w:lineRule="auto"/>
        <w:ind w:left="720"/>
        <w:rPr>
          <w:rFonts w:ascii="Times New Roman" w:hAnsi="Times New Roman"/>
          <w:sz w:val="24"/>
        </w:rPr>
      </w:pPr>
    </w:p>
    <w:p w:rsidR="0093736E" w:rsidRPr="00600E6F" w:rsidRDefault="00E7041A" w:rsidP="00C31CC0">
      <w:pPr>
        <w:numPr>
          <w:ilvl w:val="8"/>
          <w:numId w:val="84"/>
        </w:numPr>
        <w:spacing w:after="0" w:line="240" w:lineRule="auto"/>
        <w:ind w:left="1166" w:hanging="259"/>
        <w:rPr>
          <w:rFonts w:ascii="Times New Roman" w:hAnsi="Times New Roman"/>
          <w:sz w:val="24"/>
        </w:rPr>
      </w:pPr>
      <w:r w:rsidRPr="00600E6F">
        <w:rPr>
          <w:rFonts w:ascii="Times New Roman" w:hAnsi="Times New Roman"/>
          <w:b/>
          <w:sz w:val="24"/>
        </w:rPr>
        <w:t>Codes &amp; Standards Program</w:t>
      </w:r>
    </w:p>
    <w:p w:rsidR="0093736E" w:rsidRPr="00600E6F" w:rsidRDefault="00E7041A" w:rsidP="00600E6F">
      <w:pPr>
        <w:tabs>
          <w:tab w:val="num" w:pos="1260"/>
          <w:tab w:val="num" w:pos="1440"/>
        </w:tabs>
        <w:spacing w:after="0" w:line="240" w:lineRule="auto"/>
        <w:ind w:left="1170"/>
        <w:rPr>
          <w:rFonts w:ascii="Times New Roman" w:hAnsi="Times New Roman"/>
          <w:sz w:val="24"/>
        </w:rPr>
      </w:pPr>
      <w:r w:rsidRPr="00600E6F">
        <w:rPr>
          <w:rFonts w:ascii="Times New Roman" w:hAnsi="Times New Roman"/>
          <w:sz w:val="24"/>
        </w:rPr>
        <w:t>The MFEER works with the codes and standards group to ensure that all the measures offered by the program are updated timely.</w:t>
      </w:r>
    </w:p>
    <w:p w:rsidR="0093736E" w:rsidRPr="00600E6F" w:rsidRDefault="0093736E" w:rsidP="00600E6F">
      <w:pPr>
        <w:tabs>
          <w:tab w:val="num" w:pos="1260"/>
          <w:tab w:val="num" w:pos="1440"/>
        </w:tabs>
        <w:spacing w:after="0" w:line="240" w:lineRule="auto"/>
        <w:ind w:left="720"/>
        <w:rPr>
          <w:rFonts w:ascii="Times New Roman" w:hAnsi="Times New Roman"/>
          <w:sz w:val="24"/>
        </w:rPr>
      </w:pPr>
    </w:p>
    <w:p w:rsidR="0093736E" w:rsidRPr="00600E6F" w:rsidRDefault="00E7041A" w:rsidP="00C31CC0">
      <w:pPr>
        <w:numPr>
          <w:ilvl w:val="8"/>
          <w:numId w:val="84"/>
        </w:numPr>
        <w:spacing w:after="0" w:line="240" w:lineRule="auto"/>
        <w:ind w:left="1166" w:hanging="259"/>
        <w:rPr>
          <w:rFonts w:ascii="Times New Roman" w:hAnsi="Times New Roman"/>
          <w:b/>
          <w:sz w:val="24"/>
        </w:rPr>
      </w:pPr>
      <w:r w:rsidRPr="00600E6F">
        <w:rPr>
          <w:rFonts w:ascii="Times New Roman" w:hAnsi="Times New Roman"/>
          <w:b/>
          <w:sz w:val="24"/>
        </w:rPr>
        <w:t>WE&amp;T efforts</w:t>
      </w:r>
    </w:p>
    <w:p w:rsidR="0093736E" w:rsidRPr="00600E6F" w:rsidRDefault="00E7041A" w:rsidP="00600E6F">
      <w:pPr>
        <w:pStyle w:val="ListParagraph"/>
        <w:spacing w:after="0" w:line="240" w:lineRule="auto"/>
        <w:ind w:left="1170"/>
        <w:rPr>
          <w:rFonts w:ascii="Times New Roman" w:hAnsi="Times New Roman"/>
          <w:sz w:val="24"/>
        </w:rPr>
      </w:pPr>
      <w:r w:rsidRPr="00600E6F">
        <w:rPr>
          <w:rFonts w:ascii="Times New Roman" w:hAnsi="Times New Roman"/>
          <w:sz w:val="24"/>
        </w:rPr>
        <w:t>The implementation of various training and coverage may differ for each IOU.  For SCE, the energy centers traditionally did not offer classes specifically designed for the MFEER contractors and property owners.  The MFEER will work with the energy centers to develop new and modify existing education and training classes for contractors and property owners, to assist in advancing the objectives of the Strategic Plan.</w:t>
      </w:r>
    </w:p>
    <w:p w:rsidR="0093736E" w:rsidRDefault="0093736E" w:rsidP="00513B65">
      <w:pPr>
        <w:spacing w:after="0" w:line="240" w:lineRule="auto"/>
        <w:rPr>
          <w:rStyle w:val="Heading4Char"/>
          <w:b w:val="0"/>
          <w:sz w:val="24"/>
        </w:rPr>
      </w:pPr>
    </w:p>
    <w:p w:rsidR="00513B65" w:rsidRDefault="00513B65" w:rsidP="00513B65">
      <w:pPr>
        <w:spacing w:after="0" w:line="240" w:lineRule="auto"/>
        <w:rPr>
          <w:rStyle w:val="Heading4Char"/>
          <w:b w:val="0"/>
          <w:sz w:val="24"/>
        </w:rPr>
      </w:pPr>
    </w:p>
    <w:p w:rsidR="00513B65" w:rsidRDefault="00513B65" w:rsidP="00513B65">
      <w:pPr>
        <w:spacing w:after="0" w:line="240" w:lineRule="auto"/>
        <w:rPr>
          <w:rStyle w:val="Heading4Char"/>
          <w:b w:val="0"/>
          <w:sz w:val="24"/>
        </w:rPr>
      </w:pPr>
    </w:p>
    <w:p w:rsidR="00513B65" w:rsidRPr="00600E6F" w:rsidRDefault="00513B65" w:rsidP="00600E6F">
      <w:pPr>
        <w:spacing w:after="0" w:line="240" w:lineRule="auto"/>
        <w:rPr>
          <w:rStyle w:val="Heading4Char"/>
          <w:b w:val="0"/>
          <w:sz w:val="24"/>
        </w:rPr>
      </w:pPr>
    </w:p>
    <w:p w:rsidR="0093736E" w:rsidRPr="00600E6F" w:rsidRDefault="00E7041A" w:rsidP="00C31CC0">
      <w:pPr>
        <w:numPr>
          <w:ilvl w:val="8"/>
          <w:numId w:val="84"/>
        </w:numPr>
        <w:spacing w:after="0" w:line="240" w:lineRule="auto"/>
        <w:ind w:left="1166" w:hanging="259"/>
        <w:rPr>
          <w:rFonts w:ascii="Times New Roman" w:hAnsi="Times New Roman"/>
          <w:b/>
          <w:sz w:val="24"/>
        </w:rPr>
      </w:pPr>
      <w:r w:rsidRPr="00600E6F">
        <w:rPr>
          <w:rFonts w:ascii="Times New Roman" w:hAnsi="Times New Roman"/>
          <w:b/>
          <w:sz w:val="24"/>
        </w:rPr>
        <w:lastRenderedPageBreak/>
        <w:t xml:space="preserve">Program-specific marketing and outreach efforts </w:t>
      </w:r>
    </w:p>
    <w:p w:rsidR="0093736E" w:rsidRPr="00600E6F" w:rsidRDefault="00E7041A" w:rsidP="00600E6F">
      <w:pPr>
        <w:spacing w:after="0" w:line="240" w:lineRule="auto"/>
        <w:ind w:left="1170"/>
        <w:rPr>
          <w:rFonts w:ascii="Times New Roman" w:hAnsi="Times New Roman"/>
          <w:sz w:val="24"/>
        </w:rPr>
      </w:pPr>
      <w:r w:rsidRPr="00600E6F">
        <w:rPr>
          <w:rFonts w:ascii="Times New Roman" w:hAnsi="Times New Roman"/>
          <w:sz w:val="24"/>
        </w:rPr>
        <w:t>The MFEER marketing plans consist of print collateral material, direct mail campaigns, print advertisement, trade show exhibitions and presentations</w:t>
      </w:r>
      <w:r w:rsidR="00513B47" w:rsidRPr="00600E6F">
        <w:rPr>
          <w:rFonts w:ascii="Times New Roman" w:hAnsi="Times New Roman"/>
          <w:sz w:val="24"/>
        </w:rPr>
        <w:t xml:space="preserve"> </w:t>
      </w:r>
      <w:r w:rsidR="00513B47" w:rsidRPr="00600E6F">
        <w:rPr>
          <w:rFonts w:ascii="Times New Roman" w:hAnsi="Times New Roman"/>
          <w:color w:val="000000"/>
          <w:sz w:val="24"/>
        </w:rPr>
        <w:t>to related target market organizations</w:t>
      </w:r>
      <w:r w:rsidRPr="00600E6F">
        <w:rPr>
          <w:rFonts w:ascii="Times New Roman" w:hAnsi="Times New Roman"/>
          <w:sz w:val="24"/>
        </w:rPr>
        <w:t>, and leveraging other IOU energy efficiency efforts and programs where feasible.</w:t>
      </w:r>
      <w:r w:rsidR="00513B47" w:rsidRPr="00600E6F">
        <w:rPr>
          <w:rFonts w:ascii="Times New Roman" w:hAnsi="Times New Roman"/>
          <w:sz w:val="24"/>
        </w:rPr>
        <w:t xml:space="preserve"> Additionally, program-specific marketing and outreach activities are necessary to drive participation and attain program goals.</w:t>
      </w:r>
      <w:r w:rsidR="00513B47" w:rsidRPr="00600E6F">
        <w:rPr>
          <w:rFonts w:ascii="Times New Roman" w:hAnsi="Times New Roman"/>
          <w:sz w:val="24"/>
        </w:rPr>
        <w:br/>
      </w:r>
    </w:p>
    <w:p w:rsidR="0093736E" w:rsidRPr="00600E6F" w:rsidRDefault="00E7041A" w:rsidP="00C31CC0">
      <w:pPr>
        <w:numPr>
          <w:ilvl w:val="8"/>
          <w:numId w:val="84"/>
        </w:numPr>
        <w:spacing w:after="0" w:line="240" w:lineRule="auto"/>
        <w:ind w:left="1166" w:hanging="259"/>
        <w:rPr>
          <w:rFonts w:ascii="Times New Roman" w:hAnsi="Times New Roman"/>
          <w:sz w:val="24"/>
        </w:rPr>
      </w:pPr>
      <w:r w:rsidRPr="00600E6F">
        <w:rPr>
          <w:rFonts w:ascii="Times New Roman" w:hAnsi="Times New Roman"/>
          <w:b/>
          <w:sz w:val="24"/>
        </w:rPr>
        <w:t>Non-energy activities of program</w:t>
      </w:r>
    </w:p>
    <w:p w:rsidR="0093736E" w:rsidRPr="00600E6F" w:rsidRDefault="00E7041A" w:rsidP="00600E6F">
      <w:pPr>
        <w:spacing w:after="0" w:line="240" w:lineRule="auto"/>
        <w:ind w:left="1170"/>
        <w:rPr>
          <w:rFonts w:ascii="Times New Roman" w:hAnsi="Times New Roman"/>
          <w:sz w:val="24"/>
        </w:rPr>
      </w:pPr>
      <w:r w:rsidRPr="00600E6F">
        <w:rPr>
          <w:rFonts w:ascii="Times New Roman" w:hAnsi="Times New Roman"/>
          <w:sz w:val="24"/>
        </w:rPr>
        <w:t xml:space="preserve">Training of contractors and outreach to </w:t>
      </w:r>
      <w:r w:rsidR="00513B47" w:rsidRPr="00600E6F">
        <w:rPr>
          <w:rFonts w:ascii="Times New Roman" w:hAnsi="Times New Roman"/>
          <w:sz w:val="24"/>
        </w:rPr>
        <w:t xml:space="preserve">large </w:t>
      </w:r>
      <w:r w:rsidRPr="00600E6F">
        <w:rPr>
          <w:rFonts w:ascii="Times New Roman" w:hAnsi="Times New Roman"/>
          <w:sz w:val="24"/>
        </w:rPr>
        <w:t>property owners are part of the program’s non-energy activities.</w:t>
      </w:r>
    </w:p>
    <w:p w:rsidR="0093736E" w:rsidRPr="00600E6F" w:rsidRDefault="0093736E" w:rsidP="00600E6F">
      <w:pPr>
        <w:spacing w:after="0" w:line="240" w:lineRule="auto"/>
        <w:ind w:left="720"/>
        <w:rPr>
          <w:rFonts w:ascii="Times New Roman" w:hAnsi="Times New Roman"/>
          <w:sz w:val="24"/>
        </w:rPr>
      </w:pPr>
    </w:p>
    <w:p w:rsidR="0093736E" w:rsidRPr="00600E6F" w:rsidRDefault="00E7041A" w:rsidP="00C31CC0">
      <w:pPr>
        <w:numPr>
          <w:ilvl w:val="8"/>
          <w:numId w:val="84"/>
        </w:numPr>
        <w:spacing w:after="0" w:line="240" w:lineRule="auto"/>
        <w:ind w:left="1166" w:hanging="259"/>
        <w:rPr>
          <w:rFonts w:ascii="Times New Roman" w:hAnsi="Times New Roman"/>
          <w:b/>
          <w:sz w:val="24"/>
        </w:rPr>
      </w:pPr>
      <w:r w:rsidRPr="00600E6F">
        <w:rPr>
          <w:rFonts w:ascii="Times New Roman" w:hAnsi="Times New Roman"/>
          <w:b/>
          <w:sz w:val="24"/>
        </w:rPr>
        <w:t>Non-IOU programs</w:t>
      </w:r>
    </w:p>
    <w:p w:rsidR="0093736E" w:rsidRPr="00600E6F" w:rsidRDefault="00E7041A" w:rsidP="00600E6F">
      <w:pPr>
        <w:spacing w:after="0" w:line="240" w:lineRule="auto"/>
        <w:ind w:left="1170"/>
        <w:rPr>
          <w:rFonts w:ascii="Times New Roman" w:hAnsi="Times New Roman"/>
          <w:sz w:val="24"/>
        </w:rPr>
      </w:pPr>
      <w:r w:rsidRPr="00600E6F">
        <w:rPr>
          <w:rFonts w:ascii="Times New Roman" w:hAnsi="Times New Roman"/>
          <w:sz w:val="24"/>
        </w:rPr>
        <w:t>The program allows cross promotion of other applicable programs, such as those of water agencies that offer rebates for clothes washers and dishwashers. Program staff will work with other utilities and groups, as appropriate, to increase program participation and savings levels.</w:t>
      </w:r>
    </w:p>
    <w:p w:rsidR="0093736E" w:rsidRPr="00600E6F" w:rsidRDefault="0093736E" w:rsidP="00600E6F">
      <w:pPr>
        <w:spacing w:after="0" w:line="240" w:lineRule="auto"/>
        <w:ind w:left="1170"/>
        <w:rPr>
          <w:rFonts w:ascii="Times New Roman" w:hAnsi="Times New Roman"/>
          <w:sz w:val="24"/>
        </w:rPr>
      </w:pPr>
    </w:p>
    <w:p w:rsidR="0093736E" w:rsidRPr="00600E6F" w:rsidRDefault="00E7041A" w:rsidP="00C31CC0">
      <w:pPr>
        <w:numPr>
          <w:ilvl w:val="8"/>
          <w:numId w:val="84"/>
        </w:numPr>
        <w:spacing w:after="0" w:line="240" w:lineRule="auto"/>
        <w:ind w:left="1166" w:hanging="259"/>
        <w:rPr>
          <w:rFonts w:ascii="Times New Roman" w:hAnsi="Times New Roman"/>
          <w:sz w:val="24"/>
        </w:rPr>
      </w:pPr>
      <w:r w:rsidRPr="00600E6F">
        <w:rPr>
          <w:rFonts w:ascii="Times New Roman" w:hAnsi="Times New Roman"/>
          <w:b/>
          <w:sz w:val="24"/>
        </w:rPr>
        <w:t xml:space="preserve">CEC work on </w:t>
      </w:r>
      <w:r w:rsidR="00513B47" w:rsidRPr="00600E6F">
        <w:rPr>
          <w:rFonts w:ascii="Times New Roman" w:hAnsi="Times New Roman"/>
          <w:b/>
          <w:sz w:val="24"/>
        </w:rPr>
        <w:t>EPIC</w:t>
      </w:r>
    </w:p>
    <w:p w:rsidR="0093736E" w:rsidRPr="00600E6F" w:rsidRDefault="00E7041A" w:rsidP="00600E6F">
      <w:pPr>
        <w:spacing w:after="0" w:line="240" w:lineRule="auto"/>
        <w:ind w:left="1170"/>
        <w:rPr>
          <w:rFonts w:ascii="Times New Roman" w:hAnsi="Times New Roman"/>
          <w:sz w:val="24"/>
        </w:rPr>
      </w:pPr>
      <w:r w:rsidRPr="00600E6F">
        <w:rPr>
          <w:rFonts w:ascii="Times New Roman" w:hAnsi="Times New Roman"/>
          <w:sz w:val="24"/>
        </w:rPr>
        <w:t xml:space="preserve">The MFEER will work with the residential program team to track the latest developments from CEC and </w:t>
      </w:r>
      <w:r w:rsidR="00513B47" w:rsidRPr="00600E6F">
        <w:rPr>
          <w:rFonts w:ascii="Times New Roman" w:hAnsi="Times New Roman"/>
          <w:sz w:val="24"/>
        </w:rPr>
        <w:t>EPIC</w:t>
      </w:r>
      <w:r w:rsidRPr="00600E6F">
        <w:rPr>
          <w:rFonts w:ascii="Times New Roman" w:hAnsi="Times New Roman"/>
          <w:sz w:val="24"/>
        </w:rPr>
        <w:t xml:space="preserve">.  </w:t>
      </w:r>
    </w:p>
    <w:p w:rsidR="0093736E" w:rsidRPr="00600E6F" w:rsidRDefault="0093736E" w:rsidP="00600E6F">
      <w:pPr>
        <w:spacing w:after="0" w:line="240" w:lineRule="auto"/>
        <w:ind w:left="720"/>
        <w:rPr>
          <w:rFonts w:ascii="Times New Roman" w:hAnsi="Times New Roman"/>
          <w:sz w:val="24"/>
        </w:rPr>
      </w:pPr>
    </w:p>
    <w:p w:rsidR="0093736E" w:rsidRPr="00600E6F" w:rsidRDefault="00E7041A" w:rsidP="00C31CC0">
      <w:pPr>
        <w:numPr>
          <w:ilvl w:val="8"/>
          <w:numId w:val="84"/>
        </w:numPr>
        <w:spacing w:after="0" w:line="240" w:lineRule="auto"/>
        <w:ind w:left="1166" w:hanging="259"/>
        <w:rPr>
          <w:rFonts w:ascii="Times New Roman" w:hAnsi="Times New Roman"/>
          <w:sz w:val="24"/>
        </w:rPr>
      </w:pPr>
      <w:r w:rsidRPr="00600E6F">
        <w:rPr>
          <w:rFonts w:ascii="Times New Roman" w:hAnsi="Times New Roman"/>
          <w:b/>
          <w:sz w:val="24"/>
        </w:rPr>
        <w:t>CEC work on C&amp;S</w:t>
      </w:r>
    </w:p>
    <w:p w:rsidR="0093736E" w:rsidRPr="00600E6F" w:rsidRDefault="00E7041A" w:rsidP="00600E6F">
      <w:pPr>
        <w:spacing w:after="0" w:line="240" w:lineRule="auto"/>
        <w:ind w:left="1170"/>
        <w:rPr>
          <w:rFonts w:ascii="Times New Roman" w:hAnsi="Times New Roman"/>
          <w:sz w:val="24"/>
        </w:rPr>
      </w:pPr>
      <w:r w:rsidRPr="00600E6F">
        <w:rPr>
          <w:rFonts w:ascii="Times New Roman" w:hAnsi="Times New Roman"/>
          <w:sz w:val="24"/>
        </w:rPr>
        <w:t>MFEER is very sensitive to the codes and standards that the IOUs and CEC are working on.  The program will monitor these activities and incorporate any standards ratcheting as appropriate.</w:t>
      </w:r>
    </w:p>
    <w:p w:rsidR="0093736E" w:rsidRPr="00600E6F" w:rsidRDefault="0093736E" w:rsidP="00600E6F">
      <w:pPr>
        <w:spacing w:after="0" w:line="240" w:lineRule="auto"/>
        <w:ind w:left="720"/>
        <w:rPr>
          <w:rFonts w:ascii="Times New Roman" w:hAnsi="Times New Roman"/>
          <w:sz w:val="24"/>
        </w:rPr>
      </w:pPr>
    </w:p>
    <w:p w:rsidR="0093736E" w:rsidRPr="00600E6F" w:rsidRDefault="00E7041A" w:rsidP="00C31CC0">
      <w:pPr>
        <w:numPr>
          <w:ilvl w:val="8"/>
          <w:numId w:val="84"/>
        </w:numPr>
        <w:spacing w:after="0" w:line="240" w:lineRule="auto"/>
        <w:ind w:left="1166" w:hanging="259"/>
        <w:rPr>
          <w:rFonts w:ascii="Times New Roman" w:hAnsi="Times New Roman"/>
          <w:sz w:val="24"/>
        </w:rPr>
      </w:pPr>
      <w:r w:rsidRPr="00600E6F">
        <w:rPr>
          <w:rFonts w:ascii="Times New Roman" w:hAnsi="Times New Roman"/>
          <w:b/>
          <w:sz w:val="24"/>
        </w:rPr>
        <w:t>Non-utility market initiatives</w:t>
      </w:r>
    </w:p>
    <w:p w:rsidR="0093736E" w:rsidRPr="00600E6F" w:rsidRDefault="00E7041A" w:rsidP="00600E6F">
      <w:pPr>
        <w:spacing w:after="0" w:line="240" w:lineRule="auto"/>
        <w:ind w:left="1170"/>
        <w:rPr>
          <w:rFonts w:ascii="Times New Roman" w:hAnsi="Times New Roman"/>
          <w:sz w:val="24"/>
        </w:rPr>
      </w:pPr>
      <w:r w:rsidRPr="00600E6F">
        <w:rPr>
          <w:rFonts w:ascii="Times New Roman" w:hAnsi="Times New Roman"/>
          <w:sz w:val="24"/>
        </w:rPr>
        <w:t>Along with the HEER program, MFEER supports all ENERGY STAR® activities.  In addition, MFEER also participates in activities with the local and national housing authorities.</w:t>
      </w:r>
    </w:p>
    <w:p w:rsidR="00513B47" w:rsidRPr="00600E6F" w:rsidRDefault="00513B47" w:rsidP="00A05269">
      <w:pPr>
        <w:spacing w:after="0" w:line="240" w:lineRule="auto"/>
        <w:ind w:left="720"/>
        <w:rPr>
          <w:rFonts w:ascii="Times New Roman" w:hAnsi="Times New Roman"/>
          <w:sz w:val="24"/>
        </w:rPr>
      </w:pPr>
    </w:p>
    <w:p w:rsidR="0093736E" w:rsidRPr="00600E6F" w:rsidRDefault="00E7041A" w:rsidP="00C31CC0">
      <w:pPr>
        <w:numPr>
          <w:ilvl w:val="1"/>
          <w:numId w:val="84"/>
        </w:numPr>
        <w:spacing w:after="0" w:line="240" w:lineRule="auto"/>
        <w:rPr>
          <w:rFonts w:ascii="Times New Roman" w:hAnsi="Times New Roman"/>
          <w:b/>
          <w:sz w:val="24"/>
        </w:rPr>
      </w:pPr>
      <w:r w:rsidRPr="00600E6F">
        <w:rPr>
          <w:rFonts w:ascii="Times New Roman" w:hAnsi="Times New Roman"/>
          <w:b/>
          <w:sz w:val="24"/>
          <w:u w:val="single"/>
        </w:rPr>
        <w:t>Best Practices</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Given the difficulty of reaching potential customers, the MFEER is designed to leverage the knowledge and contacts of its network of contractors.  Given the limited marketing budget, this targeted outreach method has yielded fruitful results for the program.  It also consistently helped the program in overcoming the split-incentive barrier within this segment.</w:t>
      </w:r>
    </w:p>
    <w:p w:rsidR="0093736E" w:rsidRPr="00600E6F" w:rsidRDefault="0093736E" w:rsidP="00600E6F">
      <w:pPr>
        <w:spacing w:after="0" w:line="240" w:lineRule="auto"/>
        <w:ind w:left="360"/>
        <w:rPr>
          <w:rFonts w:ascii="Times New Roman" w:hAnsi="Times New Roman"/>
          <w:sz w:val="24"/>
        </w:rPr>
      </w:pP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 xml:space="preserve">This program also drives permanent change in California  and achieves market transformation through the installation of ENERGY STAR® </w:t>
      </w:r>
      <w:r w:rsidR="00513B47" w:rsidRPr="00600E6F">
        <w:rPr>
          <w:rFonts w:ascii="Times New Roman" w:hAnsi="Times New Roman"/>
          <w:sz w:val="24"/>
        </w:rPr>
        <w:t>qualified products</w:t>
      </w:r>
      <w:r w:rsidRPr="00600E6F">
        <w:rPr>
          <w:rFonts w:ascii="Times New Roman" w:hAnsi="Times New Roman"/>
          <w:sz w:val="24"/>
        </w:rPr>
        <w:t xml:space="preserve">, thereby reducing tenants’ energy usage in apartments and also reducing property owners’ energy usage in common areas.  </w:t>
      </w:r>
    </w:p>
    <w:p w:rsidR="0093736E" w:rsidRPr="00600E6F" w:rsidRDefault="0093736E" w:rsidP="00600E6F">
      <w:pPr>
        <w:spacing w:after="0" w:line="240" w:lineRule="auto"/>
        <w:ind w:left="720"/>
        <w:rPr>
          <w:rFonts w:ascii="Times New Roman" w:hAnsi="Times New Roman"/>
          <w:sz w:val="24"/>
        </w:rPr>
      </w:pPr>
    </w:p>
    <w:p w:rsidR="0093736E" w:rsidRPr="00600E6F" w:rsidRDefault="00E7041A" w:rsidP="00C31CC0">
      <w:pPr>
        <w:numPr>
          <w:ilvl w:val="1"/>
          <w:numId w:val="84"/>
        </w:numPr>
        <w:spacing w:after="0" w:line="240" w:lineRule="auto"/>
        <w:rPr>
          <w:rFonts w:ascii="Times New Roman" w:hAnsi="Times New Roman"/>
          <w:b/>
          <w:sz w:val="24"/>
        </w:rPr>
      </w:pPr>
      <w:r w:rsidRPr="00600E6F">
        <w:rPr>
          <w:rFonts w:ascii="Times New Roman" w:hAnsi="Times New Roman"/>
          <w:b/>
          <w:sz w:val="24"/>
          <w:u w:val="single"/>
        </w:rPr>
        <w:t>Innovation</w:t>
      </w: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 xml:space="preserve">A key program innovation is the customer referral process, which was developed to assist property owners who own apartment buildings served by different IOUs. In this process, a property owner who is working with an IOU and owns properties served by other IOUs is automatically referred to the appropriate program managers at those IOUs. Confusion and </w:t>
      </w:r>
      <w:r w:rsidRPr="00600E6F">
        <w:rPr>
          <w:rFonts w:ascii="Times New Roman" w:hAnsi="Times New Roman"/>
          <w:sz w:val="24"/>
        </w:rPr>
        <w:lastRenderedPageBreak/>
        <w:t>barriers that can result when working with multiple entities is reduced since the IOUs operate identical rebate programs and use similar rebate applications.</w:t>
      </w:r>
    </w:p>
    <w:p w:rsidR="0093736E" w:rsidRPr="00600E6F" w:rsidRDefault="0093736E" w:rsidP="00600E6F">
      <w:pPr>
        <w:spacing w:after="0" w:line="240" w:lineRule="auto"/>
        <w:ind w:left="360"/>
        <w:rPr>
          <w:rFonts w:ascii="Times New Roman" w:hAnsi="Times New Roman"/>
          <w:sz w:val="24"/>
        </w:rPr>
      </w:pP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As one of the few programs in the nation that specifically address this hard-to-serve market segment, this unique and innovative program has developed a model approach for other utilities to emulate.  In addition, the program represents an innovative partnership among California utilities, demonstrating the great potential of a statewide energy efficiency program and creating processes, upon which other partnerships can build.</w:t>
      </w:r>
    </w:p>
    <w:p w:rsidR="0093736E" w:rsidRPr="00600E6F" w:rsidRDefault="0093736E" w:rsidP="00600E6F">
      <w:pPr>
        <w:spacing w:after="0" w:line="240" w:lineRule="auto"/>
        <w:ind w:left="360"/>
        <w:rPr>
          <w:rFonts w:ascii="Times New Roman" w:hAnsi="Times New Roman"/>
          <w:sz w:val="24"/>
        </w:rPr>
      </w:pP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This program is especially innovative since multifamily property owners/managers and tenants have traditionally been unable to receive energy efficiency rebates.  Some tenants qualified for the low-income programs, and before 2002, under the RCP program, a few multifamily properties received installation of CFLs, water heater controllers, and duct test and sealing. The development and implementation of the statewide MFEER has increased the participation of not only property owners/managers (for the common area energy efficient measures), but also of tenants who use approximately 80% of the energy in multifamily buildings.  Traditionally, this has been an untapped market.  Each year that rebate funding has been available, energy savings have increased exponentially.</w:t>
      </w:r>
    </w:p>
    <w:p w:rsidR="0093736E" w:rsidRPr="00600E6F" w:rsidRDefault="0093736E" w:rsidP="00600E6F">
      <w:pPr>
        <w:spacing w:after="0" w:line="240" w:lineRule="auto"/>
        <w:ind w:left="720"/>
        <w:rPr>
          <w:rFonts w:ascii="Times New Roman" w:hAnsi="Times New Roman"/>
          <w:sz w:val="24"/>
        </w:rPr>
      </w:pPr>
    </w:p>
    <w:p w:rsidR="00513B47" w:rsidRPr="00600E6F" w:rsidRDefault="00E7041A" w:rsidP="00C31CC0">
      <w:pPr>
        <w:numPr>
          <w:ilvl w:val="1"/>
          <w:numId w:val="84"/>
        </w:numPr>
        <w:spacing w:after="0" w:line="240" w:lineRule="auto"/>
        <w:rPr>
          <w:rFonts w:ascii="Times New Roman" w:hAnsi="Times New Roman"/>
          <w:b/>
          <w:sz w:val="24"/>
        </w:rPr>
      </w:pPr>
      <w:r w:rsidRPr="00600E6F">
        <w:rPr>
          <w:rFonts w:ascii="Times New Roman" w:hAnsi="Times New Roman"/>
          <w:b/>
          <w:sz w:val="24"/>
          <w:u w:val="single"/>
        </w:rPr>
        <w:t>Integrated/coordinated Demand Side Management (ISDM)</w:t>
      </w:r>
    </w:p>
    <w:p w:rsidR="00513B47" w:rsidRPr="00600E6F" w:rsidRDefault="00E7041A" w:rsidP="00A05269">
      <w:pPr>
        <w:spacing w:after="0" w:line="240" w:lineRule="auto"/>
        <w:ind w:left="360"/>
        <w:rPr>
          <w:rFonts w:ascii="Times New Roman" w:hAnsi="Times New Roman"/>
          <w:color w:val="000000"/>
          <w:sz w:val="24"/>
        </w:rPr>
      </w:pPr>
      <w:r w:rsidRPr="00600E6F">
        <w:rPr>
          <w:rFonts w:ascii="Times New Roman" w:hAnsi="Times New Roman"/>
          <w:color w:val="000000"/>
          <w:sz w:val="24"/>
        </w:rPr>
        <w:t>To identify successful integration approaches and offerings, potential pilot programs and metrics, the IOUs will coordinate program efforts with the local utility integration teams and the Statewide Integration Task Force.</w:t>
      </w:r>
    </w:p>
    <w:p w:rsidR="00513B47" w:rsidRPr="00600E6F" w:rsidRDefault="00513B47" w:rsidP="00A05269">
      <w:pPr>
        <w:spacing w:after="0" w:line="240" w:lineRule="auto"/>
        <w:ind w:left="360"/>
        <w:rPr>
          <w:rFonts w:ascii="Times New Roman" w:hAnsi="Times New Roman"/>
          <w:sz w:val="24"/>
        </w:rPr>
      </w:pPr>
    </w:p>
    <w:p w:rsidR="0093736E" w:rsidRPr="00600E6F" w:rsidRDefault="00E7041A" w:rsidP="00600E6F">
      <w:pPr>
        <w:spacing w:after="0" w:line="240" w:lineRule="auto"/>
        <w:ind w:left="360"/>
        <w:rPr>
          <w:rFonts w:ascii="Times New Roman" w:hAnsi="Times New Roman"/>
          <w:sz w:val="24"/>
        </w:rPr>
      </w:pPr>
      <w:r w:rsidRPr="00600E6F">
        <w:rPr>
          <w:rFonts w:ascii="Times New Roman" w:hAnsi="Times New Roman"/>
          <w:sz w:val="24"/>
        </w:rPr>
        <w:t xml:space="preserve">The MFEER will work with IDSM initiatives to identify the best possible collaboration.  The potential offer could include smart metering, load management and other services, as appropriate.  The details of this collaboration will be better defined in the </w:t>
      </w:r>
      <w:r w:rsidR="00513B47" w:rsidRPr="00600E6F">
        <w:rPr>
          <w:rFonts w:ascii="Times New Roman" w:hAnsi="Times New Roman"/>
          <w:sz w:val="24"/>
        </w:rPr>
        <w:t>2013-2014</w:t>
      </w:r>
      <w:r w:rsidRPr="00600E6F">
        <w:rPr>
          <w:rFonts w:ascii="Times New Roman" w:hAnsi="Times New Roman"/>
          <w:sz w:val="24"/>
        </w:rPr>
        <w:t xml:space="preserve"> program cycle. </w:t>
      </w:r>
    </w:p>
    <w:p w:rsidR="0093736E" w:rsidRPr="00600E6F" w:rsidRDefault="0093736E" w:rsidP="00600E6F">
      <w:pPr>
        <w:spacing w:after="0" w:line="240" w:lineRule="auto"/>
        <w:ind w:left="360"/>
        <w:rPr>
          <w:rFonts w:ascii="Times New Roman" w:hAnsi="Times New Roman"/>
          <w:sz w:val="24"/>
        </w:rPr>
      </w:pPr>
    </w:p>
    <w:p w:rsidR="00513B47" w:rsidRPr="00600E6F" w:rsidRDefault="00E7041A" w:rsidP="00C31CC0">
      <w:pPr>
        <w:numPr>
          <w:ilvl w:val="1"/>
          <w:numId w:val="84"/>
        </w:numPr>
        <w:spacing w:after="0" w:line="240" w:lineRule="auto"/>
        <w:rPr>
          <w:rFonts w:ascii="Times New Roman" w:hAnsi="Times New Roman"/>
          <w:b/>
          <w:sz w:val="24"/>
        </w:rPr>
      </w:pPr>
      <w:r w:rsidRPr="00600E6F">
        <w:rPr>
          <w:rFonts w:ascii="Times New Roman" w:hAnsi="Times New Roman"/>
          <w:b/>
          <w:sz w:val="24"/>
          <w:u w:val="single"/>
        </w:rPr>
        <w:t>Integration Across Resource Types</w:t>
      </w:r>
      <w:r w:rsidRPr="00600E6F">
        <w:rPr>
          <w:rFonts w:ascii="Times New Roman" w:hAnsi="Times New Roman"/>
          <w:b/>
          <w:sz w:val="24"/>
        </w:rPr>
        <w:t xml:space="preserve"> (energy, water, air quality, etc)</w:t>
      </w:r>
    </w:p>
    <w:p w:rsidR="00513B47" w:rsidRPr="00600E6F" w:rsidRDefault="00E7041A" w:rsidP="00A05269">
      <w:pPr>
        <w:spacing w:after="0" w:line="240" w:lineRule="auto"/>
        <w:ind w:left="360"/>
        <w:rPr>
          <w:rFonts w:ascii="Times New Roman" w:hAnsi="Times New Roman"/>
          <w:sz w:val="24"/>
        </w:rPr>
      </w:pPr>
      <w:r w:rsidRPr="00600E6F">
        <w:rPr>
          <w:rFonts w:ascii="Times New Roman" w:hAnsi="Times New Roman"/>
          <w:sz w:val="24"/>
        </w:rPr>
        <w:t>The program allows for cross-promotion of other available programs, such as water companies that offer rebates for clothes washers and dishwashers.  SCE agrees to investigate and implement a similar market program to make multiple resource offerings in MFEER consistent statewide.</w:t>
      </w:r>
      <w:r w:rsidR="00513B47" w:rsidRPr="00600E6F">
        <w:rPr>
          <w:rFonts w:ascii="Times New Roman" w:hAnsi="Times New Roman"/>
          <w:sz w:val="24"/>
        </w:rPr>
        <w:t xml:space="preserve"> </w:t>
      </w:r>
      <w:r w:rsidRPr="00600E6F">
        <w:rPr>
          <w:rFonts w:ascii="Times New Roman" w:hAnsi="Times New Roman"/>
          <w:sz w:val="24"/>
        </w:rPr>
        <w:t xml:space="preserve">SCE and SCG will </w:t>
      </w:r>
      <w:r w:rsidR="00513B47" w:rsidRPr="00600E6F">
        <w:rPr>
          <w:rFonts w:ascii="Times New Roman" w:hAnsi="Times New Roman"/>
          <w:sz w:val="24"/>
        </w:rPr>
        <w:t xml:space="preserve">identify areas of opportunity to </w:t>
      </w:r>
      <w:r w:rsidRPr="00600E6F">
        <w:rPr>
          <w:rFonts w:ascii="Times New Roman" w:hAnsi="Times New Roman"/>
          <w:sz w:val="24"/>
        </w:rPr>
        <w:t xml:space="preserve">collaborate to create a pilot program specifically for the </w:t>
      </w:r>
      <w:r w:rsidR="00513B47" w:rsidRPr="00600E6F">
        <w:rPr>
          <w:rFonts w:ascii="Times New Roman" w:hAnsi="Times New Roman"/>
          <w:sz w:val="24"/>
        </w:rPr>
        <w:t xml:space="preserve">multifamily </w:t>
      </w:r>
      <w:r w:rsidRPr="00600E6F">
        <w:rPr>
          <w:rFonts w:ascii="Times New Roman" w:hAnsi="Times New Roman"/>
          <w:sz w:val="24"/>
        </w:rPr>
        <w:t xml:space="preserve">market segment.  </w:t>
      </w:r>
    </w:p>
    <w:p w:rsidR="00513B47" w:rsidRPr="00600E6F" w:rsidRDefault="00513B47" w:rsidP="00A05269">
      <w:pPr>
        <w:spacing w:after="0" w:line="240" w:lineRule="auto"/>
        <w:ind w:left="360"/>
        <w:rPr>
          <w:rFonts w:ascii="Times New Roman" w:hAnsi="Times New Roman"/>
          <w:sz w:val="24"/>
        </w:rPr>
      </w:pPr>
    </w:p>
    <w:p w:rsidR="00513B47" w:rsidRPr="00600E6F" w:rsidRDefault="00E7041A" w:rsidP="00C31CC0">
      <w:pPr>
        <w:numPr>
          <w:ilvl w:val="1"/>
          <w:numId w:val="84"/>
        </w:numPr>
        <w:spacing w:after="0" w:line="240" w:lineRule="auto"/>
        <w:rPr>
          <w:rFonts w:ascii="Times New Roman" w:hAnsi="Times New Roman"/>
          <w:b/>
          <w:sz w:val="24"/>
        </w:rPr>
      </w:pPr>
      <w:r w:rsidRPr="00600E6F">
        <w:rPr>
          <w:rFonts w:ascii="Times New Roman" w:hAnsi="Times New Roman"/>
          <w:b/>
          <w:sz w:val="24"/>
          <w:u w:val="single"/>
        </w:rPr>
        <w:t>Pilots</w:t>
      </w:r>
    </w:p>
    <w:p w:rsidR="00513B47" w:rsidRPr="00600E6F" w:rsidRDefault="00513B47" w:rsidP="00A05269">
      <w:pPr>
        <w:spacing w:after="0" w:line="240" w:lineRule="auto"/>
        <w:ind w:left="360"/>
        <w:rPr>
          <w:rFonts w:ascii="Times New Roman" w:hAnsi="Times New Roman"/>
          <w:sz w:val="24"/>
        </w:rPr>
      </w:pPr>
      <w:r w:rsidRPr="00600E6F">
        <w:rPr>
          <w:rFonts w:ascii="Times New Roman" w:hAnsi="Times New Roman"/>
          <w:b/>
          <w:sz w:val="24"/>
        </w:rPr>
        <w:t>MF Audit Tool</w:t>
      </w:r>
      <w:r w:rsidRPr="00600E6F">
        <w:rPr>
          <w:rFonts w:ascii="Times New Roman" w:hAnsi="Times New Roman"/>
          <w:sz w:val="24"/>
        </w:rPr>
        <w:t xml:space="preserve"> - Pilot to target other mixed use property types such as: SF HOA common areas, Senior Living facilities and SROs (i.e. dorms),  would like to consider including common areas of HOA for single-family home communities, and Single</w:t>
      </w:r>
      <w:r w:rsidRPr="00600E6F">
        <w:rPr>
          <w:rFonts w:ascii="Cambria Math" w:hAnsi="Cambria Math"/>
          <w:sz w:val="24"/>
        </w:rPr>
        <w:t>‐</w:t>
      </w:r>
      <w:r w:rsidRPr="00600E6F">
        <w:rPr>
          <w:rFonts w:ascii="Times New Roman" w:hAnsi="Times New Roman"/>
          <w:sz w:val="24"/>
        </w:rPr>
        <w:t>room occupancy (SRO) facilities, such as dormitories and assisted living facilities; these are not segments currently targeted by other efforts.</w:t>
      </w:r>
      <w:r w:rsidRPr="00600E6F">
        <w:rPr>
          <w:rFonts w:ascii="Times New Roman" w:hAnsi="Times New Roman"/>
          <w:sz w:val="24"/>
        </w:rPr>
        <w:br/>
      </w:r>
    </w:p>
    <w:p w:rsidR="0093736E" w:rsidRPr="00600E6F" w:rsidRDefault="00E7041A" w:rsidP="00C31CC0">
      <w:pPr>
        <w:numPr>
          <w:ilvl w:val="1"/>
          <w:numId w:val="84"/>
        </w:numPr>
        <w:spacing w:after="0" w:line="240" w:lineRule="auto"/>
        <w:rPr>
          <w:rFonts w:ascii="Times New Roman" w:hAnsi="Times New Roman"/>
          <w:b/>
          <w:sz w:val="24"/>
          <w:u w:val="single"/>
        </w:rPr>
      </w:pPr>
      <w:r w:rsidRPr="00600E6F">
        <w:rPr>
          <w:rFonts w:ascii="Times New Roman" w:hAnsi="Times New Roman"/>
          <w:b/>
          <w:sz w:val="24"/>
          <w:u w:val="single"/>
        </w:rPr>
        <w:t>EM&amp;V</w:t>
      </w:r>
    </w:p>
    <w:p w:rsidR="00513B47" w:rsidRPr="00600E6F" w:rsidRDefault="00E7041A" w:rsidP="00A05269">
      <w:pPr>
        <w:pStyle w:val="PlainText"/>
        <w:ind w:left="360"/>
        <w:rPr>
          <w:rFonts w:ascii="Times New Roman" w:hAnsi="Times New Roman"/>
          <w:sz w:val="24"/>
        </w:rPr>
      </w:pPr>
      <w:r w:rsidRPr="00600E6F">
        <w:rPr>
          <w:rFonts w:ascii="Times New Roman" w:hAnsi="Times New Roman"/>
          <w:sz w:val="24"/>
        </w:rPr>
        <w:t>The utilities plan to work with each other and with the Energy Division to develop a complete plan for 2010-2012 studies and budgets after the program plans are finalized and filed.  This plan will be submitted to the CPUC in time for approval along with the PIPs.</w:t>
      </w:r>
    </w:p>
    <w:p w:rsidR="00513B47" w:rsidRPr="00600E6F" w:rsidRDefault="00513B47" w:rsidP="00A05269">
      <w:pPr>
        <w:pStyle w:val="PlainText"/>
        <w:ind w:left="360"/>
        <w:rPr>
          <w:rFonts w:ascii="Times New Roman" w:hAnsi="Times New Roman"/>
          <w:sz w:val="24"/>
        </w:rPr>
      </w:pPr>
    </w:p>
    <w:p w:rsidR="00513B47" w:rsidRPr="00600E6F" w:rsidRDefault="00E7041A" w:rsidP="00A05269">
      <w:pPr>
        <w:pStyle w:val="PlainText"/>
        <w:ind w:left="360"/>
        <w:rPr>
          <w:rFonts w:ascii="Times New Roman" w:hAnsi="Times New Roman"/>
          <w:sz w:val="24"/>
        </w:rPr>
      </w:pPr>
      <w:r w:rsidRPr="00600E6F">
        <w:rPr>
          <w:rFonts w:ascii="Times New Roman" w:hAnsi="Times New Roman"/>
          <w:sz w:val="24"/>
        </w:rPr>
        <w:t>Detailed plans for process evaluations and other evaluation efforts specific to this program will be developed after the final program design is approved by the CPUC and program implementation has begun, since final plans will be based on identified program design and implementation issues and questions. However, a brief description of the current, preliminary plans is provided below:</w:t>
      </w:r>
    </w:p>
    <w:p w:rsidR="00513B47" w:rsidRPr="00600E6F" w:rsidRDefault="00513B47" w:rsidP="00A05269">
      <w:pPr>
        <w:pStyle w:val="PlainText"/>
        <w:ind w:left="360"/>
        <w:rPr>
          <w:rFonts w:ascii="Times New Roman" w:hAnsi="Times New Roman"/>
          <w:sz w:val="24"/>
        </w:rPr>
      </w:pPr>
    </w:p>
    <w:p w:rsidR="00513B47" w:rsidRPr="00600E6F" w:rsidRDefault="00E7041A" w:rsidP="00C31CC0">
      <w:pPr>
        <w:pStyle w:val="PlainText"/>
        <w:numPr>
          <w:ilvl w:val="1"/>
          <w:numId w:val="56"/>
        </w:numPr>
        <w:tabs>
          <w:tab w:val="clear" w:pos="1800"/>
          <w:tab w:val="num" w:pos="720"/>
        </w:tabs>
        <w:ind w:left="720"/>
        <w:rPr>
          <w:rFonts w:ascii="Times New Roman" w:hAnsi="Times New Roman"/>
          <w:sz w:val="24"/>
        </w:rPr>
      </w:pPr>
      <w:r w:rsidRPr="00600E6F">
        <w:rPr>
          <w:rFonts w:ascii="Times New Roman" w:hAnsi="Times New Roman"/>
          <w:sz w:val="24"/>
        </w:rPr>
        <w:t>Work with Energy Division to resolve market baseline and transformation issues;</w:t>
      </w:r>
    </w:p>
    <w:p w:rsidR="00513B47" w:rsidRPr="00600E6F" w:rsidRDefault="00E7041A" w:rsidP="00C31CC0">
      <w:pPr>
        <w:pStyle w:val="PlainText"/>
        <w:numPr>
          <w:ilvl w:val="1"/>
          <w:numId w:val="56"/>
        </w:numPr>
        <w:tabs>
          <w:tab w:val="clear" w:pos="1800"/>
          <w:tab w:val="num" w:pos="720"/>
        </w:tabs>
        <w:ind w:left="720"/>
        <w:rPr>
          <w:rFonts w:ascii="Times New Roman" w:hAnsi="Times New Roman"/>
          <w:sz w:val="24"/>
        </w:rPr>
      </w:pPr>
      <w:r w:rsidRPr="00600E6F">
        <w:rPr>
          <w:rFonts w:ascii="Times New Roman" w:hAnsi="Times New Roman"/>
          <w:sz w:val="24"/>
        </w:rPr>
        <w:t>Update and repeat CLASS and RASS/RMST Appliance Tracking &amp; Saturation studies, as appropriate;</w:t>
      </w:r>
    </w:p>
    <w:p w:rsidR="00513B47" w:rsidRPr="00600E6F" w:rsidRDefault="00E7041A" w:rsidP="00C31CC0">
      <w:pPr>
        <w:pStyle w:val="PlainText"/>
        <w:numPr>
          <w:ilvl w:val="1"/>
          <w:numId w:val="56"/>
        </w:numPr>
        <w:tabs>
          <w:tab w:val="clear" w:pos="1800"/>
          <w:tab w:val="num" w:pos="720"/>
        </w:tabs>
        <w:ind w:left="720"/>
        <w:rPr>
          <w:rFonts w:ascii="Times New Roman" w:hAnsi="Times New Roman"/>
          <w:sz w:val="24"/>
        </w:rPr>
      </w:pPr>
      <w:r w:rsidRPr="00600E6F">
        <w:rPr>
          <w:rFonts w:ascii="Times New Roman" w:hAnsi="Times New Roman"/>
          <w:sz w:val="24"/>
        </w:rPr>
        <w:t xml:space="preserve">Conduct statewide process evaluation to assess the following:  </w:t>
      </w:r>
    </w:p>
    <w:p w:rsidR="00513B47" w:rsidRPr="00600E6F" w:rsidRDefault="00E7041A" w:rsidP="00C31CC0">
      <w:pPr>
        <w:pStyle w:val="PlainText"/>
        <w:numPr>
          <w:ilvl w:val="2"/>
          <w:numId w:val="56"/>
        </w:numPr>
        <w:tabs>
          <w:tab w:val="num" w:pos="1080"/>
          <w:tab w:val="num" w:pos="1440"/>
        </w:tabs>
        <w:ind w:left="1080"/>
        <w:rPr>
          <w:rFonts w:ascii="Times New Roman" w:hAnsi="Times New Roman"/>
          <w:sz w:val="24"/>
        </w:rPr>
      </w:pPr>
      <w:r w:rsidRPr="00600E6F">
        <w:rPr>
          <w:rFonts w:ascii="Times New Roman" w:hAnsi="Times New Roman"/>
          <w:sz w:val="24"/>
        </w:rPr>
        <w:t>Track the all proposed key metrics;</w:t>
      </w:r>
    </w:p>
    <w:p w:rsidR="00513B47" w:rsidRPr="00600E6F" w:rsidRDefault="00E7041A" w:rsidP="00C31CC0">
      <w:pPr>
        <w:pStyle w:val="PlainText"/>
        <w:numPr>
          <w:ilvl w:val="1"/>
          <w:numId w:val="56"/>
        </w:numPr>
        <w:tabs>
          <w:tab w:val="clear" w:pos="1800"/>
          <w:tab w:val="num" w:pos="720"/>
        </w:tabs>
        <w:ind w:left="720"/>
        <w:rPr>
          <w:rFonts w:ascii="Times New Roman" w:hAnsi="Times New Roman"/>
          <w:sz w:val="24"/>
        </w:rPr>
      </w:pPr>
      <w:r w:rsidRPr="00600E6F">
        <w:rPr>
          <w:rFonts w:ascii="Times New Roman" w:hAnsi="Times New Roman"/>
          <w:sz w:val="24"/>
        </w:rPr>
        <w:t xml:space="preserve">Conduct SCE specific process evaluation to improve program design, implementation and market effectiveness; and </w:t>
      </w:r>
    </w:p>
    <w:p w:rsidR="00513B47" w:rsidRPr="00600E6F" w:rsidRDefault="00E7041A" w:rsidP="00C31CC0">
      <w:pPr>
        <w:pStyle w:val="PlainText"/>
        <w:numPr>
          <w:ilvl w:val="1"/>
          <w:numId w:val="56"/>
        </w:numPr>
        <w:tabs>
          <w:tab w:val="clear" w:pos="1800"/>
          <w:tab w:val="num" w:pos="720"/>
        </w:tabs>
        <w:ind w:left="720"/>
        <w:rPr>
          <w:rFonts w:ascii="Times New Roman" w:hAnsi="Times New Roman"/>
          <w:sz w:val="24"/>
        </w:rPr>
      </w:pPr>
      <w:r w:rsidRPr="00600E6F">
        <w:rPr>
          <w:rFonts w:ascii="Times New Roman" w:hAnsi="Times New Roman"/>
          <w:sz w:val="24"/>
        </w:rPr>
        <w:t xml:space="preserve">Design an M&amp;E study to monitor the pilot program mentioned above, especially to examine the conversion rate from multifamily </w:t>
      </w:r>
      <w:r w:rsidR="00513B47" w:rsidRPr="00600E6F">
        <w:rPr>
          <w:rFonts w:ascii="Times New Roman" w:hAnsi="Times New Roman"/>
          <w:sz w:val="24"/>
        </w:rPr>
        <w:t>EA</w:t>
      </w:r>
      <w:r w:rsidRPr="00600E6F">
        <w:rPr>
          <w:rFonts w:ascii="Times New Roman" w:hAnsi="Times New Roman"/>
          <w:sz w:val="24"/>
        </w:rPr>
        <w:t xml:space="preserve"> to MFEER program participation and assess the level of participation relative to the scope of </w:t>
      </w:r>
      <w:r w:rsidR="00513B47" w:rsidRPr="00600E6F">
        <w:rPr>
          <w:rFonts w:ascii="Times New Roman" w:hAnsi="Times New Roman"/>
          <w:sz w:val="24"/>
        </w:rPr>
        <w:t>EA</w:t>
      </w:r>
      <w:r w:rsidRPr="00600E6F">
        <w:rPr>
          <w:rFonts w:ascii="Times New Roman" w:hAnsi="Times New Roman"/>
          <w:sz w:val="24"/>
        </w:rPr>
        <w:t xml:space="preserve"> recommendations.</w:t>
      </w:r>
    </w:p>
    <w:p w:rsidR="00513B47" w:rsidRPr="00600E6F" w:rsidRDefault="00513B47" w:rsidP="00A05269">
      <w:pPr>
        <w:tabs>
          <w:tab w:val="left" w:pos="7680"/>
        </w:tabs>
        <w:spacing w:after="0" w:line="240" w:lineRule="auto"/>
        <w:rPr>
          <w:rFonts w:ascii="Times New Roman" w:hAnsi="Times New Roman"/>
          <w:sz w:val="24"/>
        </w:rPr>
      </w:pPr>
    </w:p>
    <w:p w:rsidR="00513B47" w:rsidRPr="00600E6F" w:rsidRDefault="00E7041A" w:rsidP="00A05269">
      <w:pPr>
        <w:autoSpaceDE w:val="0"/>
        <w:autoSpaceDN w:val="0"/>
        <w:adjustRightInd w:val="0"/>
        <w:spacing w:after="0" w:line="240" w:lineRule="auto"/>
        <w:rPr>
          <w:rFonts w:ascii="Times New Roman" w:hAnsi="Times New Roman"/>
          <w:sz w:val="24"/>
        </w:rPr>
      </w:pPr>
      <w:r w:rsidRPr="00600E6F">
        <w:rPr>
          <w:rFonts w:ascii="Times New Roman" w:hAnsi="Times New Roman"/>
          <w:sz w:val="24"/>
        </w:rPr>
        <w:t>As indicated by the Itron Final Report: Scenario Analysis to Support Updates to the CPUC Savings Goals, 3/2007, the residential sector (single family and multifamily) will be expected to deliver a significant portion of California's energy savings in nearly all scenarios. The statewide MFEER program delivers a portion of the required savings and is part of the total energy efficiency strategy.</w:t>
      </w:r>
    </w:p>
    <w:p w:rsidR="00513B47" w:rsidRPr="00600E6F" w:rsidRDefault="00513B47" w:rsidP="00A05269">
      <w:pPr>
        <w:spacing w:after="0" w:line="240" w:lineRule="auto"/>
        <w:rPr>
          <w:rFonts w:ascii="Times New Roman" w:hAnsi="Times New Roman"/>
          <w:b/>
          <w:sz w:val="24"/>
        </w:rPr>
      </w:pPr>
    </w:p>
    <w:p w:rsidR="00513B47" w:rsidRDefault="00513B47"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3931C8" w:rsidRDefault="003931C8" w:rsidP="00A05269">
      <w:pPr>
        <w:spacing w:after="0" w:line="240" w:lineRule="auto"/>
        <w:ind w:left="-432" w:right="-432"/>
        <w:rPr>
          <w:rFonts w:ascii="Times New Roman" w:hAnsi="Times New Roman"/>
          <w:sz w:val="24"/>
          <w:szCs w:val="24"/>
        </w:rPr>
      </w:pPr>
    </w:p>
    <w:p w:rsidR="00513B47" w:rsidRPr="00F50F8B" w:rsidRDefault="00513B47" w:rsidP="00A05269">
      <w:pPr>
        <w:autoSpaceDE w:val="0"/>
        <w:autoSpaceDN w:val="0"/>
        <w:adjustRightInd w:val="0"/>
        <w:spacing w:after="0" w:line="240" w:lineRule="auto"/>
        <w:rPr>
          <w:rFonts w:cs="Calibri"/>
          <w:bCs/>
          <w:sz w:val="24"/>
          <w:szCs w:val="24"/>
        </w:rPr>
      </w:pPr>
      <w:r w:rsidRPr="00600E6F">
        <w:rPr>
          <w:rFonts w:ascii="Times New Roman" w:hAnsi="Times New Roman"/>
          <w:b/>
          <w:sz w:val="24"/>
        </w:rPr>
        <w:lastRenderedPageBreak/>
        <w:t>MFEER Process Diagram</w:t>
      </w:r>
    </w:p>
    <w:p w:rsidR="00513B47" w:rsidRPr="00600E6F" w:rsidRDefault="00513B47" w:rsidP="00600E6F">
      <w:pPr>
        <w:autoSpaceDE w:val="0"/>
        <w:autoSpaceDN w:val="0"/>
        <w:adjustRightInd w:val="0"/>
        <w:spacing w:after="0" w:line="240" w:lineRule="auto"/>
        <w:rPr>
          <w:rFonts w:ascii="Times New Roman" w:hAnsi="Times New Roman"/>
          <w:sz w:val="24"/>
        </w:rPr>
      </w:pPr>
    </w:p>
    <w:p w:rsidR="00513B47" w:rsidRPr="00600E6F" w:rsidRDefault="008D705C" w:rsidP="00A05269">
      <w:pPr>
        <w:spacing w:after="0" w:line="240" w:lineRule="auto"/>
        <w:ind w:left="-432" w:right="-432"/>
        <w:rPr>
          <w:rFonts w:ascii="Times New Roman" w:hAnsi="Times New Roman"/>
          <w:b/>
          <w:sz w:val="24"/>
        </w:rPr>
      </w:pPr>
      <w:r>
        <w:rPr>
          <w:i/>
          <w:iCs/>
          <w:noProof/>
          <w:color w:val="808080"/>
        </w:rPr>
        <w:drawing>
          <wp:inline distT="0" distB="0" distL="0" distR="0" wp14:anchorId="375F5C5B" wp14:editId="6066F137">
            <wp:extent cx="6254071" cy="4508805"/>
            <wp:effectExtent l="19050" t="0" r="51479" b="82245"/>
            <wp:docPr id="3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52"/>
                    <pic:cNvPicPr>
                      <a:picLocks noChangeAspect="1" noChangeArrowheads="1"/>
                    </pic:cNvPicPr>
                  </pic:nvPicPr>
                  <pic:blipFill>
                    <a:blip r:embed="rId33" cstate="print"/>
                    <a:srcRect/>
                    <a:stretch>
                      <a:fillRect/>
                    </a:stretch>
                  </pic:blipFill>
                  <pic:spPr bwMode="auto">
                    <a:xfrm>
                      <a:off x="0" y="0"/>
                      <a:ext cx="6254071" cy="4508805"/>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r w:rsidR="00E7041A" w:rsidRPr="00600E6F">
        <w:rPr>
          <w:rFonts w:ascii="Times New Roman" w:hAnsi="Times New Roman"/>
          <w:sz w:val="24"/>
          <w:u w:val="single"/>
        </w:rPr>
        <w:br w:type="page"/>
      </w:r>
      <w:r w:rsidR="00E7041A" w:rsidRPr="00600E6F">
        <w:rPr>
          <w:rFonts w:ascii="Times New Roman" w:hAnsi="Times New Roman"/>
          <w:b/>
          <w:sz w:val="24"/>
        </w:rPr>
        <w:lastRenderedPageBreak/>
        <w:t xml:space="preserve">Program </w:t>
      </w:r>
      <w:r w:rsidR="00513B47" w:rsidRPr="00600E6F">
        <w:rPr>
          <w:rFonts w:ascii="Times New Roman" w:hAnsi="Times New Roman"/>
          <w:b/>
          <w:sz w:val="24"/>
        </w:rPr>
        <w:t>Logic Model MFEER</w:t>
      </w:r>
    </w:p>
    <w:p w:rsidR="00513B47" w:rsidRPr="00600E6F" w:rsidRDefault="00513B47" w:rsidP="00A05269">
      <w:pPr>
        <w:spacing w:after="0" w:line="240" w:lineRule="auto"/>
        <w:rPr>
          <w:rFonts w:ascii="Times New Roman" w:hAnsi="Times New Roman"/>
          <w:sz w:val="24"/>
        </w:rPr>
      </w:pPr>
    </w:p>
    <w:p w:rsidR="00513B47" w:rsidRPr="00600E6F" w:rsidRDefault="00513B47" w:rsidP="00657138">
      <w:pPr>
        <w:spacing w:after="0" w:line="240" w:lineRule="auto"/>
        <w:ind w:left="-180" w:right="-180"/>
        <w:rPr>
          <w:rFonts w:ascii="Times New Roman" w:hAnsi="Times New Roman"/>
          <w:sz w:val="24"/>
        </w:rPr>
      </w:pPr>
      <w:r w:rsidRPr="00600E6F">
        <w:rPr>
          <w:rFonts w:ascii="Times New Roman" w:hAnsi="Times New Roman"/>
          <w:color w:val="000000"/>
          <w:sz w:val="24"/>
        </w:rPr>
        <w:t>Note: On 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Below is the approved logic model for the Multifamily Energy Efficiency Rebate Program.</w:t>
      </w:r>
    </w:p>
    <w:p w:rsidR="00513B47" w:rsidRPr="00600E6F" w:rsidRDefault="00513B47" w:rsidP="00A05269">
      <w:pPr>
        <w:spacing w:after="0" w:line="240" w:lineRule="auto"/>
        <w:rPr>
          <w:rFonts w:ascii="Times New Roman" w:hAnsi="Times New Roman"/>
          <w:sz w:val="24"/>
        </w:rPr>
      </w:pPr>
    </w:p>
    <w:p w:rsidR="00513B47" w:rsidRPr="00600E6F" w:rsidRDefault="008D705C" w:rsidP="00657138">
      <w:pPr>
        <w:spacing w:after="0" w:line="240" w:lineRule="auto"/>
        <w:ind w:hanging="450"/>
        <w:rPr>
          <w:rFonts w:ascii="Times New Roman" w:hAnsi="Times New Roman"/>
          <w:sz w:val="24"/>
        </w:rPr>
        <w:sectPr w:rsidR="00513B47" w:rsidRPr="00600E6F" w:rsidSect="00600E6F">
          <w:footerReference w:type="even" r:id="rId34"/>
          <w:pgSz w:w="12240" w:h="15840"/>
          <w:pgMar w:top="1440" w:right="1440" w:bottom="1350" w:left="1440" w:header="720" w:footer="720" w:gutter="0"/>
          <w:cols w:space="720"/>
          <w:titlePg/>
          <w:docGrid w:linePitch="360"/>
        </w:sectPr>
      </w:pPr>
      <w:r>
        <w:rPr>
          <w:rFonts w:ascii="Times New Roman" w:hAnsi="Times New Roman"/>
          <w:noProof/>
        </w:rPr>
        <w:drawing>
          <wp:inline distT="0" distB="0" distL="0" distR="0" wp14:anchorId="6840A2DF" wp14:editId="12B52154">
            <wp:extent cx="6254071" cy="4850396"/>
            <wp:effectExtent l="38100" t="0" r="51479" b="83554"/>
            <wp:docPr id="3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cstate="print"/>
                    <a:srcRect/>
                    <a:stretch>
                      <a:fillRect/>
                    </a:stretch>
                  </pic:blipFill>
                  <pic:spPr bwMode="auto">
                    <a:xfrm>
                      <a:off x="0" y="0"/>
                      <a:ext cx="6254071" cy="4850396"/>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r w:rsidR="00513B47" w:rsidRPr="00600E6F">
        <w:rPr>
          <w:rFonts w:ascii="Times New Roman" w:hAnsi="Times New Roman"/>
          <w:sz w:val="24"/>
        </w:rPr>
        <w:tab/>
      </w:r>
    </w:p>
    <w:p w:rsidR="00513B47" w:rsidRPr="00600E6F" w:rsidRDefault="00513B47" w:rsidP="00A05269">
      <w:pPr>
        <w:autoSpaceDE w:val="0"/>
        <w:autoSpaceDN w:val="0"/>
        <w:adjustRightInd w:val="0"/>
        <w:spacing w:after="0" w:line="240" w:lineRule="auto"/>
        <w:ind w:left="360"/>
        <w:rPr>
          <w:rFonts w:ascii="Times New Roman" w:hAnsi="Times New Roman"/>
          <w:sz w:val="24"/>
        </w:rPr>
      </w:pPr>
      <w:r w:rsidRPr="00600E6F">
        <w:rPr>
          <w:rFonts w:ascii="Times New Roman" w:hAnsi="Times New Roman"/>
          <w:b/>
          <w:sz w:val="24"/>
        </w:rPr>
        <w:lastRenderedPageBreak/>
        <w:t xml:space="preserve">Program </w:t>
      </w:r>
      <w:r w:rsidR="00E7041A" w:rsidRPr="00600E6F">
        <w:rPr>
          <w:rFonts w:ascii="Times New Roman" w:hAnsi="Times New Roman"/>
          <w:b/>
          <w:sz w:val="24"/>
        </w:rPr>
        <w:t>Interaction Diagram MFEER</w:t>
      </w:r>
    </w:p>
    <w:p w:rsidR="00513B47" w:rsidRPr="00600E6F" w:rsidRDefault="008D705C" w:rsidP="00A05269">
      <w:pPr>
        <w:spacing w:after="0" w:line="240" w:lineRule="auto"/>
        <w:ind w:left="-432" w:right="-432"/>
        <w:rPr>
          <w:rFonts w:ascii="Times New Roman" w:hAnsi="Times New Roman"/>
          <w:sz w:val="24"/>
        </w:rPr>
      </w:pPr>
      <w:r>
        <w:rPr>
          <w:rFonts w:ascii="Times New Roman" w:hAnsi="Times New Roman"/>
          <w:noProof/>
          <w:sz w:val="24"/>
        </w:rPr>
        <w:drawing>
          <wp:inline distT="0" distB="0" distL="0" distR="0" wp14:anchorId="49CC3E99" wp14:editId="3B8A5E6E">
            <wp:extent cx="5953125" cy="5867400"/>
            <wp:effectExtent l="19050" t="0" r="9525" b="0"/>
            <wp:docPr id="39" name="Picture 60" descr="Description: p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p144"/>
                    <pic:cNvPicPr>
                      <a:picLocks noChangeAspect="1" noChangeArrowheads="1"/>
                    </pic:cNvPicPr>
                  </pic:nvPicPr>
                  <pic:blipFill>
                    <a:blip r:embed="rId36"/>
                    <a:srcRect/>
                    <a:stretch>
                      <a:fillRect/>
                    </a:stretch>
                  </pic:blipFill>
                  <pic:spPr bwMode="auto">
                    <a:xfrm>
                      <a:off x="0" y="0"/>
                      <a:ext cx="5953125" cy="5867400"/>
                    </a:xfrm>
                    <a:prstGeom prst="rect">
                      <a:avLst/>
                    </a:prstGeom>
                    <a:noFill/>
                    <a:ln w="9525">
                      <a:noFill/>
                      <a:miter lim="800000"/>
                      <a:headEnd/>
                      <a:tailEnd/>
                    </a:ln>
                  </pic:spPr>
                </pic:pic>
              </a:graphicData>
            </a:graphic>
          </wp:inline>
        </w:drawing>
      </w:r>
    </w:p>
    <w:p w:rsidR="0093736E" w:rsidRPr="00600E6F" w:rsidRDefault="00E7041A" w:rsidP="00C31CC0">
      <w:pPr>
        <w:numPr>
          <w:ilvl w:val="0"/>
          <w:numId w:val="84"/>
        </w:numPr>
        <w:spacing w:after="0" w:line="240" w:lineRule="auto"/>
        <w:rPr>
          <w:rFonts w:ascii="Times New Roman" w:hAnsi="Times New Roman"/>
          <w:b/>
          <w:sz w:val="24"/>
        </w:rPr>
      </w:pPr>
      <w:r w:rsidRPr="00600E6F">
        <w:rPr>
          <w:rFonts w:ascii="Times New Roman" w:hAnsi="Times New Roman"/>
          <w:sz w:val="24"/>
          <w:u w:val="single"/>
        </w:rPr>
        <w:br w:type="page"/>
      </w:r>
      <w:r w:rsidRPr="00600E6F">
        <w:rPr>
          <w:rFonts w:ascii="Times New Roman" w:hAnsi="Times New Roman"/>
          <w:b/>
          <w:sz w:val="24"/>
        </w:rPr>
        <w:lastRenderedPageBreak/>
        <w:t>Program Logic Model  MFEER</w:t>
      </w:r>
    </w:p>
    <w:p w:rsidR="0093736E" w:rsidRPr="00600E6F" w:rsidRDefault="0093736E" w:rsidP="00600E6F">
      <w:pPr>
        <w:spacing w:after="0" w:line="240" w:lineRule="auto"/>
        <w:rPr>
          <w:rFonts w:ascii="Times New Roman" w:hAnsi="Times New Roman"/>
          <w:sz w:val="24"/>
        </w:rPr>
      </w:pPr>
    </w:p>
    <w:p w:rsidR="0093736E" w:rsidRPr="00600E6F" w:rsidRDefault="00E7041A" w:rsidP="00600E6F">
      <w:pPr>
        <w:spacing w:after="0" w:line="240" w:lineRule="auto"/>
        <w:ind w:right="-432"/>
        <w:rPr>
          <w:rFonts w:ascii="Times New Roman" w:hAnsi="Times New Roman"/>
          <w:sz w:val="24"/>
        </w:rPr>
      </w:pPr>
      <w:r w:rsidRPr="00600E6F">
        <w:rPr>
          <w:rFonts w:ascii="Times New Roman" w:hAnsi="Times New Roman"/>
          <w:color w:val="000000"/>
          <w:sz w:val="24"/>
        </w:rPr>
        <w:t>Note: On 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Below is the approved logic model for the Multifamily Energy Efficiency Rebate Program.</w:t>
      </w:r>
    </w:p>
    <w:p w:rsidR="00513B47" w:rsidRPr="00600E6F" w:rsidRDefault="008D705C" w:rsidP="00A05269">
      <w:pPr>
        <w:spacing w:after="0" w:line="240" w:lineRule="auto"/>
        <w:rPr>
          <w:rFonts w:ascii="Times New Roman" w:hAnsi="Times New Roman"/>
          <w:sz w:val="24"/>
        </w:rPr>
        <w:sectPr w:rsidR="00513B47" w:rsidRPr="00600E6F" w:rsidSect="00600E6F">
          <w:headerReference w:type="default" r:id="rId37"/>
          <w:footerReference w:type="even" r:id="rId38"/>
          <w:footerReference w:type="default" r:id="rId39"/>
          <w:pgSz w:w="12240" w:h="15840"/>
          <w:pgMar w:top="1440" w:right="1800" w:bottom="1440" w:left="1440" w:header="720" w:footer="720" w:gutter="0"/>
          <w:cols w:space="720"/>
          <w:titlePg/>
          <w:rtlGutter/>
          <w:docGrid w:linePitch="360"/>
        </w:sectPr>
      </w:pPr>
      <w:r>
        <w:rPr>
          <w:rFonts w:ascii="Times New Roman" w:hAnsi="Times New Roman"/>
          <w:noProof/>
        </w:rPr>
        <w:drawing>
          <wp:anchor distT="0" distB="0" distL="114300" distR="114300" simplePos="0" relativeHeight="251654656" behindDoc="0" locked="0" layoutInCell="1" allowOverlap="1" wp14:anchorId="7E827C86" wp14:editId="6EF022FA">
            <wp:simplePos x="0" y="0"/>
            <wp:positionH relativeFrom="column">
              <wp:posOffset>-68580</wp:posOffset>
            </wp:positionH>
            <wp:positionV relativeFrom="paragraph">
              <wp:posOffset>185420</wp:posOffset>
            </wp:positionV>
            <wp:extent cx="6178550" cy="4742815"/>
            <wp:effectExtent l="19050" t="0" r="0" b="0"/>
            <wp:wrapNone/>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6178550" cy="4742815"/>
                    </a:xfrm>
                    <a:prstGeom prst="rect">
                      <a:avLst/>
                    </a:prstGeom>
                    <a:noFill/>
                    <a:ln w="9525">
                      <a:noFill/>
                      <a:miter lim="800000"/>
                      <a:headEnd/>
                      <a:tailEnd/>
                    </a:ln>
                  </pic:spPr>
                </pic:pic>
              </a:graphicData>
            </a:graphic>
          </wp:anchor>
        </w:drawing>
      </w:r>
    </w:p>
    <w:p w:rsidR="00513B47" w:rsidRPr="00600E6F" w:rsidRDefault="00513B47" w:rsidP="008A0A65">
      <w:pPr>
        <w:spacing w:after="0" w:line="240" w:lineRule="auto"/>
        <w:rPr>
          <w:rFonts w:ascii="Times New Roman" w:hAnsi="Times New Roman"/>
          <w:sz w:val="24"/>
        </w:rPr>
      </w:pPr>
      <w:r w:rsidRPr="00600E6F">
        <w:rPr>
          <w:rFonts w:ascii="Times New Roman" w:hAnsi="Times New Roman"/>
          <w:sz w:val="24"/>
        </w:rPr>
        <w:lastRenderedPageBreak/>
        <w:tab/>
      </w:r>
      <w:r w:rsidRPr="00600E6F">
        <w:rPr>
          <w:rFonts w:ascii="Times New Roman" w:hAnsi="Times New Roman"/>
          <w:b/>
          <w:sz w:val="24"/>
        </w:rPr>
        <w:t>Program Interaction Diagram MFEER</w:t>
      </w:r>
    </w:p>
    <w:p w:rsidR="00513B47" w:rsidRPr="00600E6F" w:rsidRDefault="008D705C" w:rsidP="00513B65">
      <w:pPr>
        <w:spacing w:after="0" w:line="240" w:lineRule="auto"/>
        <w:ind w:left="450" w:right="-180" w:hanging="270"/>
        <w:rPr>
          <w:rFonts w:ascii="Times New Roman" w:hAnsi="Times New Roman"/>
          <w:sz w:val="24"/>
        </w:rPr>
      </w:pPr>
      <w:r>
        <w:rPr>
          <w:rFonts w:ascii="Times New Roman" w:hAnsi="Times New Roman"/>
          <w:noProof/>
          <w:sz w:val="24"/>
        </w:rPr>
        <w:drawing>
          <wp:inline distT="0" distB="0" distL="0" distR="0" wp14:anchorId="0D7ACC3B" wp14:editId="3AF9AD34">
            <wp:extent cx="6086475" cy="5867400"/>
            <wp:effectExtent l="19050" t="0" r="9525" b="0"/>
            <wp:docPr id="40" name="Picture 38" descr="Description: p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p144"/>
                    <pic:cNvPicPr>
                      <a:picLocks noChangeAspect="1" noChangeArrowheads="1"/>
                    </pic:cNvPicPr>
                  </pic:nvPicPr>
                  <pic:blipFill>
                    <a:blip r:embed="rId36"/>
                    <a:srcRect/>
                    <a:stretch>
                      <a:fillRect/>
                    </a:stretch>
                  </pic:blipFill>
                  <pic:spPr bwMode="auto">
                    <a:xfrm>
                      <a:off x="0" y="0"/>
                      <a:ext cx="6086475" cy="5867400"/>
                    </a:xfrm>
                    <a:prstGeom prst="rect">
                      <a:avLst/>
                    </a:prstGeom>
                    <a:noFill/>
                    <a:ln w="9525">
                      <a:noFill/>
                      <a:miter lim="800000"/>
                      <a:headEnd/>
                      <a:tailEnd/>
                    </a:ln>
                  </pic:spPr>
                </pic:pic>
              </a:graphicData>
            </a:graphic>
          </wp:inline>
        </w:drawing>
      </w:r>
    </w:p>
    <w:p w:rsidR="00513B47" w:rsidRPr="00600E6F" w:rsidRDefault="00513B47" w:rsidP="00C31CC0">
      <w:pPr>
        <w:numPr>
          <w:ilvl w:val="0"/>
          <w:numId w:val="84"/>
        </w:numPr>
        <w:spacing w:after="0" w:line="240" w:lineRule="auto"/>
        <w:rPr>
          <w:rFonts w:ascii="Times New Roman" w:hAnsi="Times New Roman"/>
          <w:b/>
          <w:sz w:val="24"/>
        </w:rPr>
      </w:pPr>
      <w:r w:rsidRPr="00600E6F">
        <w:rPr>
          <w:rFonts w:ascii="Times New Roman" w:hAnsi="Times New Roman"/>
          <w:sz w:val="24"/>
          <w:u w:val="single"/>
        </w:rPr>
        <w:br w:type="page"/>
      </w:r>
      <w:r w:rsidRPr="00600E6F">
        <w:rPr>
          <w:rFonts w:ascii="Times New Roman" w:hAnsi="Times New Roman"/>
          <w:b/>
          <w:sz w:val="24"/>
        </w:rPr>
        <w:lastRenderedPageBreak/>
        <w:t>Program Logic Model  MFEER</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right="-432"/>
        <w:rPr>
          <w:rFonts w:ascii="Times New Roman" w:hAnsi="Times New Roman"/>
          <w:sz w:val="24"/>
        </w:rPr>
      </w:pPr>
      <w:r w:rsidRPr="00600E6F">
        <w:rPr>
          <w:rFonts w:ascii="Times New Roman" w:hAnsi="Times New Roman"/>
          <w:color w:val="000000"/>
          <w:sz w:val="24"/>
        </w:rPr>
        <w:t>Note: On 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Below is the approved logic model for the Multifamily Energy Efficiency Rebate Program.</w:t>
      </w:r>
    </w:p>
    <w:p w:rsidR="00513B47" w:rsidRPr="00600E6F" w:rsidRDefault="008D705C" w:rsidP="003408F4">
      <w:pPr>
        <w:spacing w:after="0" w:line="240" w:lineRule="auto"/>
        <w:rPr>
          <w:rFonts w:ascii="Times New Roman" w:hAnsi="Times New Roman"/>
          <w:sz w:val="24"/>
        </w:rPr>
        <w:sectPr w:rsidR="00513B47" w:rsidRPr="00600E6F" w:rsidSect="008A0A65">
          <w:footerReference w:type="even" r:id="rId41"/>
          <w:pgSz w:w="12240" w:h="15840"/>
          <w:pgMar w:top="1440" w:right="1800" w:bottom="1440" w:left="1170" w:header="720" w:footer="720" w:gutter="0"/>
          <w:cols w:space="720"/>
          <w:titlePg/>
          <w:rtlGutter/>
          <w:docGrid w:linePitch="360"/>
        </w:sectPr>
      </w:pPr>
      <w:r>
        <w:rPr>
          <w:rFonts w:ascii="Times New Roman" w:hAnsi="Times New Roman"/>
          <w:noProof/>
        </w:rPr>
        <w:drawing>
          <wp:anchor distT="0" distB="0" distL="114300" distR="114300" simplePos="0" relativeHeight="251652608" behindDoc="0" locked="0" layoutInCell="1" allowOverlap="1" wp14:anchorId="0D023EAE" wp14:editId="2A2B46EB">
            <wp:simplePos x="0" y="0"/>
            <wp:positionH relativeFrom="column">
              <wp:posOffset>-319786</wp:posOffset>
            </wp:positionH>
            <wp:positionV relativeFrom="paragraph">
              <wp:posOffset>183515</wp:posOffset>
            </wp:positionV>
            <wp:extent cx="6148070" cy="5104257"/>
            <wp:effectExtent l="38100" t="0" r="62230" b="77343"/>
            <wp:wrapNone/>
            <wp:docPr id="1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0" cstate="print">
                      <a:extLst/>
                    </a:blip>
                    <a:srcRect/>
                    <a:stretch>
                      <a:fillRect/>
                    </a:stretch>
                  </pic:blipFill>
                  <pic:spPr bwMode="auto">
                    <a:xfrm>
                      <a:off x="0" y="0"/>
                      <a:ext cx="6148070" cy="5104257"/>
                    </a:xfrm>
                    <a:prstGeom prst="rect">
                      <a:avLst/>
                    </a:prstGeom>
                    <a:noFill/>
                    <a:effectLst>
                      <a:outerShdw blurRad="50800" dist="50800" dir="5400000" algn="ctr" rotWithShape="0">
                        <a:schemeClr val="bg1">
                          <a:lumMod val="65000"/>
                        </a:schemeClr>
                      </a:outerShdw>
                    </a:effectLst>
                  </pic:spPr>
                </pic:pic>
              </a:graphicData>
            </a:graphic>
          </wp:anchor>
        </w:drawing>
      </w:r>
      <w:r w:rsidR="00513B47" w:rsidRPr="00600E6F">
        <w:rPr>
          <w:rFonts w:ascii="Times New Roman" w:hAnsi="Times New Roman"/>
          <w:sz w:val="24"/>
        </w:rPr>
        <w:tab/>
      </w:r>
    </w:p>
    <w:p w:rsidR="00513B47" w:rsidRPr="00600E6F" w:rsidRDefault="00513B47" w:rsidP="00C31CC0">
      <w:pPr>
        <w:numPr>
          <w:ilvl w:val="0"/>
          <w:numId w:val="145"/>
        </w:numPr>
        <w:tabs>
          <w:tab w:val="left" w:pos="630"/>
        </w:tabs>
        <w:spacing w:after="0" w:line="240" w:lineRule="auto"/>
        <w:rPr>
          <w:rFonts w:ascii="Times New Roman" w:hAnsi="Times New Roman"/>
          <w:sz w:val="24"/>
        </w:rPr>
      </w:pPr>
      <w:r w:rsidRPr="00600E6F">
        <w:rPr>
          <w:rFonts w:ascii="Times New Roman" w:hAnsi="Times New Roman"/>
          <w:b/>
          <w:sz w:val="24"/>
        </w:rPr>
        <w:lastRenderedPageBreak/>
        <w:t xml:space="preserve">Sub-Program Name:  </w:t>
      </w:r>
      <w:r w:rsidRPr="00600E6F">
        <w:rPr>
          <w:rFonts w:ascii="Times New Roman" w:hAnsi="Times New Roman"/>
          <w:sz w:val="24"/>
        </w:rPr>
        <w:t>Whole Home Upgrade Program (WHUP)</w:t>
      </w:r>
    </w:p>
    <w:p w:rsidR="00513B47" w:rsidRPr="00600E6F" w:rsidRDefault="00513B47" w:rsidP="003408F4">
      <w:pPr>
        <w:spacing w:after="0" w:line="240" w:lineRule="auto"/>
        <w:ind w:left="720"/>
        <w:rPr>
          <w:rFonts w:ascii="Times New Roman" w:hAnsi="Times New Roman"/>
          <w:b/>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 xml:space="preserve">Sub-Program ID number:  </w:t>
      </w:r>
      <w:r w:rsidRPr="00600E6F">
        <w:rPr>
          <w:rFonts w:ascii="Times New Roman" w:hAnsi="Times New Roman"/>
          <w:sz w:val="24"/>
        </w:rPr>
        <w:t>TBD</w:t>
      </w:r>
    </w:p>
    <w:p w:rsidR="00513B47" w:rsidRPr="00600E6F" w:rsidRDefault="00513B47" w:rsidP="003408F4">
      <w:pPr>
        <w:spacing w:after="0" w:line="240" w:lineRule="auto"/>
        <w:ind w:left="720"/>
        <w:rPr>
          <w:rFonts w:ascii="Times New Roman" w:hAnsi="Times New Roman"/>
          <w:b/>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Type of Sub-Program: _</w:t>
      </w:r>
      <w:r w:rsidRPr="00600E6F">
        <w:rPr>
          <w:rFonts w:ascii="Times New Roman" w:hAnsi="Times New Roman"/>
          <w:sz w:val="24"/>
          <w:u w:val="single"/>
        </w:rPr>
        <w:t>X</w:t>
      </w:r>
      <w:r w:rsidRPr="00600E6F">
        <w:rPr>
          <w:rFonts w:ascii="Times New Roman" w:hAnsi="Times New Roman"/>
          <w:b/>
          <w:sz w:val="24"/>
          <w:u w:val="single"/>
        </w:rPr>
        <w:t xml:space="preserve"> </w:t>
      </w:r>
      <w:r w:rsidRPr="00600E6F">
        <w:rPr>
          <w:rFonts w:ascii="Times New Roman" w:hAnsi="Times New Roman"/>
          <w:b/>
          <w:sz w:val="24"/>
        </w:rPr>
        <w:t xml:space="preserve">Core    __Third Party   __Partnership </w:t>
      </w:r>
    </w:p>
    <w:p w:rsidR="00513B47" w:rsidRPr="00600E6F" w:rsidRDefault="00513B47" w:rsidP="003408F4">
      <w:pPr>
        <w:spacing w:after="0" w:line="240" w:lineRule="auto"/>
        <w:ind w:left="720"/>
        <w:rPr>
          <w:rFonts w:ascii="Times New Roman" w:hAnsi="Times New Roman"/>
          <w:b/>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Market sector or segment that this sub-program is designed to serve:</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_</w:t>
      </w:r>
      <w:r w:rsidRPr="00600E6F">
        <w:rPr>
          <w:rFonts w:ascii="Times New Roman" w:hAnsi="Times New Roman"/>
          <w:sz w:val="24"/>
          <w:u w:val="single"/>
        </w:rPr>
        <w:t>X</w:t>
      </w:r>
      <w:r w:rsidRPr="00600E6F">
        <w:rPr>
          <w:rFonts w:ascii="Times New Roman" w:hAnsi="Times New Roman"/>
          <w:sz w:val="24"/>
        </w:rPr>
        <w:t xml:space="preserve">_ Residential  </w:t>
      </w:r>
    </w:p>
    <w:p w:rsidR="00513B47" w:rsidRPr="00600E6F" w:rsidRDefault="00513B47" w:rsidP="00C31CC0">
      <w:pPr>
        <w:numPr>
          <w:ilvl w:val="2"/>
          <w:numId w:val="145"/>
        </w:numPr>
        <w:spacing w:after="0" w:line="240" w:lineRule="auto"/>
        <w:rPr>
          <w:rFonts w:ascii="Times New Roman" w:hAnsi="Times New Roman"/>
          <w:sz w:val="24"/>
        </w:rPr>
      </w:pPr>
      <w:r w:rsidRPr="00600E6F">
        <w:rPr>
          <w:rFonts w:ascii="Times New Roman" w:hAnsi="Times New Roman"/>
          <w:sz w:val="24"/>
        </w:rPr>
        <w:t>Including Low Income?  __ Yes   _</w:t>
      </w:r>
      <w:r w:rsidRPr="00600E6F">
        <w:rPr>
          <w:rFonts w:ascii="Times New Roman" w:hAnsi="Times New Roman"/>
          <w:sz w:val="24"/>
          <w:u w:val="single"/>
        </w:rPr>
        <w:t>X</w:t>
      </w:r>
      <w:r w:rsidRPr="00600E6F">
        <w:rPr>
          <w:rFonts w:ascii="Times New Roman" w:hAnsi="Times New Roman"/>
          <w:sz w:val="24"/>
        </w:rPr>
        <w:t xml:space="preserve">_ No; </w:t>
      </w:r>
    </w:p>
    <w:p w:rsidR="00513B47" w:rsidRPr="00600E6F" w:rsidRDefault="00513B47" w:rsidP="00C31CC0">
      <w:pPr>
        <w:numPr>
          <w:ilvl w:val="2"/>
          <w:numId w:val="145"/>
        </w:numPr>
        <w:spacing w:after="0" w:line="240" w:lineRule="auto"/>
        <w:rPr>
          <w:rFonts w:ascii="Times New Roman" w:hAnsi="Times New Roman"/>
          <w:sz w:val="24"/>
        </w:rPr>
      </w:pPr>
      <w:r w:rsidRPr="00600E6F">
        <w:rPr>
          <w:rFonts w:ascii="Times New Roman" w:hAnsi="Times New Roman"/>
          <w:sz w:val="24"/>
        </w:rPr>
        <w:t>Including Moderate Income? _</w:t>
      </w:r>
      <w:r w:rsidRPr="00600E6F">
        <w:rPr>
          <w:rFonts w:ascii="Times New Roman" w:hAnsi="Times New Roman"/>
          <w:sz w:val="24"/>
          <w:u w:val="single"/>
        </w:rPr>
        <w:t>X</w:t>
      </w:r>
      <w:r w:rsidRPr="00600E6F">
        <w:rPr>
          <w:rFonts w:ascii="Times New Roman" w:hAnsi="Times New Roman"/>
          <w:sz w:val="24"/>
        </w:rPr>
        <w:t xml:space="preserve">_ Yes __ No. </w:t>
      </w:r>
    </w:p>
    <w:p w:rsidR="00513B47" w:rsidRPr="00600E6F" w:rsidRDefault="00513B47" w:rsidP="00C31CC0">
      <w:pPr>
        <w:numPr>
          <w:ilvl w:val="2"/>
          <w:numId w:val="145"/>
        </w:numPr>
        <w:spacing w:after="0" w:line="240" w:lineRule="auto"/>
        <w:rPr>
          <w:rFonts w:ascii="Times New Roman" w:hAnsi="Times New Roman"/>
          <w:sz w:val="24"/>
        </w:rPr>
      </w:pPr>
      <w:r w:rsidRPr="00600E6F">
        <w:rPr>
          <w:rFonts w:ascii="Times New Roman" w:hAnsi="Times New Roman"/>
          <w:sz w:val="24"/>
        </w:rPr>
        <w:t>Including or specifically Multifamily buildings _</w:t>
      </w:r>
      <w:r w:rsidRPr="00600E6F">
        <w:rPr>
          <w:rFonts w:ascii="Times New Roman" w:hAnsi="Times New Roman"/>
          <w:sz w:val="24"/>
          <w:u w:val="single"/>
        </w:rPr>
        <w:t>X_</w:t>
      </w:r>
      <w:r w:rsidRPr="00600E6F">
        <w:rPr>
          <w:rFonts w:ascii="Times New Roman" w:hAnsi="Times New Roman"/>
          <w:sz w:val="24"/>
        </w:rPr>
        <w:t xml:space="preserve"> Yes __ No. </w:t>
      </w:r>
    </w:p>
    <w:p w:rsidR="00513B47" w:rsidRPr="00600E6F" w:rsidRDefault="00513B47" w:rsidP="00C31CC0">
      <w:pPr>
        <w:numPr>
          <w:ilvl w:val="2"/>
          <w:numId w:val="145"/>
        </w:numPr>
        <w:spacing w:after="0" w:line="240" w:lineRule="auto"/>
        <w:rPr>
          <w:rFonts w:ascii="Times New Roman" w:hAnsi="Times New Roman"/>
          <w:sz w:val="24"/>
        </w:rPr>
      </w:pPr>
      <w:r w:rsidRPr="00600E6F">
        <w:rPr>
          <w:rFonts w:ascii="Times New Roman" w:hAnsi="Times New Roman"/>
          <w:sz w:val="24"/>
        </w:rPr>
        <w:t>Including or specifically Rental units? __ Yes _</w:t>
      </w:r>
      <w:r w:rsidRPr="00600E6F">
        <w:rPr>
          <w:rFonts w:ascii="Times New Roman" w:hAnsi="Times New Roman"/>
          <w:sz w:val="24"/>
          <w:u w:val="single"/>
        </w:rPr>
        <w:t>X</w:t>
      </w:r>
      <w:r w:rsidRPr="00600E6F">
        <w:rPr>
          <w:rFonts w:ascii="Times New Roman" w:hAnsi="Times New Roman"/>
          <w:sz w:val="24"/>
        </w:rPr>
        <w:t>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__ Commercial  (List applicable NAIC codes: _________________)</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__ Industrial (List applicable NAIC codes: ____________________)</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__ Agricultural (List applicable NAIC codes: __________________)</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Is this sub-program primarily a:</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Non-resource program  ___ Yes _</w:t>
      </w:r>
      <w:r w:rsidRPr="00600E6F">
        <w:rPr>
          <w:rFonts w:ascii="Times New Roman" w:hAnsi="Times New Roman"/>
          <w:sz w:val="24"/>
          <w:u w:val="single"/>
        </w:rPr>
        <w:t>X</w:t>
      </w:r>
      <w:r w:rsidRPr="00600E6F">
        <w:rPr>
          <w:rFonts w:ascii="Times New Roman" w:hAnsi="Times New Roman"/>
          <w:sz w:val="24"/>
        </w:rPr>
        <w:t>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Resource acquisition program ___ Yes _</w:t>
      </w:r>
      <w:r w:rsidRPr="00600E6F">
        <w:rPr>
          <w:rFonts w:ascii="Times New Roman" w:hAnsi="Times New Roman"/>
          <w:sz w:val="24"/>
          <w:u w:val="single"/>
        </w:rPr>
        <w:t>X</w:t>
      </w:r>
      <w:r w:rsidRPr="00600E6F">
        <w:rPr>
          <w:rFonts w:ascii="Times New Roman" w:hAnsi="Times New Roman"/>
          <w:sz w:val="24"/>
        </w:rPr>
        <w:t>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Market Transformation Program _</w:t>
      </w:r>
      <w:r w:rsidRPr="00600E6F">
        <w:rPr>
          <w:rFonts w:ascii="Times New Roman" w:hAnsi="Times New Roman"/>
          <w:sz w:val="24"/>
          <w:u w:val="single"/>
        </w:rPr>
        <w:t>X</w:t>
      </w:r>
      <w:r w:rsidRPr="00600E6F">
        <w:rPr>
          <w:rFonts w:ascii="Times New Roman" w:hAnsi="Times New Roman"/>
          <w:sz w:val="24"/>
        </w:rPr>
        <w:t xml:space="preserve">_ Yes ___ No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Indicate the primary intervention strategies:</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Upstream</w:t>
      </w:r>
      <w:r w:rsidRPr="00600E6F">
        <w:rPr>
          <w:rFonts w:ascii="Times New Roman" w:hAnsi="Times New Roman"/>
          <w:sz w:val="24"/>
        </w:rPr>
        <w:tab/>
        <w:t xml:space="preserve"> ___ Yes _X_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 xml:space="preserve">Midstream </w:t>
      </w:r>
      <w:r w:rsidRPr="00600E6F">
        <w:rPr>
          <w:rFonts w:ascii="Times New Roman" w:hAnsi="Times New Roman"/>
          <w:sz w:val="24"/>
        </w:rPr>
        <w:tab/>
        <w:t>___ Yes _X_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 xml:space="preserve">Downstream </w:t>
      </w:r>
      <w:r w:rsidRPr="00600E6F">
        <w:rPr>
          <w:rFonts w:ascii="Times New Roman" w:hAnsi="Times New Roman"/>
          <w:sz w:val="24"/>
        </w:rPr>
        <w:tab/>
        <w:t>_X_ Yes ___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Direct Install    __ Yes _X_ No.</w:t>
      </w:r>
    </w:p>
    <w:p w:rsidR="00513B47" w:rsidRPr="00600E6F" w:rsidRDefault="00513B47" w:rsidP="00C31CC0">
      <w:pPr>
        <w:numPr>
          <w:ilvl w:val="1"/>
          <w:numId w:val="145"/>
        </w:numPr>
        <w:spacing w:after="0" w:line="240" w:lineRule="auto"/>
        <w:rPr>
          <w:rFonts w:ascii="Times New Roman" w:hAnsi="Times New Roman"/>
          <w:sz w:val="24"/>
        </w:rPr>
      </w:pPr>
      <w:r w:rsidRPr="00600E6F">
        <w:rPr>
          <w:rFonts w:ascii="Times New Roman" w:hAnsi="Times New Roman"/>
          <w:sz w:val="24"/>
        </w:rPr>
        <w:t>Non Resource    __ Yes _X_ No.</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 xml:space="preserve">Projected Sub-program Total Resource Cost (TRC) and Program Administrator Cost (PAC)  </w:t>
      </w:r>
      <w:r w:rsidRPr="00600E6F">
        <w:rPr>
          <w:rFonts w:ascii="Times New Roman" w:hAnsi="Times New Roman"/>
          <w:sz w:val="24"/>
        </w:rPr>
        <w:t xml:space="preserve">TRC ___ PAC ___ </w:t>
      </w:r>
    </w:p>
    <w:p w:rsidR="00513B47" w:rsidRPr="00600E6F" w:rsidRDefault="00513B47" w:rsidP="003408F4">
      <w:pPr>
        <w:spacing w:after="0" w:line="240" w:lineRule="auto"/>
        <w:ind w:left="630"/>
        <w:rPr>
          <w:rFonts w:ascii="Times New Roman" w:hAnsi="Times New Roman"/>
          <w:b/>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Projected Sub-Program Budget</w:t>
      </w:r>
    </w:p>
    <w:p w:rsidR="00513B47" w:rsidRPr="00600E6F" w:rsidRDefault="00513B47" w:rsidP="003408F4">
      <w:pPr>
        <w:spacing w:after="0" w:line="240" w:lineRule="auto"/>
        <w:rPr>
          <w:rFonts w:ascii="Times New Roman" w:hAnsi="Times New Roman"/>
          <w:sz w:val="24"/>
        </w:rPr>
      </w:pPr>
    </w:p>
    <w:p w:rsidR="00513B47" w:rsidRPr="00600E6F" w:rsidRDefault="00513B47" w:rsidP="009B5C6F">
      <w:pPr>
        <w:pStyle w:val="Caption"/>
        <w:ind w:firstLine="630"/>
        <w:rPr>
          <w:sz w:val="24"/>
        </w:rPr>
      </w:pPr>
      <w:r w:rsidRPr="00600E6F">
        <w:rPr>
          <w:sz w:val="24"/>
        </w:rPr>
        <w:t xml:space="preserve">Table </w:t>
      </w:r>
      <w:r w:rsidR="00E7041A" w:rsidRPr="00600E6F">
        <w:rPr>
          <w:sz w:val="24"/>
        </w:rPr>
        <w:fldChar w:fldCharType="begin"/>
      </w:r>
      <w:r w:rsidRPr="00600E6F">
        <w:rPr>
          <w:sz w:val="24"/>
        </w:rPr>
        <w:instrText xml:space="preserve"> SEQ Table \* ARABIC </w:instrText>
      </w:r>
      <w:r w:rsidR="00E7041A" w:rsidRPr="00600E6F">
        <w:rPr>
          <w:sz w:val="24"/>
        </w:rPr>
        <w:fldChar w:fldCharType="separate"/>
      </w:r>
      <w:r w:rsidR="007E4BEC">
        <w:rPr>
          <w:noProof/>
          <w:sz w:val="24"/>
        </w:rPr>
        <w:t>5</w:t>
      </w:r>
      <w:r w:rsidR="00E7041A" w:rsidRPr="00600E6F">
        <w:rPr>
          <w:sz w:val="24"/>
        </w:rPr>
        <w:fldChar w:fldCharType="end"/>
      </w:r>
      <w:r w:rsidRPr="00600E6F">
        <w:rPr>
          <w:sz w:val="24"/>
        </w:rPr>
        <w:t>. Projected Sub-Program Budget, by Calendar Year</w:t>
      </w:r>
    </w:p>
    <w:p w:rsidR="00513B47" w:rsidRPr="00600E6F" w:rsidRDefault="00513B47" w:rsidP="009B5C6F">
      <w:pPr>
        <w:spacing w:after="0" w:line="240" w:lineRule="auto"/>
        <w:ind w:firstLine="630"/>
        <w:rPr>
          <w:rFonts w:ascii="Times New Roman" w:hAnsi="Times New Roman"/>
          <w:i/>
          <w:sz w:val="24"/>
        </w:rPr>
      </w:pPr>
      <w:r w:rsidRPr="00600E6F">
        <w:rPr>
          <w:rFonts w:ascii="Times New Roman" w:hAnsi="Times New Roman"/>
          <w:i/>
          <w:sz w:val="24"/>
        </w:rPr>
        <w:t>[Table-5 to be provided as an Excel Attachment to this PIP]</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45"/>
        </w:numPr>
        <w:spacing w:after="0" w:line="240" w:lineRule="auto"/>
        <w:rPr>
          <w:rFonts w:ascii="Times New Roman" w:hAnsi="Times New Roman"/>
          <w:b/>
          <w:sz w:val="24"/>
        </w:rPr>
      </w:pPr>
      <w:r w:rsidRPr="00600E6F">
        <w:rPr>
          <w:rFonts w:ascii="Times New Roman" w:hAnsi="Times New Roman"/>
          <w:b/>
          <w:sz w:val="24"/>
        </w:rPr>
        <w:t>Sub-Program Description, Objectives and Theory</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34"/>
        </w:numPr>
        <w:spacing w:after="0" w:line="240" w:lineRule="auto"/>
        <w:ind w:left="1080" w:hanging="360"/>
        <w:rPr>
          <w:rFonts w:ascii="Times New Roman" w:hAnsi="Times New Roman"/>
          <w:sz w:val="24"/>
        </w:rPr>
      </w:pPr>
      <w:r w:rsidRPr="00600E6F">
        <w:rPr>
          <w:rFonts w:ascii="Times New Roman" w:hAnsi="Times New Roman"/>
          <w:b/>
          <w:sz w:val="24"/>
        </w:rPr>
        <w:t>Sub-Program Description and Theory:</w:t>
      </w:r>
      <w:r w:rsidRPr="00600E6F">
        <w:rPr>
          <w:rFonts w:ascii="Times New Roman" w:hAnsi="Times New Roman"/>
          <w:sz w:val="24"/>
        </w:rPr>
        <w:t xml:space="preserve"> </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According to a report released by the Office of the Vice President, “homes in the United States generate more than 20 percent of our nation’s carbon dioxide emissions, making them a significant contributor to global climate change.”</w:t>
      </w:r>
      <w:r w:rsidRPr="00600E6F">
        <w:rPr>
          <w:rStyle w:val="FootnoteReference"/>
          <w:rFonts w:ascii="Times New Roman" w:hAnsi="Times New Roman"/>
          <w:sz w:val="24"/>
        </w:rPr>
        <w:footnoteReference w:id="33"/>
      </w:r>
      <w:r w:rsidRPr="00600E6F">
        <w:rPr>
          <w:rFonts w:ascii="Times New Roman" w:hAnsi="Times New Roman"/>
          <w:sz w:val="24"/>
        </w:rPr>
        <w:t xml:space="preserve"> The challenge of addressing residential emissions has been a significant topic for California stakeholders and was addressed when D.09-09-047 acknowledged, “Improving the energy efficiency of all </w:t>
      </w:r>
      <w:r w:rsidRPr="00600E6F">
        <w:rPr>
          <w:rFonts w:ascii="Times New Roman" w:hAnsi="Times New Roman"/>
          <w:sz w:val="24"/>
        </w:rPr>
        <w:lastRenderedPageBreak/>
        <w:t xml:space="preserve">households is necessary to achieve the target outcome for the 2020 existing residential </w:t>
      </w:r>
      <w:r w:rsidRPr="00600E6F">
        <w:rPr>
          <w:rFonts w:ascii="Times New Roman" w:hAnsi="Times New Roman"/>
          <w:i/>
          <w:sz w:val="24"/>
        </w:rPr>
        <w:t>Strategic Plan</w:t>
      </w:r>
      <w:r w:rsidRPr="00600E6F">
        <w:rPr>
          <w:rFonts w:ascii="Times New Roman" w:hAnsi="Times New Roman"/>
          <w:sz w:val="24"/>
        </w:rPr>
        <w:t xml:space="preserve"> goals.”</w:t>
      </w:r>
      <w:r w:rsidRPr="00600E6F">
        <w:rPr>
          <w:rStyle w:val="FootnoteReference"/>
          <w:rFonts w:ascii="Times New Roman" w:hAnsi="Times New Roman"/>
          <w:sz w:val="24"/>
        </w:rPr>
        <w:footnoteReference w:id="34"/>
      </w:r>
      <w:r w:rsidRPr="00600E6F">
        <w:rPr>
          <w:rFonts w:ascii="Times New Roman" w:hAnsi="Times New Roman"/>
          <w:sz w:val="24"/>
        </w:rPr>
        <w:t xml:space="preserve">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Office of the Vice President report also identifies three market barriers to comprehensive residential retrofits:</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C31CC0">
      <w:pPr>
        <w:numPr>
          <w:ilvl w:val="0"/>
          <w:numId w:val="33"/>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 xml:space="preserve">Lack of customer and contractor awareness and access to information; </w:t>
      </w:r>
    </w:p>
    <w:p w:rsidR="00513B47" w:rsidRPr="00600E6F" w:rsidRDefault="00513B47" w:rsidP="00C31CC0">
      <w:pPr>
        <w:numPr>
          <w:ilvl w:val="0"/>
          <w:numId w:val="33"/>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 xml:space="preserve">Lack of access to financing; and </w:t>
      </w:r>
    </w:p>
    <w:p w:rsidR="00513B47" w:rsidRPr="00600E6F" w:rsidRDefault="00513B47" w:rsidP="00C31CC0">
      <w:pPr>
        <w:numPr>
          <w:ilvl w:val="0"/>
          <w:numId w:val="33"/>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Lack of access to skilled workers.</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A shift in market perception, both for contractors and customers, towards a whole house approach must take place to drive customer action. WHUP is designed to offer a one-stop approach to whole-house energy efficient improvements that recognize the need for customers to participate over varied timelines. To assist in the effort to overcome these problems and market barriers, WHUP for single family residences will:</w:t>
      </w:r>
    </w:p>
    <w:p w:rsidR="00513B47" w:rsidRPr="00600E6F" w:rsidRDefault="00513B47" w:rsidP="00C31CC0">
      <w:pPr>
        <w:numPr>
          <w:ilvl w:val="0"/>
          <w:numId w:val="34"/>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Offer a statewide entry level pre-set measures based approached (</w:t>
      </w:r>
      <w:r w:rsidRPr="00600E6F">
        <w:rPr>
          <w:rFonts w:ascii="Times New Roman" w:hAnsi="Times New Roman"/>
          <w:i/>
          <w:sz w:val="24"/>
        </w:rPr>
        <w:t>Basic Path</w:t>
      </w:r>
      <w:r w:rsidRPr="00600E6F">
        <w:rPr>
          <w:rFonts w:ascii="Times New Roman" w:hAnsi="Times New Roman"/>
          <w:sz w:val="24"/>
        </w:rPr>
        <w:t>) and a comprehensive and flexible performance based approach (</w:t>
      </w:r>
      <w:r w:rsidRPr="00600E6F">
        <w:rPr>
          <w:rFonts w:ascii="Times New Roman" w:hAnsi="Times New Roman"/>
          <w:i/>
          <w:sz w:val="24"/>
        </w:rPr>
        <w:t>Advanced Path</w:t>
      </w:r>
      <w:r w:rsidRPr="00600E6F">
        <w:rPr>
          <w:rFonts w:ascii="Times New Roman" w:hAnsi="Times New Roman"/>
          <w:sz w:val="24"/>
        </w:rPr>
        <w:t>) whole house incentives to help build the home performance contracting industry and offer customers and building owners and managers an easy entry point on the path to home performance (barrier 1);</w:t>
      </w:r>
    </w:p>
    <w:p w:rsidR="00513B47" w:rsidRPr="00600E6F" w:rsidRDefault="00513B47" w:rsidP="00C31CC0">
      <w:pPr>
        <w:numPr>
          <w:ilvl w:val="0"/>
          <w:numId w:val="34"/>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Educate customers on the house-as-a-system concept and to encourage behavior changes that increase residential energy efficiency (barrier 1);</w:t>
      </w:r>
    </w:p>
    <w:p w:rsidR="00513B47" w:rsidRPr="00600E6F" w:rsidRDefault="00513B47" w:rsidP="00C31CC0">
      <w:pPr>
        <w:numPr>
          <w:ilvl w:val="0"/>
          <w:numId w:val="34"/>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Educate contractors on the benefits of learning how to properly sell and install whole house measures as part of coordinated WE&amp;T efforts (barrier 1&amp; 3);</w:t>
      </w:r>
    </w:p>
    <w:p w:rsidR="00513B47" w:rsidRPr="00600E6F" w:rsidRDefault="00513B47" w:rsidP="00C31CC0">
      <w:pPr>
        <w:numPr>
          <w:ilvl w:val="0"/>
          <w:numId w:val="34"/>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Offer incentives that influence customers to undertake comprehensive residential retrofits (barrier 1); and</w:t>
      </w:r>
    </w:p>
    <w:p w:rsidR="00513B47" w:rsidRPr="00600E6F" w:rsidRDefault="00513B47" w:rsidP="00C31CC0">
      <w:pPr>
        <w:numPr>
          <w:ilvl w:val="0"/>
          <w:numId w:val="34"/>
        </w:numPr>
        <w:tabs>
          <w:tab w:val="clear" w:pos="1080"/>
          <w:tab w:val="left" w:pos="360"/>
        </w:tabs>
        <w:spacing w:after="0" w:line="240" w:lineRule="auto"/>
        <w:ind w:left="1440"/>
        <w:rPr>
          <w:rFonts w:ascii="Times New Roman" w:hAnsi="Times New Roman"/>
          <w:sz w:val="24"/>
        </w:rPr>
      </w:pPr>
      <w:r w:rsidRPr="00600E6F">
        <w:rPr>
          <w:rFonts w:ascii="Times New Roman" w:hAnsi="Times New Roman"/>
          <w:sz w:val="24"/>
        </w:rPr>
        <w:t>Coordinate with relevant utility financing programs and external funding and financing mechanisms at the county, state and federal levels (barrier 2).</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In addition, energy efficiency efforts for the multifamily (MF) segment must overcome a number of barriers, primarily: </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1)  </w:t>
      </w:r>
      <w:r w:rsidRPr="00600E6F">
        <w:rPr>
          <w:rFonts w:ascii="Times New Roman" w:hAnsi="Times New Roman"/>
          <w:sz w:val="24"/>
        </w:rPr>
        <w:tab/>
        <w:t xml:space="preserve">Lack of knowledge regarding energy efficiency, as well as the comprehensive energy efficiency EE programs offered by IOUs; </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2)  </w:t>
      </w:r>
      <w:r w:rsidRPr="00600E6F">
        <w:rPr>
          <w:rFonts w:ascii="Times New Roman" w:hAnsi="Times New Roman"/>
          <w:sz w:val="24"/>
        </w:rPr>
        <w:tab/>
        <w:t>The economics of “split</w:t>
      </w:r>
      <w:r w:rsidRPr="00600E6F">
        <w:rPr>
          <w:rFonts w:ascii="Cambria Math" w:hAnsi="Cambria Math"/>
          <w:sz w:val="24"/>
        </w:rPr>
        <w:t>‐</w:t>
      </w:r>
      <w:r w:rsidRPr="00600E6F">
        <w:rPr>
          <w:rFonts w:ascii="Times New Roman" w:hAnsi="Times New Roman"/>
          <w:sz w:val="24"/>
        </w:rPr>
        <w:t xml:space="preserve">incentives” where the building owner invests capital but the savings primarily benefit the tenants; </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3)  </w:t>
      </w:r>
      <w:r w:rsidRPr="00600E6F">
        <w:rPr>
          <w:rFonts w:ascii="Times New Roman" w:hAnsi="Times New Roman"/>
          <w:sz w:val="24"/>
        </w:rPr>
        <w:tab/>
        <w:t>Access to investment capital and insufficient return on investment (ROI). Up</w:t>
      </w:r>
      <w:r w:rsidRPr="00600E6F">
        <w:rPr>
          <w:rFonts w:ascii="Cambria Math" w:hAnsi="Cambria Math"/>
          <w:sz w:val="24"/>
        </w:rPr>
        <w:t>‐</w:t>
      </w:r>
      <w:r w:rsidRPr="00600E6F">
        <w:rPr>
          <w:rFonts w:ascii="Times New Roman" w:hAnsi="Times New Roman"/>
          <w:sz w:val="24"/>
        </w:rPr>
        <w:t>front out</w:t>
      </w:r>
      <w:r w:rsidRPr="00600E6F">
        <w:rPr>
          <w:rFonts w:ascii="Cambria Math" w:hAnsi="Cambria Math"/>
          <w:sz w:val="24"/>
        </w:rPr>
        <w:t>‐</w:t>
      </w:r>
      <w:r w:rsidRPr="00600E6F">
        <w:rPr>
          <w:rFonts w:ascii="Times New Roman" w:hAnsi="Times New Roman"/>
          <w:sz w:val="24"/>
        </w:rPr>
        <w:t>of</w:t>
      </w:r>
      <w:r w:rsidRPr="00600E6F">
        <w:rPr>
          <w:rFonts w:ascii="Cambria Math" w:hAnsi="Cambria Math"/>
          <w:sz w:val="24"/>
        </w:rPr>
        <w:t>‐</w:t>
      </w:r>
      <w:r w:rsidRPr="00600E6F">
        <w:rPr>
          <w:rFonts w:ascii="Times New Roman" w:hAnsi="Times New Roman"/>
          <w:sz w:val="24"/>
        </w:rPr>
        <w:t>pocket costs and extended payback periods required pose a significant participation barrier for property owners and managers;</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Hassle of dealing with multiple contractors and visits required;</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5)  </w:t>
      </w:r>
      <w:r w:rsidRPr="00600E6F">
        <w:rPr>
          <w:rFonts w:ascii="Times New Roman" w:hAnsi="Times New Roman"/>
          <w:sz w:val="24"/>
        </w:rPr>
        <w:tab/>
        <w:t xml:space="preserve">Time burden for tenants and owners; </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6)  </w:t>
      </w:r>
      <w:r w:rsidRPr="00600E6F">
        <w:rPr>
          <w:rFonts w:ascii="Times New Roman" w:hAnsi="Times New Roman"/>
          <w:sz w:val="24"/>
        </w:rPr>
        <w:tab/>
        <w:t>Impact on rental income; and</w:t>
      </w:r>
    </w:p>
    <w:p w:rsidR="00513B47" w:rsidRPr="00600E6F" w:rsidRDefault="00513B47" w:rsidP="003408F4">
      <w:pPr>
        <w:pStyle w:val="ListParagraph"/>
        <w:spacing w:after="0" w:line="240" w:lineRule="auto"/>
        <w:ind w:left="1440" w:hanging="360"/>
        <w:rPr>
          <w:rFonts w:ascii="Times New Roman" w:hAnsi="Times New Roman"/>
          <w:sz w:val="24"/>
        </w:rPr>
      </w:pPr>
      <w:r w:rsidRPr="00600E6F">
        <w:rPr>
          <w:rFonts w:ascii="Times New Roman" w:hAnsi="Times New Roman"/>
          <w:sz w:val="24"/>
        </w:rPr>
        <w:lastRenderedPageBreak/>
        <w:t>7)</w:t>
      </w:r>
      <w:r w:rsidRPr="00600E6F">
        <w:rPr>
          <w:rFonts w:ascii="Times New Roman" w:hAnsi="Times New Roman"/>
          <w:sz w:val="24"/>
        </w:rPr>
        <w:tab/>
        <w:t>Business policy/ profit incentive from replacing equipment on burn-out and unwillingness to negate remaining life in building components requiring capital outlay.</w:t>
      </w:r>
    </w:p>
    <w:p w:rsidR="00513B47" w:rsidRPr="00600E6F" w:rsidRDefault="00513B47" w:rsidP="003408F4">
      <w:pPr>
        <w:autoSpaceDE w:val="0"/>
        <w:autoSpaceDN w:val="0"/>
        <w:adjustRightInd w:val="0"/>
        <w:spacing w:after="0" w:line="240" w:lineRule="auto"/>
        <w:ind w:left="720"/>
        <w:rPr>
          <w:rFonts w:ascii="Times New Roman" w:hAnsi="Times New Roman"/>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i/>
          <w:sz w:val="24"/>
        </w:rPr>
        <w:t>Multifamily Path</w:t>
      </w:r>
      <w:r w:rsidRPr="00600E6F">
        <w:rPr>
          <w:rFonts w:ascii="Times New Roman" w:hAnsi="Times New Roman"/>
          <w:sz w:val="24"/>
        </w:rPr>
        <w:t xml:space="preserve"> is envisioned to include a number of tactics to overcome these barriers, primarily:</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 xml:space="preserve">To improve a property owner or manager’s energy efficiency knowledge, the </w:t>
      </w:r>
      <w:r w:rsidRPr="00600E6F">
        <w:rPr>
          <w:rFonts w:ascii="Times New Roman" w:hAnsi="Times New Roman"/>
          <w:i/>
          <w:sz w:val="24"/>
        </w:rPr>
        <w:t>Multifamily Path</w:t>
      </w:r>
      <w:r w:rsidRPr="00600E6F">
        <w:rPr>
          <w:rFonts w:ascii="Times New Roman" w:hAnsi="Times New Roman"/>
          <w:sz w:val="24"/>
        </w:rPr>
        <w:t xml:space="preserve"> would seeks to leverage comprehensive investment grade building assessments to identify potential energy efficiency opportunities. (barrier 1).</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2)</w:t>
      </w:r>
      <w:r w:rsidRPr="00600E6F">
        <w:rPr>
          <w:rFonts w:ascii="Times New Roman" w:hAnsi="Times New Roman"/>
          <w:sz w:val="24"/>
        </w:rPr>
        <w:tab/>
        <w:t xml:space="preserve">To address split incentives and cost of upgrades, the </w:t>
      </w:r>
      <w:r w:rsidRPr="00600E6F">
        <w:rPr>
          <w:rFonts w:ascii="Times New Roman" w:hAnsi="Times New Roman"/>
          <w:i/>
          <w:sz w:val="24"/>
        </w:rPr>
        <w:t>Multifamily Path</w:t>
      </w:r>
      <w:r w:rsidRPr="00600E6F">
        <w:rPr>
          <w:rFonts w:ascii="Times New Roman" w:hAnsi="Times New Roman"/>
          <w:sz w:val="24"/>
        </w:rPr>
        <w:t xml:space="preserve"> would integrate with the existing Energy Savings Assistance Program (“ESAP”) and the Multifamily Energy Efficiency Rebate (“MFEER”) Program. This would provide comprehensive services to the building, including “low cost” or “no cost” tenant measures in conjunction with the WHUP </w:t>
      </w:r>
      <w:r w:rsidRPr="00600E6F">
        <w:rPr>
          <w:rFonts w:ascii="Times New Roman" w:hAnsi="Times New Roman"/>
          <w:i/>
          <w:sz w:val="24"/>
        </w:rPr>
        <w:t>Multifamily Path</w:t>
      </w:r>
      <w:r w:rsidRPr="00600E6F">
        <w:rPr>
          <w:rFonts w:ascii="Times New Roman" w:hAnsi="Times New Roman"/>
          <w:sz w:val="24"/>
        </w:rPr>
        <w:t xml:space="preserve"> whole building incentives in order to maximize energy savings for the up</w:t>
      </w:r>
      <w:r w:rsidRPr="00600E6F">
        <w:rPr>
          <w:rFonts w:ascii="Cambria Math" w:hAnsi="Cambria Math"/>
          <w:sz w:val="24"/>
        </w:rPr>
        <w:t>‐</w:t>
      </w:r>
      <w:r w:rsidRPr="00600E6F">
        <w:rPr>
          <w:rFonts w:ascii="Times New Roman" w:hAnsi="Times New Roman"/>
          <w:sz w:val="24"/>
        </w:rPr>
        <w:t>front investment. (barrier 2).</w:t>
      </w:r>
      <w:r w:rsidRPr="00600E6F">
        <w:rPr>
          <w:rFonts w:ascii="Times New Roman" w:hAnsi="Times New Roman"/>
          <w:sz w:val="24"/>
        </w:rPr>
        <w:br/>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3)</w:t>
      </w:r>
      <w:r w:rsidRPr="00600E6F">
        <w:rPr>
          <w:rFonts w:ascii="Times New Roman" w:hAnsi="Times New Roman"/>
          <w:sz w:val="24"/>
        </w:rPr>
        <w:tab/>
        <w:t>Incentives would assist property owners or managers with overcoming a wide array of market and financial barriers which may otherwise prevent energy efficiency upgrades (barrier 1 and 5).</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 xml:space="preserve">Create a single point of contact that would assist the property owner or manager navigate through the incentive and retrofitting process. This approach would provide support in understanding the various program rules and assistance in determining eligibility. The property owner or manager would be guided through an easy and streamlined preliminary assessment to establish feasibility and estimate project cost for the </w:t>
      </w:r>
      <w:r w:rsidRPr="00600E6F">
        <w:rPr>
          <w:rFonts w:ascii="Times New Roman" w:hAnsi="Times New Roman"/>
          <w:i/>
          <w:sz w:val="24"/>
        </w:rPr>
        <w:t>Multifamily Path</w:t>
      </w:r>
      <w:r w:rsidRPr="00600E6F">
        <w:rPr>
          <w:rFonts w:ascii="Times New Roman" w:hAnsi="Times New Roman"/>
          <w:sz w:val="24"/>
        </w:rPr>
        <w:t>, with an eye toward leveraging all eligible programs. (barrier 4).</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5)  </w:t>
      </w:r>
      <w:r w:rsidRPr="00600E6F">
        <w:rPr>
          <w:rFonts w:ascii="Times New Roman" w:hAnsi="Times New Roman"/>
          <w:sz w:val="24"/>
        </w:rPr>
        <w:tab/>
        <w:t xml:space="preserve">Target buildings planning on or undergoing renovation projects to limit customer time burden and lost rental income.  (barrier 4 and 5). </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6)</w:t>
      </w:r>
      <w:r w:rsidRPr="00600E6F">
        <w:rPr>
          <w:rFonts w:ascii="Times New Roman" w:hAnsi="Times New Roman"/>
          <w:sz w:val="24"/>
        </w:rPr>
        <w:tab/>
        <w:t>Multifamily sector is comprised of a wide diversity of properties which can be segmented by: 1.) rental rate (low – medium – or high; and/or 2.) size of the building and also size of the company that owns or manages the building. Defining the unique concerns and needs of building owners and managers by these variables of tenant socio-economic status and ownership/management structure will allow much more effective messaging and marketing communications. (barrier 1, 2, 3, 4, 7)</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 xml:space="preserve">7) </w:t>
      </w:r>
      <w:r w:rsidRPr="00600E6F">
        <w:rPr>
          <w:rFonts w:ascii="Times New Roman" w:hAnsi="Times New Roman"/>
          <w:sz w:val="24"/>
        </w:rPr>
        <w:tab/>
        <w:t>Statewide EE energy efficiency financing (SW Fin) which could be focused on the tenant or the common property energy agendas. This program will provide access to capital to fund investments in energy efficiency upgrades for buildings at an attractive interest rate. (barrier 2, 3, 7).</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Other considerations to meet all income strata and address split incentives for property owners and tenants may include a direct install strategy, as well as prescriptive rebates through the existing MFEER Program. While programs will be coordinated and integrated, their respective policies, and procedures will be followed in the delivery of services. Efforts at operational efficiencies would be made to streamline eligibility, income verification, and installation of measures.</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lastRenderedPageBreak/>
        <w:t>Despite the noted barriers, the multifamily sector presents a significant opportunity for whole building energy efficiency programs with a deep energy reduction approach. A whole building offering has the potential to achieve deep energy savings because:</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Building owners can leverage incentives to address common areas and systems as well as individual unit upgrades to make more cost effective improvements.</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2)</w:t>
      </w:r>
      <w:r w:rsidRPr="00600E6F">
        <w:rPr>
          <w:rFonts w:ascii="Times New Roman" w:hAnsi="Times New Roman"/>
          <w:sz w:val="24"/>
        </w:rPr>
        <w:tab/>
        <w:t>Major rehabilitation projects are common in the multifamily sector. It is theoretically more cost effective to include energy efficiency upgrades at the time of these renovation projects. These projects typically have well</w:t>
      </w:r>
      <w:r w:rsidRPr="00600E6F">
        <w:rPr>
          <w:rFonts w:ascii="Cambria Math" w:hAnsi="Cambria Math"/>
          <w:sz w:val="24"/>
        </w:rPr>
        <w:t>‐</w:t>
      </w:r>
      <w:r w:rsidRPr="00600E6F">
        <w:rPr>
          <w:rFonts w:ascii="Times New Roman" w:hAnsi="Times New Roman"/>
          <w:sz w:val="24"/>
        </w:rPr>
        <w:t>financed construction budgets and broad scopes that could include energy efficiency measures.</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3)</w:t>
      </w:r>
      <w:r w:rsidRPr="00600E6F">
        <w:rPr>
          <w:rFonts w:ascii="Times New Roman" w:hAnsi="Times New Roman"/>
          <w:sz w:val="24"/>
        </w:rPr>
        <w:tab/>
        <w:t>Multifamily properties tend to be operated and maintained by professional building staff. Providing resources to building staff would theoretically would increases the odds that the building will be operated efficiently after energy upgrades are installed, perpetuating savings benefits.</w:t>
      </w:r>
    </w:p>
    <w:p w:rsidR="00513B47" w:rsidRPr="00600E6F" w:rsidRDefault="00513B47" w:rsidP="003408F4">
      <w:pPr>
        <w:autoSpaceDE w:val="0"/>
        <w:autoSpaceDN w:val="0"/>
        <w:adjustRightInd w:val="0"/>
        <w:spacing w:after="0" w:line="240" w:lineRule="auto"/>
        <w:ind w:left="144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 xml:space="preserve">Within the tenant units, the energy efficiency upgrades will often be duplicated – allowing for efficiency in bulk purchases of supplies and equipment, as well as hiring of specialized workers with less non-productive set-up/break-down and travel time. </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Whole Home Upgrade Program (WHUP) is a Market Transformation orientated program and is a continuing program which began in the 2010-2012 residential energy efficiency portfolio of the four California Investor Owned Utilities (IOUs) – Pacific Gas &amp; Electric Company (PG&amp;E), Southern California Edison (SCE), San Diego Gas &amp; Electric Company (SDG&amp;E) and Southern California Gas Company (SoCalGas). </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As a recognized market transformation program only halfway through its second full year of statewide rollout, the WHUP is expected to be a major contributor to achieving the goals of the California Long Term Energy Efficiency Strategic Plan (</w:t>
      </w:r>
      <w:r w:rsidRPr="00600E6F">
        <w:rPr>
          <w:rFonts w:ascii="Times New Roman" w:hAnsi="Times New Roman"/>
          <w:i/>
          <w:sz w:val="24"/>
        </w:rPr>
        <w:t>Strategic Plan</w:t>
      </w:r>
      <w:r w:rsidRPr="00600E6F">
        <w:rPr>
          <w:rFonts w:ascii="Times New Roman" w:hAnsi="Times New Roman"/>
          <w:sz w:val="24"/>
        </w:rPr>
        <w:t>)  as it relates to existing residential homes, and it faces significant hurdles in customer and contractor awareness, industry and workforce development, and traditional cost effective metrics towards measuring effectiveness and success.</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This Program Implementation Plan (PIP) is for the statewide WHUP   that will be offered consistently across the IOU service territories. The PIP is intended to align with the goals established in the </w:t>
      </w:r>
      <w:r w:rsidRPr="00600E6F">
        <w:rPr>
          <w:rFonts w:ascii="Times New Roman" w:hAnsi="Times New Roman"/>
          <w:i/>
          <w:sz w:val="24"/>
        </w:rPr>
        <w:t>Strategic Plan</w:t>
      </w:r>
      <w:r w:rsidRPr="00600E6F">
        <w:rPr>
          <w:rFonts w:ascii="Times New Roman" w:hAnsi="Times New Roman"/>
          <w:sz w:val="24"/>
        </w:rPr>
        <w:t xml:space="preserve"> and is a culmination of ongoing statewide efforts to design WHUP.</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WHUP is designed to build customer and contractor</w:t>
      </w:r>
      <w:r w:rsidRPr="00600E6F">
        <w:rPr>
          <w:rStyle w:val="FootnoteReference"/>
          <w:rFonts w:ascii="Times New Roman" w:hAnsi="Times New Roman"/>
          <w:sz w:val="24"/>
        </w:rPr>
        <w:footnoteReference w:id="35"/>
      </w:r>
      <w:r w:rsidRPr="00600E6F">
        <w:rPr>
          <w:rFonts w:ascii="Times New Roman" w:hAnsi="Times New Roman"/>
          <w:sz w:val="24"/>
        </w:rPr>
        <w:t xml:space="preserve"> awareness of the house-as-a-system approach to residential retrofits and the many corresponding benefits of improving the energy savings potential and comfort of their dwelling. It promotes the idea that energy efficiency measures are most effective when taking into account interactive effects of measures.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WHUP moves customers from a prescriptive, widget or single-measure based approach to energy efficiency to one of deeper, comprehensive energy retrofits that respect the energy efficiency loading order</w:t>
      </w:r>
      <w:r w:rsidRPr="00600E6F">
        <w:rPr>
          <w:rStyle w:val="FootnoteReference"/>
          <w:rFonts w:ascii="Times New Roman" w:hAnsi="Times New Roman"/>
          <w:sz w:val="24"/>
        </w:rPr>
        <w:t xml:space="preserve"> </w:t>
      </w:r>
      <w:r w:rsidRPr="00600E6F">
        <w:rPr>
          <w:rStyle w:val="FootnoteReference"/>
          <w:rFonts w:ascii="Times New Roman" w:hAnsi="Times New Roman"/>
          <w:sz w:val="24"/>
        </w:rPr>
        <w:footnoteReference w:id="36"/>
      </w:r>
      <w:r w:rsidRPr="00600E6F">
        <w:rPr>
          <w:rFonts w:ascii="Times New Roman" w:hAnsi="Times New Roman"/>
          <w:sz w:val="24"/>
        </w:rPr>
        <w:t xml:space="preserve">, and which takes the approach that a house is a series of interdependent systems that must be considered holistically.  </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In addition, this  approach optimizes building shell (thermal boundary) provides increased comfort and indoor air quality while enabling smaller and more affordable space conditioning equipment and reduced energy use associated with space heating and cooling. The thermal boundary consists of two layers or components – air barrier and insulation – which should both be continuous as well as contiguous (in contact with each other) for optimum performance. Because of the interaction between the thermal boundary and space conditioning loads, heating or cooling system upgrades are ideally not to be performed until the building shell is optimized. Building shell and duct air sealing will be addressed in conjunction with combustion appliance safety and indoor air quality tests. Base load reduction measures involving major electrical appliances, lighting, plug loads, and demand response can be performed at any time without compromising the loading order.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Customer outreach and education efforts for the WHUP will be coordinated with other IOU Demand Side Management (DSM) program offerings (e.g., ), Energy Advisor, Plug Load and Appliance (PLA), Comprehensive HVAC, SmartAC and other Residential Demand Response programs, Energy Savings Assistance Program, California Solar Initiative (CSI)) to leverage multiple customer touch points. </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For single family residences, the whole house approach of WHUP promotes two paths, a prescriptive based </w:t>
      </w:r>
      <w:r w:rsidRPr="00600E6F">
        <w:rPr>
          <w:rFonts w:ascii="Times New Roman" w:hAnsi="Times New Roman"/>
          <w:i/>
          <w:sz w:val="24"/>
        </w:rPr>
        <w:t>Basic Path</w:t>
      </w:r>
      <w:r w:rsidRPr="00600E6F">
        <w:rPr>
          <w:rFonts w:ascii="Times New Roman" w:hAnsi="Times New Roman"/>
          <w:sz w:val="24"/>
        </w:rPr>
        <w:t xml:space="preserve"> and a comprehensive, measured </w:t>
      </w:r>
      <w:r w:rsidRPr="00600E6F">
        <w:rPr>
          <w:rFonts w:ascii="Times New Roman" w:hAnsi="Times New Roman"/>
          <w:i/>
          <w:sz w:val="24"/>
        </w:rPr>
        <w:t>Advanced Path</w:t>
      </w:r>
      <w:r w:rsidRPr="00600E6F">
        <w:rPr>
          <w:rFonts w:ascii="Times New Roman" w:hAnsi="Times New Roman"/>
          <w:sz w:val="24"/>
        </w:rPr>
        <w:t>. These complimentary paths will be presented to customers</w:t>
      </w:r>
      <w:r w:rsidRPr="00600E6F">
        <w:rPr>
          <w:rStyle w:val="FootnoteReference"/>
          <w:rFonts w:ascii="Times New Roman" w:hAnsi="Times New Roman"/>
          <w:sz w:val="24"/>
        </w:rPr>
        <w:footnoteReference w:id="37"/>
      </w:r>
      <w:r w:rsidRPr="00600E6F">
        <w:rPr>
          <w:rFonts w:ascii="Times New Roman" w:hAnsi="Times New Roman"/>
          <w:sz w:val="24"/>
        </w:rPr>
        <w:t xml:space="preserve"> as one comprehensive offering.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For multifamily buildings, building owners and managers will be able to participate in the WHUP </w:t>
      </w:r>
      <w:r w:rsidRPr="00600E6F">
        <w:rPr>
          <w:rFonts w:ascii="Times New Roman" w:hAnsi="Times New Roman"/>
          <w:i/>
          <w:sz w:val="24"/>
        </w:rPr>
        <w:t>Multifamily Path</w:t>
      </w:r>
      <w:r w:rsidRPr="00600E6F">
        <w:rPr>
          <w:rFonts w:ascii="Times New Roman" w:hAnsi="Times New Roman"/>
          <w:sz w:val="24"/>
        </w:rPr>
        <w:t xml:space="preserve">.  WHUP will offer a consistent program model that can be contractor or rater driven and/or adopted by local governments for roll-out in their communities.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In sum, these paths will provide an ideal platform to utilize the concept of continuous energy improvement for residential customers; tracking and encouraging a logical sequence of energy improvements made by customers over time, creating an ongoing, actionable dialogue with each customer regarding their energy use.</w:t>
      </w:r>
    </w:p>
    <w:p w:rsidR="003931C8" w:rsidRPr="00D737C2" w:rsidRDefault="003931C8" w:rsidP="003408F4">
      <w:pPr>
        <w:spacing w:after="0" w:line="240" w:lineRule="auto"/>
        <w:ind w:left="1080"/>
        <w:rPr>
          <w:rFonts w:ascii="Times New Roman" w:hAnsi="Times New Roman"/>
          <w:sz w:val="24"/>
          <w:szCs w:val="24"/>
        </w:rPr>
      </w:pPr>
    </w:p>
    <w:p w:rsidR="00513B47" w:rsidRPr="00600E6F" w:rsidRDefault="00513B47" w:rsidP="003408F4">
      <w:pPr>
        <w:spacing w:after="0" w:line="240" w:lineRule="auto"/>
        <w:ind w:left="1080"/>
        <w:rPr>
          <w:rFonts w:ascii="Times New Roman" w:hAnsi="Times New Roman"/>
          <w:b/>
          <w:sz w:val="24"/>
        </w:rPr>
      </w:pPr>
      <w:r w:rsidRPr="00600E6F">
        <w:rPr>
          <w:rFonts w:ascii="Times New Roman" w:hAnsi="Times New Roman"/>
          <w:b/>
          <w:sz w:val="24"/>
        </w:rPr>
        <w:t xml:space="preserve">WHUP </w:t>
      </w:r>
      <w:r w:rsidRPr="00600E6F">
        <w:rPr>
          <w:rFonts w:ascii="Times New Roman" w:hAnsi="Times New Roman"/>
          <w:b/>
          <w:i/>
          <w:sz w:val="24"/>
        </w:rPr>
        <w:t>Advanced Path</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WHUP </w:t>
      </w:r>
      <w:r w:rsidRPr="00600E6F">
        <w:rPr>
          <w:rFonts w:ascii="Times New Roman" w:hAnsi="Times New Roman"/>
          <w:i/>
          <w:sz w:val="24"/>
        </w:rPr>
        <w:t>Advanced Path</w:t>
      </w:r>
      <w:r w:rsidRPr="00600E6F">
        <w:rPr>
          <w:rFonts w:ascii="Times New Roman" w:hAnsi="Times New Roman"/>
          <w:sz w:val="24"/>
        </w:rPr>
        <w:t xml:space="preserve"> offers customers a customized path to comprehensive whole house energy efficiency that drives the customer to deep retrofits.  </w:t>
      </w:r>
      <w:r w:rsidRPr="00600E6F">
        <w:rPr>
          <w:rFonts w:ascii="Times New Roman" w:hAnsi="Times New Roman"/>
          <w:i/>
          <w:sz w:val="24"/>
        </w:rPr>
        <w:t>Advanced Path</w:t>
      </w:r>
      <w:r w:rsidRPr="00600E6F">
        <w:rPr>
          <w:rFonts w:ascii="Times New Roman" w:hAnsi="Times New Roman"/>
          <w:sz w:val="24"/>
        </w:rPr>
        <w:t xml:space="preserve"> </w:t>
      </w:r>
      <w:r w:rsidRPr="00600E6F">
        <w:rPr>
          <w:rFonts w:ascii="Times New Roman" w:hAnsi="Times New Roman"/>
          <w:sz w:val="24"/>
        </w:rPr>
        <w:lastRenderedPageBreak/>
        <w:t xml:space="preserve">solutions will require Participating Contractors to obtain higher levels of expertise than those who perform the </w:t>
      </w:r>
      <w:r w:rsidRPr="00600E6F">
        <w:rPr>
          <w:rFonts w:ascii="Times New Roman" w:hAnsi="Times New Roman"/>
          <w:i/>
          <w:sz w:val="24"/>
        </w:rPr>
        <w:t>Basic Path</w:t>
      </w:r>
      <w:r w:rsidRPr="00600E6F">
        <w:rPr>
          <w:rFonts w:ascii="Times New Roman" w:hAnsi="Times New Roman"/>
          <w:sz w:val="24"/>
        </w:rPr>
        <w:t xml:space="preserve"> installations.  Customers can also participate in </w:t>
      </w:r>
      <w:r w:rsidRPr="00600E6F">
        <w:rPr>
          <w:rFonts w:ascii="Times New Roman" w:hAnsi="Times New Roman"/>
          <w:i/>
          <w:sz w:val="24"/>
        </w:rPr>
        <w:t>Advanced Path</w:t>
      </w:r>
      <w:r w:rsidRPr="00600E6F">
        <w:rPr>
          <w:rFonts w:ascii="Times New Roman" w:hAnsi="Times New Roman"/>
          <w:sz w:val="24"/>
        </w:rPr>
        <w:t xml:space="preserve"> by using a Participating Rater. The </w:t>
      </w:r>
      <w:r w:rsidRPr="00600E6F">
        <w:rPr>
          <w:rFonts w:ascii="Times New Roman" w:hAnsi="Times New Roman"/>
          <w:i/>
          <w:sz w:val="24"/>
        </w:rPr>
        <w:t>Advanced Path</w:t>
      </w:r>
      <w:r w:rsidRPr="00600E6F">
        <w:rPr>
          <w:rFonts w:ascii="Times New Roman" w:hAnsi="Times New Roman"/>
          <w:sz w:val="24"/>
        </w:rPr>
        <w:t xml:space="preserve"> requires diagnostic “test-in” and “test-out” whole house assessments. The “test-in” assessments will generate a comprehensive work scope and the “test-out” assessments will be used to document that specified improvements have been properly sized and installed. The </w:t>
      </w:r>
      <w:r w:rsidRPr="00600E6F">
        <w:rPr>
          <w:rFonts w:ascii="Times New Roman" w:hAnsi="Times New Roman"/>
          <w:i/>
          <w:sz w:val="24"/>
        </w:rPr>
        <w:t>Advanced Path</w:t>
      </w:r>
      <w:r w:rsidRPr="00600E6F">
        <w:rPr>
          <w:rFonts w:ascii="Times New Roman" w:hAnsi="Times New Roman"/>
          <w:sz w:val="24"/>
        </w:rPr>
        <w:t xml:space="preserve"> will build off of the pre-set measures of the </w:t>
      </w:r>
      <w:r w:rsidRPr="00600E6F">
        <w:rPr>
          <w:rFonts w:ascii="Times New Roman" w:hAnsi="Times New Roman"/>
          <w:i/>
          <w:sz w:val="24"/>
        </w:rPr>
        <w:t>Basic Path</w:t>
      </w:r>
      <w:r w:rsidRPr="00600E6F">
        <w:rPr>
          <w:rFonts w:ascii="Times New Roman" w:hAnsi="Times New Roman"/>
          <w:sz w:val="24"/>
        </w:rPr>
        <w:t xml:space="preserve"> and:</w:t>
      </w:r>
    </w:p>
    <w:p w:rsidR="00513B47" w:rsidRPr="00600E6F" w:rsidRDefault="00513B47" w:rsidP="003408F4">
      <w:pPr>
        <w:spacing w:after="0" w:line="240" w:lineRule="auto"/>
        <w:ind w:left="1080"/>
        <w:rPr>
          <w:rFonts w:ascii="Times New Roman" w:hAnsi="Times New Roman"/>
          <w:b/>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i/>
          <w:sz w:val="24"/>
        </w:rPr>
        <w:t>Advanced Path</w:t>
      </w:r>
      <w:r w:rsidRPr="00600E6F">
        <w:rPr>
          <w:rFonts w:ascii="Times New Roman" w:hAnsi="Times New Roman"/>
          <w:sz w:val="24"/>
        </w:rPr>
        <w:t xml:space="preserve"> delivers comprehensive energy efficiency improvement packages tailored for both the home resale and home remodeling markets.  The </w:t>
      </w:r>
      <w:r w:rsidRPr="00600E6F">
        <w:rPr>
          <w:rFonts w:ascii="Times New Roman" w:hAnsi="Times New Roman"/>
          <w:i/>
          <w:sz w:val="24"/>
        </w:rPr>
        <w:t>Advanced Path</w:t>
      </w:r>
      <w:r w:rsidRPr="00600E6F">
        <w:rPr>
          <w:rFonts w:ascii="Times New Roman" w:hAnsi="Times New Roman"/>
          <w:sz w:val="24"/>
        </w:rPr>
        <w:t xml:space="preserve"> solicits, screens, and trains qualified residential repair and renovation contractors and HERS II Raters, to assemble capable contracting teams and perform whole-house diagnostics, propose a comprehensive energy efficiency improvement package, and install the improvements.  The program also includes marketing activities to help educate customers on program services, and in some cases may provide additional customer leads to trained and experienced contractors.  Incentives and resources for available financing options will be provided to help offset the initial homeowners cost for the energy efficiency improvements.    </w:t>
      </w:r>
    </w:p>
    <w:p w:rsidR="00513B47" w:rsidRPr="00600E6F" w:rsidRDefault="00513B47" w:rsidP="003408F4">
      <w:pPr>
        <w:spacing w:after="0" w:line="240" w:lineRule="auto"/>
        <w:ind w:left="1080"/>
        <w:rPr>
          <w:rFonts w:ascii="Times New Roman" w:hAnsi="Times New Roman"/>
          <w:b/>
          <w:sz w:val="24"/>
        </w:rPr>
      </w:pPr>
    </w:p>
    <w:p w:rsidR="00513B47" w:rsidRPr="00600E6F" w:rsidRDefault="00513B47" w:rsidP="003408F4">
      <w:pPr>
        <w:spacing w:after="0" w:line="240" w:lineRule="auto"/>
        <w:ind w:left="1080"/>
        <w:rPr>
          <w:rFonts w:ascii="Times New Roman" w:hAnsi="Times New Roman"/>
          <w:b/>
          <w:i/>
          <w:sz w:val="24"/>
        </w:rPr>
      </w:pPr>
      <w:r w:rsidRPr="00600E6F">
        <w:rPr>
          <w:rFonts w:ascii="Times New Roman" w:hAnsi="Times New Roman"/>
          <w:b/>
          <w:sz w:val="24"/>
        </w:rPr>
        <w:t xml:space="preserve">WHUP </w:t>
      </w:r>
      <w:r w:rsidRPr="00600E6F">
        <w:rPr>
          <w:rFonts w:ascii="Times New Roman" w:hAnsi="Times New Roman"/>
          <w:b/>
          <w:i/>
          <w:sz w:val="24"/>
        </w:rPr>
        <w:t>Basic Path</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During the 2013-2014 transition cycle, the IOUs will convene interested stakeholders at the state and/or regional level to propose one or more statewide and/or regional pilot programs to explore potential changes to the </w:t>
      </w:r>
      <w:r w:rsidRPr="00600E6F">
        <w:rPr>
          <w:rFonts w:ascii="Times New Roman" w:hAnsi="Times New Roman"/>
          <w:i/>
          <w:sz w:val="24"/>
        </w:rPr>
        <w:t>Basic Path</w:t>
      </w:r>
      <w:r w:rsidRPr="00600E6F">
        <w:rPr>
          <w:rFonts w:ascii="Times New Roman" w:hAnsi="Times New Roman"/>
          <w:sz w:val="24"/>
        </w:rPr>
        <w:t xml:space="preserve"> in order to make it more appealing to customers, particularly moderate income households.</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WHUP </w:t>
      </w:r>
      <w:r w:rsidRPr="00600E6F">
        <w:rPr>
          <w:rFonts w:ascii="Times New Roman" w:hAnsi="Times New Roman"/>
          <w:i/>
          <w:sz w:val="24"/>
        </w:rPr>
        <w:t>Basic Path</w:t>
      </w:r>
      <w:r w:rsidRPr="00600E6F">
        <w:rPr>
          <w:rFonts w:ascii="Times New Roman" w:hAnsi="Times New Roman"/>
          <w:sz w:val="24"/>
        </w:rPr>
        <w:t xml:space="preserve"> will offer customers and contractors an easy entry point on the path to home performance with a defined package of measures.  Incentives will be available for customers to offset a portion of the cost of specific comprehensive retrofits.  The </w:t>
      </w:r>
      <w:r w:rsidRPr="00600E6F">
        <w:rPr>
          <w:rFonts w:ascii="Times New Roman" w:hAnsi="Times New Roman"/>
          <w:i/>
          <w:sz w:val="24"/>
        </w:rPr>
        <w:t>Basic Path</w:t>
      </w:r>
      <w:r w:rsidRPr="00600E6F">
        <w:rPr>
          <w:rFonts w:ascii="Times New Roman" w:hAnsi="Times New Roman"/>
          <w:sz w:val="24"/>
        </w:rPr>
        <w:t xml:space="preserve"> will allow customers to reduce their energy usage while increasing the energy performance of their existing homes and minimizing lost opportunities for future comprehensive retrofit options.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i/>
          <w:sz w:val="24"/>
        </w:rPr>
        <w:t>Basic Path</w:t>
      </w:r>
      <w:r w:rsidRPr="00600E6F">
        <w:rPr>
          <w:rFonts w:ascii="Times New Roman" w:hAnsi="Times New Roman"/>
          <w:sz w:val="24"/>
        </w:rPr>
        <w:t xml:space="preserve"> will also educate contractors and customers on the benefits of implementing comprehensive whole house retrofits on existing buildings that will provide systematic reductions in energy use. The </w:t>
      </w:r>
      <w:r w:rsidRPr="00600E6F">
        <w:rPr>
          <w:rFonts w:ascii="Times New Roman" w:hAnsi="Times New Roman"/>
          <w:i/>
          <w:sz w:val="24"/>
        </w:rPr>
        <w:t>Basic Path</w:t>
      </w:r>
      <w:r w:rsidRPr="00600E6F">
        <w:rPr>
          <w:rFonts w:ascii="Times New Roman" w:hAnsi="Times New Roman"/>
          <w:sz w:val="24"/>
        </w:rPr>
        <w:t xml:space="preserve"> will help to:</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Utilize no-cost (to customer) Home Energy Efficiency Surveys (Energy Advisor) as an entry point to identify opportunities for efficiency improvements</w:t>
      </w:r>
      <w:r w:rsidRPr="00600E6F">
        <w:rPr>
          <w:rStyle w:val="FootnoteReference"/>
          <w:rFonts w:ascii="Times New Roman" w:hAnsi="Times New Roman"/>
          <w:sz w:val="24"/>
        </w:rPr>
        <w:footnoteReference w:id="38"/>
      </w:r>
      <w:r w:rsidRPr="00600E6F">
        <w:rPr>
          <w:rFonts w:ascii="Times New Roman" w:hAnsi="Times New Roman"/>
          <w:sz w:val="24"/>
        </w:rPr>
        <w:t>;</w:t>
      </w:r>
    </w:p>
    <w:p w:rsidR="00513B47" w:rsidRPr="00600E6F" w:rsidRDefault="00513B47" w:rsidP="009B5C6F">
      <w:pPr>
        <w:spacing w:after="0" w:line="240" w:lineRule="auto"/>
        <w:ind w:left="1440"/>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Offer targeted marketing campaigns to engage participants that receive stand-alone EE rebates for completing qualified home improvement measures;</w:t>
      </w:r>
    </w:p>
    <w:p w:rsidR="00513B47" w:rsidRPr="00600E6F" w:rsidRDefault="00513B47" w:rsidP="009B5C6F">
      <w:pPr>
        <w:spacing w:after="0" w:line="240" w:lineRule="auto"/>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Promote completion of retrofits based on preferred building science loading order;</w:t>
      </w:r>
    </w:p>
    <w:p w:rsidR="00513B47" w:rsidRPr="00600E6F" w:rsidRDefault="00513B47" w:rsidP="009B5C6F">
      <w:pPr>
        <w:spacing w:after="0" w:line="240" w:lineRule="auto"/>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Offer incentives to encourage progression along a preferred approach towards comprehensive retrofits;</w:t>
      </w:r>
    </w:p>
    <w:p w:rsidR="00513B47" w:rsidRPr="00600E6F" w:rsidRDefault="00513B47" w:rsidP="009B5C6F">
      <w:pPr>
        <w:spacing w:after="0" w:line="240" w:lineRule="auto"/>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Continuously engage customers over time as they progress toward a home performance approach;</w:t>
      </w:r>
    </w:p>
    <w:p w:rsidR="00513B47" w:rsidRPr="00600E6F" w:rsidRDefault="00513B47" w:rsidP="009B5C6F">
      <w:pPr>
        <w:spacing w:after="0" w:line="240" w:lineRule="auto"/>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 xml:space="preserve">Leverage available opportunities to move customers to the </w:t>
      </w:r>
      <w:r w:rsidRPr="00600E6F">
        <w:rPr>
          <w:rFonts w:ascii="Times New Roman" w:hAnsi="Times New Roman"/>
          <w:i/>
          <w:sz w:val="24"/>
        </w:rPr>
        <w:t>Advanced Path</w:t>
      </w:r>
      <w:r w:rsidRPr="00600E6F">
        <w:rPr>
          <w:rFonts w:ascii="Times New Roman" w:hAnsi="Times New Roman"/>
          <w:sz w:val="24"/>
        </w:rPr>
        <w:t xml:space="preserve"> by informing them about available local or third-party financing options and other complementary revitalization efforts that may be available within a particular jurisdiction;</w:t>
      </w:r>
    </w:p>
    <w:p w:rsidR="00513B47" w:rsidRPr="00600E6F" w:rsidRDefault="00513B47" w:rsidP="009B5C6F">
      <w:pPr>
        <w:spacing w:after="0" w:line="240" w:lineRule="auto"/>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Offer a holistic path towards home performance by aggregating key elements of a dwelling into its core elements: building envelope and fixed lighting; heating, cooling and hot water, and appliances;</w:t>
      </w:r>
    </w:p>
    <w:p w:rsidR="00513B47" w:rsidRPr="00600E6F" w:rsidRDefault="00513B47" w:rsidP="009B5C6F">
      <w:pPr>
        <w:spacing w:after="0" w:line="240" w:lineRule="auto"/>
        <w:rPr>
          <w:rFonts w:ascii="Times New Roman" w:hAnsi="Times New Roman"/>
          <w:sz w:val="24"/>
        </w:rPr>
      </w:pPr>
    </w:p>
    <w:p w:rsidR="00513B47" w:rsidRPr="00600E6F" w:rsidRDefault="00513B47" w:rsidP="00C31CC0">
      <w:pPr>
        <w:pStyle w:val="ListParagraph"/>
        <w:numPr>
          <w:ilvl w:val="1"/>
          <w:numId w:val="151"/>
        </w:numPr>
        <w:spacing w:after="0" w:line="240" w:lineRule="auto"/>
        <w:rPr>
          <w:rFonts w:ascii="Times New Roman" w:hAnsi="Times New Roman"/>
          <w:sz w:val="24"/>
        </w:rPr>
      </w:pPr>
      <w:r w:rsidRPr="00600E6F">
        <w:rPr>
          <w:rFonts w:ascii="Times New Roman" w:hAnsi="Times New Roman"/>
          <w:sz w:val="24"/>
        </w:rPr>
        <w:t>Coordinate with communities, local governments, workforce education &amp; training, industry organizations and allied third-parties for outreach on local retrofit and contractor training opportunities available.</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WHUP </w:t>
      </w:r>
      <w:r w:rsidRPr="00600E6F">
        <w:rPr>
          <w:rFonts w:ascii="Times New Roman" w:hAnsi="Times New Roman"/>
          <w:i/>
          <w:sz w:val="24"/>
        </w:rPr>
        <w:t>Basic Path</w:t>
      </w:r>
      <w:r w:rsidRPr="00600E6F">
        <w:rPr>
          <w:rFonts w:ascii="Times New Roman" w:hAnsi="Times New Roman"/>
          <w:sz w:val="24"/>
        </w:rPr>
        <w:t xml:space="preserve"> offers a comprehensive approach to delivering prescriptive pre-set retrofit solutions to Californians by recognizing the essential interplay and relationships between groups necessary in the delivery of a successful program.</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b/>
          <w:i/>
          <w:sz w:val="24"/>
        </w:rPr>
      </w:pPr>
      <w:r w:rsidRPr="00600E6F">
        <w:rPr>
          <w:rFonts w:ascii="Times New Roman" w:hAnsi="Times New Roman"/>
          <w:b/>
          <w:sz w:val="24"/>
        </w:rPr>
        <w:t xml:space="preserve">WHUP </w:t>
      </w:r>
      <w:r w:rsidRPr="00600E6F">
        <w:rPr>
          <w:rFonts w:ascii="Times New Roman" w:hAnsi="Times New Roman"/>
          <w:b/>
          <w:i/>
          <w:sz w:val="24"/>
        </w:rPr>
        <w:t>Multifamily Path</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The vision of a WHUP </w:t>
      </w:r>
      <w:r w:rsidRPr="00600E6F">
        <w:rPr>
          <w:rFonts w:ascii="Times New Roman" w:hAnsi="Times New Roman"/>
          <w:i/>
          <w:sz w:val="24"/>
        </w:rPr>
        <w:t>Multifamily Path</w:t>
      </w:r>
      <w:r w:rsidRPr="00600E6F">
        <w:rPr>
          <w:rFonts w:ascii="Times New Roman" w:hAnsi="Times New Roman"/>
          <w:sz w:val="24"/>
        </w:rPr>
        <w:t xml:space="preserve"> is to deliver comprehensive energy efficiency upgrades tailored to the needs of existing multifamily dwellings and their owners, tenants and management companies</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i/>
          <w:sz w:val="24"/>
        </w:rPr>
        <w:t>Multifamily Path</w:t>
      </w:r>
      <w:r w:rsidRPr="00600E6F">
        <w:rPr>
          <w:rFonts w:ascii="Times New Roman" w:hAnsi="Times New Roman"/>
          <w:sz w:val="24"/>
        </w:rPr>
        <w:t xml:space="preserve"> will is envisioned to specifically target the multifamily housing (MF) retrofit market and would promote long</w:t>
      </w:r>
      <w:r w:rsidRPr="00600E6F">
        <w:rPr>
          <w:rFonts w:ascii="Cambria Math" w:hAnsi="Cambria Math"/>
          <w:sz w:val="24"/>
        </w:rPr>
        <w:t>‐</w:t>
      </w:r>
      <w:r w:rsidRPr="00600E6F">
        <w:rPr>
          <w:rFonts w:ascii="Times New Roman" w:hAnsi="Times New Roman"/>
          <w:sz w:val="24"/>
        </w:rPr>
        <w:t>term energy benefits through comprehensive whole building energy efficiency retrofit measures —including building shell upgrades, high</w:t>
      </w:r>
      <w:r w:rsidRPr="00600E6F">
        <w:rPr>
          <w:rFonts w:ascii="Cambria Math" w:hAnsi="Cambria Math"/>
          <w:sz w:val="24"/>
        </w:rPr>
        <w:t>‐</w:t>
      </w:r>
      <w:r w:rsidRPr="00600E6F">
        <w:rPr>
          <w:rFonts w:ascii="Times New Roman" w:hAnsi="Times New Roman"/>
          <w:sz w:val="24"/>
        </w:rPr>
        <w:t>efficiency HVAC units, central heating and cooling systems, central domestic hot water heating and other deep energy reduction opportunities. These energy efficiency measures would be identified through an investment grade assessment.</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This performance</w:t>
      </w:r>
      <w:r w:rsidRPr="00600E6F">
        <w:rPr>
          <w:rFonts w:ascii="Cambria Math" w:hAnsi="Cambria Math"/>
          <w:sz w:val="24"/>
        </w:rPr>
        <w:t>‐</w:t>
      </w:r>
      <w:r w:rsidRPr="00600E6F">
        <w:rPr>
          <w:rFonts w:ascii="Times New Roman" w:hAnsi="Times New Roman"/>
          <w:sz w:val="24"/>
        </w:rPr>
        <w:t>based approach would assist property owners and managers with making informed decisions, identify measures for energy savings, and to maximize energy reductions for each property owner, manager, and tenant, as applicable.</w:t>
      </w:r>
    </w:p>
    <w:p w:rsidR="00513B47" w:rsidRPr="00600E6F" w:rsidRDefault="00513B47" w:rsidP="003408F4">
      <w:pPr>
        <w:autoSpaceDE w:val="0"/>
        <w:autoSpaceDN w:val="0"/>
        <w:adjustRightInd w:val="0"/>
        <w:spacing w:after="0" w:line="240" w:lineRule="auto"/>
        <w:ind w:left="1080"/>
        <w:rPr>
          <w:rFonts w:ascii="Times New Roman" w:hAnsi="Times New Roman"/>
          <w:color w:val="000000"/>
          <w:sz w:val="24"/>
        </w:rPr>
      </w:pPr>
      <w:r w:rsidRPr="00600E6F">
        <w:rPr>
          <w:rFonts w:ascii="Times New Roman" w:hAnsi="Times New Roman"/>
          <w:sz w:val="24"/>
        </w:rPr>
        <w:t xml:space="preserve">The </w:t>
      </w:r>
      <w:r w:rsidRPr="00600E6F">
        <w:rPr>
          <w:rFonts w:ascii="Times New Roman" w:hAnsi="Times New Roman"/>
          <w:i/>
          <w:sz w:val="24"/>
        </w:rPr>
        <w:t>Multifamily Path</w:t>
      </w:r>
      <w:r w:rsidRPr="00600E6F">
        <w:rPr>
          <w:rFonts w:ascii="Times New Roman" w:hAnsi="Times New Roman"/>
          <w:sz w:val="24"/>
        </w:rPr>
        <w:t xml:space="preserve"> is envisioned as a logical next step to the prescriptive based </w:t>
      </w:r>
      <w:r w:rsidRPr="00600E6F">
        <w:rPr>
          <w:rFonts w:ascii="Times New Roman" w:hAnsi="Times New Roman"/>
          <w:color w:val="000000"/>
          <w:sz w:val="24"/>
        </w:rPr>
        <w:t xml:space="preserve">MFEER </w:t>
      </w:r>
      <w:r w:rsidRPr="00600E6F">
        <w:rPr>
          <w:rFonts w:ascii="Times New Roman" w:hAnsi="Times New Roman"/>
          <w:sz w:val="24"/>
        </w:rPr>
        <w:t xml:space="preserve">and would be coordinated with </w:t>
      </w:r>
      <w:r w:rsidRPr="00600E6F">
        <w:rPr>
          <w:rFonts w:ascii="Times New Roman" w:hAnsi="Times New Roman"/>
          <w:color w:val="000000"/>
          <w:sz w:val="24"/>
        </w:rPr>
        <w:t xml:space="preserve">Energy Savings Assistance Program </w:t>
      </w:r>
      <w:r w:rsidRPr="00600E6F">
        <w:rPr>
          <w:rFonts w:ascii="Times New Roman" w:hAnsi="Times New Roman"/>
          <w:sz w:val="24"/>
        </w:rPr>
        <w:t xml:space="preserve">and MFEER to present a singular and streamlined approach for multifamily tenants, property owners and property managers, in accordance with the Strategic Plan. A key feature of the </w:t>
      </w:r>
      <w:r w:rsidRPr="00600E6F">
        <w:rPr>
          <w:rFonts w:ascii="Times New Roman" w:hAnsi="Times New Roman"/>
          <w:i/>
          <w:sz w:val="24"/>
        </w:rPr>
        <w:t>Multifamily Path</w:t>
      </w:r>
      <w:r w:rsidRPr="00600E6F">
        <w:rPr>
          <w:rFonts w:ascii="Times New Roman" w:hAnsi="Times New Roman"/>
          <w:sz w:val="24"/>
        </w:rPr>
        <w:t xml:space="preserve"> would be a single point of contact to assist multifamily raters and customers and to streamline their experience. The single point of contact </w:t>
      </w:r>
      <w:r w:rsidRPr="00600E6F">
        <w:rPr>
          <w:rFonts w:ascii="Times New Roman" w:hAnsi="Times New Roman"/>
          <w:color w:val="000000"/>
          <w:sz w:val="24"/>
        </w:rPr>
        <w:t xml:space="preserve">will recruit and assist multifamily owners and property managers to evaluate specific property and advise the program that best suits the needs of particular buildings.  </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color w:val="000000"/>
          <w:sz w:val="24"/>
        </w:rPr>
        <w:lastRenderedPageBreak/>
        <w:t>This integrated approach combines market</w:t>
      </w:r>
      <w:r w:rsidRPr="00600E6F">
        <w:rPr>
          <w:rFonts w:ascii="Cambria Math" w:hAnsi="Cambria Math"/>
          <w:color w:val="000000"/>
          <w:sz w:val="24"/>
        </w:rPr>
        <w:t>‐</w:t>
      </w:r>
      <w:r w:rsidRPr="00600E6F">
        <w:rPr>
          <w:rFonts w:ascii="Times New Roman" w:hAnsi="Times New Roman"/>
          <w:color w:val="000000"/>
          <w:sz w:val="24"/>
        </w:rPr>
        <w:t>rate and income</w:t>
      </w:r>
      <w:r w:rsidRPr="00600E6F">
        <w:rPr>
          <w:rFonts w:ascii="Cambria Math" w:hAnsi="Cambria Math"/>
          <w:color w:val="000000"/>
          <w:sz w:val="24"/>
        </w:rPr>
        <w:t>‐</w:t>
      </w:r>
      <w:r w:rsidRPr="00600E6F">
        <w:rPr>
          <w:rFonts w:ascii="Times New Roman" w:hAnsi="Times New Roman"/>
          <w:color w:val="000000"/>
          <w:sz w:val="24"/>
        </w:rPr>
        <w:t xml:space="preserve">qualified energy efficiency measures and educates building owners on the benefits of energy efficiency and conservation efforts spanning the range of needs for the multifamily market.  </w:t>
      </w:r>
      <w:r w:rsidRPr="00600E6F">
        <w:rPr>
          <w:rFonts w:ascii="Times New Roman" w:hAnsi="Times New Roman"/>
          <w:sz w:val="24"/>
        </w:rPr>
        <w:t xml:space="preserve">The </w:t>
      </w:r>
      <w:r w:rsidRPr="00600E6F">
        <w:rPr>
          <w:rFonts w:ascii="Times New Roman" w:hAnsi="Times New Roman"/>
          <w:i/>
          <w:sz w:val="24"/>
        </w:rPr>
        <w:t>Multifamily Path</w:t>
      </w:r>
      <w:r w:rsidRPr="00600E6F">
        <w:rPr>
          <w:rFonts w:ascii="Times New Roman" w:hAnsi="Times New Roman"/>
          <w:sz w:val="24"/>
        </w:rPr>
        <w:t xml:space="preserve"> will leverage and integrate the MF MFEER resource components and MF ESAP offerings in a singular customer facing program that presents a simplified view from the customer perspective.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i/>
          <w:sz w:val="24"/>
        </w:rPr>
        <w:t>Multifamily Path</w:t>
      </w:r>
      <w:r w:rsidRPr="00600E6F">
        <w:rPr>
          <w:rFonts w:ascii="Times New Roman" w:hAnsi="Times New Roman"/>
          <w:sz w:val="24"/>
        </w:rPr>
        <w:t xml:space="preserve"> would guide MF customers towards deeper, comprehensive energy efficiency measures, including: whole house solutions, plug load efficiency, visual monitoring and displays, performance standards, local government opportunities, and IDSM integration.  The </w:t>
      </w:r>
      <w:r w:rsidRPr="00600E6F">
        <w:rPr>
          <w:rFonts w:ascii="Times New Roman" w:hAnsi="Times New Roman"/>
          <w:i/>
          <w:sz w:val="24"/>
        </w:rPr>
        <w:t>Multifamily Path</w:t>
      </w:r>
      <w:r w:rsidRPr="00600E6F">
        <w:rPr>
          <w:rFonts w:ascii="Times New Roman" w:hAnsi="Times New Roman"/>
          <w:sz w:val="24"/>
        </w:rPr>
        <w:t xml:space="preserve"> will support the strategies, where possible, in the Low Income Proposed Decision. </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34"/>
        </w:numPr>
        <w:spacing w:after="0" w:line="240" w:lineRule="auto"/>
        <w:ind w:hanging="360"/>
        <w:rPr>
          <w:rFonts w:ascii="Times New Roman" w:hAnsi="Times New Roman"/>
          <w:sz w:val="24"/>
        </w:rPr>
      </w:pPr>
      <w:r w:rsidRPr="00600E6F">
        <w:rPr>
          <w:rFonts w:ascii="Times New Roman" w:hAnsi="Times New Roman"/>
          <w:b/>
          <w:sz w:val="24"/>
        </w:rPr>
        <w:t>Sub-Program Energy and Demand Objectives</w:t>
      </w: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p>
    <w:p w:rsidR="00513B47" w:rsidRPr="00F50F8B" w:rsidRDefault="00513B47" w:rsidP="00600E6F">
      <w:pPr>
        <w:pStyle w:val="Caption"/>
        <w:ind w:left="1440"/>
        <w:rPr>
          <w:rFonts w:cs="Calibri"/>
          <w:i/>
          <w:sz w:val="24"/>
          <w:szCs w:val="24"/>
        </w:rPr>
      </w:pPr>
      <w:r w:rsidRPr="00600E6F">
        <w:rPr>
          <w:sz w:val="24"/>
        </w:rPr>
        <w:t xml:space="preserve">Table </w:t>
      </w:r>
      <w:r w:rsidR="00E7041A" w:rsidRPr="00600E6F">
        <w:rPr>
          <w:sz w:val="24"/>
        </w:rPr>
        <w:fldChar w:fldCharType="begin"/>
      </w:r>
      <w:r w:rsidRPr="00F50F8B">
        <w:rPr>
          <w:rFonts w:ascii="Calibri" w:hAnsi="Calibri" w:cs="Calibri"/>
          <w:sz w:val="24"/>
          <w:szCs w:val="24"/>
        </w:rPr>
        <w:instrText xml:space="preserve"> SEQ Table \* ARABIC </w:instrText>
      </w:r>
      <w:r w:rsidR="00E7041A" w:rsidRPr="00600E6F">
        <w:rPr>
          <w:sz w:val="24"/>
        </w:rPr>
        <w:fldChar w:fldCharType="separate"/>
      </w:r>
      <w:r w:rsidR="007E4BEC">
        <w:rPr>
          <w:rFonts w:ascii="Calibri" w:hAnsi="Calibri" w:cs="Calibri"/>
          <w:noProof/>
          <w:sz w:val="24"/>
          <w:szCs w:val="24"/>
        </w:rPr>
        <w:t>6</w:t>
      </w:r>
      <w:r w:rsidR="00E7041A" w:rsidRPr="00600E6F">
        <w:rPr>
          <w:sz w:val="24"/>
        </w:rPr>
        <w:fldChar w:fldCharType="end"/>
      </w:r>
      <w:r w:rsidR="003931C8">
        <w:rPr>
          <w:sz w:val="24"/>
          <w:szCs w:val="24"/>
        </w:rPr>
        <w:t>:</w:t>
      </w:r>
      <w:r w:rsidRPr="00600E6F">
        <w:rPr>
          <w:sz w:val="24"/>
        </w:rPr>
        <w:t xml:space="preserve"> </w:t>
      </w:r>
      <w:r w:rsidRPr="00600E6F">
        <w:rPr>
          <w:b w:val="0"/>
          <w:sz w:val="24"/>
        </w:rPr>
        <w:t>Projected Sub-Program Net Energy and Demand Impacts, by Calendar Year</w:t>
      </w:r>
      <w:r w:rsidR="003931C8">
        <w:rPr>
          <w:b w:val="0"/>
          <w:sz w:val="24"/>
          <w:szCs w:val="24"/>
        </w:rPr>
        <w:t xml:space="preserve"> </w:t>
      </w:r>
      <w:r w:rsidRPr="00600E6F">
        <w:rPr>
          <w:b w:val="0"/>
          <w:i/>
          <w:sz w:val="24"/>
        </w:rPr>
        <w:t>[Table-6 to be provided as an Excel Attachment to this PIP]</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34"/>
        </w:numPr>
        <w:spacing w:after="0" w:line="240" w:lineRule="auto"/>
        <w:ind w:hanging="360"/>
        <w:rPr>
          <w:rFonts w:ascii="Times New Roman" w:hAnsi="Times New Roman"/>
          <w:sz w:val="24"/>
        </w:rPr>
      </w:pPr>
      <w:r w:rsidRPr="00600E6F">
        <w:rPr>
          <w:rFonts w:ascii="Times New Roman" w:hAnsi="Times New Roman"/>
          <w:b/>
          <w:sz w:val="24"/>
        </w:rPr>
        <w:t>Program Non-Energy Objectives</w:t>
      </w:r>
      <w:r w:rsidRPr="00600E6F">
        <w:rPr>
          <w:rFonts w:ascii="Times New Roman" w:hAnsi="Times New Roman"/>
          <w:sz w:val="24"/>
        </w:rPr>
        <w:t xml:space="preserve">: </w:t>
      </w:r>
    </w:p>
    <w:p w:rsidR="00513B47" w:rsidRPr="00600E6F" w:rsidRDefault="00513B47" w:rsidP="003408F4">
      <w:pPr>
        <w:pStyle w:val="ListParagraph"/>
        <w:spacing w:after="0" w:line="240" w:lineRule="auto"/>
        <w:ind w:left="1440"/>
        <w:rPr>
          <w:rFonts w:ascii="Times New Roman" w:hAnsi="Times New Roman"/>
          <w:sz w:val="24"/>
        </w:rPr>
      </w:pPr>
      <w:r w:rsidRPr="00600E6F">
        <w:rPr>
          <w:rFonts w:ascii="Times New Roman" w:hAnsi="Times New Roman"/>
          <w:b/>
          <w:sz w:val="24"/>
        </w:rPr>
        <w:t>Table</w:t>
      </w:r>
      <w:r w:rsidR="003931C8">
        <w:rPr>
          <w:rFonts w:ascii="Times New Roman" w:hAnsi="Times New Roman"/>
          <w:b/>
          <w:sz w:val="24"/>
          <w:szCs w:val="24"/>
        </w:rPr>
        <w:t xml:space="preserve"> </w:t>
      </w:r>
      <w:r w:rsidRPr="00600E6F">
        <w:rPr>
          <w:rFonts w:ascii="Times New Roman" w:hAnsi="Times New Roman"/>
          <w:b/>
          <w:sz w:val="24"/>
        </w:rPr>
        <w:t xml:space="preserve">16: </w:t>
      </w:r>
      <w:r w:rsidRPr="00600E6F">
        <w:rPr>
          <w:rFonts w:ascii="Times New Roman" w:hAnsi="Times New Roman"/>
          <w:sz w:val="24"/>
        </w:rPr>
        <w:t>Non-Energy Objective</w:t>
      </w:r>
    </w:p>
    <w:p w:rsidR="00513B47" w:rsidRPr="00600E6F" w:rsidRDefault="00513B47" w:rsidP="003408F4">
      <w:pPr>
        <w:pStyle w:val="ListParagraph"/>
        <w:spacing w:after="0" w:line="240" w:lineRule="auto"/>
        <w:ind w:left="1440"/>
        <w:rPr>
          <w:rFonts w:ascii="Times New Roman" w:hAnsi="Times New Roman"/>
          <w:i/>
          <w:sz w:val="24"/>
        </w:rPr>
      </w:pPr>
      <w:r w:rsidRPr="00600E6F">
        <w:rPr>
          <w:rFonts w:ascii="Times New Roman" w:hAnsi="Times New Roman"/>
          <w:i/>
          <w:sz w:val="24"/>
        </w:rPr>
        <w:t>[Table-16 to be provided as an Excel Attachment to this PIP]</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134"/>
        </w:numPr>
        <w:spacing w:after="0" w:line="240" w:lineRule="auto"/>
        <w:ind w:hanging="360"/>
        <w:rPr>
          <w:rFonts w:ascii="Times New Roman" w:hAnsi="Times New Roman"/>
          <w:sz w:val="24"/>
        </w:rPr>
      </w:pPr>
      <w:r w:rsidRPr="00600E6F">
        <w:rPr>
          <w:rFonts w:ascii="Times New Roman" w:hAnsi="Times New Roman"/>
          <w:b/>
          <w:sz w:val="24"/>
        </w:rPr>
        <w:t>Cost Effectiveness/Market Need</w:t>
      </w:r>
      <w:r w:rsidRPr="00600E6F">
        <w:rPr>
          <w:rFonts w:ascii="Times New Roman" w:hAnsi="Times New Roman"/>
          <w:sz w:val="24"/>
        </w:rPr>
        <w:t xml:space="preserve">: </w:t>
      </w:r>
      <w:r w:rsidRPr="00600E6F">
        <w:rPr>
          <w:rFonts w:ascii="Times New Roman" w:hAnsi="Times New Roman"/>
          <w:sz w:val="24"/>
        </w:rPr>
        <w:tab/>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California IOUs look forward to continue playing a leading role, in collaboration with local governments, in moving the existing residential homes market towards larger reductions in energy usage and towards the </w:t>
      </w:r>
      <w:r w:rsidRPr="00600E6F">
        <w:rPr>
          <w:rFonts w:ascii="Times New Roman" w:hAnsi="Times New Roman"/>
          <w:i/>
          <w:sz w:val="24"/>
        </w:rPr>
        <w:t>Strategic Plan</w:t>
      </w:r>
      <w:r w:rsidRPr="00600E6F">
        <w:rPr>
          <w:rFonts w:ascii="Times New Roman" w:hAnsi="Times New Roman"/>
          <w:sz w:val="24"/>
        </w:rPr>
        <w:t xml:space="preserve"> goal of achieving 40% purchased energy reductions in all existing homes by 2020.</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At this time, current market conditions and barriers are:</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Relatively high cost of home assessments.</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2.</w:t>
      </w:r>
      <w:r w:rsidRPr="00600E6F">
        <w:rPr>
          <w:rFonts w:ascii="Times New Roman" w:hAnsi="Times New Roman"/>
          <w:sz w:val="24"/>
        </w:rPr>
        <w:tab/>
        <w:t>Relatively high gross costs of comprehensive energy upgrades.</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3.</w:t>
      </w:r>
      <w:r w:rsidRPr="00600E6F">
        <w:rPr>
          <w:rFonts w:ascii="Times New Roman" w:hAnsi="Times New Roman"/>
          <w:sz w:val="24"/>
        </w:rPr>
        <w:tab/>
        <w:t>Market unawareness of non-economic value to comprehensive energy upgrades.</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Fledgling contracting and supporting industry for existing home energy upgrades.</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5.</w:t>
      </w:r>
      <w:r w:rsidRPr="00600E6F">
        <w:rPr>
          <w:rFonts w:ascii="Times New Roman" w:hAnsi="Times New Roman"/>
          <w:sz w:val="24"/>
        </w:rPr>
        <w:tab/>
        <w:t>Low consumer awareness of incentive programs and the concepts of comprehensive home energy assessments and upgrades.</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6.</w:t>
      </w:r>
      <w:r w:rsidRPr="00600E6F">
        <w:rPr>
          <w:rFonts w:ascii="Times New Roman" w:hAnsi="Times New Roman"/>
          <w:sz w:val="24"/>
        </w:rPr>
        <w:tab/>
        <w:t xml:space="preserve">Lack of common home rating protocols and common vernacular for the market to assign value to homes which undergo comprehensive energy upgrades. </w:t>
      </w:r>
    </w:p>
    <w:p w:rsidR="003931C8" w:rsidRPr="00D737C2" w:rsidRDefault="003931C8" w:rsidP="003408F4">
      <w:pPr>
        <w:spacing w:after="0" w:line="240" w:lineRule="auto"/>
        <w:ind w:left="1080"/>
        <w:rPr>
          <w:rFonts w:ascii="Times New Roman" w:hAnsi="Times New Roman"/>
          <w:b/>
          <w:sz w:val="24"/>
          <w:szCs w:val="24"/>
        </w:rPr>
      </w:pPr>
    </w:p>
    <w:p w:rsidR="00513B47" w:rsidRPr="00600E6F" w:rsidRDefault="00513B47" w:rsidP="003408F4">
      <w:pPr>
        <w:spacing w:after="0" w:line="240" w:lineRule="auto"/>
        <w:ind w:left="1080"/>
        <w:rPr>
          <w:rFonts w:ascii="Times New Roman" w:hAnsi="Times New Roman"/>
          <w:b/>
          <w:sz w:val="24"/>
        </w:rPr>
      </w:pPr>
      <w:r w:rsidRPr="00600E6F">
        <w:rPr>
          <w:rFonts w:ascii="Times New Roman" w:hAnsi="Times New Roman"/>
          <w:b/>
          <w:sz w:val="24"/>
        </w:rPr>
        <w:t>The WHUP seeks to address these barriers through:</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Continued marketing of Energy Upgrade California and whole house concepts. (barrier 3, 5).</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2.</w:t>
      </w:r>
      <w:r w:rsidRPr="00600E6F">
        <w:rPr>
          <w:rFonts w:ascii="Times New Roman" w:hAnsi="Times New Roman"/>
          <w:sz w:val="24"/>
        </w:rPr>
        <w:tab/>
        <w:t>Continued contractor recruitment (at a pace aligned with demand), training and mentoring. (barrier 4, 5).</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3.</w:t>
      </w:r>
      <w:r w:rsidRPr="00600E6F">
        <w:rPr>
          <w:rFonts w:ascii="Times New Roman" w:hAnsi="Times New Roman"/>
          <w:sz w:val="24"/>
        </w:rPr>
        <w:tab/>
        <w:t>Continued customer uptake through WHUP incentives. (barrier 1, 2, 5).</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Continued stakeholder outreach to address barriers. (barrier 1, 3, 4, 5,6).</w:t>
      </w:r>
    </w:p>
    <w:p w:rsidR="00513B47" w:rsidRPr="00600E6F" w:rsidRDefault="00513B47" w:rsidP="003408F4">
      <w:pPr>
        <w:spacing w:after="0" w:line="240" w:lineRule="auto"/>
        <w:ind w:left="1800" w:hanging="360"/>
        <w:rPr>
          <w:rFonts w:ascii="Times New Roman" w:hAnsi="Times New Roman"/>
          <w:sz w:val="24"/>
        </w:rPr>
      </w:pPr>
      <w:r w:rsidRPr="00600E6F">
        <w:rPr>
          <w:rFonts w:ascii="Times New Roman" w:hAnsi="Times New Roman"/>
          <w:sz w:val="24"/>
        </w:rPr>
        <w:lastRenderedPageBreak/>
        <w:t xml:space="preserve">5.  </w:t>
      </w:r>
      <w:r w:rsidRPr="00600E6F">
        <w:rPr>
          <w:rFonts w:ascii="Times New Roman" w:hAnsi="Times New Roman"/>
          <w:sz w:val="24"/>
        </w:rPr>
        <w:tab/>
        <w:t>Continued partnerships with local and state government to address barriers. (barrier 1, 2, 3, 4, 5, 6).</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It will be critical to establish market transformation (MT) metrics and milestones that are in alignment with cost effective metrics that can more accurately assign cost effectiveness of resources expended towards MT goals.  As the Value Proposition figure below represents, there currently is significant non-economic value being assigned by the marketplace towards whole house projects but which are not accounted for in cost effectiveness metrics currently used.</w:t>
      </w:r>
    </w:p>
    <w:p w:rsidR="00513B47" w:rsidRPr="00600E6F" w:rsidRDefault="00513B47" w:rsidP="003408F4">
      <w:pPr>
        <w:spacing w:after="0" w:line="240" w:lineRule="auto"/>
        <w:ind w:left="1080" w:hanging="360"/>
        <w:rPr>
          <w:rFonts w:ascii="Times New Roman" w:hAnsi="Times New Roman"/>
          <w:i/>
          <w:sz w:val="24"/>
        </w:rPr>
      </w:pPr>
    </w:p>
    <w:p w:rsidR="00513B47" w:rsidRPr="00600E6F" w:rsidRDefault="00513B47" w:rsidP="003408F4">
      <w:pPr>
        <w:tabs>
          <w:tab w:val="left" w:pos="1440"/>
        </w:tabs>
        <w:spacing w:after="0" w:line="240" w:lineRule="auto"/>
        <w:ind w:left="1440"/>
        <w:rPr>
          <w:rFonts w:ascii="Times New Roman" w:hAnsi="Times New Roman"/>
          <w:sz w:val="24"/>
        </w:rPr>
      </w:pPr>
      <w:r w:rsidRPr="00600E6F">
        <w:rPr>
          <w:rFonts w:ascii="Times New Roman" w:hAnsi="Times New Roman"/>
          <w:i/>
          <w:sz w:val="24"/>
        </w:rPr>
        <w:t>Non-economic value can be assigned as</w:t>
      </w:r>
      <w:r w:rsidRPr="00600E6F">
        <w:rPr>
          <w:rFonts w:ascii="Times New Roman" w:hAnsi="Times New Roman"/>
          <w:sz w:val="24"/>
        </w:rPr>
        <w:t>:</w:t>
      </w:r>
    </w:p>
    <w:p w:rsidR="00513B47" w:rsidRPr="00600E6F" w:rsidRDefault="00513B47" w:rsidP="003408F4">
      <w:pPr>
        <w:tabs>
          <w:tab w:val="left" w:pos="1080"/>
          <w:tab w:val="left" w:pos="1440"/>
        </w:tabs>
        <w:spacing w:after="0" w:line="240" w:lineRule="auto"/>
        <w:ind w:left="1440"/>
        <w:rPr>
          <w:rFonts w:ascii="Times New Roman" w:hAnsi="Times New Roman"/>
          <w:b/>
          <w:sz w:val="24"/>
        </w:rPr>
      </w:pPr>
      <w:r w:rsidRPr="00600E6F">
        <w:rPr>
          <w:rFonts w:ascii="Times New Roman" w:hAnsi="Times New Roman"/>
          <w:b/>
          <w:sz w:val="24"/>
        </w:rPr>
        <w:t>Gross Cost – (annual savings x EUL) – (assigned increased market value of home)</w:t>
      </w:r>
    </w:p>
    <w:p w:rsidR="00513B47" w:rsidRPr="00600E6F" w:rsidRDefault="00513B47" w:rsidP="003408F4">
      <w:pPr>
        <w:spacing w:after="0" w:line="240" w:lineRule="auto"/>
        <w:ind w:left="1080" w:hanging="36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By this definition, and information regarding gross costs and savings to date, it would appear that the market currently is assigning significant non-economic value to WHUP projects.  However, current cost effective metrics assign all value towards economic value related to energy savings only.  Failure to align MT goals and cost effective metrics will result in inaccurate measurement of resource impacts on MT goals.</w:t>
      </w:r>
    </w:p>
    <w:p w:rsidR="00513B47" w:rsidRPr="00D737C2" w:rsidRDefault="00513B47" w:rsidP="003408F4">
      <w:pPr>
        <w:spacing w:after="0" w:line="240" w:lineRule="auto"/>
        <w:ind w:left="1440"/>
        <w:rPr>
          <w:rFonts w:ascii="Times New Roman" w:hAnsi="Times New Roman"/>
          <w:sz w:val="24"/>
          <w:szCs w:val="24"/>
        </w:rPr>
      </w:pPr>
    </w:p>
    <w:p w:rsidR="00513B47" w:rsidRDefault="00513B47" w:rsidP="003408F4">
      <w:pPr>
        <w:spacing w:after="0" w:line="240" w:lineRule="auto"/>
        <w:ind w:left="1440"/>
        <w:rPr>
          <w:rFonts w:ascii="Times New Roman" w:hAnsi="Times New Roman"/>
          <w:sz w:val="24"/>
          <w:szCs w:val="24"/>
        </w:rPr>
      </w:pPr>
      <w:r w:rsidRPr="00D737C2">
        <w:rPr>
          <w:rFonts w:ascii="Times New Roman" w:hAnsi="Times New Roman"/>
          <w:sz w:val="24"/>
          <w:szCs w:val="24"/>
        </w:rPr>
        <w:t xml:space="preserve">The IOUs during the 2013-2014 cycle recommend the Commission remove the WHUP from the EE portfolio cost effective analysis and to work with commission staff and relevant stakeholders to develop meaningful cost effective metrics during the 2013-2014 cycle that aligns MT goals of WHUP towards the   </w:t>
      </w:r>
      <w:r w:rsidRPr="00D737C2">
        <w:rPr>
          <w:rFonts w:ascii="Times New Roman" w:hAnsi="Times New Roman"/>
          <w:i/>
          <w:sz w:val="24"/>
          <w:szCs w:val="24"/>
        </w:rPr>
        <w:t>Strategic Plan</w:t>
      </w:r>
      <w:r w:rsidRPr="00D737C2">
        <w:rPr>
          <w:rFonts w:ascii="Times New Roman" w:hAnsi="Times New Roman"/>
          <w:sz w:val="24"/>
          <w:szCs w:val="24"/>
        </w:rPr>
        <w:t>.</w:t>
      </w:r>
    </w:p>
    <w:p w:rsidR="003931C8" w:rsidRPr="00D737C2" w:rsidRDefault="003931C8" w:rsidP="003408F4">
      <w:pPr>
        <w:spacing w:after="0" w:line="240" w:lineRule="auto"/>
        <w:ind w:left="1440"/>
        <w:rPr>
          <w:rFonts w:ascii="Times New Roman" w:hAnsi="Times New Roman"/>
          <w:sz w:val="24"/>
          <w:szCs w:val="24"/>
        </w:rPr>
      </w:pPr>
    </w:p>
    <w:tbl>
      <w:tblPr>
        <w:tblW w:w="9360" w:type="dxa"/>
        <w:tblInd w:w="198" w:type="dxa"/>
        <w:tblLook w:val="00A0" w:firstRow="1" w:lastRow="0" w:firstColumn="1" w:lastColumn="0" w:noHBand="0" w:noVBand="0"/>
      </w:tblPr>
      <w:tblGrid>
        <w:gridCol w:w="825"/>
        <w:gridCol w:w="5424"/>
        <w:gridCol w:w="3111"/>
      </w:tblGrid>
      <w:tr w:rsidR="00513B47" w:rsidRPr="00F50F8B" w:rsidTr="00421BBD">
        <w:trPr>
          <w:trHeight w:val="297"/>
        </w:trPr>
        <w:tc>
          <w:tcPr>
            <w:tcW w:w="825" w:type="dxa"/>
            <w:tcBorders>
              <w:top w:val="nil"/>
              <w:left w:val="nil"/>
              <w:bottom w:val="nil"/>
              <w:right w:val="nil"/>
            </w:tcBorders>
            <w:noWrap/>
            <w:vAlign w:val="bottom"/>
          </w:tcPr>
          <w:p w:rsidR="00513B47" w:rsidRPr="00600E6F" w:rsidRDefault="00513B47" w:rsidP="003408F4">
            <w:pPr>
              <w:spacing w:after="0" w:line="240" w:lineRule="auto"/>
              <w:rPr>
                <w:rFonts w:ascii="Times New Roman" w:hAnsi="Times New Roman"/>
                <w:color w:val="000000"/>
                <w:sz w:val="20"/>
              </w:rPr>
            </w:pPr>
          </w:p>
          <w:p w:rsidR="00513B47" w:rsidRPr="00600E6F" w:rsidRDefault="00513B47" w:rsidP="003408F4">
            <w:pPr>
              <w:spacing w:after="0" w:line="240" w:lineRule="auto"/>
              <w:rPr>
                <w:rFonts w:ascii="Times New Roman" w:hAnsi="Times New Roman"/>
                <w:color w:val="000000"/>
                <w:sz w:val="20"/>
              </w:rPr>
            </w:pPr>
          </w:p>
        </w:tc>
        <w:tc>
          <w:tcPr>
            <w:tcW w:w="8535" w:type="dxa"/>
            <w:gridSpan w:val="2"/>
            <w:tcBorders>
              <w:top w:val="nil"/>
              <w:left w:val="nil"/>
              <w:bottom w:val="nil"/>
              <w:right w:val="nil"/>
            </w:tcBorders>
            <w:noWrap/>
            <w:vAlign w:val="bottom"/>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VALUE PROPOSITION</w:t>
            </w:r>
          </w:p>
        </w:tc>
      </w:tr>
      <w:tr w:rsidR="00513B47" w:rsidRPr="00F50F8B" w:rsidTr="00421BBD">
        <w:trPr>
          <w:trHeight w:val="279"/>
        </w:trPr>
        <w:tc>
          <w:tcPr>
            <w:tcW w:w="825" w:type="dxa"/>
            <w:tcBorders>
              <w:top w:val="nil"/>
              <w:left w:val="nil"/>
              <w:bottom w:val="nil"/>
              <w:right w:val="nil"/>
            </w:tcBorders>
            <w:noWrap/>
          </w:tcPr>
          <w:p w:rsidR="00513B47" w:rsidRPr="00600E6F" w:rsidRDefault="00513B47" w:rsidP="003408F4">
            <w:pPr>
              <w:spacing w:after="0" w:line="240" w:lineRule="auto"/>
              <w:jc w:val="center"/>
              <w:rPr>
                <w:rFonts w:ascii="Times New Roman" w:hAnsi="Times New Roman"/>
                <w:color w:val="000000"/>
                <w:sz w:val="20"/>
              </w:rPr>
            </w:pPr>
          </w:p>
        </w:tc>
        <w:tc>
          <w:tcPr>
            <w:tcW w:w="8535" w:type="dxa"/>
            <w:gridSpan w:val="2"/>
            <w:tcBorders>
              <w:top w:val="nil"/>
              <w:left w:val="nil"/>
              <w:bottom w:val="nil"/>
              <w:right w:val="nil"/>
            </w:tcBorders>
          </w:tcPr>
          <w:p w:rsidR="00513B47" w:rsidRPr="00600E6F" w:rsidRDefault="00513B47" w:rsidP="003408F4">
            <w:pPr>
              <w:spacing w:after="0" w:line="240" w:lineRule="auto"/>
              <w:jc w:val="center"/>
              <w:rPr>
                <w:rFonts w:ascii="Times New Roman" w:hAnsi="Times New Roman"/>
                <w:color w:val="000000"/>
                <w:sz w:val="20"/>
              </w:rPr>
            </w:pPr>
            <w:r w:rsidRPr="00600E6F">
              <w:rPr>
                <w:rFonts w:ascii="Times New Roman" w:hAnsi="Times New Roman"/>
                <w:color w:val="000000"/>
                <w:sz w:val="20"/>
              </w:rPr>
              <w:t>(Greater the Value Proposition = Faster Market Transformation and Consumer Uptake)</w:t>
            </w:r>
          </w:p>
        </w:tc>
      </w:tr>
      <w:tr w:rsidR="00513B47" w:rsidRPr="00F50F8B" w:rsidTr="00421BBD">
        <w:trPr>
          <w:trHeight w:val="250"/>
        </w:trPr>
        <w:tc>
          <w:tcPr>
            <w:tcW w:w="825" w:type="dxa"/>
            <w:tcBorders>
              <w:top w:val="nil"/>
              <w:left w:val="nil"/>
              <w:bottom w:val="nil"/>
              <w:right w:val="nil"/>
            </w:tcBorders>
            <w:noWrap/>
            <w:vAlign w:val="bottom"/>
          </w:tcPr>
          <w:p w:rsidR="00513B47" w:rsidRPr="00600E6F" w:rsidRDefault="00513B47" w:rsidP="003408F4">
            <w:pPr>
              <w:spacing w:after="0" w:line="240" w:lineRule="auto"/>
              <w:rPr>
                <w:rFonts w:ascii="Times New Roman" w:hAnsi="Times New Roman"/>
                <w:color w:val="000000"/>
                <w:sz w:val="20"/>
              </w:rPr>
            </w:pPr>
          </w:p>
        </w:tc>
        <w:tc>
          <w:tcPr>
            <w:tcW w:w="5424" w:type="dxa"/>
            <w:tcBorders>
              <w:top w:val="single" w:sz="8" w:space="0" w:color="auto"/>
              <w:left w:val="single" w:sz="8" w:space="0" w:color="auto"/>
              <w:bottom w:val="single" w:sz="8" w:space="0" w:color="auto"/>
              <w:right w:val="single" w:sz="4" w:space="0" w:color="auto"/>
            </w:tcBorders>
            <w:shd w:val="clear" w:color="000000" w:fill="C2D69A"/>
            <w:noWrap/>
            <w:vAlign w:val="center"/>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Consumer Value</w:t>
            </w:r>
          </w:p>
        </w:tc>
        <w:tc>
          <w:tcPr>
            <w:tcW w:w="3111" w:type="dxa"/>
            <w:tcBorders>
              <w:top w:val="single" w:sz="8" w:space="0" w:color="auto"/>
              <w:left w:val="nil"/>
              <w:bottom w:val="single" w:sz="8" w:space="0" w:color="auto"/>
              <w:right w:val="single" w:sz="8" w:space="0" w:color="auto"/>
            </w:tcBorders>
            <w:shd w:val="clear" w:color="000000" w:fill="BFBFBF"/>
            <w:noWrap/>
            <w:vAlign w:val="center"/>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Consumer  Costs</w:t>
            </w:r>
          </w:p>
        </w:tc>
      </w:tr>
      <w:tr w:rsidR="00513B47" w:rsidRPr="00F50F8B" w:rsidTr="008A0A65">
        <w:trPr>
          <w:trHeight w:val="401"/>
        </w:trPr>
        <w:tc>
          <w:tcPr>
            <w:tcW w:w="825" w:type="dxa"/>
            <w:vMerge w:val="restart"/>
            <w:tcBorders>
              <w:top w:val="single" w:sz="8" w:space="0" w:color="auto"/>
              <w:left w:val="single" w:sz="8" w:space="0" w:color="auto"/>
              <w:bottom w:val="single" w:sz="4" w:space="0" w:color="000000"/>
              <w:right w:val="nil"/>
            </w:tcBorders>
            <w:textDirection w:val="btLr"/>
            <w:vAlign w:val="center"/>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Economic    Value</w:t>
            </w:r>
          </w:p>
        </w:tc>
        <w:tc>
          <w:tcPr>
            <w:tcW w:w="5424" w:type="dxa"/>
            <w:tcBorders>
              <w:top w:val="nil"/>
              <w:left w:val="single" w:sz="8" w:space="0" w:color="auto"/>
              <w:right w:val="nil"/>
            </w:tcBorders>
            <w:noWrap/>
            <w:vAlign w:val="bottom"/>
          </w:tcPr>
          <w:p w:rsidR="00513B47" w:rsidRPr="00600E6F" w:rsidRDefault="00513B47" w:rsidP="00C31CC0">
            <w:pPr>
              <w:pStyle w:val="ListParagraph"/>
              <w:numPr>
                <w:ilvl w:val="0"/>
                <w:numId w:val="36"/>
              </w:numPr>
              <w:spacing w:after="0" w:line="240" w:lineRule="auto"/>
              <w:ind w:left="375"/>
              <w:contextualSpacing w:val="0"/>
              <w:rPr>
                <w:rFonts w:ascii="Times New Roman" w:eastAsia="Times New Roman" w:hAnsi="Times New Roman"/>
                <w:color w:val="000000"/>
                <w:sz w:val="20"/>
              </w:rPr>
            </w:pPr>
            <w:r w:rsidRPr="00600E6F">
              <w:rPr>
                <w:rFonts w:ascii="Times New Roman" w:hAnsi="Times New Roman"/>
                <w:color w:val="000000"/>
                <w:sz w:val="20"/>
              </w:rPr>
              <w:t>Monthly utility bill savings (kWh, kW, therm)</w:t>
            </w:r>
          </w:p>
          <w:p w:rsidR="00513B47" w:rsidRPr="00600E6F" w:rsidRDefault="00513B47" w:rsidP="00C31CC0">
            <w:pPr>
              <w:pStyle w:val="ListParagraph"/>
              <w:numPr>
                <w:ilvl w:val="0"/>
                <w:numId w:val="36"/>
              </w:numPr>
              <w:spacing w:after="0" w:line="240" w:lineRule="auto"/>
              <w:ind w:left="375"/>
              <w:contextualSpacing w:val="0"/>
              <w:rPr>
                <w:rFonts w:ascii="Times New Roman" w:eastAsia="Times New Roman" w:hAnsi="Times New Roman"/>
                <w:color w:val="000000"/>
                <w:sz w:val="20"/>
              </w:rPr>
            </w:pPr>
            <w:r w:rsidRPr="00600E6F">
              <w:rPr>
                <w:rFonts w:ascii="Times New Roman" w:hAnsi="Times New Roman"/>
                <w:color w:val="000000"/>
                <w:sz w:val="20"/>
              </w:rPr>
              <w:t>Recognized Market Value of EE home</w:t>
            </w:r>
          </w:p>
        </w:tc>
        <w:tc>
          <w:tcPr>
            <w:tcW w:w="3111" w:type="dxa"/>
            <w:tcBorders>
              <w:top w:val="nil"/>
              <w:left w:val="single" w:sz="4" w:space="0" w:color="auto"/>
              <w:bottom w:val="nil"/>
              <w:right w:val="single" w:sz="8" w:space="0" w:color="auto"/>
            </w:tcBorders>
            <w:noWrap/>
            <w:vAlign w:val="bottom"/>
          </w:tcPr>
          <w:p w:rsidR="00513B47" w:rsidRPr="00600E6F" w:rsidRDefault="00513B47" w:rsidP="00C31CC0">
            <w:pPr>
              <w:pStyle w:val="ListParagraph"/>
              <w:numPr>
                <w:ilvl w:val="0"/>
                <w:numId w:val="36"/>
              </w:numPr>
              <w:spacing w:after="0" w:line="240" w:lineRule="auto"/>
              <w:ind w:hanging="423"/>
              <w:contextualSpacing w:val="0"/>
              <w:rPr>
                <w:rFonts w:ascii="Times New Roman" w:eastAsia="Times New Roman" w:hAnsi="Times New Roman"/>
                <w:color w:val="000000"/>
                <w:sz w:val="20"/>
              </w:rPr>
            </w:pPr>
            <w:r w:rsidRPr="00600E6F">
              <w:rPr>
                <w:rFonts w:ascii="Times New Roman" w:hAnsi="Times New Roman"/>
                <w:color w:val="000000"/>
                <w:sz w:val="20"/>
              </w:rPr>
              <w:t>Gross Project Costs</w:t>
            </w:r>
          </w:p>
        </w:tc>
      </w:tr>
      <w:tr w:rsidR="00513B47" w:rsidRPr="00F50F8B" w:rsidTr="00421BBD">
        <w:trPr>
          <w:trHeight w:val="376"/>
        </w:trPr>
        <w:tc>
          <w:tcPr>
            <w:tcW w:w="825" w:type="dxa"/>
            <w:vMerge/>
            <w:tcBorders>
              <w:top w:val="single" w:sz="8" w:space="0" w:color="auto"/>
              <w:left w:val="single" w:sz="8" w:space="0" w:color="auto"/>
              <w:bottom w:val="single" w:sz="4" w:space="0" w:color="000000"/>
              <w:right w:val="nil"/>
            </w:tcBorders>
            <w:vAlign w:val="center"/>
          </w:tcPr>
          <w:p w:rsidR="00513B47" w:rsidRPr="00600E6F" w:rsidRDefault="00513B47" w:rsidP="003408F4">
            <w:pPr>
              <w:spacing w:after="0" w:line="240" w:lineRule="auto"/>
              <w:rPr>
                <w:rFonts w:ascii="Times New Roman" w:hAnsi="Times New Roman"/>
                <w:b/>
                <w:color w:val="000000"/>
                <w:sz w:val="20"/>
              </w:rPr>
            </w:pPr>
          </w:p>
        </w:tc>
        <w:tc>
          <w:tcPr>
            <w:tcW w:w="5424" w:type="dxa"/>
            <w:tcBorders>
              <w:top w:val="nil"/>
              <w:left w:val="single" w:sz="8" w:space="0" w:color="auto"/>
              <w:bottom w:val="single" w:sz="4" w:space="0" w:color="auto"/>
              <w:right w:val="nil"/>
            </w:tcBorders>
            <w:noWrap/>
            <w:vAlign w:val="bottom"/>
          </w:tcPr>
          <w:p w:rsidR="00513B47" w:rsidRPr="00600E6F" w:rsidRDefault="00513B47" w:rsidP="003408F4">
            <w:pPr>
              <w:pStyle w:val="ListParagraph"/>
              <w:spacing w:after="0" w:line="240" w:lineRule="auto"/>
              <w:ind w:left="369"/>
              <w:rPr>
                <w:rFonts w:ascii="Times New Roman" w:hAnsi="Times New Roman"/>
                <w:color w:val="000000"/>
                <w:sz w:val="20"/>
              </w:rPr>
            </w:pPr>
          </w:p>
        </w:tc>
        <w:tc>
          <w:tcPr>
            <w:tcW w:w="3111" w:type="dxa"/>
            <w:tcBorders>
              <w:top w:val="nil"/>
              <w:left w:val="single" w:sz="4" w:space="0" w:color="auto"/>
              <w:bottom w:val="nil"/>
              <w:right w:val="single" w:sz="8" w:space="0" w:color="auto"/>
            </w:tcBorders>
            <w:noWrap/>
            <w:vAlign w:val="bottom"/>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w:t>
            </w:r>
          </w:p>
        </w:tc>
      </w:tr>
      <w:tr w:rsidR="00513B47" w:rsidRPr="00F50F8B" w:rsidTr="008A0A65">
        <w:trPr>
          <w:trHeight w:val="334"/>
        </w:trPr>
        <w:tc>
          <w:tcPr>
            <w:tcW w:w="825" w:type="dxa"/>
            <w:vMerge w:val="restart"/>
            <w:tcBorders>
              <w:top w:val="nil"/>
              <w:left w:val="single" w:sz="8" w:space="0" w:color="auto"/>
              <w:bottom w:val="single" w:sz="8" w:space="0" w:color="000000"/>
              <w:right w:val="nil"/>
            </w:tcBorders>
            <w:textDirection w:val="btLr"/>
            <w:vAlign w:val="center"/>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Non-Economic         Value</w:t>
            </w:r>
          </w:p>
        </w:tc>
        <w:tc>
          <w:tcPr>
            <w:tcW w:w="5424" w:type="dxa"/>
            <w:tcBorders>
              <w:top w:val="nil"/>
              <w:left w:val="single" w:sz="8" w:space="0" w:color="auto"/>
              <w:bottom w:val="nil"/>
              <w:right w:val="single" w:sz="4" w:space="0" w:color="auto"/>
            </w:tcBorders>
            <w:noWrap/>
            <w:vAlign w:val="bottom"/>
          </w:tcPr>
          <w:p w:rsidR="00513B47" w:rsidRPr="00600E6F" w:rsidRDefault="00513B47" w:rsidP="00C31CC0">
            <w:pPr>
              <w:pStyle w:val="ListParagraph"/>
              <w:numPr>
                <w:ilvl w:val="0"/>
                <w:numId w:val="35"/>
              </w:numPr>
              <w:spacing w:after="0" w:line="240" w:lineRule="auto"/>
              <w:ind w:left="369"/>
              <w:contextualSpacing w:val="0"/>
              <w:rPr>
                <w:rFonts w:ascii="Times New Roman" w:eastAsia="Times New Roman" w:hAnsi="Times New Roman"/>
                <w:color w:val="000000"/>
                <w:sz w:val="20"/>
              </w:rPr>
            </w:pPr>
            <w:r w:rsidRPr="00600E6F">
              <w:rPr>
                <w:rFonts w:ascii="Times New Roman" w:hAnsi="Times New Roman"/>
                <w:color w:val="000000"/>
                <w:sz w:val="20"/>
              </w:rPr>
              <w:t>Health &amp; Comfort</w:t>
            </w:r>
          </w:p>
        </w:tc>
        <w:tc>
          <w:tcPr>
            <w:tcW w:w="3111" w:type="dxa"/>
            <w:tcBorders>
              <w:top w:val="nil"/>
              <w:left w:val="nil"/>
              <w:bottom w:val="nil"/>
              <w:right w:val="single" w:sz="8" w:space="0" w:color="auto"/>
            </w:tcBorders>
            <w:noWrap/>
            <w:vAlign w:val="bottom"/>
          </w:tcPr>
          <w:p w:rsidR="00513B47" w:rsidRPr="00600E6F" w:rsidRDefault="00513B47" w:rsidP="00C31CC0">
            <w:pPr>
              <w:pStyle w:val="ListParagraph"/>
              <w:numPr>
                <w:ilvl w:val="0"/>
                <w:numId w:val="35"/>
              </w:numPr>
              <w:spacing w:after="0" w:line="240" w:lineRule="auto"/>
              <w:ind w:left="832" w:hanging="540"/>
              <w:contextualSpacing w:val="0"/>
              <w:rPr>
                <w:rFonts w:ascii="Times New Roman" w:eastAsia="Times New Roman" w:hAnsi="Times New Roman"/>
                <w:b/>
                <w:i/>
                <w:color w:val="000000"/>
                <w:sz w:val="20"/>
              </w:rPr>
            </w:pPr>
            <w:r w:rsidRPr="00600E6F">
              <w:rPr>
                <w:rFonts w:ascii="Times New Roman" w:hAnsi="Times New Roman"/>
                <w:b/>
                <w:i/>
                <w:color w:val="000000"/>
                <w:sz w:val="20"/>
              </w:rPr>
              <w:t xml:space="preserve">Offsets:  </w:t>
            </w:r>
          </w:p>
        </w:tc>
      </w:tr>
      <w:tr w:rsidR="00513B47" w:rsidRPr="00F50F8B" w:rsidTr="008A0A65">
        <w:trPr>
          <w:trHeight w:val="334"/>
        </w:trPr>
        <w:tc>
          <w:tcPr>
            <w:tcW w:w="825" w:type="dxa"/>
            <w:vMerge/>
            <w:tcBorders>
              <w:top w:val="nil"/>
              <w:left w:val="single" w:sz="8" w:space="0" w:color="auto"/>
              <w:bottom w:val="single" w:sz="8" w:space="0" w:color="000000"/>
              <w:right w:val="nil"/>
            </w:tcBorders>
            <w:vAlign w:val="center"/>
          </w:tcPr>
          <w:p w:rsidR="00513B47" w:rsidRPr="00600E6F" w:rsidRDefault="00513B47" w:rsidP="003408F4">
            <w:pPr>
              <w:spacing w:after="0" w:line="240" w:lineRule="auto"/>
              <w:rPr>
                <w:rFonts w:ascii="Times New Roman" w:hAnsi="Times New Roman"/>
                <w:b/>
                <w:color w:val="000000"/>
                <w:sz w:val="20"/>
              </w:rPr>
            </w:pPr>
          </w:p>
        </w:tc>
        <w:tc>
          <w:tcPr>
            <w:tcW w:w="5424" w:type="dxa"/>
            <w:tcBorders>
              <w:top w:val="nil"/>
              <w:left w:val="single" w:sz="8" w:space="0" w:color="auto"/>
              <w:bottom w:val="nil"/>
              <w:right w:val="single" w:sz="4" w:space="0" w:color="auto"/>
            </w:tcBorders>
            <w:noWrap/>
            <w:vAlign w:val="bottom"/>
          </w:tcPr>
          <w:p w:rsidR="00513B47" w:rsidRPr="00600E6F" w:rsidRDefault="00513B47" w:rsidP="00C31CC0">
            <w:pPr>
              <w:pStyle w:val="ListParagraph"/>
              <w:numPr>
                <w:ilvl w:val="0"/>
                <w:numId w:val="35"/>
              </w:numPr>
              <w:spacing w:after="0" w:line="240" w:lineRule="auto"/>
              <w:ind w:left="369"/>
              <w:contextualSpacing w:val="0"/>
              <w:rPr>
                <w:rFonts w:ascii="Times New Roman" w:eastAsia="Times New Roman" w:hAnsi="Times New Roman"/>
                <w:color w:val="000000"/>
                <w:sz w:val="20"/>
              </w:rPr>
            </w:pPr>
            <w:r w:rsidRPr="00600E6F">
              <w:rPr>
                <w:rFonts w:ascii="Times New Roman" w:hAnsi="Times New Roman"/>
                <w:color w:val="000000"/>
                <w:sz w:val="20"/>
              </w:rPr>
              <w:t>Altruistic</w:t>
            </w:r>
          </w:p>
        </w:tc>
        <w:tc>
          <w:tcPr>
            <w:tcW w:w="3111" w:type="dxa"/>
            <w:tcBorders>
              <w:top w:val="nil"/>
              <w:left w:val="nil"/>
              <w:bottom w:val="nil"/>
              <w:right w:val="single" w:sz="8" w:space="0" w:color="auto"/>
            </w:tcBorders>
            <w:noWrap/>
            <w:vAlign w:val="bottom"/>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xml:space="preserve">                    IOU Incentives</w:t>
            </w:r>
          </w:p>
        </w:tc>
      </w:tr>
      <w:tr w:rsidR="00513B47" w:rsidRPr="00F50F8B" w:rsidTr="008A0A65">
        <w:trPr>
          <w:trHeight w:val="334"/>
        </w:trPr>
        <w:tc>
          <w:tcPr>
            <w:tcW w:w="825" w:type="dxa"/>
            <w:vMerge/>
            <w:tcBorders>
              <w:top w:val="nil"/>
              <w:left w:val="single" w:sz="8" w:space="0" w:color="auto"/>
              <w:bottom w:val="single" w:sz="8" w:space="0" w:color="000000"/>
              <w:right w:val="nil"/>
            </w:tcBorders>
            <w:vAlign w:val="center"/>
          </w:tcPr>
          <w:p w:rsidR="00513B47" w:rsidRPr="00600E6F" w:rsidRDefault="00513B47" w:rsidP="003408F4">
            <w:pPr>
              <w:spacing w:after="0" w:line="240" w:lineRule="auto"/>
              <w:rPr>
                <w:rFonts w:ascii="Times New Roman" w:hAnsi="Times New Roman"/>
                <w:b/>
                <w:color w:val="000000"/>
                <w:sz w:val="20"/>
              </w:rPr>
            </w:pPr>
          </w:p>
        </w:tc>
        <w:tc>
          <w:tcPr>
            <w:tcW w:w="5424" w:type="dxa"/>
            <w:tcBorders>
              <w:top w:val="nil"/>
              <w:left w:val="single" w:sz="8" w:space="0" w:color="auto"/>
              <w:bottom w:val="nil"/>
              <w:right w:val="single" w:sz="4" w:space="0" w:color="auto"/>
            </w:tcBorders>
            <w:noWrap/>
            <w:vAlign w:val="bottom"/>
          </w:tcPr>
          <w:p w:rsidR="00513B47" w:rsidRPr="00600E6F" w:rsidRDefault="00513B47" w:rsidP="00C31CC0">
            <w:pPr>
              <w:pStyle w:val="ListParagraph"/>
              <w:numPr>
                <w:ilvl w:val="0"/>
                <w:numId w:val="124"/>
              </w:numPr>
              <w:spacing w:after="0" w:line="240" w:lineRule="auto"/>
              <w:contextualSpacing w:val="0"/>
              <w:rPr>
                <w:rFonts w:ascii="Times New Roman" w:eastAsia="Times New Roman" w:hAnsi="Times New Roman"/>
                <w:color w:val="000000"/>
                <w:sz w:val="20"/>
              </w:rPr>
            </w:pPr>
            <w:r w:rsidRPr="00600E6F">
              <w:rPr>
                <w:rFonts w:ascii="Times New Roman" w:hAnsi="Times New Roman"/>
                <w:color w:val="000000"/>
                <w:sz w:val="20"/>
              </w:rPr>
              <w:t>Environment</w:t>
            </w:r>
          </w:p>
        </w:tc>
        <w:tc>
          <w:tcPr>
            <w:tcW w:w="3111" w:type="dxa"/>
            <w:tcBorders>
              <w:top w:val="nil"/>
              <w:left w:val="nil"/>
              <w:bottom w:val="nil"/>
              <w:right w:val="single" w:sz="8" w:space="0" w:color="auto"/>
            </w:tcBorders>
            <w:noWrap/>
            <w:vAlign w:val="bottom"/>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xml:space="preserve">                    Financing</w:t>
            </w:r>
          </w:p>
        </w:tc>
      </w:tr>
      <w:tr w:rsidR="00513B47" w:rsidRPr="00F50F8B" w:rsidTr="008A0A65">
        <w:trPr>
          <w:trHeight w:val="334"/>
        </w:trPr>
        <w:tc>
          <w:tcPr>
            <w:tcW w:w="825" w:type="dxa"/>
            <w:vMerge/>
            <w:tcBorders>
              <w:top w:val="nil"/>
              <w:left w:val="single" w:sz="8" w:space="0" w:color="auto"/>
              <w:bottom w:val="single" w:sz="8" w:space="0" w:color="000000"/>
              <w:right w:val="nil"/>
            </w:tcBorders>
            <w:vAlign w:val="center"/>
          </w:tcPr>
          <w:p w:rsidR="00513B47" w:rsidRPr="00600E6F" w:rsidRDefault="00513B47" w:rsidP="003408F4">
            <w:pPr>
              <w:spacing w:after="0" w:line="240" w:lineRule="auto"/>
              <w:rPr>
                <w:rFonts w:ascii="Times New Roman" w:hAnsi="Times New Roman"/>
                <w:b/>
                <w:color w:val="000000"/>
                <w:sz w:val="20"/>
              </w:rPr>
            </w:pPr>
          </w:p>
        </w:tc>
        <w:tc>
          <w:tcPr>
            <w:tcW w:w="5424" w:type="dxa"/>
            <w:tcBorders>
              <w:top w:val="nil"/>
              <w:left w:val="single" w:sz="8" w:space="0" w:color="auto"/>
              <w:right w:val="single" w:sz="4" w:space="0" w:color="auto"/>
            </w:tcBorders>
            <w:noWrap/>
            <w:vAlign w:val="bottom"/>
          </w:tcPr>
          <w:p w:rsidR="00513B47" w:rsidRPr="00600E6F" w:rsidRDefault="00513B47" w:rsidP="00C31CC0">
            <w:pPr>
              <w:pStyle w:val="ListParagraph"/>
              <w:numPr>
                <w:ilvl w:val="0"/>
                <w:numId w:val="124"/>
              </w:numPr>
              <w:spacing w:after="0" w:line="240" w:lineRule="auto"/>
              <w:contextualSpacing w:val="0"/>
              <w:rPr>
                <w:rFonts w:ascii="Times New Roman" w:eastAsia="Times New Roman" w:hAnsi="Times New Roman"/>
                <w:color w:val="000000"/>
                <w:sz w:val="20"/>
              </w:rPr>
            </w:pPr>
            <w:r w:rsidRPr="00600E6F">
              <w:rPr>
                <w:rFonts w:ascii="Times New Roman" w:hAnsi="Times New Roman"/>
                <w:color w:val="000000"/>
                <w:sz w:val="20"/>
              </w:rPr>
              <w:t>National Security</w:t>
            </w:r>
          </w:p>
        </w:tc>
        <w:tc>
          <w:tcPr>
            <w:tcW w:w="3111" w:type="dxa"/>
            <w:tcBorders>
              <w:top w:val="nil"/>
              <w:left w:val="nil"/>
              <w:right w:val="single" w:sz="8" w:space="0" w:color="auto"/>
            </w:tcBorders>
            <w:noWrap/>
            <w:vAlign w:val="bottom"/>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w:t>
            </w:r>
          </w:p>
        </w:tc>
      </w:tr>
      <w:tr w:rsidR="00513B47" w:rsidRPr="00F50F8B" w:rsidTr="00421BBD">
        <w:trPr>
          <w:trHeight w:val="376"/>
        </w:trPr>
        <w:tc>
          <w:tcPr>
            <w:tcW w:w="825" w:type="dxa"/>
            <w:vMerge/>
            <w:tcBorders>
              <w:top w:val="nil"/>
              <w:left w:val="single" w:sz="8" w:space="0" w:color="auto"/>
              <w:bottom w:val="single" w:sz="8" w:space="0" w:color="000000"/>
              <w:right w:val="nil"/>
            </w:tcBorders>
            <w:vAlign w:val="center"/>
          </w:tcPr>
          <w:p w:rsidR="00513B47" w:rsidRPr="00600E6F" w:rsidRDefault="00513B47" w:rsidP="003408F4">
            <w:pPr>
              <w:spacing w:after="0" w:line="240" w:lineRule="auto"/>
              <w:rPr>
                <w:rFonts w:ascii="Times New Roman" w:hAnsi="Times New Roman"/>
                <w:b/>
                <w:color w:val="000000"/>
                <w:sz w:val="20"/>
              </w:rPr>
            </w:pPr>
          </w:p>
        </w:tc>
        <w:tc>
          <w:tcPr>
            <w:tcW w:w="5424" w:type="dxa"/>
            <w:tcBorders>
              <w:top w:val="nil"/>
              <w:left w:val="single" w:sz="8" w:space="0" w:color="auto"/>
              <w:bottom w:val="single" w:sz="4" w:space="0" w:color="auto"/>
              <w:right w:val="single" w:sz="4" w:space="0" w:color="auto"/>
            </w:tcBorders>
            <w:noWrap/>
            <w:vAlign w:val="bottom"/>
          </w:tcPr>
          <w:p w:rsidR="00513B47" w:rsidRPr="00600E6F" w:rsidRDefault="00513B47" w:rsidP="00C31CC0">
            <w:pPr>
              <w:pStyle w:val="ListParagraph"/>
              <w:numPr>
                <w:ilvl w:val="0"/>
                <w:numId w:val="124"/>
              </w:numPr>
              <w:spacing w:after="0" w:line="240" w:lineRule="auto"/>
              <w:contextualSpacing w:val="0"/>
              <w:rPr>
                <w:rFonts w:ascii="Times New Roman" w:eastAsia="Times New Roman" w:hAnsi="Times New Roman"/>
                <w:color w:val="000000"/>
                <w:sz w:val="20"/>
              </w:rPr>
            </w:pPr>
            <w:r w:rsidRPr="00600E6F">
              <w:rPr>
                <w:rFonts w:ascii="Times New Roman" w:hAnsi="Times New Roman"/>
                <w:color w:val="000000"/>
                <w:sz w:val="20"/>
              </w:rPr>
              <w:t xml:space="preserve">Being part of Green Movement   </w:t>
            </w:r>
          </w:p>
          <w:p w:rsidR="00513B47" w:rsidRPr="00600E6F" w:rsidRDefault="00513B47" w:rsidP="003408F4">
            <w:pPr>
              <w:spacing w:after="0" w:line="240" w:lineRule="auto"/>
              <w:rPr>
                <w:rFonts w:ascii="Times New Roman" w:hAnsi="Times New Roman"/>
                <w:color w:val="000000"/>
                <w:sz w:val="20"/>
              </w:rPr>
            </w:pPr>
          </w:p>
        </w:tc>
        <w:tc>
          <w:tcPr>
            <w:tcW w:w="3111" w:type="dxa"/>
            <w:tcBorders>
              <w:top w:val="nil"/>
              <w:left w:val="nil"/>
              <w:bottom w:val="single" w:sz="4" w:space="0" w:color="auto"/>
              <w:right w:val="single" w:sz="8" w:space="0" w:color="auto"/>
            </w:tcBorders>
            <w:noWrap/>
            <w:vAlign w:val="bottom"/>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w:t>
            </w:r>
          </w:p>
        </w:tc>
      </w:tr>
      <w:tr w:rsidR="00513B47" w:rsidRPr="00F50F8B" w:rsidTr="008A0A65">
        <w:trPr>
          <w:trHeight w:val="334"/>
        </w:trPr>
        <w:tc>
          <w:tcPr>
            <w:tcW w:w="825" w:type="dxa"/>
            <w:tcBorders>
              <w:top w:val="nil"/>
              <w:left w:val="nil"/>
              <w:bottom w:val="nil"/>
              <w:right w:val="nil"/>
            </w:tcBorders>
            <w:textDirection w:val="btLr"/>
            <w:vAlign w:val="center"/>
          </w:tcPr>
          <w:p w:rsidR="00513B47" w:rsidRPr="00600E6F" w:rsidRDefault="00513B47" w:rsidP="003408F4">
            <w:pPr>
              <w:spacing w:after="0" w:line="240" w:lineRule="auto"/>
              <w:rPr>
                <w:rFonts w:ascii="Times New Roman" w:hAnsi="Times New Roman"/>
                <w:b/>
                <w:color w:val="000000"/>
                <w:sz w:val="20"/>
              </w:rPr>
            </w:pPr>
          </w:p>
        </w:tc>
        <w:tc>
          <w:tcPr>
            <w:tcW w:w="5424" w:type="dxa"/>
            <w:tcBorders>
              <w:top w:val="single" w:sz="4" w:space="0" w:color="auto"/>
              <w:left w:val="single" w:sz="8" w:space="0" w:color="auto"/>
              <w:bottom w:val="single" w:sz="4" w:space="0" w:color="auto"/>
              <w:right w:val="single" w:sz="4" w:space="0" w:color="auto"/>
            </w:tcBorders>
            <w:shd w:val="clear" w:color="000000" w:fill="C2D69A"/>
            <w:noWrap/>
            <w:vAlign w:val="center"/>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Driving Up Value</w:t>
            </w:r>
          </w:p>
        </w:tc>
        <w:tc>
          <w:tcPr>
            <w:tcW w:w="3111" w:type="dxa"/>
            <w:tcBorders>
              <w:top w:val="single" w:sz="4" w:space="0" w:color="auto"/>
              <w:left w:val="nil"/>
              <w:bottom w:val="single" w:sz="4" w:space="0" w:color="auto"/>
              <w:right w:val="single" w:sz="8" w:space="0" w:color="auto"/>
            </w:tcBorders>
            <w:shd w:val="clear" w:color="000000" w:fill="BFBFBF"/>
            <w:noWrap/>
            <w:vAlign w:val="center"/>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Driving Down Costs</w:t>
            </w:r>
          </w:p>
        </w:tc>
      </w:tr>
      <w:tr w:rsidR="00513B47" w:rsidRPr="00F50F8B" w:rsidTr="008A0A65">
        <w:trPr>
          <w:trHeight w:val="491"/>
        </w:trPr>
        <w:tc>
          <w:tcPr>
            <w:tcW w:w="825" w:type="dxa"/>
            <w:tcBorders>
              <w:top w:val="nil"/>
              <w:left w:val="nil"/>
              <w:bottom w:val="nil"/>
              <w:right w:val="nil"/>
            </w:tcBorders>
            <w:noWrap/>
            <w:vAlign w:val="bottom"/>
          </w:tcPr>
          <w:p w:rsidR="00513B47" w:rsidRPr="00600E6F" w:rsidRDefault="00513B47" w:rsidP="003408F4">
            <w:pPr>
              <w:spacing w:after="0" w:line="240" w:lineRule="auto"/>
              <w:rPr>
                <w:rFonts w:ascii="Times New Roman" w:hAnsi="Times New Roman"/>
                <w:color w:val="000000"/>
                <w:sz w:val="20"/>
              </w:rPr>
            </w:pPr>
          </w:p>
        </w:tc>
        <w:tc>
          <w:tcPr>
            <w:tcW w:w="5424" w:type="dxa"/>
            <w:tcBorders>
              <w:top w:val="nil"/>
              <w:left w:val="single" w:sz="8" w:space="0" w:color="auto"/>
              <w:bottom w:val="nil"/>
              <w:right w:val="single" w:sz="4" w:space="0" w:color="auto"/>
            </w:tcBorders>
            <w:noWrap/>
            <w:vAlign w:val="bottom"/>
          </w:tcPr>
          <w:p w:rsidR="00513B47" w:rsidRPr="00600E6F" w:rsidRDefault="00513B47" w:rsidP="00C31CC0">
            <w:pPr>
              <w:pStyle w:val="ListParagraph"/>
              <w:numPr>
                <w:ilvl w:val="0"/>
                <w:numId w:val="35"/>
              </w:numPr>
              <w:spacing w:after="0" w:line="240" w:lineRule="auto"/>
              <w:ind w:left="369" w:hanging="369"/>
              <w:contextualSpacing w:val="0"/>
              <w:rPr>
                <w:rFonts w:ascii="Times New Roman" w:eastAsia="Times New Roman" w:hAnsi="Times New Roman"/>
                <w:color w:val="000000"/>
                <w:sz w:val="20"/>
              </w:rPr>
            </w:pPr>
            <w:r w:rsidRPr="00600E6F">
              <w:rPr>
                <w:rFonts w:ascii="Times New Roman" w:hAnsi="Times New Roman"/>
                <w:color w:val="000000"/>
                <w:sz w:val="20"/>
              </w:rPr>
              <w:t>Standard Ratings where the  Market can assign value</w:t>
            </w:r>
          </w:p>
        </w:tc>
        <w:tc>
          <w:tcPr>
            <w:tcW w:w="3111" w:type="dxa"/>
            <w:tcBorders>
              <w:top w:val="nil"/>
              <w:left w:val="nil"/>
              <w:bottom w:val="nil"/>
              <w:right w:val="single" w:sz="8" w:space="0" w:color="auto"/>
            </w:tcBorders>
            <w:noWrap/>
            <w:vAlign w:val="bottom"/>
          </w:tcPr>
          <w:p w:rsidR="00513B47" w:rsidRPr="00600E6F" w:rsidRDefault="00513B47" w:rsidP="00C31CC0">
            <w:pPr>
              <w:pStyle w:val="ListParagraph"/>
              <w:numPr>
                <w:ilvl w:val="0"/>
                <w:numId w:val="35"/>
              </w:numPr>
              <w:spacing w:after="0" w:line="240" w:lineRule="auto"/>
              <w:ind w:left="742"/>
              <w:contextualSpacing w:val="0"/>
              <w:rPr>
                <w:rFonts w:ascii="Times New Roman" w:eastAsia="Times New Roman" w:hAnsi="Times New Roman"/>
                <w:color w:val="000000"/>
                <w:sz w:val="20"/>
              </w:rPr>
            </w:pPr>
            <w:r w:rsidRPr="00600E6F">
              <w:rPr>
                <w:rFonts w:ascii="Times New Roman" w:hAnsi="Times New Roman"/>
                <w:color w:val="000000"/>
                <w:sz w:val="20"/>
              </w:rPr>
              <w:t>More Qualified Providers</w:t>
            </w:r>
          </w:p>
        </w:tc>
      </w:tr>
      <w:tr w:rsidR="00513B47" w:rsidRPr="00F50F8B" w:rsidTr="008A0A65">
        <w:trPr>
          <w:trHeight w:val="334"/>
        </w:trPr>
        <w:tc>
          <w:tcPr>
            <w:tcW w:w="825" w:type="dxa"/>
            <w:tcBorders>
              <w:top w:val="nil"/>
              <w:left w:val="nil"/>
              <w:bottom w:val="nil"/>
              <w:right w:val="nil"/>
            </w:tcBorders>
            <w:noWrap/>
            <w:vAlign w:val="bottom"/>
          </w:tcPr>
          <w:p w:rsidR="00513B47" w:rsidRPr="00600E6F" w:rsidRDefault="00513B47" w:rsidP="003408F4">
            <w:pPr>
              <w:spacing w:after="0" w:line="240" w:lineRule="auto"/>
              <w:rPr>
                <w:rFonts w:ascii="Times New Roman" w:hAnsi="Times New Roman"/>
                <w:color w:val="000000"/>
                <w:sz w:val="20"/>
              </w:rPr>
            </w:pPr>
          </w:p>
        </w:tc>
        <w:tc>
          <w:tcPr>
            <w:tcW w:w="5424" w:type="dxa"/>
            <w:tcBorders>
              <w:top w:val="nil"/>
              <w:left w:val="single" w:sz="8" w:space="0" w:color="auto"/>
              <w:bottom w:val="nil"/>
              <w:right w:val="single" w:sz="4" w:space="0" w:color="auto"/>
            </w:tcBorders>
            <w:noWrap/>
            <w:vAlign w:val="bottom"/>
          </w:tcPr>
          <w:p w:rsidR="00513B47" w:rsidRPr="00600E6F" w:rsidRDefault="00513B47" w:rsidP="00C31CC0">
            <w:pPr>
              <w:pStyle w:val="ListParagraph"/>
              <w:numPr>
                <w:ilvl w:val="0"/>
                <w:numId w:val="123"/>
              </w:numPr>
              <w:spacing w:after="0" w:line="240" w:lineRule="auto"/>
              <w:ind w:left="353"/>
              <w:contextualSpacing w:val="0"/>
              <w:rPr>
                <w:rFonts w:ascii="Times New Roman" w:eastAsia="Times New Roman" w:hAnsi="Times New Roman"/>
                <w:color w:val="000000"/>
                <w:sz w:val="20"/>
              </w:rPr>
            </w:pPr>
            <w:r w:rsidRPr="00600E6F">
              <w:rPr>
                <w:rFonts w:ascii="Times New Roman" w:hAnsi="Times New Roman"/>
                <w:color w:val="000000"/>
                <w:sz w:val="20"/>
              </w:rPr>
              <w:t>Higher monthly utility bills</w:t>
            </w:r>
          </w:p>
        </w:tc>
        <w:tc>
          <w:tcPr>
            <w:tcW w:w="3111" w:type="dxa"/>
            <w:tcBorders>
              <w:top w:val="nil"/>
              <w:left w:val="nil"/>
              <w:bottom w:val="nil"/>
              <w:right w:val="single" w:sz="8" w:space="0" w:color="auto"/>
            </w:tcBorders>
            <w:noWrap/>
            <w:vAlign w:val="bottom"/>
          </w:tcPr>
          <w:p w:rsidR="00513B47" w:rsidRPr="00600E6F" w:rsidRDefault="00513B47" w:rsidP="00C31CC0">
            <w:pPr>
              <w:pStyle w:val="ListParagraph"/>
              <w:numPr>
                <w:ilvl w:val="0"/>
                <w:numId w:val="35"/>
              </w:numPr>
              <w:spacing w:after="0" w:line="240" w:lineRule="auto"/>
              <w:ind w:left="742"/>
              <w:contextualSpacing w:val="0"/>
              <w:rPr>
                <w:rFonts w:ascii="Times New Roman" w:eastAsia="Times New Roman" w:hAnsi="Times New Roman"/>
                <w:color w:val="000000"/>
                <w:sz w:val="20"/>
              </w:rPr>
            </w:pPr>
            <w:r w:rsidRPr="00600E6F">
              <w:rPr>
                <w:rFonts w:ascii="Times New Roman" w:hAnsi="Times New Roman"/>
                <w:color w:val="000000"/>
                <w:sz w:val="20"/>
              </w:rPr>
              <w:t xml:space="preserve">Higher Demand </w:t>
            </w:r>
          </w:p>
        </w:tc>
      </w:tr>
      <w:tr w:rsidR="00513B47" w:rsidRPr="00F50F8B" w:rsidTr="008A0A65">
        <w:trPr>
          <w:trHeight w:val="334"/>
        </w:trPr>
        <w:tc>
          <w:tcPr>
            <w:tcW w:w="825" w:type="dxa"/>
            <w:tcBorders>
              <w:top w:val="nil"/>
              <w:left w:val="nil"/>
              <w:bottom w:val="nil"/>
              <w:right w:val="nil"/>
            </w:tcBorders>
            <w:noWrap/>
            <w:vAlign w:val="bottom"/>
          </w:tcPr>
          <w:p w:rsidR="00513B47" w:rsidRPr="00600E6F" w:rsidRDefault="00513B47" w:rsidP="003408F4">
            <w:pPr>
              <w:spacing w:after="0" w:line="240" w:lineRule="auto"/>
              <w:rPr>
                <w:rFonts w:ascii="Times New Roman" w:hAnsi="Times New Roman"/>
                <w:color w:val="000000"/>
                <w:sz w:val="20"/>
              </w:rPr>
            </w:pPr>
          </w:p>
        </w:tc>
        <w:tc>
          <w:tcPr>
            <w:tcW w:w="5424" w:type="dxa"/>
            <w:tcBorders>
              <w:top w:val="nil"/>
              <w:left w:val="single" w:sz="8" w:space="0" w:color="auto"/>
              <w:right w:val="single" w:sz="4" w:space="0" w:color="auto"/>
            </w:tcBorders>
            <w:noWrap/>
            <w:vAlign w:val="bottom"/>
          </w:tcPr>
          <w:p w:rsidR="00513B47" w:rsidRPr="00600E6F" w:rsidRDefault="00513B47" w:rsidP="003408F4">
            <w:pPr>
              <w:pStyle w:val="ListParagraph"/>
              <w:spacing w:after="0" w:line="240" w:lineRule="auto"/>
              <w:ind w:left="369"/>
              <w:rPr>
                <w:rFonts w:ascii="Times New Roman" w:hAnsi="Times New Roman"/>
                <w:color w:val="000000"/>
                <w:sz w:val="20"/>
              </w:rPr>
            </w:pPr>
          </w:p>
        </w:tc>
        <w:tc>
          <w:tcPr>
            <w:tcW w:w="3111" w:type="dxa"/>
            <w:tcBorders>
              <w:top w:val="nil"/>
              <w:left w:val="nil"/>
              <w:right w:val="single" w:sz="8" w:space="0" w:color="auto"/>
            </w:tcBorders>
            <w:noWrap/>
            <w:vAlign w:val="bottom"/>
          </w:tcPr>
          <w:p w:rsidR="00513B47" w:rsidRPr="00600E6F" w:rsidRDefault="00513B47" w:rsidP="00C31CC0">
            <w:pPr>
              <w:pStyle w:val="ListParagraph"/>
              <w:numPr>
                <w:ilvl w:val="0"/>
                <w:numId w:val="35"/>
              </w:numPr>
              <w:spacing w:after="0" w:line="240" w:lineRule="auto"/>
              <w:ind w:left="742"/>
              <w:contextualSpacing w:val="0"/>
              <w:rPr>
                <w:rFonts w:ascii="Times New Roman" w:eastAsia="Times New Roman" w:hAnsi="Times New Roman"/>
                <w:color w:val="000000"/>
                <w:sz w:val="20"/>
              </w:rPr>
            </w:pPr>
            <w:r w:rsidRPr="00600E6F">
              <w:rPr>
                <w:rFonts w:ascii="Times New Roman" w:hAnsi="Times New Roman"/>
                <w:color w:val="000000"/>
                <w:sz w:val="20"/>
              </w:rPr>
              <w:t>Streamlined Processes</w:t>
            </w:r>
          </w:p>
        </w:tc>
      </w:tr>
      <w:tr w:rsidR="00513B47" w:rsidRPr="00F50F8B" w:rsidTr="008A0A65">
        <w:trPr>
          <w:trHeight w:val="334"/>
        </w:trPr>
        <w:tc>
          <w:tcPr>
            <w:tcW w:w="825" w:type="dxa"/>
            <w:tcBorders>
              <w:top w:val="nil"/>
              <w:left w:val="nil"/>
              <w:bottom w:val="nil"/>
              <w:right w:val="nil"/>
            </w:tcBorders>
            <w:noWrap/>
            <w:vAlign w:val="bottom"/>
          </w:tcPr>
          <w:p w:rsidR="00513B47" w:rsidRPr="00600E6F" w:rsidRDefault="00513B47" w:rsidP="003408F4">
            <w:pPr>
              <w:spacing w:after="0" w:line="240" w:lineRule="auto"/>
              <w:rPr>
                <w:rFonts w:ascii="Times New Roman" w:hAnsi="Times New Roman"/>
                <w:color w:val="000000"/>
                <w:sz w:val="20"/>
              </w:rPr>
            </w:pPr>
          </w:p>
        </w:tc>
        <w:tc>
          <w:tcPr>
            <w:tcW w:w="5424" w:type="dxa"/>
            <w:tcBorders>
              <w:top w:val="nil"/>
              <w:left w:val="single" w:sz="8" w:space="0" w:color="auto"/>
              <w:bottom w:val="single" w:sz="4" w:space="0" w:color="auto"/>
              <w:right w:val="single" w:sz="4" w:space="0" w:color="auto"/>
            </w:tcBorders>
            <w:noWrap/>
            <w:vAlign w:val="bottom"/>
          </w:tcPr>
          <w:p w:rsidR="00513B47" w:rsidRPr="00600E6F" w:rsidRDefault="00513B47" w:rsidP="003408F4">
            <w:pPr>
              <w:spacing w:after="0" w:line="240" w:lineRule="auto"/>
              <w:rPr>
                <w:rFonts w:ascii="Times New Roman" w:hAnsi="Times New Roman"/>
                <w:color w:val="000000"/>
                <w:sz w:val="20"/>
              </w:rPr>
            </w:pPr>
          </w:p>
        </w:tc>
        <w:tc>
          <w:tcPr>
            <w:tcW w:w="3111" w:type="dxa"/>
            <w:tcBorders>
              <w:top w:val="nil"/>
              <w:left w:val="nil"/>
              <w:bottom w:val="single" w:sz="4" w:space="0" w:color="auto"/>
              <w:right w:val="single" w:sz="8" w:space="0" w:color="auto"/>
            </w:tcBorders>
            <w:noWrap/>
            <w:vAlign w:val="bottom"/>
          </w:tcPr>
          <w:p w:rsidR="00513B47" w:rsidRPr="00600E6F" w:rsidRDefault="00513B47" w:rsidP="00C31CC0">
            <w:pPr>
              <w:pStyle w:val="ListParagraph"/>
              <w:numPr>
                <w:ilvl w:val="0"/>
                <w:numId w:val="35"/>
              </w:numPr>
              <w:spacing w:after="0" w:line="240" w:lineRule="auto"/>
              <w:ind w:left="742"/>
              <w:contextualSpacing w:val="0"/>
              <w:rPr>
                <w:rFonts w:ascii="Times New Roman" w:eastAsia="Times New Roman" w:hAnsi="Times New Roman"/>
                <w:color w:val="000000"/>
                <w:sz w:val="20"/>
              </w:rPr>
            </w:pPr>
            <w:r w:rsidRPr="00600E6F">
              <w:rPr>
                <w:rFonts w:ascii="Times New Roman" w:hAnsi="Times New Roman"/>
                <w:color w:val="000000"/>
                <w:sz w:val="20"/>
              </w:rPr>
              <w:t>Innovative Marketplace</w:t>
            </w:r>
          </w:p>
        </w:tc>
      </w:tr>
    </w:tbl>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34"/>
        </w:numPr>
        <w:spacing w:after="0" w:line="240" w:lineRule="auto"/>
        <w:rPr>
          <w:rFonts w:ascii="Times New Roman" w:hAnsi="Times New Roman"/>
          <w:sz w:val="24"/>
        </w:rPr>
      </w:pPr>
      <w:r w:rsidRPr="00600E6F">
        <w:rPr>
          <w:rFonts w:ascii="Times New Roman" w:hAnsi="Times New Roman"/>
          <w:b/>
          <w:sz w:val="24"/>
        </w:rPr>
        <w:lastRenderedPageBreak/>
        <w:t>Measure Savings/ Work Papers</w:t>
      </w: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1"/>
          <w:numId w:val="134"/>
        </w:numPr>
        <w:spacing w:after="0" w:line="240" w:lineRule="auto"/>
        <w:rPr>
          <w:rFonts w:ascii="Times New Roman" w:hAnsi="Times New Roman"/>
          <w:sz w:val="24"/>
        </w:rPr>
      </w:pPr>
      <w:r w:rsidRPr="00600E6F">
        <w:rPr>
          <w:rFonts w:ascii="Times New Roman" w:hAnsi="Times New Roman"/>
          <w:sz w:val="24"/>
        </w:rPr>
        <w:t xml:space="preserve">WHUP </w:t>
      </w:r>
      <w:r w:rsidRPr="00600E6F">
        <w:rPr>
          <w:rFonts w:ascii="Times New Roman" w:hAnsi="Times New Roman"/>
          <w:i/>
          <w:sz w:val="24"/>
        </w:rPr>
        <w:t xml:space="preserve">Basic Path </w:t>
      </w:r>
      <w:r w:rsidRPr="00600E6F">
        <w:rPr>
          <w:rFonts w:ascii="Times New Roman" w:hAnsi="Times New Roman"/>
          <w:sz w:val="24"/>
        </w:rPr>
        <w:t>utilizes deemed savings values by climate zone for building vintages pre-1979 and by climate zone post- 1979</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 xml:space="preserve">WHUP </w:t>
      </w:r>
      <w:r w:rsidRPr="00600E6F">
        <w:rPr>
          <w:rFonts w:ascii="Times New Roman" w:hAnsi="Times New Roman"/>
          <w:i/>
          <w:sz w:val="24"/>
        </w:rPr>
        <w:t>Advanced Path</w:t>
      </w:r>
      <w:r w:rsidRPr="00600E6F">
        <w:rPr>
          <w:rFonts w:ascii="Times New Roman" w:hAnsi="Times New Roman"/>
          <w:sz w:val="24"/>
        </w:rPr>
        <w:t xml:space="preserve"> utilizes CEC approved software (i.e. Energy Pro Res Module at the time of this PIP) for calculated project savings. </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 xml:space="preserve">WHUP </w:t>
      </w:r>
      <w:r w:rsidRPr="00600E6F">
        <w:rPr>
          <w:rFonts w:ascii="Times New Roman" w:hAnsi="Times New Roman"/>
          <w:i/>
          <w:sz w:val="24"/>
        </w:rPr>
        <w:t>Multifamily Path</w:t>
      </w:r>
      <w:r w:rsidRPr="00600E6F">
        <w:rPr>
          <w:rFonts w:ascii="Times New Roman" w:hAnsi="Times New Roman"/>
          <w:sz w:val="24"/>
        </w:rPr>
        <w:t xml:space="preserve"> envisions measured savings for all low-rise multi-family buildings utilizing the Energy Pro, Residential Performance Module (for Site savings calculations).  For all high-rise buildings, would utilize the Non Res Module.</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1"/>
          <w:numId w:val="134"/>
        </w:numPr>
        <w:spacing w:after="0" w:line="240" w:lineRule="auto"/>
        <w:rPr>
          <w:rFonts w:ascii="Times New Roman" w:hAnsi="Times New Roman"/>
          <w:sz w:val="24"/>
        </w:rPr>
      </w:pPr>
      <w:r w:rsidRPr="00600E6F">
        <w:rPr>
          <w:rFonts w:ascii="Times New Roman" w:hAnsi="Times New Roman"/>
          <w:sz w:val="24"/>
        </w:rPr>
        <w:t xml:space="preserve">Indicate work paper status for program measures:  </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080" w:firstLine="720"/>
        <w:rPr>
          <w:rFonts w:ascii="Times New Roman" w:hAnsi="Times New Roman"/>
          <w:b/>
          <w:sz w:val="24"/>
        </w:rPr>
      </w:pPr>
      <w:r w:rsidRPr="00600E6F">
        <w:rPr>
          <w:rFonts w:ascii="Times New Roman" w:hAnsi="Times New Roman"/>
          <w:b/>
          <w:sz w:val="24"/>
        </w:rPr>
        <w:t>Table 4 – Work paper Status</w:t>
      </w:r>
    </w:p>
    <w:p w:rsidR="00513B47" w:rsidRPr="00600E6F" w:rsidRDefault="00513B47" w:rsidP="003408F4">
      <w:pPr>
        <w:spacing w:after="0" w:line="240" w:lineRule="auto"/>
        <w:ind w:left="1800"/>
        <w:rPr>
          <w:rFonts w:ascii="Times New Roman" w:hAnsi="Times New Roman"/>
          <w:i/>
          <w:sz w:val="24"/>
        </w:rPr>
      </w:pPr>
      <w:r w:rsidRPr="00600E6F">
        <w:rPr>
          <w:rFonts w:ascii="Times New Roman" w:hAnsi="Times New Roman"/>
          <w:i/>
          <w:sz w:val="24"/>
        </w:rPr>
        <w:t>[Table 4 Work paper Status to be provided as an Excel Attachment to this PIP]</w:t>
      </w:r>
    </w:p>
    <w:p w:rsidR="003931C8" w:rsidRPr="00D737C2" w:rsidRDefault="003931C8" w:rsidP="003408F4">
      <w:pPr>
        <w:autoSpaceDE w:val="0"/>
        <w:autoSpaceDN w:val="0"/>
        <w:adjustRightInd w:val="0"/>
        <w:snapToGrid w:val="0"/>
        <w:spacing w:after="0" w:line="240" w:lineRule="auto"/>
        <w:ind w:left="1440"/>
        <w:rPr>
          <w:rFonts w:ascii="Times New Roman" w:hAnsi="Times New Roman"/>
          <w:color w:val="000000"/>
          <w:sz w:val="24"/>
          <w:szCs w:val="24"/>
        </w:rPr>
      </w:pPr>
    </w:p>
    <w:p w:rsidR="00513B47" w:rsidRPr="00600E6F" w:rsidRDefault="00513B47" w:rsidP="00C31CC0">
      <w:pPr>
        <w:pStyle w:val="ListParagraph"/>
        <w:numPr>
          <w:ilvl w:val="0"/>
          <w:numId w:val="145"/>
        </w:numPr>
        <w:spacing w:after="0" w:line="240" w:lineRule="auto"/>
        <w:contextualSpacing w:val="0"/>
        <w:rPr>
          <w:rFonts w:ascii="Times New Roman" w:hAnsi="Times New Roman"/>
          <w:b/>
          <w:sz w:val="24"/>
        </w:rPr>
      </w:pPr>
      <w:r w:rsidRPr="00600E6F">
        <w:rPr>
          <w:rFonts w:ascii="Times New Roman" w:hAnsi="Times New Roman"/>
          <w:b/>
          <w:sz w:val="24"/>
        </w:rPr>
        <w:t xml:space="preserve">  Program Implementation Details</w:t>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In addition to traditional marketing efforts, the IOUs will work through service providers and vendors to engage qualified tradespersons in the crafts that they have chosen and will continue to invite input from stakeholders to further develop additional ways to meet program objectives.</w:t>
      </w:r>
    </w:p>
    <w:p w:rsidR="00513B47" w:rsidRPr="00600E6F" w:rsidRDefault="00513B47" w:rsidP="003408F4">
      <w:pPr>
        <w:tabs>
          <w:tab w:val="left" w:pos="360"/>
        </w:tabs>
        <w:spacing w:after="0" w:line="240" w:lineRule="auto"/>
        <w:ind w:left="720"/>
        <w:rPr>
          <w:rFonts w:ascii="Times New Roman" w:hAnsi="Times New Roman"/>
          <w:sz w:val="24"/>
        </w:rPr>
      </w:pP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One of the avenues that the IOUs plan to pursue to advance the program’s efforts to achieve deeper energy savings retrofits in homes is to build closer partnerships with California’s real estate industry, including via such activities such as voluntary training and outreach partnerships. Based on input already gathered from relevant stakeholder groups, experts, and Commission Staff, the IOUs plan to implement the following main areas of activities for this initiative to leverage partnerships with the real estate industry:</w:t>
      </w:r>
    </w:p>
    <w:p w:rsidR="00513B47" w:rsidRPr="00600E6F" w:rsidRDefault="00513B47" w:rsidP="003408F4">
      <w:pPr>
        <w:tabs>
          <w:tab w:val="left" w:pos="360"/>
        </w:tabs>
        <w:spacing w:after="0" w:line="240" w:lineRule="auto"/>
        <w:ind w:left="720"/>
        <w:rPr>
          <w:rFonts w:ascii="Times New Roman" w:hAnsi="Times New Roman"/>
          <w:sz w:val="24"/>
        </w:rPr>
      </w:pPr>
    </w:p>
    <w:p w:rsidR="00513B47" w:rsidRPr="00600E6F" w:rsidRDefault="00513B47" w:rsidP="00C31CC0">
      <w:pPr>
        <w:numPr>
          <w:ilvl w:val="0"/>
          <w:numId w:val="149"/>
        </w:numPr>
        <w:tabs>
          <w:tab w:val="left" w:pos="360"/>
        </w:tabs>
        <w:spacing w:after="240" w:line="240" w:lineRule="auto"/>
        <w:rPr>
          <w:rFonts w:ascii="Times New Roman" w:hAnsi="Times New Roman"/>
          <w:sz w:val="24"/>
        </w:rPr>
      </w:pPr>
      <w:r w:rsidRPr="00600E6F">
        <w:rPr>
          <w:rFonts w:ascii="Times New Roman" w:hAnsi="Times New Roman"/>
          <w:sz w:val="24"/>
        </w:rPr>
        <w:t xml:space="preserve">Training </w:t>
      </w:r>
      <w:r w:rsidRPr="00600E6F">
        <w:rPr>
          <w:rFonts w:ascii="Times New Roman" w:hAnsi="Times New Roman"/>
          <w:color w:val="000000"/>
          <w:sz w:val="24"/>
        </w:rPr>
        <w:t>for all relevant aspects of the real estate industry and point of sale chain (real estate agents, lenders, inspectors, green/efficiency specialists, appraisers, rater’s public agencies and contractors).  An emphasis will be placed on training the cross-functional teams that already work together in the market, since all pieces of the process needs to be covered to be effective, especially on the financing side. The use of successful case studies will also be explored.</w:t>
      </w:r>
    </w:p>
    <w:p w:rsidR="00513B47" w:rsidRPr="00600E6F" w:rsidRDefault="00513B47" w:rsidP="00C31CC0">
      <w:pPr>
        <w:numPr>
          <w:ilvl w:val="0"/>
          <w:numId w:val="149"/>
        </w:numPr>
        <w:tabs>
          <w:tab w:val="left" w:pos="360"/>
        </w:tabs>
        <w:spacing w:after="240" w:line="240" w:lineRule="auto"/>
        <w:rPr>
          <w:rFonts w:ascii="Times New Roman" w:hAnsi="Times New Roman"/>
          <w:sz w:val="24"/>
        </w:rPr>
      </w:pPr>
      <w:r w:rsidRPr="00600E6F">
        <w:rPr>
          <w:rFonts w:ascii="Times New Roman" w:hAnsi="Times New Roman"/>
          <w:color w:val="000000"/>
          <w:sz w:val="24"/>
        </w:rPr>
        <w:t xml:space="preserve">Driving customer demand for energy efficient homes via collaborative consumer education and outreach, using easy to understand messaging and including efforts such as the promotion of home energy improvements and "green" labeling around the time of purchase and sale of a home. This is a critical timing in the market that can be leveraged. </w:t>
      </w:r>
      <w:r w:rsidRPr="00600E6F">
        <w:rPr>
          <w:rFonts w:ascii="Times New Roman" w:hAnsi="Times New Roman"/>
          <w:sz w:val="24"/>
        </w:rPr>
        <w:t xml:space="preserve">The Joint Center for Housing Studies estimates that home buyers spend more than $6,000 per year on home improvements in the </w:t>
      </w:r>
      <w:r w:rsidRPr="00600E6F">
        <w:rPr>
          <w:rFonts w:ascii="Times New Roman" w:hAnsi="Times New Roman"/>
          <w:sz w:val="24"/>
        </w:rPr>
        <w:lastRenderedPageBreak/>
        <w:t>first two years after buying homes. In subsequent years, the annual average outlay drops to $2,500.</w:t>
      </w:r>
      <w:r w:rsidRPr="00600E6F">
        <w:rPr>
          <w:rStyle w:val="FootnoteReference"/>
          <w:rFonts w:ascii="Times New Roman" w:hAnsi="Times New Roman"/>
        </w:rPr>
        <w:footnoteReference w:id="39"/>
      </w:r>
    </w:p>
    <w:p w:rsidR="00513B47" w:rsidRPr="00600E6F" w:rsidRDefault="00513B47" w:rsidP="003408F4">
      <w:pPr>
        <w:ind w:left="720"/>
        <w:rPr>
          <w:rFonts w:ascii="Times New Roman" w:hAnsi="Times New Roman"/>
          <w:sz w:val="24"/>
        </w:rPr>
      </w:pPr>
      <w:r w:rsidRPr="00600E6F">
        <w:rPr>
          <w:rFonts w:ascii="Times New Roman" w:hAnsi="Times New Roman"/>
          <w:sz w:val="24"/>
        </w:rPr>
        <w:t>A key to success for this initiative is properly aligning design with the personal and business interests of the stakeholders involved particularly the Realtors, home buyers, and sellers. While promotion of energy efficiency and green building practices is the paramount objective, the initiative would remain consistent with stakeholders’ interests. By remaining stakeholder focused, the initiative aligns short-term private interests with long-term public interests.</w:t>
      </w: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 xml:space="preserve">Further details and continuous improvement of this plan will be developed by inviting additional input from an ongoing set of stakeholder collaboration discussions. Identification of appropriate regional differences and their implications to implementation will be incorporated into the plan. And short- and long-term success criteria and a periodic assessment timeline for evaluation of this initiative will be developed. </w:t>
      </w:r>
    </w:p>
    <w:p w:rsidR="00513B47" w:rsidRPr="00600E6F" w:rsidRDefault="00513B47" w:rsidP="003408F4">
      <w:pPr>
        <w:tabs>
          <w:tab w:val="left" w:pos="360"/>
        </w:tabs>
        <w:spacing w:after="0" w:line="240" w:lineRule="auto"/>
        <w:ind w:left="720"/>
        <w:rPr>
          <w:rFonts w:ascii="Times New Roman" w:hAnsi="Times New Roman"/>
          <w:sz w:val="24"/>
        </w:rPr>
      </w:pP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Also, during the transition cycle the IOUs will explore potential of offering pilot tests of expanding building science certifications and home evaluation and performance improvement processes beyond BPI to potentially include equivalent certifications, and home evaluation and performance improvement processes such as those through ACCA.</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To increase the number of qualified participating contractors and contribute to the creation of a sustainable workforce, third party program implementers will solicit and screen qualified contractors.  The program will also include marketing activities to help educate customers on program services and other activities to provide additional customer leads to trained contractors. </w:t>
      </w:r>
    </w:p>
    <w:p w:rsidR="00513B47" w:rsidRPr="00600E6F" w:rsidRDefault="00513B47" w:rsidP="003408F4">
      <w:pPr>
        <w:tabs>
          <w:tab w:val="left" w:pos="360"/>
          <w:tab w:val="left" w:pos="720"/>
        </w:tabs>
        <w:spacing w:after="0" w:line="240" w:lineRule="auto"/>
        <w:ind w:left="720"/>
        <w:rPr>
          <w:rFonts w:ascii="Times New Roman" w:hAnsi="Times New Roman"/>
          <w:sz w:val="24"/>
        </w:rPr>
      </w:pPr>
    </w:p>
    <w:p w:rsidR="00513B47" w:rsidRPr="00600E6F" w:rsidRDefault="00513B47" w:rsidP="003408F4">
      <w:pPr>
        <w:tabs>
          <w:tab w:val="left" w:pos="360"/>
          <w:tab w:val="left" w:pos="720"/>
        </w:tabs>
        <w:spacing w:after="0" w:line="240" w:lineRule="auto"/>
        <w:ind w:left="720"/>
        <w:rPr>
          <w:rFonts w:ascii="Times New Roman" w:hAnsi="Times New Roman"/>
          <w:sz w:val="24"/>
        </w:rPr>
      </w:pPr>
      <w:r w:rsidRPr="00600E6F">
        <w:rPr>
          <w:rFonts w:ascii="Times New Roman" w:hAnsi="Times New Roman"/>
          <w:sz w:val="24"/>
        </w:rPr>
        <w:t>The program will employ a number of integrated delivery strategies:</w:t>
      </w:r>
    </w:p>
    <w:p w:rsidR="00513B47" w:rsidRPr="00600E6F" w:rsidRDefault="00513B47" w:rsidP="003408F4">
      <w:pPr>
        <w:tabs>
          <w:tab w:val="left" w:pos="360"/>
          <w:tab w:val="left" w:pos="720"/>
        </w:tabs>
        <w:spacing w:after="0" w:line="240" w:lineRule="auto"/>
        <w:ind w:left="720"/>
        <w:rPr>
          <w:rFonts w:ascii="Times New Roman" w:hAnsi="Times New Roman"/>
          <w:sz w:val="24"/>
        </w:rPr>
      </w:pP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Educate contractors and residential customers on the concept of home performance;</w:t>
      </w: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Coordinate with existing residential program offerings (e.g. ESAP, HVAC, HEER, Energy Advisor and MFEER) within the utility portfolios;</w:t>
      </w: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Provide robust quality assurance and quality control protocols that encourage quality installation and drive contractors to obtain additional training and qualifications;</w:t>
      </w: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Provide robust EM&amp;V feedback loops to inform program enhancements;</w:t>
      </w: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Integrate with marketing efforts of the broadened statewide “Energy Upgrade California” brand, when launched, and deliver complementary marketing messaging to drive customer demand and contractor participation;</w:t>
      </w: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Coordinate contractor training, marketing and outreach efforts with local governments, as appropriate; and</w:t>
      </w:r>
    </w:p>
    <w:p w:rsidR="00513B47" w:rsidRPr="00600E6F" w:rsidRDefault="00513B47" w:rsidP="00C31CC0">
      <w:pPr>
        <w:numPr>
          <w:ilvl w:val="0"/>
          <w:numId w:val="37"/>
        </w:numPr>
        <w:tabs>
          <w:tab w:val="left" w:pos="360"/>
        </w:tabs>
        <w:spacing w:after="0" w:line="240" w:lineRule="auto"/>
        <w:rPr>
          <w:rFonts w:ascii="Times New Roman" w:hAnsi="Times New Roman"/>
          <w:sz w:val="24"/>
        </w:rPr>
      </w:pPr>
      <w:r w:rsidRPr="00600E6F">
        <w:rPr>
          <w:rFonts w:ascii="Times New Roman" w:hAnsi="Times New Roman"/>
          <w:sz w:val="24"/>
        </w:rPr>
        <w:t>Develop an incentive structure that drives customers to undertake comprehensive residential retrofits.</w:t>
      </w:r>
    </w:p>
    <w:p w:rsidR="00513B47" w:rsidRDefault="00513B47" w:rsidP="003408F4">
      <w:pPr>
        <w:tabs>
          <w:tab w:val="left" w:pos="360"/>
        </w:tabs>
        <w:spacing w:after="0" w:line="240" w:lineRule="auto"/>
        <w:rPr>
          <w:rFonts w:ascii="Times New Roman" w:hAnsi="Times New Roman"/>
          <w:sz w:val="24"/>
        </w:rPr>
      </w:pPr>
    </w:p>
    <w:p w:rsidR="00421BBD" w:rsidRPr="00600E6F" w:rsidRDefault="00421BBD" w:rsidP="003408F4">
      <w:pPr>
        <w:tabs>
          <w:tab w:val="left" w:pos="360"/>
        </w:tabs>
        <w:spacing w:after="0" w:line="240" w:lineRule="auto"/>
        <w:rPr>
          <w:rFonts w:ascii="Times New Roman" w:hAnsi="Times New Roman"/>
          <w:sz w:val="24"/>
        </w:rPr>
      </w:pPr>
    </w:p>
    <w:p w:rsidR="00513B47" w:rsidRPr="00600E6F" w:rsidRDefault="00513B47" w:rsidP="003408F4">
      <w:pPr>
        <w:tabs>
          <w:tab w:val="left" w:pos="360"/>
        </w:tabs>
        <w:spacing w:after="0" w:line="240" w:lineRule="auto"/>
        <w:ind w:left="720"/>
        <w:rPr>
          <w:rFonts w:ascii="Times New Roman" w:hAnsi="Times New Roman"/>
          <w:b/>
          <w:sz w:val="24"/>
        </w:rPr>
      </w:pPr>
      <w:r w:rsidRPr="00600E6F">
        <w:rPr>
          <w:rFonts w:ascii="Times New Roman" w:hAnsi="Times New Roman"/>
          <w:b/>
          <w:sz w:val="24"/>
        </w:rPr>
        <w:lastRenderedPageBreak/>
        <w:t>Statewide Steering Committee</w:t>
      </w: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 xml:space="preserve">Given the ambitious market transformation goals of WHUP, it’s relatively new entrance into the IOU EE portfolio, and its challenges during the first two years of rollout, the IOUs during the 2013-2014 transition cycle are committed to providing the leadership and working with CPUC, CEC, local government staff, as well as relevant stakeholders to convene a statewide WHUP steering committee to address relevant and significant issues for adoption in the 2015 IOU program cycle. </w:t>
      </w:r>
    </w:p>
    <w:p w:rsidR="00513B47" w:rsidRPr="00600E6F" w:rsidRDefault="00513B47" w:rsidP="003408F4">
      <w:pPr>
        <w:tabs>
          <w:tab w:val="left" w:pos="360"/>
        </w:tabs>
        <w:spacing w:after="0" w:line="240" w:lineRule="auto"/>
        <w:ind w:left="720"/>
        <w:rPr>
          <w:rFonts w:ascii="Times New Roman" w:hAnsi="Times New Roman"/>
          <w:sz w:val="24"/>
        </w:rPr>
      </w:pP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Where feasible, necessary and relevant, the IOUs will retain the services of qualified consultants or other entities with experience in the whole house retrofit industry to assist in these efforts in the areas of research, facilitation, or other assistance as may be required.  IOUs will also engage utilities, non-profits and other stakeholders who may have experience in other parts of the country in deploying whole house programs.</w:t>
      </w:r>
    </w:p>
    <w:p w:rsidR="00513B47" w:rsidRPr="00600E6F" w:rsidRDefault="00513B47" w:rsidP="003408F4">
      <w:pPr>
        <w:tabs>
          <w:tab w:val="left" w:pos="360"/>
        </w:tabs>
        <w:spacing w:after="0" w:line="240" w:lineRule="auto"/>
        <w:ind w:left="720"/>
        <w:rPr>
          <w:rFonts w:ascii="Times New Roman" w:hAnsi="Times New Roman"/>
          <w:sz w:val="24"/>
        </w:rPr>
      </w:pPr>
      <w:r w:rsidRPr="00600E6F">
        <w:rPr>
          <w:rFonts w:ascii="Times New Roman" w:hAnsi="Times New Roman"/>
          <w:sz w:val="24"/>
        </w:rPr>
        <w:t>The steering committee will as necessary to focus on the following issues on a statewide level for consideration in the 2015 program cycle:</w:t>
      </w:r>
    </w:p>
    <w:p w:rsidR="00513B47" w:rsidRDefault="00513B47" w:rsidP="003408F4">
      <w:pPr>
        <w:tabs>
          <w:tab w:val="left" w:pos="360"/>
        </w:tabs>
        <w:spacing w:after="0" w:line="240" w:lineRule="auto"/>
        <w:ind w:left="720"/>
        <w:rPr>
          <w:rFonts w:ascii="Times New Roman" w:hAnsi="Times New Roman"/>
          <w:sz w:val="24"/>
        </w:rPr>
      </w:pPr>
    </w:p>
    <w:p w:rsidR="00513B65" w:rsidRPr="00600E6F" w:rsidRDefault="00513B65" w:rsidP="003408F4">
      <w:pPr>
        <w:tabs>
          <w:tab w:val="left" w:pos="360"/>
        </w:tabs>
        <w:spacing w:after="0" w:line="240" w:lineRule="auto"/>
        <w:ind w:left="720"/>
        <w:rPr>
          <w:rFonts w:ascii="Times New Roman" w:hAnsi="Times New Roman"/>
          <w:sz w:val="24"/>
        </w:rPr>
      </w:pPr>
    </w:p>
    <w:p w:rsidR="00513B47" w:rsidRPr="00600E6F" w:rsidRDefault="00513B47" w:rsidP="003408F4">
      <w:pPr>
        <w:tabs>
          <w:tab w:val="left" w:pos="360"/>
        </w:tabs>
        <w:spacing w:after="0" w:line="240" w:lineRule="auto"/>
        <w:ind w:left="1800" w:hanging="360"/>
        <w:rPr>
          <w:rFonts w:ascii="Times New Roman" w:hAnsi="Times New Roman"/>
          <w:sz w:val="24"/>
        </w:rPr>
      </w:pPr>
      <w:r w:rsidRPr="00600E6F">
        <w:rPr>
          <w:rFonts w:ascii="Times New Roman" w:hAnsi="Times New Roman"/>
          <w:sz w:val="24"/>
        </w:rPr>
        <w:t>1.  Role of local governments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2.  Software standards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3.  Data collection standards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4.  Home Assessment standards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5.  Home Assessment reporting standards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6.  HERS II Ratings and alignment with WHUP EE Programs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7.  Contractor certification standards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8.  QA/QC standards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9.  Streamlined project reporting and programmatic best practices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10. Integration of HVAC programs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11. Engagement of California Real Estate Market</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12. Future of Basic Path</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13. Identification of Market Transformation Milestones and Metrics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14. Cost effectiveness metrics aligned with Market Transformation goals.</w:t>
      </w:r>
    </w:p>
    <w:p w:rsidR="00513B47" w:rsidRPr="00600E6F" w:rsidRDefault="00513B47" w:rsidP="003408F4">
      <w:pPr>
        <w:tabs>
          <w:tab w:val="left" w:pos="360"/>
        </w:tabs>
        <w:spacing w:after="0" w:line="240" w:lineRule="auto"/>
        <w:ind w:left="1440"/>
        <w:rPr>
          <w:rFonts w:ascii="Times New Roman" w:hAnsi="Times New Roman"/>
          <w:sz w:val="24"/>
        </w:rPr>
      </w:pPr>
      <w:r w:rsidRPr="00600E6F">
        <w:rPr>
          <w:rFonts w:ascii="Times New Roman" w:hAnsi="Times New Roman"/>
          <w:sz w:val="24"/>
        </w:rPr>
        <w:t>15. Long term incentive structure</w:t>
      </w:r>
    </w:p>
    <w:p w:rsidR="00513B47" w:rsidRPr="00600E6F" w:rsidRDefault="00513B47" w:rsidP="003408F4">
      <w:pPr>
        <w:pStyle w:val="ListParagraph"/>
        <w:spacing w:after="0" w:line="240" w:lineRule="auto"/>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 xml:space="preserve">Timelines:  </w:t>
      </w:r>
    </w:p>
    <w:p w:rsidR="00513B47" w:rsidRPr="00600E6F" w:rsidRDefault="00513B47" w:rsidP="003408F4">
      <w:pPr>
        <w:spacing w:after="0" w:line="240" w:lineRule="auto"/>
        <w:ind w:left="720" w:firstLine="720"/>
        <w:rPr>
          <w:rFonts w:ascii="Times New Roman" w:hAnsi="Times New Roman"/>
          <w:sz w:val="24"/>
        </w:rPr>
      </w:pPr>
      <w:r w:rsidRPr="00600E6F">
        <w:rPr>
          <w:rFonts w:ascii="Times New Roman" w:hAnsi="Times New Roman"/>
          <w:b/>
          <w:sz w:val="24"/>
        </w:rPr>
        <w:t>Table 5:</w:t>
      </w:r>
      <w:r w:rsidRPr="00600E6F">
        <w:rPr>
          <w:rFonts w:ascii="Times New Roman" w:hAnsi="Times New Roman"/>
          <w:sz w:val="24"/>
        </w:rPr>
        <w:t xml:space="preserve"> Sub-Program Milestones </w:t>
      </w:r>
    </w:p>
    <w:p w:rsidR="00513B47" w:rsidRPr="00600E6F" w:rsidRDefault="00513B47" w:rsidP="003408F4">
      <w:pPr>
        <w:spacing w:after="0" w:line="240" w:lineRule="auto"/>
        <w:ind w:left="720" w:firstLine="720"/>
        <w:rPr>
          <w:rFonts w:ascii="Times New Roman" w:hAnsi="Times New Roman"/>
          <w:i/>
          <w:sz w:val="24"/>
        </w:rPr>
      </w:pPr>
      <w:r w:rsidRPr="00600E6F">
        <w:rPr>
          <w:rFonts w:ascii="Times New Roman" w:hAnsi="Times New Roman"/>
          <w:i/>
          <w:sz w:val="24"/>
        </w:rPr>
        <w:t>[Table-5 to be provided as an Excel Attachment to this PIP]</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Geographic Scope</w:t>
      </w:r>
      <w:r w:rsidRPr="00600E6F">
        <w:rPr>
          <w:rFonts w:ascii="Times New Roman" w:hAnsi="Times New Roman"/>
          <w:sz w:val="24"/>
        </w:rPr>
        <w:t xml:space="preserve">: </w:t>
      </w:r>
    </w:p>
    <w:p w:rsidR="00513B47" w:rsidRPr="00600E6F" w:rsidRDefault="00513B47" w:rsidP="003408F4">
      <w:pPr>
        <w:spacing w:after="0" w:line="240" w:lineRule="auto"/>
        <w:ind w:left="720" w:firstLine="720"/>
        <w:rPr>
          <w:rFonts w:ascii="Times New Roman" w:hAnsi="Times New Roman"/>
          <w:b/>
          <w:sz w:val="24"/>
        </w:rPr>
      </w:pPr>
      <w:r w:rsidRPr="00600E6F">
        <w:rPr>
          <w:rFonts w:ascii="Times New Roman" w:hAnsi="Times New Roman"/>
          <w:b/>
          <w:sz w:val="24"/>
        </w:rPr>
        <w:t xml:space="preserve">Table 6:  </w:t>
      </w:r>
      <w:r w:rsidRPr="00600E6F">
        <w:rPr>
          <w:rFonts w:ascii="Times New Roman" w:hAnsi="Times New Roman"/>
          <w:sz w:val="24"/>
        </w:rPr>
        <w:t>Geographic Regions Where the Program Will Operate</w:t>
      </w:r>
    </w:p>
    <w:p w:rsidR="00513B47" w:rsidRPr="00600E6F" w:rsidRDefault="00513B47" w:rsidP="003408F4">
      <w:pPr>
        <w:spacing w:after="0" w:line="240" w:lineRule="auto"/>
        <w:ind w:left="1440"/>
        <w:rPr>
          <w:rFonts w:ascii="Times New Roman" w:hAnsi="Times New Roman"/>
          <w:i/>
          <w:sz w:val="24"/>
        </w:rPr>
      </w:pPr>
      <w:r w:rsidRPr="00600E6F">
        <w:rPr>
          <w:rFonts w:ascii="Times New Roman" w:hAnsi="Times New Roman"/>
          <w:i/>
          <w:sz w:val="24"/>
        </w:rPr>
        <w:t>[Table 6 Geographic Regions to be provided as an Excel Attachment to this PIP]</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146"/>
        </w:numPr>
        <w:spacing w:after="0" w:line="240" w:lineRule="auto"/>
        <w:rPr>
          <w:rFonts w:ascii="Times New Roman" w:hAnsi="Times New Roman"/>
          <w:b/>
          <w:sz w:val="24"/>
        </w:rPr>
      </w:pPr>
      <w:r w:rsidRPr="00600E6F">
        <w:rPr>
          <w:rFonts w:ascii="Times New Roman" w:hAnsi="Times New Roman"/>
          <w:b/>
          <w:sz w:val="24"/>
        </w:rPr>
        <w:t xml:space="preserve">Program Administration </w:t>
      </w:r>
    </w:p>
    <w:p w:rsidR="00513B47" w:rsidRPr="00600E6F" w:rsidRDefault="00513B47" w:rsidP="003408F4">
      <w:pPr>
        <w:spacing w:after="0" w:line="240" w:lineRule="auto"/>
        <w:ind w:left="720" w:firstLine="720"/>
        <w:rPr>
          <w:rFonts w:ascii="Times New Roman" w:hAnsi="Times New Roman"/>
          <w:b/>
          <w:sz w:val="24"/>
        </w:rPr>
      </w:pPr>
      <w:r w:rsidRPr="00600E6F">
        <w:rPr>
          <w:rFonts w:ascii="Times New Roman" w:hAnsi="Times New Roman"/>
          <w:b/>
          <w:sz w:val="24"/>
        </w:rPr>
        <w:t xml:space="preserve">Table 7:  </w:t>
      </w:r>
      <w:r w:rsidRPr="00600E6F">
        <w:rPr>
          <w:rFonts w:ascii="Times New Roman" w:hAnsi="Times New Roman"/>
          <w:sz w:val="24"/>
        </w:rPr>
        <w:t>Program Administration of Program Components</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i/>
          <w:sz w:val="24"/>
        </w:rPr>
        <w:t>[Table 7 to be provided as an Excel Attachment to this PIP]</w:t>
      </w:r>
    </w:p>
    <w:p w:rsidR="00513B47" w:rsidRDefault="00513B47" w:rsidP="003408F4">
      <w:pPr>
        <w:spacing w:after="0" w:line="240" w:lineRule="auto"/>
        <w:ind w:left="1800"/>
        <w:rPr>
          <w:rFonts w:ascii="Times New Roman" w:hAnsi="Times New Roman"/>
          <w:sz w:val="24"/>
        </w:rPr>
      </w:pPr>
    </w:p>
    <w:p w:rsidR="00421BBD" w:rsidRDefault="00421BBD" w:rsidP="003408F4">
      <w:pPr>
        <w:spacing w:after="0" w:line="240" w:lineRule="auto"/>
        <w:ind w:left="1800"/>
        <w:rPr>
          <w:rFonts w:ascii="Times New Roman" w:hAnsi="Times New Roman"/>
          <w:sz w:val="24"/>
        </w:rPr>
      </w:pPr>
    </w:p>
    <w:p w:rsidR="00421BBD" w:rsidRPr="00600E6F" w:rsidRDefault="00421BBD" w:rsidP="003408F4">
      <w:pPr>
        <w:spacing w:after="0" w:line="240" w:lineRule="auto"/>
        <w:ind w:left="1800"/>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b/>
          <w:sz w:val="24"/>
        </w:rPr>
      </w:pPr>
      <w:r w:rsidRPr="00600E6F">
        <w:rPr>
          <w:rFonts w:ascii="Times New Roman" w:hAnsi="Times New Roman"/>
          <w:b/>
          <w:sz w:val="24"/>
        </w:rPr>
        <w:lastRenderedPageBreak/>
        <w:t xml:space="preserve">Program Eligibility Requirements: </w:t>
      </w:r>
    </w:p>
    <w:p w:rsidR="00513B47" w:rsidRPr="00600E6F" w:rsidRDefault="00513B47" w:rsidP="00C31CC0">
      <w:pPr>
        <w:numPr>
          <w:ilvl w:val="2"/>
          <w:numId w:val="146"/>
        </w:numPr>
        <w:tabs>
          <w:tab w:val="clear" w:pos="2520"/>
          <w:tab w:val="num" w:pos="1620"/>
        </w:tabs>
        <w:spacing w:after="0" w:line="240" w:lineRule="auto"/>
        <w:ind w:left="1620" w:hanging="360"/>
        <w:rPr>
          <w:rFonts w:ascii="Times New Roman" w:hAnsi="Times New Roman"/>
          <w:b/>
          <w:sz w:val="24"/>
        </w:rPr>
      </w:pPr>
      <w:r w:rsidRPr="00600E6F">
        <w:rPr>
          <w:rFonts w:ascii="Times New Roman" w:hAnsi="Times New Roman"/>
          <w:b/>
          <w:sz w:val="24"/>
        </w:rPr>
        <w:t>Customers:</w:t>
      </w:r>
      <w:r w:rsidRPr="00600E6F">
        <w:rPr>
          <w:rFonts w:ascii="Times New Roman" w:hAnsi="Times New Roman"/>
          <w:sz w:val="24"/>
        </w:rPr>
        <w:t xml:space="preserve"> </w:t>
      </w:r>
    </w:p>
    <w:p w:rsidR="00513B47" w:rsidRPr="00600E6F" w:rsidRDefault="00513B47" w:rsidP="003408F4">
      <w:pPr>
        <w:spacing w:after="0" w:line="240" w:lineRule="auto"/>
        <w:ind w:left="1620"/>
        <w:rPr>
          <w:rFonts w:ascii="Times New Roman" w:hAnsi="Times New Roman"/>
          <w:sz w:val="24"/>
        </w:rPr>
      </w:pPr>
      <w:r w:rsidRPr="00600E6F">
        <w:rPr>
          <w:rFonts w:ascii="Times New Roman" w:hAnsi="Times New Roman"/>
          <w:sz w:val="24"/>
        </w:rPr>
        <w:t xml:space="preserve">Single family or multi-family building customers with an active IOU account OR owners or property management firms who own or operate single family or multifamily buildings that are served by an active IOU account, may participate in WHUP provided they  utilize a Participating Contractor or a Participating Rater per program guidelines.  </w:t>
      </w:r>
    </w:p>
    <w:p w:rsidR="00513B47" w:rsidRPr="00600E6F" w:rsidRDefault="00513B47" w:rsidP="003408F4">
      <w:pPr>
        <w:spacing w:after="0" w:line="240" w:lineRule="auto"/>
        <w:ind w:left="1620"/>
        <w:rPr>
          <w:rFonts w:ascii="Times New Roman" w:hAnsi="Times New Roman"/>
          <w:sz w:val="24"/>
        </w:rPr>
      </w:pPr>
    </w:p>
    <w:p w:rsidR="00513B47" w:rsidRPr="00600E6F" w:rsidRDefault="00513B47" w:rsidP="003408F4">
      <w:pPr>
        <w:spacing w:after="0" w:line="240" w:lineRule="auto"/>
        <w:ind w:left="1620"/>
        <w:rPr>
          <w:rFonts w:ascii="Times New Roman" w:hAnsi="Times New Roman"/>
          <w:sz w:val="24"/>
        </w:rPr>
      </w:pPr>
      <w:r w:rsidRPr="00600E6F">
        <w:rPr>
          <w:rFonts w:ascii="Times New Roman" w:hAnsi="Times New Roman"/>
          <w:sz w:val="24"/>
        </w:rPr>
        <w:t>Participating Contractors or Participating Raters shall be the single point of contact for customers and are responsible for submission of all program requirements.  Participating Contractors and Participating Raters will install or ensure installation of all measures in accordance with IOU QA/QC and Measures Installation Standards guidelines in accordance with applicable contractor/ rater participation agreements.</w:t>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ind w:left="1620"/>
        <w:rPr>
          <w:rFonts w:ascii="Times New Roman" w:hAnsi="Times New Roman"/>
          <w:sz w:val="24"/>
        </w:rPr>
      </w:pPr>
      <w:r w:rsidRPr="00600E6F">
        <w:rPr>
          <w:rFonts w:ascii="Times New Roman" w:hAnsi="Times New Roman"/>
          <w:b/>
          <w:sz w:val="24"/>
        </w:rPr>
        <w:t xml:space="preserve">Table 8:  </w:t>
      </w:r>
      <w:r w:rsidRPr="00600E6F">
        <w:rPr>
          <w:rFonts w:ascii="Times New Roman" w:hAnsi="Times New Roman"/>
          <w:sz w:val="24"/>
        </w:rPr>
        <w:t>Customer Eligibility Requirements (Joint Utility Table)</w:t>
      </w:r>
    </w:p>
    <w:p w:rsidR="00513B47" w:rsidRPr="00600E6F" w:rsidRDefault="00513B47" w:rsidP="003408F4">
      <w:pPr>
        <w:spacing w:after="0" w:line="240" w:lineRule="auto"/>
        <w:ind w:left="1620"/>
        <w:rPr>
          <w:rFonts w:ascii="Times New Roman" w:hAnsi="Times New Roman"/>
          <w:i/>
          <w:sz w:val="24"/>
        </w:rPr>
      </w:pPr>
      <w:r w:rsidRPr="00600E6F">
        <w:rPr>
          <w:rFonts w:ascii="Times New Roman" w:hAnsi="Times New Roman"/>
          <w:i/>
          <w:sz w:val="24"/>
        </w:rPr>
        <w:t>[Table 8 to be provided as an Excel Attachment to this PIP]</w:t>
      </w:r>
    </w:p>
    <w:p w:rsidR="003931C8" w:rsidRDefault="003931C8" w:rsidP="003408F4">
      <w:pPr>
        <w:spacing w:after="0" w:line="240" w:lineRule="auto"/>
        <w:ind w:left="1620"/>
        <w:rPr>
          <w:rFonts w:ascii="Times New Roman" w:hAnsi="Times New Roman"/>
          <w:b/>
          <w:sz w:val="24"/>
          <w:szCs w:val="24"/>
        </w:rPr>
      </w:pPr>
    </w:p>
    <w:p w:rsidR="00513B47" w:rsidRPr="00600E6F" w:rsidRDefault="00513B47" w:rsidP="00C31CC0">
      <w:pPr>
        <w:numPr>
          <w:ilvl w:val="2"/>
          <w:numId w:val="146"/>
        </w:numPr>
        <w:tabs>
          <w:tab w:val="clear" w:pos="2520"/>
          <w:tab w:val="num" w:pos="1620"/>
        </w:tabs>
        <w:spacing w:after="0" w:line="240" w:lineRule="auto"/>
        <w:ind w:left="1620"/>
        <w:rPr>
          <w:rFonts w:ascii="Times New Roman" w:hAnsi="Times New Roman"/>
          <w:b/>
          <w:sz w:val="24"/>
        </w:rPr>
      </w:pPr>
      <w:r w:rsidRPr="00600E6F">
        <w:rPr>
          <w:rFonts w:ascii="Times New Roman" w:hAnsi="Times New Roman"/>
          <w:b/>
          <w:sz w:val="24"/>
        </w:rPr>
        <w:t>Contractors/Participants:</w:t>
      </w:r>
      <w:r w:rsidRPr="00600E6F">
        <w:rPr>
          <w:rFonts w:ascii="Times New Roman" w:hAnsi="Times New Roman"/>
          <w:sz w:val="24"/>
        </w:rPr>
        <w:t xml:space="preserve"> </w:t>
      </w:r>
    </w:p>
    <w:p w:rsidR="00513B47" w:rsidRPr="00600E6F" w:rsidRDefault="00513B47" w:rsidP="003408F4">
      <w:pPr>
        <w:spacing w:after="0" w:line="240" w:lineRule="auto"/>
        <w:ind w:left="1620"/>
        <w:rPr>
          <w:rFonts w:ascii="Times New Roman" w:hAnsi="Times New Roman"/>
          <w:sz w:val="24"/>
        </w:rPr>
      </w:pPr>
    </w:p>
    <w:p w:rsidR="00513B47" w:rsidRPr="00600E6F" w:rsidRDefault="00513B47" w:rsidP="003408F4">
      <w:pPr>
        <w:spacing w:after="0" w:line="240" w:lineRule="auto"/>
        <w:ind w:left="1620"/>
        <w:rPr>
          <w:rFonts w:ascii="Times New Roman" w:hAnsi="Times New Roman"/>
          <w:b/>
          <w:sz w:val="24"/>
          <w:u w:val="single"/>
        </w:rPr>
      </w:pPr>
      <w:r w:rsidRPr="00600E6F">
        <w:rPr>
          <w:rFonts w:ascii="Times New Roman" w:hAnsi="Times New Roman"/>
          <w:b/>
          <w:sz w:val="24"/>
          <w:u w:val="single"/>
        </w:rPr>
        <w:t xml:space="preserve">Participating Contractor Requirements for Basic Path and </w:t>
      </w:r>
      <w:r w:rsidRPr="00600E6F">
        <w:rPr>
          <w:rFonts w:ascii="Times New Roman" w:hAnsi="Times New Roman"/>
          <w:b/>
          <w:i/>
          <w:sz w:val="24"/>
          <w:u w:val="single"/>
        </w:rPr>
        <w:t>Advanced Path</w:t>
      </w:r>
    </w:p>
    <w:p w:rsidR="00513B47" w:rsidRPr="00600E6F" w:rsidRDefault="00513B47" w:rsidP="003408F4">
      <w:pPr>
        <w:spacing w:after="0" w:line="240" w:lineRule="auto"/>
        <w:ind w:left="1620"/>
        <w:rPr>
          <w:rFonts w:ascii="Times New Roman" w:hAnsi="Times New Roman"/>
          <w:sz w:val="24"/>
        </w:rPr>
      </w:pPr>
      <w:r w:rsidRPr="00600E6F">
        <w:rPr>
          <w:rFonts w:ascii="Times New Roman" w:hAnsi="Times New Roman"/>
          <w:sz w:val="24"/>
        </w:rPr>
        <w:t>Participating WHUP Contractors must be certified and licensed according to all applicable federal, state and local laws.  Participating Contractors shall meet, and provide sufficient evidence and supporting documentation for the following minimum requirements:</w:t>
      </w:r>
    </w:p>
    <w:p w:rsidR="00513B47" w:rsidRPr="00600E6F" w:rsidRDefault="00513B47" w:rsidP="003408F4">
      <w:pPr>
        <w:spacing w:after="0" w:line="240" w:lineRule="auto"/>
        <w:ind w:left="1620"/>
        <w:rPr>
          <w:rFonts w:ascii="Times New Roman" w:hAnsi="Times New Roman"/>
          <w:sz w:val="24"/>
        </w:rPr>
      </w:pP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Contractor State Licensing Board (CSLB) license in the appropriate specialty;</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2.</w:t>
      </w:r>
      <w:r w:rsidRPr="00600E6F">
        <w:rPr>
          <w:rFonts w:ascii="Times New Roman" w:hAnsi="Times New Roman"/>
          <w:sz w:val="24"/>
        </w:rPr>
        <w:tab/>
        <w:t xml:space="preserve">Bonding and in good standing. </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3.</w:t>
      </w:r>
      <w:r w:rsidRPr="00600E6F">
        <w:rPr>
          <w:rFonts w:ascii="Times New Roman" w:hAnsi="Times New Roman"/>
          <w:sz w:val="24"/>
        </w:rPr>
        <w:tab/>
        <w:t xml:space="preserve">Insurance to IOU minimum insurance standard; </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 xml:space="preserve">Execution of a contractor participation agreement; </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5.</w:t>
      </w:r>
      <w:r w:rsidRPr="00600E6F">
        <w:rPr>
          <w:rFonts w:ascii="Times New Roman" w:hAnsi="Times New Roman"/>
          <w:sz w:val="24"/>
        </w:rPr>
        <w:tab/>
        <w:t>Completion of all utility training course requirements, including Participation Workshop and a 3-Day Basic and/or Energy Upgrade Training, Workshop, if not BPI-certified Basic or Advanced Training, as appropriate;</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6.</w:t>
      </w:r>
      <w:r w:rsidRPr="00600E6F">
        <w:rPr>
          <w:rFonts w:ascii="Times New Roman" w:hAnsi="Times New Roman"/>
          <w:sz w:val="24"/>
        </w:rPr>
        <w:tab/>
        <w:t xml:space="preserve">BPI-certified Building Analyst (BA) to complete Combustion Safety and Carbon Monoxide Protection and all other minimum Health and Safety Requirements specified in the BPI Technical Standards for Building Analyst Professional; </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7.</w:t>
      </w:r>
      <w:r w:rsidRPr="00600E6F">
        <w:rPr>
          <w:rFonts w:ascii="Times New Roman" w:hAnsi="Times New Roman"/>
          <w:sz w:val="24"/>
        </w:rPr>
        <w:tab/>
        <w:t xml:space="preserve">Ensure HVAC permits will be pulled on all work that is appropriate per local jurisdiction requirements; </w:t>
      </w:r>
    </w:p>
    <w:p w:rsidR="00513B47"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8.</w:t>
      </w:r>
      <w:r w:rsidRPr="00600E6F">
        <w:rPr>
          <w:rFonts w:ascii="Times New Roman" w:hAnsi="Times New Roman"/>
          <w:sz w:val="24"/>
        </w:rPr>
        <w:tab/>
        <w:t xml:space="preserve">Participating Contractors who participate in </w:t>
      </w:r>
      <w:r w:rsidRPr="00600E6F">
        <w:rPr>
          <w:rFonts w:ascii="Times New Roman" w:hAnsi="Times New Roman"/>
          <w:i/>
          <w:sz w:val="24"/>
        </w:rPr>
        <w:t>Advanced Path</w:t>
      </w:r>
      <w:r w:rsidRPr="00600E6F">
        <w:rPr>
          <w:rFonts w:ascii="Times New Roman" w:hAnsi="Times New Roman"/>
          <w:sz w:val="24"/>
        </w:rPr>
        <w:t xml:space="preserve"> projects, must employ at least one staff person who holds an active BPI Building Analyst certification.  BPI accreditation is strongly encouraged and may be required of all participating contractors at some point during the program cycle;</w:t>
      </w:r>
    </w:p>
    <w:p w:rsidR="00421BBD" w:rsidRPr="00600E6F" w:rsidRDefault="00421BBD" w:rsidP="003408F4">
      <w:pPr>
        <w:spacing w:after="0" w:line="240" w:lineRule="auto"/>
        <w:ind w:left="2520" w:hanging="360"/>
        <w:rPr>
          <w:rFonts w:ascii="Times New Roman" w:hAnsi="Times New Roman"/>
          <w:sz w:val="24"/>
        </w:rPr>
      </w:pP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lastRenderedPageBreak/>
        <w:t xml:space="preserve">9. </w:t>
      </w:r>
      <w:r w:rsidRPr="00600E6F">
        <w:rPr>
          <w:rFonts w:ascii="Times New Roman" w:hAnsi="Times New Roman"/>
          <w:sz w:val="24"/>
        </w:rPr>
        <w:tab/>
        <w:t>Additional IOU requirements, as appropriate.</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2340" w:hanging="720"/>
        <w:rPr>
          <w:rFonts w:ascii="Times New Roman" w:hAnsi="Times New Roman"/>
          <w:b/>
          <w:sz w:val="24"/>
          <w:u w:val="single"/>
        </w:rPr>
      </w:pPr>
      <w:r w:rsidRPr="00600E6F">
        <w:rPr>
          <w:rFonts w:ascii="Times New Roman" w:hAnsi="Times New Roman"/>
          <w:b/>
          <w:sz w:val="24"/>
          <w:u w:val="single"/>
        </w:rPr>
        <w:t>Participating Rater Requirements for All WHRP Paths</w:t>
      </w:r>
    </w:p>
    <w:p w:rsidR="00513B47" w:rsidRPr="00600E6F" w:rsidRDefault="00513B47" w:rsidP="003408F4">
      <w:pPr>
        <w:spacing w:after="0" w:line="240" w:lineRule="auto"/>
        <w:ind w:left="1620"/>
        <w:rPr>
          <w:rFonts w:ascii="Times New Roman" w:hAnsi="Times New Roman"/>
          <w:sz w:val="24"/>
        </w:rPr>
      </w:pPr>
      <w:r w:rsidRPr="00600E6F">
        <w:rPr>
          <w:rFonts w:ascii="Times New Roman" w:hAnsi="Times New Roman"/>
          <w:sz w:val="24"/>
        </w:rPr>
        <w:t xml:space="preserve">Participating Energy Upgrade Raters must meet all requirements as a Participating Contractor and must be both HERS II certified and hold an active BPI Building Analyst certification or BPI MF Building Analyst certification as may be applicable.  WHUP </w:t>
      </w:r>
      <w:r w:rsidRPr="00600E6F">
        <w:rPr>
          <w:rFonts w:ascii="Times New Roman" w:hAnsi="Times New Roman"/>
          <w:i/>
          <w:sz w:val="24"/>
        </w:rPr>
        <w:t>Basic Path</w:t>
      </w:r>
      <w:r w:rsidRPr="00600E6F">
        <w:rPr>
          <w:rFonts w:ascii="Times New Roman" w:hAnsi="Times New Roman"/>
          <w:sz w:val="24"/>
        </w:rPr>
        <w:t xml:space="preserve"> and </w:t>
      </w:r>
      <w:r w:rsidRPr="00600E6F">
        <w:rPr>
          <w:rFonts w:ascii="Times New Roman" w:hAnsi="Times New Roman"/>
          <w:i/>
          <w:sz w:val="24"/>
        </w:rPr>
        <w:t>Advanced Path</w:t>
      </w:r>
      <w:r w:rsidRPr="00600E6F">
        <w:rPr>
          <w:rFonts w:ascii="Times New Roman" w:hAnsi="Times New Roman"/>
          <w:sz w:val="24"/>
        </w:rPr>
        <w:t xml:space="preserve"> projects submitted by a Participating Rater must utilize a WHUP Participating Contractor for installation of the measures specified by the Participating Rater.</w:t>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ind w:left="1620"/>
        <w:rPr>
          <w:rFonts w:ascii="Times New Roman" w:hAnsi="Times New Roman"/>
          <w:b/>
          <w:sz w:val="24"/>
        </w:rPr>
      </w:pPr>
      <w:r w:rsidRPr="00600E6F">
        <w:rPr>
          <w:rFonts w:ascii="Times New Roman" w:hAnsi="Times New Roman"/>
          <w:b/>
          <w:sz w:val="24"/>
        </w:rPr>
        <w:t xml:space="preserve">Table 9:  </w:t>
      </w:r>
      <w:r w:rsidRPr="00600E6F">
        <w:rPr>
          <w:rFonts w:ascii="Times New Roman" w:hAnsi="Times New Roman"/>
          <w:sz w:val="24"/>
        </w:rPr>
        <w:t>Contractor/Participant Eligibility Requirements (Joint Utility Table</w:t>
      </w:r>
      <w:r w:rsidRPr="00600E6F">
        <w:rPr>
          <w:rFonts w:ascii="Times New Roman" w:hAnsi="Times New Roman"/>
          <w:b/>
          <w:sz w:val="24"/>
        </w:rPr>
        <w:t>)</w:t>
      </w:r>
    </w:p>
    <w:p w:rsidR="00513B47" w:rsidRPr="00600E6F" w:rsidRDefault="00513B47" w:rsidP="003408F4">
      <w:pPr>
        <w:spacing w:after="0" w:line="240" w:lineRule="auto"/>
        <w:ind w:left="1620"/>
        <w:rPr>
          <w:rFonts w:ascii="Times New Roman" w:hAnsi="Times New Roman"/>
          <w:i/>
          <w:sz w:val="24"/>
        </w:rPr>
      </w:pPr>
      <w:r w:rsidRPr="00600E6F">
        <w:rPr>
          <w:rFonts w:ascii="Times New Roman" w:hAnsi="Times New Roman"/>
          <w:i/>
          <w:sz w:val="24"/>
        </w:rPr>
        <w:t>[Table 9 to be provided as an Excel Attachment to this PIP]</w:t>
      </w:r>
    </w:p>
    <w:p w:rsidR="00513B47" w:rsidRDefault="00513B47" w:rsidP="003408F4">
      <w:pPr>
        <w:spacing w:after="0" w:line="240" w:lineRule="auto"/>
        <w:rPr>
          <w:rFonts w:ascii="Times New Roman" w:hAnsi="Times New Roman"/>
          <w:b/>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 xml:space="preserve">Program Partners: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1"/>
          <w:numId w:val="146"/>
        </w:numPr>
        <w:spacing w:after="0" w:line="240" w:lineRule="auto"/>
        <w:rPr>
          <w:rFonts w:ascii="Times New Roman" w:hAnsi="Times New Roman"/>
          <w:sz w:val="24"/>
        </w:rPr>
      </w:pPr>
      <w:r w:rsidRPr="00600E6F">
        <w:rPr>
          <w:rFonts w:ascii="Times New Roman" w:hAnsi="Times New Roman"/>
          <w:b/>
          <w:sz w:val="24"/>
        </w:rPr>
        <w:t>Manufacturer/Retailer/Distributor partners:</w:t>
      </w:r>
      <w:r w:rsidRPr="00600E6F">
        <w:rPr>
          <w:rFonts w:ascii="Times New Roman" w:hAnsi="Times New Roman"/>
          <w:sz w:val="24"/>
        </w:rPr>
        <w:t xml:space="preserve">  </w:t>
      </w:r>
    </w:p>
    <w:p w:rsidR="00513B47" w:rsidRPr="00600E6F" w:rsidRDefault="00513B47" w:rsidP="003408F4">
      <w:pPr>
        <w:spacing w:after="0" w:line="240" w:lineRule="auto"/>
        <w:ind w:left="1440" w:firstLine="360"/>
        <w:rPr>
          <w:rFonts w:ascii="Times New Roman" w:hAnsi="Times New Roman"/>
          <w:b/>
          <w:sz w:val="24"/>
        </w:rPr>
      </w:pPr>
      <w:r w:rsidRPr="00600E6F">
        <w:rPr>
          <w:rFonts w:ascii="Times New Roman" w:hAnsi="Times New Roman"/>
          <w:b/>
          <w:sz w:val="24"/>
        </w:rPr>
        <w:t xml:space="preserve">Table 10:  </w:t>
      </w:r>
      <w:r w:rsidRPr="00600E6F">
        <w:rPr>
          <w:rFonts w:ascii="Times New Roman" w:hAnsi="Times New Roman"/>
          <w:sz w:val="24"/>
        </w:rPr>
        <w:t>Manufacturer/Retailer/Distributor Partners</w:t>
      </w:r>
    </w:p>
    <w:p w:rsidR="00513B47" w:rsidRPr="00600E6F" w:rsidRDefault="00513B47" w:rsidP="003408F4">
      <w:pPr>
        <w:spacing w:after="0" w:line="240" w:lineRule="auto"/>
        <w:ind w:left="1440" w:firstLine="360"/>
        <w:rPr>
          <w:rFonts w:ascii="Times New Roman" w:hAnsi="Times New Roman"/>
          <w:i/>
          <w:sz w:val="24"/>
        </w:rPr>
      </w:pPr>
      <w:r w:rsidRPr="00600E6F">
        <w:rPr>
          <w:rFonts w:ascii="Times New Roman" w:hAnsi="Times New Roman"/>
          <w:i/>
          <w:sz w:val="24"/>
        </w:rPr>
        <w:t>[Table 10 to be provided as an Excel Attachment to this PIP]</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numPr>
          <w:ilvl w:val="1"/>
          <w:numId w:val="146"/>
        </w:numPr>
        <w:spacing w:after="0" w:line="240" w:lineRule="auto"/>
        <w:rPr>
          <w:rFonts w:ascii="Times New Roman" w:hAnsi="Times New Roman"/>
          <w:sz w:val="24"/>
        </w:rPr>
      </w:pPr>
      <w:r w:rsidRPr="00600E6F">
        <w:rPr>
          <w:rFonts w:ascii="Times New Roman" w:hAnsi="Times New Roman"/>
          <w:b/>
          <w:sz w:val="24"/>
        </w:rPr>
        <w:t>Other key program partners</w:t>
      </w:r>
      <w:r w:rsidRPr="00600E6F">
        <w:rPr>
          <w:rFonts w:ascii="Times New Roman" w:hAnsi="Times New Roman"/>
          <w:sz w:val="24"/>
        </w:rPr>
        <w:t xml:space="preserve">: </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b/>
          <w:sz w:val="24"/>
        </w:rPr>
        <w:t>Table 15:</w:t>
      </w:r>
      <w:r w:rsidRPr="00600E6F">
        <w:rPr>
          <w:rFonts w:ascii="Times New Roman" w:hAnsi="Times New Roman"/>
          <w:sz w:val="24"/>
        </w:rPr>
        <w:t xml:space="preserve"> Energy Division, California Energy Commission, local governments, BPI and other standards bodies, as well as other partners </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i/>
          <w:sz w:val="24"/>
        </w:rPr>
        <w:t>[Table 15 to be provided as an Excel Attachment to this PIP]</w:t>
      </w:r>
      <w:r w:rsidRPr="00600E6F">
        <w:rPr>
          <w:rFonts w:ascii="Times New Roman" w:hAnsi="Times New Roman"/>
          <w:sz w:val="24"/>
        </w:rPr>
        <w:t xml:space="preserve">  </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Measures and incentive levels</w:t>
      </w: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tabs>
          <w:tab w:val="num" w:pos="1440"/>
        </w:tabs>
        <w:spacing w:after="0" w:line="240" w:lineRule="auto"/>
        <w:ind w:left="1440"/>
        <w:rPr>
          <w:rFonts w:ascii="Times New Roman" w:hAnsi="Times New Roman"/>
          <w:b/>
          <w:sz w:val="24"/>
        </w:rPr>
      </w:pPr>
      <w:r w:rsidRPr="00600E6F">
        <w:rPr>
          <w:rFonts w:ascii="Times New Roman" w:hAnsi="Times New Roman"/>
          <w:b/>
          <w:i/>
          <w:sz w:val="24"/>
        </w:rPr>
        <w:t>Advanced Path</w:t>
      </w:r>
      <w:r w:rsidRPr="00600E6F">
        <w:rPr>
          <w:rFonts w:ascii="Times New Roman" w:hAnsi="Times New Roman"/>
          <w:b/>
          <w:sz w:val="24"/>
        </w:rPr>
        <w:t xml:space="preserve"> Incentives</w:t>
      </w:r>
    </w:p>
    <w:p w:rsidR="00513B47" w:rsidRPr="00600E6F" w:rsidRDefault="00513B47" w:rsidP="003408F4">
      <w:pPr>
        <w:tabs>
          <w:tab w:val="num" w:pos="1440"/>
        </w:tabs>
        <w:spacing w:after="0" w:line="240" w:lineRule="auto"/>
        <w:ind w:left="1440"/>
        <w:rPr>
          <w:rFonts w:ascii="Times New Roman" w:hAnsi="Times New Roman"/>
          <w:sz w:val="24"/>
        </w:rPr>
      </w:pPr>
      <w:r w:rsidRPr="00600E6F">
        <w:rPr>
          <w:rFonts w:ascii="Times New Roman" w:hAnsi="Times New Roman"/>
          <w:sz w:val="24"/>
        </w:rPr>
        <w:t xml:space="preserve">Incentives for the </w:t>
      </w:r>
      <w:r w:rsidRPr="00600E6F">
        <w:rPr>
          <w:rFonts w:ascii="Times New Roman" w:hAnsi="Times New Roman"/>
          <w:i/>
          <w:sz w:val="24"/>
        </w:rPr>
        <w:t>Advanced Path</w:t>
      </w:r>
      <w:r w:rsidRPr="00600E6F">
        <w:rPr>
          <w:rFonts w:ascii="Times New Roman" w:hAnsi="Times New Roman"/>
          <w:sz w:val="24"/>
        </w:rPr>
        <w:t xml:space="preserve"> will be paid based upon modeled site savings energy utilizing any CEC approved simulation modeling software approved by IOUs.  Incentives for </w:t>
      </w:r>
      <w:r w:rsidRPr="00600E6F">
        <w:rPr>
          <w:rFonts w:ascii="Times New Roman" w:hAnsi="Times New Roman"/>
          <w:i/>
          <w:sz w:val="24"/>
        </w:rPr>
        <w:t>Advanced Path</w:t>
      </w:r>
      <w:r w:rsidRPr="00600E6F">
        <w:rPr>
          <w:rFonts w:ascii="Times New Roman" w:hAnsi="Times New Roman"/>
          <w:sz w:val="24"/>
        </w:rPr>
        <w:t xml:space="preserve"> are designed to encourage customers to reach for deep energy savings.  </w:t>
      </w:r>
      <w:r w:rsidRPr="00600E6F">
        <w:rPr>
          <w:rFonts w:ascii="Times New Roman" w:hAnsi="Times New Roman"/>
          <w:i/>
          <w:sz w:val="24"/>
        </w:rPr>
        <w:t>Advanced Path</w:t>
      </w:r>
      <w:r w:rsidRPr="00600E6F">
        <w:rPr>
          <w:rFonts w:ascii="Times New Roman" w:hAnsi="Times New Roman"/>
          <w:sz w:val="24"/>
        </w:rPr>
        <w:t xml:space="preserve"> incentives are for both gas and electric measures provided by the customers’ participating utility program.</w:t>
      </w:r>
      <w:r w:rsidRPr="00600E6F">
        <w:rPr>
          <w:rStyle w:val="FootnoteReference"/>
          <w:rFonts w:ascii="Times New Roman" w:hAnsi="Times New Roman"/>
          <w:sz w:val="24"/>
        </w:rPr>
        <w:footnoteReference w:id="40"/>
      </w:r>
      <w:r w:rsidRPr="00600E6F">
        <w:rPr>
          <w:rFonts w:ascii="Times New Roman" w:hAnsi="Times New Roman"/>
          <w:sz w:val="24"/>
        </w:rPr>
        <w:t xml:space="preserve">  </w:t>
      </w:r>
    </w:p>
    <w:p w:rsidR="00513B47" w:rsidRPr="00600E6F" w:rsidRDefault="00513B47" w:rsidP="003408F4">
      <w:pPr>
        <w:tabs>
          <w:tab w:val="num" w:pos="1440"/>
        </w:tabs>
        <w:spacing w:after="0" w:line="240" w:lineRule="auto"/>
        <w:ind w:left="1440"/>
        <w:rPr>
          <w:rFonts w:ascii="Times New Roman" w:hAnsi="Times New Roman"/>
          <w:sz w:val="24"/>
        </w:rPr>
      </w:pPr>
      <w:r w:rsidRPr="00600E6F">
        <w:rPr>
          <w:rFonts w:ascii="Times New Roman" w:hAnsi="Times New Roman"/>
          <w:sz w:val="24"/>
        </w:rPr>
        <w:t>Currently, Energy Pro simulation modeling software is the only approved software for use with WHUP.  During the 2013-2014 transition cycle, the IOUs will work collaboratively with the CEC and other stakeholders to identify potential approaches to adequately broaden the allowable software under the WHUP while containing costs required for needed Commission Staff reviews.</w:t>
      </w:r>
    </w:p>
    <w:p w:rsidR="00513B47" w:rsidRDefault="00513B47" w:rsidP="003408F4">
      <w:pPr>
        <w:spacing w:after="0" w:line="240" w:lineRule="auto"/>
        <w:rPr>
          <w:rFonts w:ascii="Times New Roman" w:hAnsi="Times New Roman"/>
          <w:sz w:val="24"/>
        </w:rPr>
      </w:pPr>
    </w:p>
    <w:p w:rsidR="00421BBD" w:rsidRPr="00600E6F" w:rsidRDefault="00421BBD" w:rsidP="003408F4">
      <w:pPr>
        <w:spacing w:after="0" w:line="240" w:lineRule="auto"/>
        <w:rPr>
          <w:rFonts w:ascii="Times New Roman" w:hAnsi="Times New Roman"/>
          <w:sz w:val="24"/>
        </w:rPr>
      </w:pPr>
    </w:p>
    <w:p w:rsidR="00513B47" w:rsidRPr="00600E6F" w:rsidRDefault="00513B47" w:rsidP="003408F4">
      <w:pPr>
        <w:tabs>
          <w:tab w:val="num" w:pos="1440"/>
        </w:tabs>
        <w:spacing w:after="0" w:line="240" w:lineRule="auto"/>
        <w:ind w:left="720"/>
        <w:rPr>
          <w:rFonts w:ascii="Times New Roman" w:hAnsi="Times New Roman"/>
          <w:sz w:val="24"/>
        </w:rPr>
      </w:pPr>
    </w:p>
    <w:tbl>
      <w:tblPr>
        <w:tblW w:w="5628" w:type="dxa"/>
        <w:tblInd w:w="1507" w:type="dxa"/>
        <w:tblCellMar>
          <w:left w:w="0" w:type="dxa"/>
          <w:right w:w="0" w:type="dxa"/>
        </w:tblCellMar>
        <w:tblLook w:val="00A0" w:firstRow="1" w:lastRow="0" w:firstColumn="1" w:lastColumn="0" w:noHBand="0" w:noVBand="0"/>
      </w:tblPr>
      <w:tblGrid>
        <w:gridCol w:w="2752"/>
        <w:gridCol w:w="205"/>
        <w:gridCol w:w="2671"/>
      </w:tblGrid>
      <w:tr w:rsidR="00513B47" w:rsidRPr="00F50F8B" w:rsidTr="003425E2">
        <w:trPr>
          <w:trHeight w:val="308"/>
        </w:trPr>
        <w:tc>
          <w:tcPr>
            <w:tcW w:w="2752" w:type="dxa"/>
            <w:tcBorders>
              <w:top w:val="nil"/>
              <w:left w:val="nil"/>
              <w:bottom w:val="single" w:sz="8" w:space="0" w:color="000000"/>
              <w:right w:val="nil"/>
            </w:tcBorders>
            <w:shd w:val="clear" w:color="auto" w:fill="1F497D"/>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color w:val="FFFFFF"/>
                <w:sz w:val="20"/>
              </w:rPr>
            </w:pPr>
            <w:r w:rsidRPr="00600E6F">
              <w:rPr>
                <w:rFonts w:ascii="Times New Roman" w:hAnsi="Times New Roman"/>
                <w:b/>
                <w:color w:val="FFFFFF"/>
                <w:sz w:val="20"/>
              </w:rPr>
              <w:lastRenderedPageBreak/>
              <w:t>Savings/ Participation Level: % Reduction</w:t>
            </w:r>
          </w:p>
        </w:tc>
        <w:tc>
          <w:tcPr>
            <w:tcW w:w="2876" w:type="dxa"/>
            <w:gridSpan w:val="2"/>
            <w:tcBorders>
              <w:top w:val="nil"/>
              <w:left w:val="nil"/>
              <w:bottom w:val="single" w:sz="8" w:space="0" w:color="000000"/>
              <w:right w:val="nil"/>
            </w:tcBorders>
            <w:shd w:val="clear" w:color="auto" w:fill="1F497D"/>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b/>
                <w:color w:val="FFFFFF"/>
                <w:sz w:val="20"/>
              </w:rPr>
            </w:pPr>
            <w:r w:rsidRPr="00600E6F">
              <w:rPr>
                <w:rFonts w:ascii="Times New Roman" w:hAnsi="Times New Roman"/>
                <w:b/>
                <w:color w:val="FFFFFF"/>
                <w:sz w:val="20"/>
              </w:rPr>
              <w:t xml:space="preserve">Incentive </w:t>
            </w:r>
          </w:p>
          <w:p w:rsidR="00513B47" w:rsidRPr="00600E6F" w:rsidRDefault="00513B47" w:rsidP="003408F4">
            <w:pPr>
              <w:tabs>
                <w:tab w:val="num" w:pos="1440"/>
              </w:tabs>
              <w:spacing w:after="0" w:line="240" w:lineRule="auto"/>
              <w:ind w:left="360"/>
              <w:rPr>
                <w:rFonts w:ascii="Times New Roman" w:hAnsi="Times New Roman"/>
                <w:color w:val="FFFFFF"/>
                <w:sz w:val="20"/>
              </w:rPr>
            </w:pPr>
            <w:r w:rsidRPr="00600E6F">
              <w:rPr>
                <w:rFonts w:ascii="Times New Roman" w:hAnsi="Times New Roman"/>
                <w:b/>
                <w:color w:val="FFFFFF"/>
                <w:sz w:val="20"/>
              </w:rPr>
              <w:t>Amount</w:t>
            </w:r>
          </w:p>
        </w:tc>
      </w:tr>
      <w:tr w:rsidR="00513B47" w:rsidRPr="00F50F8B" w:rsidTr="003425E2">
        <w:trPr>
          <w:trHeight w:val="295"/>
        </w:trPr>
        <w:tc>
          <w:tcPr>
            <w:tcW w:w="2957"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i/>
                <w:sz w:val="20"/>
              </w:rPr>
              <w:t>Basic Package: 10%</w:t>
            </w:r>
          </w:p>
        </w:tc>
        <w:tc>
          <w:tcPr>
            <w:tcW w:w="2671" w:type="dxa"/>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rPr>
                <w:rFonts w:ascii="Times New Roman" w:hAnsi="Times New Roman"/>
                <w:sz w:val="20"/>
              </w:rPr>
            </w:pPr>
            <w:r w:rsidRPr="00600E6F">
              <w:rPr>
                <w:rFonts w:ascii="Times New Roman" w:hAnsi="Times New Roman"/>
                <w:i/>
                <w:sz w:val="20"/>
              </w:rPr>
              <w:t xml:space="preserve">   $1,000</w:t>
            </w:r>
          </w:p>
        </w:tc>
      </w:tr>
      <w:tr w:rsidR="00513B47" w:rsidRPr="00F50F8B" w:rsidTr="003425E2">
        <w:trPr>
          <w:trHeight w:val="286"/>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10%</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$1,000</w:t>
            </w:r>
          </w:p>
        </w:tc>
      </w:tr>
      <w:tr w:rsidR="00513B47" w:rsidRPr="00F50F8B" w:rsidTr="003425E2">
        <w:trPr>
          <w:trHeight w:val="286"/>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15%</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$1,500</w:t>
            </w:r>
          </w:p>
        </w:tc>
      </w:tr>
      <w:tr w:rsidR="00513B47" w:rsidRPr="00F50F8B" w:rsidTr="003425E2">
        <w:trPr>
          <w:trHeight w:val="311"/>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20%</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$2,000</w:t>
            </w:r>
          </w:p>
        </w:tc>
      </w:tr>
      <w:tr w:rsidR="00513B47" w:rsidRPr="00F50F8B" w:rsidTr="003425E2">
        <w:trPr>
          <w:trHeight w:val="309"/>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25%</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$2,500</w:t>
            </w:r>
          </w:p>
        </w:tc>
      </w:tr>
      <w:tr w:rsidR="00513B47" w:rsidRPr="00F50F8B" w:rsidTr="003425E2">
        <w:trPr>
          <w:trHeight w:val="308"/>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30%</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$3,000</w:t>
            </w:r>
          </w:p>
        </w:tc>
      </w:tr>
      <w:tr w:rsidR="00513B47" w:rsidRPr="00F50F8B" w:rsidTr="003425E2">
        <w:trPr>
          <w:trHeight w:val="286"/>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35%</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$3,500</w:t>
            </w:r>
          </w:p>
        </w:tc>
      </w:tr>
      <w:tr w:rsidR="00513B47" w:rsidRPr="00F50F8B" w:rsidTr="003425E2">
        <w:trPr>
          <w:trHeight w:val="321"/>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40%</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$4,000</w:t>
            </w:r>
          </w:p>
        </w:tc>
      </w:tr>
      <w:tr w:rsidR="00513B47" w:rsidRPr="00F50F8B" w:rsidTr="003425E2">
        <w:trPr>
          <w:trHeight w:val="321"/>
        </w:trPr>
        <w:tc>
          <w:tcPr>
            <w:tcW w:w="2752" w:type="dxa"/>
            <w:tcBorders>
              <w:top w:val="single" w:sz="8" w:space="0" w:color="000000"/>
              <w:left w:val="nil"/>
              <w:bottom w:val="single" w:sz="8" w:space="0" w:color="000000"/>
              <w:right w:val="nil"/>
            </w:tcBorders>
            <w:tcMar>
              <w:top w:w="72" w:type="dxa"/>
              <w:left w:w="144" w:type="dxa"/>
              <w:bottom w:w="72" w:type="dxa"/>
              <w:right w:w="144" w:type="dxa"/>
            </w:tcMar>
            <w:vAlign w:val="center"/>
          </w:tcPr>
          <w:p w:rsidR="00513B47" w:rsidRPr="00600E6F" w:rsidRDefault="00513B47" w:rsidP="003408F4">
            <w:pPr>
              <w:tabs>
                <w:tab w:val="num" w:pos="1440"/>
              </w:tabs>
              <w:spacing w:after="0" w:line="240" w:lineRule="auto"/>
              <w:ind w:left="360"/>
              <w:jc w:val="center"/>
              <w:rPr>
                <w:rFonts w:ascii="Times New Roman" w:hAnsi="Times New Roman"/>
                <w:sz w:val="20"/>
              </w:rPr>
            </w:pPr>
            <w:r w:rsidRPr="00600E6F">
              <w:rPr>
                <w:rFonts w:ascii="Times New Roman" w:hAnsi="Times New Roman"/>
                <w:b/>
                <w:sz w:val="20"/>
              </w:rPr>
              <w:t>45%+</w:t>
            </w:r>
          </w:p>
        </w:tc>
        <w:tc>
          <w:tcPr>
            <w:tcW w:w="2876" w:type="dxa"/>
            <w:gridSpan w:val="2"/>
            <w:tcBorders>
              <w:top w:val="single" w:sz="8" w:space="0" w:color="000000"/>
              <w:left w:val="nil"/>
              <w:bottom w:val="single" w:sz="8" w:space="0" w:color="000000"/>
              <w:right w:val="nil"/>
            </w:tcBorders>
            <w:tcMar>
              <w:top w:w="72" w:type="dxa"/>
              <w:left w:w="144" w:type="dxa"/>
              <w:bottom w:w="72" w:type="dxa"/>
              <w:right w:w="144" w:type="dxa"/>
            </w:tcMar>
          </w:tcPr>
          <w:p w:rsidR="00513B47" w:rsidRPr="00600E6F" w:rsidRDefault="00513B47" w:rsidP="003408F4">
            <w:pPr>
              <w:tabs>
                <w:tab w:val="num" w:pos="1440"/>
              </w:tabs>
              <w:spacing w:after="0" w:line="240" w:lineRule="auto"/>
              <w:ind w:left="360"/>
              <w:rPr>
                <w:rFonts w:ascii="Times New Roman" w:hAnsi="Times New Roman"/>
                <w:sz w:val="20"/>
              </w:rPr>
            </w:pPr>
            <w:r w:rsidRPr="00600E6F">
              <w:rPr>
                <w:rFonts w:ascii="Times New Roman" w:hAnsi="Times New Roman"/>
                <w:b/>
                <w:sz w:val="20"/>
              </w:rPr>
              <w:t>$4,500</w:t>
            </w:r>
          </w:p>
        </w:tc>
      </w:tr>
    </w:tbl>
    <w:p w:rsidR="00513B47" w:rsidRDefault="00513B47" w:rsidP="003408F4">
      <w:pPr>
        <w:tabs>
          <w:tab w:val="num" w:pos="1440"/>
        </w:tabs>
        <w:spacing w:after="0" w:line="240" w:lineRule="auto"/>
        <w:ind w:left="360"/>
        <w:rPr>
          <w:rFonts w:ascii="Times New Roman" w:hAnsi="Times New Roman"/>
          <w:sz w:val="24"/>
        </w:rPr>
      </w:pPr>
    </w:p>
    <w:p w:rsidR="00513B65" w:rsidRDefault="00513B65" w:rsidP="003408F4">
      <w:pPr>
        <w:tabs>
          <w:tab w:val="num" w:pos="1440"/>
        </w:tabs>
        <w:spacing w:after="0" w:line="240" w:lineRule="auto"/>
        <w:ind w:left="36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i/>
          <w:sz w:val="24"/>
        </w:rPr>
        <w:t>Basic Path</w:t>
      </w:r>
      <w:r w:rsidRPr="00600E6F">
        <w:rPr>
          <w:rFonts w:ascii="Times New Roman" w:hAnsi="Times New Roman"/>
          <w:b/>
          <w:sz w:val="24"/>
        </w:rPr>
        <w:t xml:space="preserve"> Incentives</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i/>
          <w:sz w:val="24"/>
        </w:rPr>
        <w:t>Basic Path</w:t>
      </w:r>
      <w:r w:rsidRPr="00600E6F">
        <w:rPr>
          <w:rFonts w:ascii="Times New Roman" w:hAnsi="Times New Roman"/>
          <w:sz w:val="24"/>
        </w:rPr>
        <w:t xml:space="preserve"> customer incentive is up to $1,000.  The customer will receive the entire rebate amount as a direct result of participating in </w:t>
      </w:r>
      <w:r w:rsidRPr="00600E6F">
        <w:rPr>
          <w:rFonts w:ascii="Times New Roman" w:hAnsi="Times New Roman"/>
          <w:i/>
          <w:sz w:val="24"/>
        </w:rPr>
        <w:t>Basic Path</w:t>
      </w:r>
      <w:r w:rsidRPr="00600E6F">
        <w:rPr>
          <w:rFonts w:ascii="Times New Roman" w:hAnsi="Times New Roman"/>
          <w:sz w:val="24"/>
        </w:rPr>
        <w:t>.</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Additionally, </w:t>
      </w:r>
      <w:r w:rsidRPr="00600E6F">
        <w:rPr>
          <w:rFonts w:ascii="Times New Roman" w:hAnsi="Times New Roman"/>
          <w:i/>
          <w:sz w:val="24"/>
        </w:rPr>
        <w:t>Basic Path</w:t>
      </w:r>
      <w:r w:rsidRPr="00600E6F">
        <w:rPr>
          <w:rFonts w:ascii="Times New Roman" w:hAnsi="Times New Roman"/>
          <w:sz w:val="24"/>
        </w:rPr>
        <w:t xml:space="preserve"> incentives will be:</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0"/>
          <w:numId w:val="38"/>
        </w:numPr>
        <w:tabs>
          <w:tab w:val="clear" w:pos="1370"/>
        </w:tabs>
        <w:spacing w:after="0" w:line="240" w:lineRule="auto"/>
        <w:ind w:left="2160"/>
        <w:rPr>
          <w:rFonts w:ascii="Times New Roman" w:hAnsi="Times New Roman"/>
          <w:sz w:val="24"/>
        </w:rPr>
      </w:pPr>
      <w:r w:rsidRPr="00600E6F">
        <w:rPr>
          <w:rFonts w:ascii="Times New Roman" w:hAnsi="Times New Roman"/>
          <w:sz w:val="24"/>
        </w:rPr>
        <w:t>Consistent statewide;</w:t>
      </w:r>
    </w:p>
    <w:p w:rsidR="00513B47" w:rsidRPr="00600E6F" w:rsidRDefault="00513B47" w:rsidP="00C31CC0">
      <w:pPr>
        <w:numPr>
          <w:ilvl w:val="0"/>
          <w:numId w:val="38"/>
        </w:numPr>
        <w:tabs>
          <w:tab w:val="clear" w:pos="1370"/>
        </w:tabs>
        <w:spacing w:after="0" w:line="240" w:lineRule="auto"/>
        <w:ind w:left="2160"/>
        <w:rPr>
          <w:rFonts w:ascii="Times New Roman" w:hAnsi="Times New Roman"/>
          <w:sz w:val="24"/>
        </w:rPr>
      </w:pPr>
      <w:r w:rsidRPr="00600E6F">
        <w:rPr>
          <w:rFonts w:ascii="Times New Roman" w:hAnsi="Times New Roman"/>
          <w:sz w:val="24"/>
        </w:rPr>
        <w:t xml:space="preserve">Lower than the </w:t>
      </w:r>
      <w:r w:rsidRPr="00600E6F">
        <w:rPr>
          <w:rFonts w:ascii="Times New Roman" w:hAnsi="Times New Roman"/>
          <w:i/>
          <w:sz w:val="24"/>
        </w:rPr>
        <w:t>Advanced Path</w:t>
      </w:r>
      <w:r w:rsidRPr="00600E6F">
        <w:rPr>
          <w:rFonts w:ascii="Times New Roman" w:hAnsi="Times New Roman"/>
          <w:sz w:val="24"/>
        </w:rPr>
        <w:t xml:space="preserve"> incentives;</w:t>
      </w:r>
    </w:p>
    <w:p w:rsidR="00513B47" w:rsidRPr="00600E6F" w:rsidRDefault="00513B47" w:rsidP="00C31CC0">
      <w:pPr>
        <w:numPr>
          <w:ilvl w:val="0"/>
          <w:numId w:val="38"/>
        </w:numPr>
        <w:tabs>
          <w:tab w:val="clear" w:pos="1370"/>
        </w:tabs>
        <w:spacing w:after="0" w:line="240" w:lineRule="auto"/>
        <w:ind w:left="2160"/>
        <w:rPr>
          <w:rFonts w:ascii="Times New Roman" w:hAnsi="Times New Roman"/>
          <w:sz w:val="24"/>
        </w:rPr>
      </w:pPr>
      <w:r w:rsidRPr="00600E6F">
        <w:rPr>
          <w:rFonts w:ascii="Times New Roman" w:hAnsi="Times New Roman"/>
          <w:sz w:val="24"/>
        </w:rPr>
        <w:t>Compatible with municipal financing options; and</w:t>
      </w:r>
    </w:p>
    <w:p w:rsidR="00513B47" w:rsidRPr="00600E6F" w:rsidRDefault="00513B47" w:rsidP="00C31CC0">
      <w:pPr>
        <w:numPr>
          <w:ilvl w:val="0"/>
          <w:numId w:val="38"/>
        </w:numPr>
        <w:tabs>
          <w:tab w:val="clear" w:pos="1370"/>
          <w:tab w:val="num" w:pos="1080"/>
        </w:tabs>
        <w:spacing w:after="0" w:line="240" w:lineRule="auto"/>
        <w:ind w:left="2160"/>
        <w:rPr>
          <w:rFonts w:ascii="Times New Roman" w:hAnsi="Times New Roman"/>
          <w:sz w:val="24"/>
        </w:rPr>
      </w:pPr>
      <w:r w:rsidRPr="00600E6F">
        <w:rPr>
          <w:rFonts w:ascii="Times New Roman" w:hAnsi="Times New Roman"/>
          <w:sz w:val="24"/>
        </w:rPr>
        <w:t>Implemented so as to leverage external funding where appropriate.</w:t>
      </w:r>
    </w:p>
    <w:p w:rsidR="00513B47" w:rsidRPr="00600E6F" w:rsidRDefault="00513B47" w:rsidP="003408F4">
      <w:pPr>
        <w:tabs>
          <w:tab w:val="num" w:pos="1440"/>
        </w:tabs>
        <w:spacing w:after="0" w:line="240" w:lineRule="auto"/>
        <w:ind w:left="720"/>
        <w:rPr>
          <w:rFonts w:ascii="Times New Roman" w:hAnsi="Times New Roman"/>
          <w:sz w:val="24"/>
        </w:rPr>
      </w:pPr>
    </w:p>
    <w:p w:rsidR="00513B47" w:rsidRPr="00600E6F" w:rsidRDefault="00513B47" w:rsidP="003408F4">
      <w:pPr>
        <w:tabs>
          <w:tab w:val="num" w:pos="1440"/>
        </w:tabs>
        <w:spacing w:after="0" w:line="240" w:lineRule="auto"/>
        <w:ind w:left="1440"/>
        <w:rPr>
          <w:rFonts w:ascii="Times New Roman" w:hAnsi="Times New Roman"/>
          <w:b/>
          <w:sz w:val="24"/>
        </w:rPr>
      </w:pPr>
      <w:r w:rsidRPr="00600E6F">
        <w:rPr>
          <w:rFonts w:ascii="Times New Roman" w:hAnsi="Times New Roman"/>
          <w:b/>
          <w:i/>
          <w:sz w:val="24"/>
        </w:rPr>
        <w:t>Multifamily Path</w:t>
      </w:r>
      <w:r w:rsidRPr="00600E6F">
        <w:rPr>
          <w:rFonts w:ascii="Times New Roman" w:hAnsi="Times New Roman"/>
          <w:b/>
          <w:sz w:val="24"/>
        </w:rPr>
        <w:t xml:space="preserve"> Incentives</w:t>
      </w:r>
    </w:p>
    <w:p w:rsidR="00513B47" w:rsidRPr="00600E6F" w:rsidRDefault="00513B47" w:rsidP="003408F4">
      <w:pPr>
        <w:autoSpaceDE w:val="0"/>
        <w:autoSpaceDN w:val="0"/>
        <w:adjustRightInd w:val="0"/>
        <w:spacing w:after="0" w:line="240" w:lineRule="auto"/>
        <w:ind w:left="1440"/>
        <w:rPr>
          <w:rFonts w:ascii="Times New Roman" w:hAnsi="Times New Roman"/>
          <w:b/>
          <w:sz w:val="24"/>
        </w:rPr>
      </w:pPr>
      <w:r w:rsidRPr="00600E6F">
        <w:rPr>
          <w:rFonts w:ascii="Times New Roman" w:hAnsi="Times New Roman"/>
          <w:sz w:val="24"/>
        </w:rPr>
        <w:t xml:space="preserve">Incentives for </w:t>
      </w:r>
      <w:r w:rsidRPr="00600E6F">
        <w:rPr>
          <w:rFonts w:ascii="Times New Roman" w:hAnsi="Times New Roman"/>
          <w:i/>
          <w:sz w:val="24"/>
        </w:rPr>
        <w:t>Multifamily Path</w:t>
      </w:r>
      <w:r w:rsidRPr="00600E6F">
        <w:rPr>
          <w:rFonts w:ascii="Times New Roman" w:hAnsi="Times New Roman"/>
          <w:sz w:val="24"/>
        </w:rPr>
        <w:t xml:space="preserve"> will be paid based upon modeled site savings energy utilizing any CEC approved simulation software approved by IOUs.  Incentives will be offered on a tiered structure, paid per building on a “per dwelling unit” basis according to the total building energy savings percentage. The tiered approach will reward participants for realizing deeper savings. While a “per unit” approach enables participants to experience economies of scale with larger multifamily buildings.</w:t>
      </w:r>
    </w:p>
    <w:p w:rsidR="00513B47" w:rsidRPr="00600E6F" w:rsidRDefault="00513B47" w:rsidP="003408F4">
      <w:pPr>
        <w:tabs>
          <w:tab w:val="num" w:pos="1440"/>
        </w:tabs>
        <w:spacing w:after="0" w:line="240" w:lineRule="auto"/>
        <w:ind w:left="720"/>
        <w:rPr>
          <w:rFonts w:ascii="Times New Roman" w:hAnsi="Times New Roman"/>
          <w:b/>
          <w:sz w:val="24"/>
        </w:rPr>
      </w:pPr>
    </w:p>
    <w:p w:rsidR="00513B47" w:rsidRPr="00600E6F" w:rsidRDefault="00513B47" w:rsidP="003408F4">
      <w:pPr>
        <w:tabs>
          <w:tab w:val="num" w:pos="1440"/>
        </w:tabs>
        <w:spacing w:after="0" w:line="240" w:lineRule="auto"/>
        <w:ind w:left="1440"/>
        <w:rPr>
          <w:rFonts w:ascii="Times New Roman" w:hAnsi="Times New Roman"/>
          <w:b/>
          <w:sz w:val="24"/>
        </w:rPr>
      </w:pPr>
      <w:r w:rsidRPr="00600E6F">
        <w:rPr>
          <w:rFonts w:ascii="Times New Roman" w:hAnsi="Times New Roman"/>
          <w:b/>
          <w:sz w:val="24"/>
        </w:rPr>
        <w:t>Ten Year Stepwise Incentive Structure</w:t>
      </w:r>
    </w:p>
    <w:p w:rsidR="00513B47" w:rsidRPr="00600E6F" w:rsidRDefault="00513B47" w:rsidP="003408F4">
      <w:pPr>
        <w:spacing w:line="240" w:lineRule="auto"/>
        <w:ind w:left="1440"/>
        <w:rPr>
          <w:rFonts w:ascii="Times New Roman" w:hAnsi="Times New Roman"/>
          <w:sz w:val="24"/>
        </w:rPr>
      </w:pPr>
      <w:r w:rsidRPr="00600E6F">
        <w:rPr>
          <w:rFonts w:ascii="Times New Roman" w:hAnsi="Times New Roman"/>
          <w:sz w:val="24"/>
        </w:rPr>
        <w:t xml:space="preserve">During the 2013-2014 transition period, the IOUs will meet not fewer than two times with statewide stakeholders to develop a 10 year stepwise incentive structure which will be triggered at defined market transformation milestones.  </w:t>
      </w:r>
      <w:r w:rsidRPr="00600E6F">
        <w:rPr>
          <w:rStyle w:val="Strong"/>
          <w:rFonts w:ascii="Times New Roman" w:hAnsi="Times New Roman"/>
          <w:b w:val="0"/>
          <w:sz w:val="24"/>
        </w:rPr>
        <w:t>It is anticipated that the plan will include a defined timeline</w:t>
      </w:r>
      <w:r w:rsidRPr="00600E6F">
        <w:rPr>
          <w:rStyle w:val="Strong"/>
          <w:rFonts w:ascii="Times New Roman" w:hAnsi="Times New Roman"/>
          <w:sz w:val="24"/>
        </w:rPr>
        <w:t xml:space="preserve">, </w:t>
      </w:r>
      <w:r w:rsidRPr="00600E6F">
        <w:rPr>
          <w:rFonts w:ascii="Times New Roman" w:hAnsi="Times New Roman"/>
          <w:sz w:val="24"/>
        </w:rPr>
        <w:t xml:space="preserve">for incentive update decisions and that incentive level changes will be updated at defined market trigger metrics associated with the number of participating homes towards the </w:t>
      </w:r>
      <w:r w:rsidRPr="00600E6F">
        <w:rPr>
          <w:rFonts w:ascii="Times New Roman" w:hAnsi="Times New Roman"/>
          <w:i/>
          <w:sz w:val="24"/>
        </w:rPr>
        <w:t>Strategic Plan</w:t>
      </w:r>
      <w:r w:rsidRPr="00600E6F">
        <w:rPr>
          <w:rFonts w:ascii="Times New Roman" w:hAnsi="Times New Roman"/>
          <w:sz w:val="24"/>
        </w:rPr>
        <w:t xml:space="preserve"> goals. As the number of participants increases over time, incentive levels will be lowered accordingly to reset the incentive amounts. </w:t>
      </w:r>
    </w:p>
    <w:p w:rsidR="00513B47" w:rsidRPr="00600E6F" w:rsidRDefault="00513B47" w:rsidP="003408F4">
      <w:pPr>
        <w:spacing w:line="240" w:lineRule="auto"/>
        <w:ind w:left="1440"/>
        <w:rPr>
          <w:rFonts w:ascii="Times New Roman" w:hAnsi="Times New Roman"/>
          <w:color w:val="000000"/>
          <w:sz w:val="24"/>
        </w:rPr>
      </w:pPr>
      <w:r w:rsidRPr="00600E6F">
        <w:rPr>
          <w:rFonts w:ascii="Times New Roman" w:hAnsi="Times New Roman"/>
          <w:color w:val="000000"/>
          <w:sz w:val="24"/>
        </w:rPr>
        <w:lastRenderedPageBreak/>
        <w:t>The IOUs will invite statewide stakeholder inputs to lock in these targets prior to the start of 2015, using every 20,000 homes/dwelling units treated and decreasing incentive levels in $250 increments as a starting point for discussion.  Once the statewide target is confirmed, the IOUs will notify contractors when the program has reached 75%, 90% and 95% of the goal so contractors can plan accordingly.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b/>
          <w:sz w:val="24"/>
        </w:rPr>
        <w:t xml:space="preserve">Table 11:  </w:t>
      </w:r>
      <w:r w:rsidRPr="00600E6F">
        <w:rPr>
          <w:rFonts w:ascii="Times New Roman" w:hAnsi="Times New Roman"/>
          <w:sz w:val="24"/>
        </w:rPr>
        <w:t>Summary Table of Measures, Incentive Levels and Verification Rates</w:t>
      </w:r>
    </w:p>
    <w:p w:rsidR="00513B47" w:rsidRPr="00600E6F" w:rsidRDefault="00513B47" w:rsidP="003408F4">
      <w:pPr>
        <w:spacing w:after="0" w:line="240" w:lineRule="auto"/>
        <w:ind w:left="1440"/>
        <w:rPr>
          <w:rFonts w:ascii="Times New Roman" w:hAnsi="Times New Roman"/>
          <w:i/>
          <w:sz w:val="24"/>
        </w:rPr>
      </w:pPr>
      <w:r w:rsidRPr="00600E6F">
        <w:rPr>
          <w:rFonts w:ascii="Times New Roman" w:hAnsi="Times New Roman"/>
          <w:sz w:val="24"/>
        </w:rPr>
        <w:t xml:space="preserve"> </w:t>
      </w:r>
      <w:r w:rsidRPr="00600E6F">
        <w:rPr>
          <w:rFonts w:ascii="Times New Roman" w:hAnsi="Times New Roman"/>
          <w:i/>
          <w:sz w:val="24"/>
        </w:rPr>
        <w:t>[Table 11 to be provided as an Excel Attachment to this PIP]</w:t>
      </w:r>
    </w:p>
    <w:p w:rsidR="00513B47" w:rsidRPr="00600E6F" w:rsidRDefault="00513B47" w:rsidP="003408F4">
      <w:pPr>
        <w:tabs>
          <w:tab w:val="num" w:pos="1440"/>
        </w:tabs>
        <w:spacing w:after="0" w:line="240" w:lineRule="auto"/>
        <w:ind w:left="1440"/>
        <w:rPr>
          <w:rFonts w:ascii="Times New Roman" w:hAnsi="Times New Roman"/>
          <w:b/>
          <w:sz w:val="24"/>
        </w:rPr>
      </w:pPr>
    </w:p>
    <w:p w:rsidR="00513B47" w:rsidRPr="00600E6F" w:rsidRDefault="00513B47" w:rsidP="003408F4">
      <w:pPr>
        <w:tabs>
          <w:tab w:val="num" w:pos="1440"/>
        </w:tabs>
        <w:spacing w:after="0" w:line="240" w:lineRule="auto"/>
        <w:ind w:left="1440"/>
        <w:rPr>
          <w:rFonts w:ascii="Times New Roman" w:hAnsi="Times New Roman"/>
          <w:b/>
          <w:sz w:val="24"/>
        </w:rPr>
      </w:pPr>
      <w:r w:rsidRPr="00600E6F">
        <w:rPr>
          <w:rFonts w:ascii="Times New Roman" w:hAnsi="Times New Roman"/>
          <w:b/>
          <w:sz w:val="24"/>
        </w:rPr>
        <w:t>Permitting Requirements</w:t>
      </w:r>
    </w:p>
    <w:p w:rsidR="00513B47" w:rsidRPr="00600E6F" w:rsidRDefault="00513B47" w:rsidP="003408F4">
      <w:pPr>
        <w:tabs>
          <w:tab w:val="num" w:pos="1440"/>
        </w:tabs>
        <w:spacing w:after="0" w:line="240" w:lineRule="auto"/>
        <w:ind w:left="1440"/>
        <w:rPr>
          <w:rFonts w:ascii="Times New Roman" w:hAnsi="Times New Roman"/>
          <w:sz w:val="24"/>
        </w:rPr>
      </w:pPr>
      <w:r w:rsidRPr="00600E6F">
        <w:rPr>
          <w:rFonts w:ascii="Times New Roman" w:hAnsi="Times New Roman"/>
          <w:sz w:val="24"/>
        </w:rPr>
        <w:t>No incentives for equipment requiring a building permit shall be provided any contractor or customer without that contractor or customer certifying that s/he has complied with all permit requirements and utilized a licensed contractor.</w:t>
      </w:r>
    </w:p>
    <w:p w:rsidR="00513B65" w:rsidRPr="00600E6F" w:rsidRDefault="00513B65" w:rsidP="003408F4">
      <w:pPr>
        <w:tabs>
          <w:tab w:val="num" w:pos="1440"/>
        </w:tabs>
        <w:spacing w:after="0" w:line="240" w:lineRule="auto"/>
        <w:ind w:left="1440"/>
        <w:rPr>
          <w:rFonts w:ascii="Times New Roman" w:hAnsi="Times New Roman"/>
          <w:b/>
          <w:sz w:val="24"/>
        </w:rPr>
      </w:pPr>
    </w:p>
    <w:p w:rsidR="00513B47" w:rsidRPr="00600E6F" w:rsidRDefault="00513B47" w:rsidP="003408F4">
      <w:pPr>
        <w:tabs>
          <w:tab w:val="num" w:pos="1440"/>
        </w:tabs>
        <w:spacing w:after="0" w:line="240" w:lineRule="auto"/>
        <w:ind w:left="1440"/>
        <w:rPr>
          <w:rFonts w:ascii="Times New Roman" w:hAnsi="Times New Roman"/>
          <w:b/>
          <w:sz w:val="24"/>
        </w:rPr>
      </w:pPr>
      <w:r w:rsidRPr="00600E6F">
        <w:rPr>
          <w:rFonts w:ascii="Times New Roman" w:hAnsi="Times New Roman"/>
          <w:b/>
          <w:sz w:val="24"/>
        </w:rPr>
        <w:t>Qualified Measures</w:t>
      </w:r>
    </w:p>
    <w:p w:rsidR="00513B47" w:rsidRPr="00600E6F" w:rsidRDefault="00513B47" w:rsidP="003408F4">
      <w:pPr>
        <w:tabs>
          <w:tab w:val="num" w:pos="1440"/>
        </w:tabs>
        <w:spacing w:after="0" w:line="240" w:lineRule="auto"/>
        <w:ind w:left="1440"/>
        <w:rPr>
          <w:rFonts w:ascii="Times New Roman" w:hAnsi="Times New Roman"/>
          <w:sz w:val="24"/>
        </w:rPr>
      </w:pPr>
      <w:r w:rsidRPr="00600E6F">
        <w:rPr>
          <w:rFonts w:ascii="Times New Roman" w:hAnsi="Times New Roman"/>
          <w:sz w:val="24"/>
        </w:rPr>
        <w:t>During the transition cycle, the IOUs will work to better leverage WHUP to achieve greater energy savings from plug loads, appliances and swimming pools through:</w:t>
      </w:r>
    </w:p>
    <w:p w:rsidR="00513B47" w:rsidRPr="00600E6F" w:rsidRDefault="00513B47" w:rsidP="003408F4">
      <w:pPr>
        <w:tabs>
          <w:tab w:val="num" w:pos="1440"/>
        </w:tabs>
        <w:spacing w:after="0" w:line="240" w:lineRule="auto"/>
        <w:ind w:left="144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ab/>
        <w:t>1.  Greater cross marketing of HEER and WHUP customers.</w:t>
      </w:r>
    </w:p>
    <w:p w:rsidR="00513B47" w:rsidRPr="00600E6F" w:rsidRDefault="00513B47" w:rsidP="003408F4">
      <w:pPr>
        <w:tabs>
          <w:tab w:val="num" w:pos="1440"/>
        </w:tabs>
        <w:spacing w:after="0" w:line="240" w:lineRule="auto"/>
        <w:ind w:left="2160"/>
        <w:rPr>
          <w:rFonts w:ascii="Times New Roman" w:hAnsi="Times New Roman"/>
          <w:sz w:val="24"/>
        </w:rPr>
      </w:pPr>
      <w:r w:rsidRPr="00600E6F">
        <w:rPr>
          <w:rFonts w:ascii="Times New Roman" w:hAnsi="Times New Roman"/>
          <w:sz w:val="24"/>
        </w:rPr>
        <w:t>2.  Work with EnergySoft to find solutions to pool pump modeling.</w:t>
      </w:r>
    </w:p>
    <w:p w:rsidR="00513B47" w:rsidRPr="00600E6F" w:rsidRDefault="00513B47" w:rsidP="003408F4">
      <w:pPr>
        <w:tabs>
          <w:tab w:val="num" w:pos="1440"/>
          <w:tab w:val="left" w:pos="2430"/>
        </w:tabs>
        <w:spacing w:after="0" w:line="240" w:lineRule="auto"/>
        <w:ind w:left="2430" w:hanging="270"/>
        <w:rPr>
          <w:rFonts w:ascii="Times New Roman" w:hAnsi="Times New Roman"/>
          <w:sz w:val="24"/>
        </w:rPr>
      </w:pPr>
      <w:r w:rsidRPr="00600E6F">
        <w:rPr>
          <w:rFonts w:ascii="Times New Roman" w:hAnsi="Times New Roman"/>
          <w:sz w:val="24"/>
        </w:rPr>
        <w:t>3.  Incorporate lighting and appliance options as a more predominate feature in standard assessment reports to customers.</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 xml:space="preserve">Required </w:t>
      </w:r>
      <w:r w:rsidRPr="00600E6F">
        <w:rPr>
          <w:rFonts w:ascii="Times New Roman" w:hAnsi="Times New Roman"/>
          <w:b/>
          <w:i/>
          <w:sz w:val="24"/>
        </w:rPr>
        <w:t>Basic Path</w:t>
      </w:r>
      <w:r w:rsidRPr="00600E6F">
        <w:rPr>
          <w:rFonts w:ascii="Times New Roman" w:hAnsi="Times New Roman"/>
          <w:b/>
          <w:sz w:val="24"/>
        </w:rPr>
        <w:t xml:space="preserve"> Measures Installed Per Measures Installation Standards:</w:t>
      </w:r>
    </w:p>
    <w:tbl>
      <w:tblPr>
        <w:tblW w:w="5685" w:type="dxa"/>
        <w:tblInd w:w="93" w:type="dxa"/>
        <w:tblLook w:val="00A0" w:firstRow="1" w:lastRow="0" w:firstColumn="1" w:lastColumn="0" w:noHBand="0" w:noVBand="0"/>
      </w:tblPr>
      <w:tblGrid>
        <w:gridCol w:w="5685"/>
      </w:tblGrid>
      <w:tr w:rsidR="00513B47" w:rsidRPr="00F50F8B" w:rsidTr="003425E2">
        <w:trPr>
          <w:trHeight w:val="315"/>
        </w:trPr>
        <w:tc>
          <w:tcPr>
            <w:tcW w:w="568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Whole House Air Sealing</w:t>
            </w:r>
          </w:p>
        </w:tc>
      </w:tr>
      <w:tr w:rsidR="00513B47" w:rsidRPr="00F50F8B" w:rsidTr="003425E2">
        <w:trPr>
          <w:trHeight w:val="315"/>
        </w:trPr>
        <w:tc>
          <w:tcPr>
            <w:tcW w:w="568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 xml:space="preserve">Attic Insulation </w:t>
            </w:r>
          </w:p>
        </w:tc>
      </w:tr>
      <w:tr w:rsidR="00513B47" w:rsidRPr="00F50F8B" w:rsidTr="003425E2">
        <w:trPr>
          <w:trHeight w:val="315"/>
        </w:trPr>
        <w:tc>
          <w:tcPr>
            <w:tcW w:w="568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Duct Test and Seal</w:t>
            </w:r>
          </w:p>
        </w:tc>
      </w:tr>
      <w:tr w:rsidR="00513B47" w:rsidRPr="00F50F8B" w:rsidTr="003425E2">
        <w:trPr>
          <w:trHeight w:val="315"/>
        </w:trPr>
        <w:tc>
          <w:tcPr>
            <w:tcW w:w="568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Domestic Hot Water Pipe Insulation</w:t>
            </w:r>
          </w:p>
        </w:tc>
      </w:tr>
      <w:tr w:rsidR="00513B47" w:rsidRPr="00F50F8B" w:rsidTr="003425E2">
        <w:trPr>
          <w:trHeight w:val="315"/>
        </w:trPr>
        <w:tc>
          <w:tcPr>
            <w:tcW w:w="568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Thermostatic Shut-Off Valve</w:t>
            </w:r>
          </w:p>
        </w:tc>
      </w:tr>
      <w:tr w:rsidR="00513B47" w:rsidRPr="00F50F8B" w:rsidTr="003425E2">
        <w:trPr>
          <w:trHeight w:val="330"/>
        </w:trPr>
        <w:tc>
          <w:tcPr>
            <w:tcW w:w="568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Low-Flow Shower Head</w:t>
            </w:r>
          </w:p>
          <w:p w:rsidR="00513B47" w:rsidRPr="00600E6F" w:rsidRDefault="00513B47" w:rsidP="003408F4">
            <w:pPr>
              <w:spacing w:after="0" w:line="240" w:lineRule="auto"/>
              <w:ind w:left="1347"/>
              <w:rPr>
                <w:rFonts w:ascii="Times New Roman" w:hAnsi="Times New Roman"/>
                <w:color w:val="000000"/>
                <w:sz w:val="24"/>
              </w:rPr>
            </w:pPr>
          </w:p>
        </w:tc>
      </w:tr>
    </w:tbl>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i/>
          <w:sz w:val="24"/>
        </w:rPr>
        <w:t>Advanced Path</w:t>
      </w:r>
      <w:r w:rsidRPr="00600E6F">
        <w:rPr>
          <w:rFonts w:ascii="Times New Roman" w:hAnsi="Times New Roman"/>
          <w:b/>
          <w:sz w:val="24"/>
        </w:rPr>
        <w:t xml:space="preserve"> Measures Installed Per Measures Installation Standards:</w:t>
      </w:r>
    </w:p>
    <w:tbl>
      <w:tblPr>
        <w:tblW w:w="8115" w:type="dxa"/>
        <w:tblInd w:w="93" w:type="dxa"/>
        <w:tblLook w:val="00A0" w:firstRow="1" w:lastRow="0" w:firstColumn="1" w:lastColumn="0" w:noHBand="0" w:noVBand="0"/>
      </w:tblPr>
      <w:tblGrid>
        <w:gridCol w:w="8115"/>
      </w:tblGrid>
      <w:tr w:rsidR="00513B47" w:rsidRPr="00F50F8B" w:rsidTr="003425E2">
        <w:trPr>
          <w:trHeight w:val="315"/>
        </w:trPr>
        <w:tc>
          <w:tcPr>
            <w:tcW w:w="811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 xml:space="preserve">Attic Insulation </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Cool Roof Installation (CRRC-certified)</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Cooling System Upgrade</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Domestic Hot Water Heater Upgrade (non-solar)</w:t>
            </w:r>
          </w:p>
        </w:tc>
      </w:tr>
      <w:tr w:rsidR="00513B47" w:rsidRPr="00F50F8B" w:rsidTr="003425E2">
        <w:trPr>
          <w:trHeight w:val="315"/>
        </w:trPr>
        <w:tc>
          <w:tcPr>
            <w:tcW w:w="811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Domestic Hot Water Pipe Insulation</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Duct Insulation</w:t>
            </w:r>
          </w:p>
        </w:tc>
      </w:tr>
      <w:tr w:rsidR="00513B47" w:rsidRPr="00F50F8B" w:rsidTr="003425E2">
        <w:trPr>
          <w:trHeight w:val="279"/>
        </w:trPr>
        <w:tc>
          <w:tcPr>
            <w:tcW w:w="811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Duct Test and Seal</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ight="-648"/>
              <w:rPr>
                <w:rFonts w:ascii="Times New Roman" w:hAnsi="Times New Roman"/>
                <w:color w:val="000000"/>
                <w:sz w:val="24"/>
              </w:rPr>
            </w:pPr>
            <w:r w:rsidRPr="00600E6F">
              <w:rPr>
                <w:rFonts w:ascii="Times New Roman" w:hAnsi="Times New Roman"/>
                <w:color w:val="000000"/>
                <w:sz w:val="24"/>
              </w:rPr>
              <w:t>Exterior Lighting Upgrade – Permanently Installed High-Efficacy</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 xml:space="preserve">Floor Insulation </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Heating System Upgrade</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Interior Lighting Upgrade – Permanently Installed High-Efficacy</w:t>
            </w:r>
          </w:p>
        </w:tc>
      </w:tr>
      <w:tr w:rsidR="00513B47" w:rsidRPr="00F50F8B" w:rsidTr="003425E2">
        <w:trPr>
          <w:trHeight w:val="315"/>
        </w:trPr>
        <w:tc>
          <w:tcPr>
            <w:tcW w:w="811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Low-Flow Shower Head</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Radiant Barrier Installation</w:t>
            </w:r>
          </w:p>
        </w:tc>
      </w:tr>
      <w:tr w:rsidR="00513B47" w:rsidRPr="00F50F8B" w:rsidTr="003425E2">
        <w:trPr>
          <w:trHeight w:val="315"/>
        </w:trPr>
        <w:tc>
          <w:tcPr>
            <w:tcW w:w="811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lastRenderedPageBreak/>
              <w:t>Thermostatic Shut-Off Valve</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 xml:space="preserve">Wall Insulation </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Whole House Fan Installation</w:t>
            </w:r>
          </w:p>
        </w:tc>
      </w:tr>
      <w:tr w:rsidR="00513B47" w:rsidRPr="00F50F8B" w:rsidTr="003425E2">
        <w:trPr>
          <w:trHeight w:val="315"/>
        </w:trPr>
        <w:tc>
          <w:tcPr>
            <w:tcW w:w="8115" w:type="dxa"/>
            <w:shd w:val="clear" w:color="000000" w:fill="FFFFFF"/>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Whole House Air Sealing</w:t>
            </w:r>
          </w:p>
        </w:tc>
      </w:tr>
      <w:tr w:rsidR="00513B47" w:rsidRPr="00F50F8B" w:rsidTr="003425E2">
        <w:trPr>
          <w:trHeight w:val="315"/>
        </w:trPr>
        <w:tc>
          <w:tcPr>
            <w:tcW w:w="811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Window Upgrade</w:t>
            </w:r>
          </w:p>
        </w:tc>
      </w:tr>
    </w:tbl>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color w:val="000000"/>
          <w:sz w:val="24"/>
        </w:rPr>
        <w:t xml:space="preserve">Other Measures as may be modeled and allowed by IOUs per regional market needs </w:t>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Ineligible Measures</w:t>
      </w:r>
    </w:p>
    <w:tbl>
      <w:tblPr>
        <w:tblW w:w="6585" w:type="dxa"/>
        <w:tblInd w:w="93" w:type="dxa"/>
        <w:tblLook w:val="00A0" w:firstRow="1" w:lastRow="0" w:firstColumn="1" w:lastColumn="0" w:noHBand="0" w:noVBand="0"/>
      </w:tblPr>
      <w:tblGrid>
        <w:gridCol w:w="6585"/>
      </w:tblGrid>
      <w:tr w:rsidR="00513B47" w:rsidRPr="00F50F8B" w:rsidTr="003425E2">
        <w:trPr>
          <w:trHeight w:val="315"/>
        </w:trPr>
        <w:tc>
          <w:tcPr>
            <w:tcW w:w="658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Screw-In Lighting Fixtures and Lamps</w:t>
            </w:r>
          </w:p>
        </w:tc>
      </w:tr>
      <w:tr w:rsidR="00513B47" w:rsidRPr="00F50F8B" w:rsidTr="003425E2">
        <w:trPr>
          <w:trHeight w:val="315"/>
        </w:trPr>
        <w:tc>
          <w:tcPr>
            <w:tcW w:w="658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Solar Domestic Hot Water Heater System</w:t>
            </w:r>
          </w:p>
        </w:tc>
      </w:tr>
      <w:tr w:rsidR="00513B47" w:rsidRPr="00F50F8B" w:rsidTr="003425E2">
        <w:trPr>
          <w:trHeight w:val="315"/>
        </w:trPr>
        <w:tc>
          <w:tcPr>
            <w:tcW w:w="658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Distributed Generation Systems - Solar PV, Fuel Cell, Wind, etc.</w:t>
            </w:r>
          </w:p>
        </w:tc>
      </w:tr>
      <w:tr w:rsidR="00513B47" w:rsidRPr="00F50F8B" w:rsidTr="003425E2">
        <w:trPr>
          <w:trHeight w:val="315"/>
        </w:trPr>
        <w:tc>
          <w:tcPr>
            <w:tcW w:w="658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Pool Pump Upgrade</w:t>
            </w:r>
          </w:p>
        </w:tc>
      </w:tr>
      <w:tr w:rsidR="00513B47" w:rsidRPr="00F50F8B" w:rsidTr="003425E2">
        <w:trPr>
          <w:trHeight w:val="315"/>
        </w:trPr>
        <w:tc>
          <w:tcPr>
            <w:tcW w:w="658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Clothes Washer Upgrade</w:t>
            </w:r>
          </w:p>
        </w:tc>
      </w:tr>
      <w:tr w:rsidR="00513B47" w:rsidRPr="00F50F8B" w:rsidTr="003425E2">
        <w:trPr>
          <w:trHeight w:val="459"/>
        </w:trPr>
        <w:tc>
          <w:tcPr>
            <w:tcW w:w="6585" w:type="dxa"/>
            <w:noWrap/>
            <w:vAlign w:val="bottom"/>
          </w:tcPr>
          <w:p w:rsidR="00513B47" w:rsidRPr="00600E6F"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Clothes Dryer Upgrade</w:t>
            </w:r>
          </w:p>
          <w:p w:rsidR="00513B47" w:rsidRDefault="00513B47" w:rsidP="003408F4">
            <w:pPr>
              <w:spacing w:after="0" w:line="240" w:lineRule="auto"/>
              <w:ind w:left="1347"/>
              <w:rPr>
                <w:rFonts w:ascii="Times New Roman" w:hAnsi="Times New Roman"/>
                <w:color w:val="000000"/>
                <w:sz w:val="24"/>
              </w:rPr>
            </w:pPr>
            <w:r w:rsidRPr="00600E6F">
              <w:rPr>
                <w:rFonts w:ascii="Times New Roman" w:hAnsi="Times New Roman"/>
                <w:color w:val="000000"/>
                <w:sz w:val="24"/>
              </w:rPr>
              <w:t>Dishwasher Upgrade</w:t>
            </w:r>
          </w:p>
          <w:p w:rsidR="00513B65" w:rsidRPr="00600E6F" w:rsidRDefault="00513B65" w:rsidP="003408F4">
            <w:pPr>
              <w:spacing w:after="0" w:line="240" w:lineRule="auto"/>
              <w:ind w:left="1347"/>
              <w:rPr>
                <w:rFonts w:ascii="Times New Roman" w:hAnsi="Times New Roman"/>
                <w:color w:val="000000"/>
                <w:sz w:val="24"/>
              </w:rPr>
            </w:pPr>
          </w:p>
        </w:tc>
      </w:tr>
    </w:tbl>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Multifamily Building Eligible Measures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Attic insulation upgrade</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Wall Insulation upgrade</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Floor insulation upgrade</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Window replacements – 2008 T</w:t>
      </w:r>
      <w:r w:rsidRPr="00600E6F">
        <w:rPr>
          <w:rFonts w:ascii="Cambria Math" w:hAnsi="Cambria Math"/>
          <w:sz w:val="24"/>
        </w:rPr>
        <w:t>‐</w:t>
      </w:r>
      <w:r w:rsidRPr="00600E6F">
        <w:rPr>
          <w:rFonts w:ascii="Times New Roman" w:hAnsi="Times New Roman"/>
          <w:sz w:val="24"/>
        </w:rPr>
        <w:t>24 standard or better</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Cool roof – CRRC rated product</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Radiant barrier</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Window shading – permanent, non</w:t>
      </w:r>
      <w:r w:rsidRPr="00600E6F">
        <w:rPr>
          <w:rFonts w:ascii="Cambria Math" w:hAnsi="Cambria Math"/>
          <w:sz w:val="24"/>
        </w:rPr>
        <w:t>‐</w:t>
      </w:r>
      <w:r w:rsidRPr="00600E6F">
        <w:rPr>
          <w:rFonts w:ascii="Times New Roman" w:hAnsi="Times New Roman"/>
          <w:sz w:val="24"/>
        </w:rPr>
        <w:t>retractable</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 xml:space="preserve">Duct Sealing </w:t>
      </w:r>
      <w:r w:rsidRPr="00600E6F">
        <w:rPr>
          <w:rFonts w:ascii="Cambria Math" w:hAnsi="Cambria Math"/>
          <w:sz w:val="24"/>
        </w:rPr>
        <w:t>‐</w:t>
      </w:r>
      <w:r w:rsidRPr="00600E6F">
        <w:rPr>
          <w:rFonts w:ascii="Times New Roman" w:hAnsi="Times New Roman"/>
          <w:sz w:val="24"/>
        </w:rPr>
        <w:t xml:space="preserve"> with HERS test</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A/C equipment replacement – Must meet current T</w:t>
      </w:r>
      <w:r w:rsidRPr="00600E6F">
        <w:rPr>
          <w:rFonts w:ascii="Cambria Math" w:hAnsi="Cambria Math"/>
          <w:sz w:val="24"/>
        </w:rPr>
        <w:t>‐</w:t>
      </w:r>
      <w:r w:rsidRPr="00600E6F">
        <w:rPr>
          <w:rFonts w:ascii="Times New Roman" w:hAnsi="Times New Roman"/>
          <w:sz w:val="24"/>
        </w:rPr>
        <w:t>20 standard</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Furnace replacement – Must meet current T</w:t>
      </w:r>
      <w:r w:rsidRPr="00600E6F">
        <w:rPr>
          <w:rFonts w:ascii="Cambria Math" w:hAnsi="Cambria Math"/>
          <w:sz w:val="24"/>
        </w:rPr>
        <w:t>‐</w:t>
      </w:r>
      <w:r w:rsidRPr="00600E6F">
        <w:rPr>
          <w:rFonts w:ascii="Times New Roman" w:hAnsi="Times New Roman"/>
          <w:sz w:val="24"/>
        </w:rPr>
        <w:t>20 standard</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Premium efficiency motors (ECM included)</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VFD controls for CHW, HW, CW pumps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VFD controls for cooling tower fans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Pipe insulation – From ½ inch to 1</w:t>
      </w:r>
      <w:r w:rsidRPr="00600E6F">
        <w:rPr>
          <w:rFonts w:ascii="Cambria Math" w:hAnsi="Cambria Math"/>
          <w:sz w:val="24"/>
        </w:rPr>
        <w:t>‐</w:t>
      </w:r>
      <w:r w:rsidRPr="00600E6F">
        <w:rPr>
          <w:rFonts w:ascii="Times New Roman" w:hAnsi="Times New Roman"/>
          <w:sz w:val="24"/>
        </w:rPr>
        <w:t>inch, or none to 1</w:t>
      </w:r>
      <w:r w:rsidRPr="00600E6F">
        <w:rPr>
          <w:rFonts w:ascii="Cambria Math" w:hAnsi="Cambria Math"/>
          <w:sz w:val="24"/>
        </w:rPr>
        <w:t>‐</w:t>
      </w:r>
      <w:r w:rsidRPr="00600E6F">
        <w:rPr>
          <w:rFonts w:ascii="Times New Roman" w:hAnsi="Times New Roman"/>
          <w:sz w:val="24"/>
        </w:rPr>
        <w:t>inch</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Controls optimization (OA reset, zone reset)</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Boiler or DHW replacement – Must meet current T</w:t>
      </w:r>
      <w:r w:rsidRPr="00600E6F">
        <w:rPr>
          <w:rFonts w:ascii="Cambria Math" w:hAnsi="Cambria Math"/>
          <w:sz w:val="24"/>
        </w:rPr>
        <w:t>‐</w:t>
      </w:r>
      <w:r w:rsidRPr="00600E6F">
        <w:rPr>
          <w:rFonts w:ascii="Times New Roman" w:hAnsi="Times New Roman"/>
          <w:sz w:val="24"/>
        </w:rPr>
        <w:t>20 standard</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Insulate hot water piping – From ½</w:t>
      </w:r>
      <w:r w:rsidRPr="00600E6F">
        <w:rPr>
          <w:rFonts w:ascii="Cambria Math" w:hAnsi="Cambria Math"/>
          <w:sz w:val="24"/>
        </w:rPr>
        <w:t>‐</w:t>
      </w:r>
      <w:r w:rsidRPr="00600E6F">
        <w:rPr>
          <w:rFonts w:ascii="Times New Roman" w:hAnsi="Times New Roman"/>
          <w:sz w:val="24"/>
        </w:rPr>
        <w:t>inch to 1</w:t>
      </w:r>
      <w:r w:rsidRPr="00600E6F">
        <w:rPr>
          <w:rFonts w:ascii="Cambria Math" w:hAnsi="Cambria Math"/>
          <w:sz w:val="24"/>
        </w:rPr>
        <w:t>‐</w:t>
      </w:r>
      <w:r w:rsidRPr="00600E6F">
        <w:rPr>
          <w:rFonts w:ascii="Times New Roman" w:hAnsi="Times New Roman"/>
          <w:sz w:val="24"/>
        </w:rPr>
        <w:t>inch, or none to 1</w:t>
      </w:r>
      <w:r w:rsidRPr="00600E6F">
        <w:rPr>
          <w:rFonts w:ascii="Cambria Math" w:hAnsi="Cambria Math"/>
          <w:sz w:val="24"/>
        </w:rPr>
        <w:t>‐</w:t>
      </w:r>
      <w:r w:rsidRPr="00600E6F">
        <w:rPr>
          <w:rFonts w:ascii="Times New Roman" w:hAnsi="Times New Roman"/>
          <w:sz w:val="24"/>
        </w:rPr>
        <w:t>inch</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DHW tank insulation</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Add VFD to circulation pump</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Update central DHW pump to demand control – From no control to demand control</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Common area lighting fixtures – high efficacy hardwired fixtures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Dwelling unit lighting fixtures – high efficacy hardwired fixtures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Lighting controls – Occupancy sensor, photo sensor, or dimmer switch</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Outdoor lighting retrofits – high efficacy hardwired fixtures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ENERGY STAR® Refrigerator</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ENERGY STAR® Dishwasher (if a dishwasher is installed in pre</w:t>
      </w:r>
      <w:r w:rsidRPr="00600E6F">
        <w:rPr>
          <w:rFonts w:ascii="Cambria Math" w:hAnsi="Cambria Math"/>
          <w:sz w:val="24"/>
        </w:rPr>
        <w:t>‐</w:t>
      </w:r>
      <w:r w:rsidRPr="00600E6F">
        <w:rPr>
          <w:rFonts w:ascii="Times New Roman" w:hAnsi="Times New Roman"/>
          <w:sz w:val="24"/>
        </w:rPr>
        <w:t>retrofit condition)</w:t>
      </w:r>
    </w:p>
    <w:p w:rsidR="00513B47" w:rsidRDefault="00513B47" w:rsidP="003408F4">
      <w:pPr>
        <w:spacing w:after="0" w:line="240" w:lineRule="auto"/>
        <w:rPr>
          <w:rFonts w:ascii="Times New Roman" w:hAnsi="Times New Roman"/>
          <w:sz w:val="24"/>
        </w:rPr>
      </w:pPr>
    </w:p>
    <w:p w:rsidR="00421BBD" w:rsidRPr="00600E6F" w:rsidRDefault="00421BBD" w:rsidP="003408F4">
      <w:pPr>
        <w:spacing w:after="0" w:line="240" w:lineRule="auto"/>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lastRenderedPageBreak/>
        <w:t xml:space="preserve">Additional Services: </w:t>
      </w: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 xml:space="preserve">Table 12: </w:t>
      </w:r>
      <w:r w:rsidRPr="00600E6F">
        <w:rPr>
          <w:rFonts w:ascii="Times New Roman" w:hAnsi="Times New Roman"/>
          <w:sz w:val="24"/>
        </w:rPr>
        <w:t>Additional Service</w:t>
      </w:r>
    </w:p>
    <w:p w:rsidR="00513B47" w:rsidRPr="00600E6F" w:rsidRDefault="00513B47" w:rsidP="003408F4">
      <w:pPr>
        <w:spacing w:after="0" w:line="240" w:lineRule="auto"/>
        <w:ind w:left="1440"/>
        <w:rPr>
          <w:rFonts w:ascii="Times New Roman" w:hAnsi="Times New Roman"/>
          <w:i/>
          <w:sz w:val="24"/>
        </w:rPr>
      </w:pPr>
      <w:r w:rsidRPr="00600E6F">
        <w:rPr>
          <w:rFonts w:ascii="Times New Roman" w:hAnsi="Times New Roman"/>
          <w:sz w:val="24"/>
        </w:rPr>
        <w:t xml:space="preserve">  </w:t>
      </w:r>
      <w:r w:rsidRPr="00600E6F">
        <w:rPr>
          <w:rFonts w:ascii="Times New Roman" w:hAnsi="Times New Roman"/>
          <w:i/>
          <w:sz w:val="24"/>
        </w:rPr>
        <w:t>[Table 12 to be provided as an Excel Attachment to this PIP]</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 xml:space="preserve">Sub-Program Specific Marketing and Outreach: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IOUs will conduct integrated as well as program-specific marketing and outreach which will be coordinated with the statewide marketing and outreach program.  The utilities may use a range of tactics such as; e-mails, flyers, on-Line marketing, direct mail, bill messaging, social media, local events, ethnic media, and other channels that suit the target audience, the message, and the resources.</w:t>
      </w:r>
    </w:p>
    <w:p w:rsidR="00513B65" w:rsidRPr="00600E6F" w:rsidRDefault="00513B65"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outlineLvl w:val="2"/>
        <w:rPr>
          <w:rFonts w:ascii="Times New Roman" w:hAnsi="Times New Roman"/>
          <w:b/>
          <w:sz w:val="24"/>
        </w:rPr>
      </w:pPr>
      <w:r w:rsidRPr="00600E6F">
        <w:rPr>
          <w:rFonts w:ascii="Times New Roman" w:hAnsi="Times New Roman"/>
          <w:b/>
          <w:sz w:val="24"/>
        </w:rPr>
        <w:t>Marketing, Education and Outreach plans</w:t>
      </w:r>
    </w:p>
    <w:p w:rsidR="00513B47" w:rsidRPr="00600E6F" w:rsidRDefault="00513B47" w:rsidP="003408F4">
      <w:pPr>
        <w:tabs>
          <w:tab w:val="left" w:pos="360"/>
          <w:tab w:val="left" w:pos="720"/>
        </w:tabs>
        <w:spacing w:after="0" w:line="240" w:lineRule="auto"/>
        <w:ind w:left="2160" w:hanging="360"/>
        <w:rPr>
          <w:rFonts w:ascii="Times New Roman" w:hAnsi="Times New Roman"/>
          <w:b/>
          <w:sz w:val="24"/>
        </w:rPr>
      </w:pPr>
      <w:r w:rsidRPr="00600E6F">
        <w:rPr>
          <w:rFonts w:ascii="Times New Roman" w:hAnsi="Times New Roman"/>
          <w:b/>
          <w:sz w:val="24"/>
        </w:rPr>
        <w:t>1)</w:t>
      </w:r>
      <w:r w:rsidRPr="00600E6F">
        <w:rPr>
          <w:rFonts w:ascii="Times New Roman" w:hAnsi="Times New Roman"/>
          <w:b/>
          <w:sz w:val="24"/>
        </w:rPr>
        <w:tab/>
        <w:t>Objectives</w:t>
      </w:r>
    </w:p>
    <w:p w:rsidR="00513B47" w:rsidRPr="00600E6F" w:rsidRDefault="00513B47" w:rsidP="00C31CC0">
      <w:pPr>
        <w:numPr>
          <w:ilvl w:val="0"/>
          <w:numId w:val="40"/>
        </w:numPr>
        <w:tabs>
          <w:tab w:val="clear" w:pos="720"/>
          <w:tab w:val="num" w:pos="1530"/>
        </w:tabs>
        <w:spacing w:after="0" w:line="240" w:lineRule="auto"/>
        <w:ind w:left="2520"/>
        <w:rPr>
          <w:rFonts w:ascii="Times New Roman" w:hAnsi="Times New Roman"/>
          <w:sz w:val="24"/>
        </w:rPr>
      </w:pPr>
      <w:r w:rsidRPr="00600E6F">
        <w:rPr>
          <w:rFonts w:ascii="Times New Roman" w:hAnsi="Times New Roman"/>
          <w:sz w:val="24"/>
        </w:rPr>
        <w:t>Generate greater awareness, understanding and for the whole house system concept;</w:t>
      </w:r>
    </w:p>
    <w:p w:rsidR="00513B47" w:rsidRPr="00600E6F" w:rsidRDefault="00513B47" w:rsidP="00C31CC0">
      <w:pPr>
        <w:numPr>
          <w:ilvl w:val="0"/>
          <w:numId w:val="40"/>
        </w:numPr>
        <w:tabs>
          <w:tab w:val="clear" w:pos="720"/>
          <w:tab w:val="num" w:pos="1530"/>
        </w:tabs>
        <w:spacing w:after="0" w:line="240" w:lineRule="auto"/>
        <w:ind w:left="2520"/>
        <w:rPr>
          <w:rFonts w:ascii="Times New Roman" w:hAnsi="Times New Roman"/>
          <w:sz w:val="24"/>
        </w:rPr>
      </w:pPr>
      <w:r w:rsidRPr="00600E6F">
        <w:rPr>
          <w:rFonts w:ascii="Times New Roman" w:hAnsi="Times New Roman"/>
          <w:sz w:val="24"/>
        </w:rPr>
        <w:t>Drive response amongst qualified customers to seek out whole house projects; and</w:t>
      </w:r>
    </w:p>
    <w:p w:rsidR="00513B47" w:rsidRPr="00600E6F" w:rsidRDefault="00513B47" w:rsidP="00C31CC0">
      <w:pPr>
        <w:numPr>
          <w:ilvl w:val="0"/>
          <w:numId w:val="40"/>
        </w:numPr>
        <w:tabs>
          <w:tab w:val="clear" w:pos="720"/>
        </w:tabs>
        <w:spacing w:after="0" w:line="240" w:lineRule="auto"/>
        <w:ind w:left="2520"/>
        <w:rPr>
          <w:rFonts w:ascii="Times New Roman" w:hAnsi="Times New Roman"/>
          <w:sz w:val="24"/>
        </w:rPr>
      </w:pPr>
      <w:r w:rsidRPr="00600E6F">
        <w:rPr>
          <w:rFonts w:ascii="Times New Roman" w:hAnsi="Times New Roman"/>
          <w:sz w:val="24"/>
        </w:rPr>
        <w:t>Build demand in the marketplace for home retrofit services.</w:t>
      </w:r>
    </w:p>
    <w:p w:rsidR="00513B47" w:rsidRPr="00600E6F" w:rsidRDefault="00513B47" w:rsidP="003408F4">
      <w:pPr>
        <w:tabs>
          <w:tab w:val="left" w:pos="360"/>
          <w:tab w:val="left" w:pos="720"/>
        </w:tabs>
        <w:spacing w:after="0" w:line="240" w:lineRule="auto"/>
        <w:rPr>
          <w:rFonts w:ascii="Times New Roman" w:hAnsi="Times New Roman"/>
          <w:b/>
          <w:sz w:val="24"/>
        </w:rPr>
      </w:pPr>
    </w:p>
    <w:p w:rsidR="00513B47" w:rsidRPr="00600E6F" w:rsidRDefault="00513B47" w:rsidP="003408F4">
      <w:pPr>
        <w:tabs>
          <w:tab w:val="left" w:pos="360"/>
          <w:tab w:val="left" w:pos="720"/>
        </w:tabs>
        <w:spacing w:after="0" w:line="240" w:lineRule="auto"/>
        <w:ind w:left="2160" w:hanging="360"/>
        <w:rPr>
          <w:rFonts w:ascii="Times New Roman" w:hAnsi="Times New Roman"/>
          <w:b/>
          <w:sz w:val="24"/>
        </w:rPr>
      </w:pPr>
      <w:r w:rsidRPr="00600E6F">
        <w:rPr>
          <w:rFonts w:ascii="Times New Roman" w:hAnsi="Times New Roman"/>
          <w:b/>
          <w:sz w:val="24"/>
        </w:rPr>
        <w:t>2)</w:t>
      </w:r>
      <w:r w:rsidRPr="00600E6F">
        <w:rPr>
          <w:rFonts w:ascii="Times New Roman" w:hAnsi="Times New Roman"/>
          <w:b/>
          <w:sz w:val="24"/>
        </w:rPr>
        <w:tab/>
        <w:t>Target Audiences</w:t>
      </w:r>
    </w:p>
    <w:p w:rsidR="00513B47" w:rsidRPr="00600E6F" w:rsidRDefault="00513B47" w:rsidP="003408F4">
      <w:pPr>
        <w:spacing w:after="0" w:line="240" w:lineRule="auto"/>
        <w:ind w:left="2160"/>
        <w:rPr>
          <w:rFonts w:ascii="Times New Roman" w:hAnsi="Times New Roman"/>
          <w:sz w:val="24"/>
        </w:rPr>
      </w:pPr>
      <w:r w:rsidRPr="00600E6F">
        <w:rPr>
          <w:rFonts w:ascii="Times New Roman" w:hAnsi="Times New Roman"/>
          <w:sz w:val="24"/>
        </w:rPr>
        <w:t>WHUP marketing and outreach aims to include all stakeholders in the retrofit process, throughout the life of the program. This will help to ensure that all audiences receive consistent information and will enable a more informed dialogue about program specifics, in an effort to continuously engage stakeholders in the energy efficiency retrofit process. The initial target group is comprised of the following audiences listed below</w:t>
      </w:r>
      <w:r w:rsidR="00513B65">
        <w:rPr>
          <w:rFonts w:ascii="Times New Roman" w:hAnsi="Times New Roman"/>
          <w:sz w:val="24"/>
        </w:rPr>
        <w:t xml:space="preserve"> and are</w:t>
      </w:r>
      <w:r w:rsidRPr="00600E6F">
        <w:rPr>
          <w:rFonts w:ascii="Times New Roman" w:hAnsi="Times New Roman"/>
          <w:sz w:val="24"/>
        </w:rPr>
        <w:t xml:space="preserve"> </w:t>
      </w:r>
      <w:r w:rsidR="00513B65">
        <w:rPr>
          <w:rFonts w:ascii="Times New Roman" w:hAnsi="Times New Roman"/>
          <w:sz w:val="24"/>
        </w:rPr>
        <w:t>b</w:t>
      </w:r>
      <w:r w:rsidRPr="00600E6F">
        <w:rPr>
          <w:rFonts w:ascii="Times New Roman" w:hAnsi="Times New Roman"/>
          <w:sz w:val="24"/>
        </w:rPr>
        <w:t xml:space="preserve">ased on the results of the statewide market survey research. </w:t>
      </w:r>
    </w:p>
    <w:p w:rsidR="00513B47" w:rsidRPr="00600E6F" w:rsidRDefault="00513B47" w:rsidP="003408F4">
      <w:pPr>
        <w:spacing w:after="0" w:line="240" w:lineRule="auto"/>
        <w:ind w:left="2160"/>
        <w:rPr>
          <w:rFonts w:ascii="Times New Roman" w:hAnsi="Times New Roman"/>
          <w:sz w:val="24"/>
        </w:rPr>
      </w:pPr>
    </w:p>
    <w:p w:rsidR="00513B47" w:rsidRPr="00600E6F" w:rsidRDefault="00513B47" w:rsidP="003408F4">
      <w:pPr>
        <w:spacing w:after="0" w:line="240" w:lineRule="auto"/>
        <w:ind w:left="2160"/>
        <w:rPr>
          <w:rFonts w:ascii="Times New Roman" w:hAnsi="Times New Roman"/>
          <w:sz w:val="24"/>
        </w:rPr>
      </w:pPr>
      <w:r w:rsidRPr="00600E6F">
        <w:rPr>
          <w:rFonts w:ascii="Times New Roman" w:hAnsi="Times New Roman"/>
          <w:sz w:val="24"/>
        </w:rPr>
        <w:t>Target Group:</w:t>
      </w:r>
    </w:p>
    <w:p w:rsidR="00513B47" w:rsidRPr="00600E6F" w:rsidRDefault="00513B47" w:rsidP="00C31CC0">
      <w:pPr>
        <w:numPr>
          <w:ilvl w:val="0"/>
          <w:numId w:val="40"/>
        </w:numPr>
        <w:tabs>
          <w:tab w:val="clear" w:pos="720"/>
        </w:tabs>
        <w:spacing w:after="0" w:line="240" w:lineRule="auto"/>
        <w:ind w:left="3060"/>
        <w:rPr>
          <w:rFonts w:ascii="Times New Roman" w:hAnsi="Times New Roman"/>
          <w:sz w:val="24"/>
        </w:rPr>
      </w:pPr>
      <w:r w:rsidRPr="00600E6F">
        <w:rPr>
          <w:rFonts w:ascii="Times New Roman" w:hAnsi="Times New Roman"/>
          <w:sz w:val="24"/>
        </w:rPr>
        <w:t>Single family residential customers in proposed targeted segments</w:t>
      </w:r>
    </w:p>
    <w:p w:rsidR="00513B47" w:rsidRPr="00600E6F" w:rsidRDefault="00513B47" w:rsidP="00C31CC0">
      <w:pPr>
        <w:numPr>
          <w:ilvl w:val="0"/>
          <w:numId w:val="40"/>
        </w:numPr>
        <w:tabs>
          <w:tab w:val="clear" w:pos="720"/>
        </w:tabs>
        <w:spacing w:after="0" w:line="240" w:lineRule="auto"/>
        <w:ind w:left="3060"/>
        <w:rPr>
          <w:rFonts w:ascii="Times New Roman" w:hAnsi="Times New Roman"/>
          <w:sz w:val="24"/>
        </w:rPr>
      </w:pPr>
      <w:r w:rsidRPr="00600E6F">
        <w:rPr>
          <w:rFonts w:ascii="Times New Roman" w:hAnsi="Times New Roman"/>
          <w:sz w:val="24"/>
        </w:rPr>
        <w:t>Multifamily residential customers</w:t>
      </w:r>
    </w:p>
    <w:p w:rsidR="00513B47" w:rsidRPr="00600E6F" w:rsidRDefault="00513B47" w:rsidP="00C31CC0">
      <w:pPr>
        <w:numPr>
          <w:ilvl w:val="0"/>
          <w:numId w:val="40"/>
        </w:numPr>
        <w:tabs>
          <w:tab w:val="clear" w:pos="720"/>
          <w:tab w:val="left" w:pos="2700"/>
          <w:tab w:val="num" w:pos="2880"/>
        </w:tabs>
        <w:spacing w:after="0" w:line="240" w:lineRule="auto"/>
        <w:ind w:left="2880" w:hanging="180"/>
        <w:rPr>
          <w:rFonts w:ascii="Times New Roman" w:hAnsi="Times New Roman"/>
          <w:sz w:val="24"/>
        </w:rPr>
      </w:pPr>
      <w:r w:rsidRPr="00600E6F">
        <w:rPr>
          <w:rFonts w:ascii="Times New Roman" w:hAnsi="Times New Roman"/>
          <w:sz w:val="24"/>
        </w:rPr>
        <w:t>Residential customers with a history of prior EE engagement including, but not limited to: rebates, online tool enrollment and energy audits</w:t>
      </w:r>
    </w:p>
    <w:p w:rsidR="00513B47" w:rsidRPr="00600E6F" w:rsidRDefault="00513B47" w:rsidP="00C31CC0">
      <w:pPr>
        <w:numPr>
          <w:ilvl w:val="1"/>
          <w:numId w:val="40"/>
        </w:numPr>
        <w:tabs>
          <w:tab w:val="clear" w:pos="1440"/>
          <w:tab w:val="left" w:pos="2880"/>
        </w:tabs>
        <w:spacing w:after="0" w:line="240" w:lineRule="auto"/>
        <w:ind w:left="2880" w:hanging="180"/>
        <w:rPr>
          <w:rFonts w:ascii="Times New Roman" w:hAnsi="Times New Roman"/>
          <w:sz w:val="24"/>
        </w:rPr>
      </w:pPr>
      <w:r w:rsidRPr="00600E6F">
        <w:rPr>
          <w:rFonts w:ascii="Times New Roman" w:hAnsi="Times New Roman"/>
          <w:sz w:val="24"/>
        </w:rPr>
        <w:t xml:space="preserve">Local governments, community-based organizations and other stakeholders (i.e. the realtor community) </w:t>
      </w:r>
    </w:p>
    <w:p w:rsidR="00513B47" w:rsidRPr="00600E6F" w:rsidRDefault="00513B47" w:rsidP="00C31CC0">
      <w:pPr>
        <w:numPr>
          <w:ilvl w:val="2"/>
          <w:numId w:val="40"/>
        </w:numPr>
        <w:tabs>
          <w:tab w:val="clear" w:pos="2160"/>
        </w:tabs>
        <w:spacing w:after="0" w:line="240" w:lineRule="auto"/>
        <w:ind w:left="2880" w:hanging="180"/>
        <w:rPr>
          <w:rFonts w:ascii="Times New Roman" w:hAnsi="Times New Roman"/>
          <w:sz w:val="24"/>
        </w:rPr>
      </w:pPr>
      <w:r w:rsidRPr="00600E6F">
        <w:rPr>
          <w:rFonts w:ascii="Times New Roman" w:hAnsi="Times New Roman"/>
          <w:sz w:val="24"/>
        </w:rPr>
        <w:t>Efforts may target select public events and work with local earned media to publicize the program’s benefits.</w:t>
      </w:r>
    </w:p>
    <w:p w:rsidR="00513B47" w:rsidRPr="00600E6F" w:rsidRDefault="00513B47" w:rsidP="003408F4">
      <w:pPr>
        <w:tabs>
          <w:tab w:val="left" w:pos="360"/>
          <w:tab w:val="left" w:pos="720"/>
        </w:tabs>
        <w:spacing w:after="0" w:line="240" w:lineRule="auto"/>
        <w:rPr>
          <w:rFonts w:ascii="Times New Roman" w:hAnsi="Times New Roman"/>
          <w:b/>
          <w:sz w:val="24"/>
        </w:rPr>
      </w:pPr>
    </w:p>
    <w:p w:rsidR="00513B47" w:rsidRPr="00600E6F" w:rsidRDefault="00513B47" w:rsidP="003408F4">
      <w:pPr>
        <w:tabs>
          <w:tab w:val="left" w:pos="360"/>
        </w:tabs>
        <w:spacing w:after="0" w:line="240" w:lineRule="auto"/>
        <w:ind w:left="2160" w:hanging="360"/>
        <w:rPr>
          <w:rFonts w:ascii="Times New Roman" w:hAnsi="Times New Roman"/>
          <w:b/>
          <w:sz w:val="24"/>
        </w:rPr>
      </w:pPr>
      <w:r w:rsidRPr="00600E6F">
        <w:rPr>
          <w:rFonts w:ascii="Times New Roman" w:hAnsi="Times New Roman"/>
          <w:b/>
          <w:sz w:val="24"/>
        </w:rPr>
        <w:t>3)</w:t>
      </w:r>
      <w:r w:rsidRPr="00600E6F">
        <w:rPr>
          <w:rFonts w:ascii="Times New Roman" w:hAnsi="Times New Roman"/>
          <w:b/>
          <w:sz w:val="24"/>
        </w:rPr>
        <w:tab/>
        <w:t>Keys to Success</w:t>
      </w:r>
    </w:p>
    <w:p w:rsidR="00513B47" w:rsidRPr="00600E6F" w:rsidRDefault="00513B47" w:rsidP="003408F4">
      <w:pPr>
        <w:tabs>
          <w:tab w:val="left" w:pos="360"/>
        </w:tabs>
        <w:spacing w:after="0" w:line="240" w:lineRule="auto"/>
        <w:ind w:left="2160"/>
        <w:rPr>
          <w:rFonts w:ascii="Times New Roman" w:hAnsi="Times New Roman"/>
          <w:sz w:val="24"/>
        </w:rPr>
      </w:pPr>
      <w:r w:rsidRPr="00600E6F">
        <w:rPr>
          <w:rFonts w:ascii="Times New Roman" w:hAnsi="Times New Roman"/>
          <w:sz w:val="24"/>
        </w:rPr>
        <w:t>Execution of a successful campaign that introduces customers and contractors to the benefits of comprehensive home energy efficiency retrofits will largely be dependent on funding available to support outreach to all audiences. With that in mind, following is the proposed approach and specific tactical recommendations that the IOUs aim to pursue, funding permitting:</w:t>
      </w:r>
    </w:p>
    <w:p w:rsidR="00513B47" w:rsidRPr="00600E6F" w:rsidRDefault="00513B47" w:rsidP="003408F4">
      <w:pPr>
        <w:tabs>
          <w:tab w:val="left" w:pos="360"/>
        </w:tabs>
        <w:spacing w:after="0" w:line="240" w:lineRule="auto"/>
        <w:ind w:left="2160"/>
        <w:rPr>
          <w:rFonts w:ascii="Times New Roman" w:hAnsi="Times New Roman"/>
          <w:sz w:val="24"/>
        </w:rPr>
      </w:pPr>
    </w:p>
    <w:p w:rsidR="00513B47" w:rsidRPr="00600E6F" w:rsidRDefault="00513B47" w:rsidP="00C31CC0">
      <w:pPr>
        <w:numPr>
          <w:ilvl w:val="0"/>
          <w:numId w:val="39"/>
        </w:numPr>
        <w:tabs>
          <w:tab w:val="clear" w:pos="2520"/>
          <w:tab w:val="left" w:pos="360"/>
        </w:tabs>
        <w:spacing w:after="0" w:line="240" w:lineRule="auto"/>
        <w:ind w:left="2880"/>
        <w:rPr>
          <w:rFonts w:ascii="Times New Roman" w:hAnsi="Times New Roman"/>
          <w:sz w:val="24"/>
        </w:rPr>
      </w:pPr>
      <w:r w:rsidRPr="00600E6F">
        <w:rPr>
          <w:rFonts w:ascii="Times New Roman" w:hAnsi="Times New Roman"/>
          <w:sz w:val="24"/>
        </w:rPr>
        <w:lastRenderedPageBreak/>
        <w:t>Continue to utilize a statewide brand and message; and a creative envelope for WHUP marketing efforts to avoid market confusion;</w:t>
      </w:r>
    </w:p>
    <w:p w:rsidR="00513B47" w:rsidRPr="00600E6F" w:rsidRDefault="00513B47" w:rsidP="00C31CC0">
      <w:pPr>
        <w:numPr>
          <w:ilvl w:val="0"/>
          <w:numId w:val="39"/>
        </w:numPr>
        <w:tabs>
          <w:tab w:val="left" w:pos="360"/>
        </w:tabs>
        <w:spacing w:after="0" w:line="240" w:lineRule="auto"/>
        <w:ind w:left="2880"/>
        <w:rPr>
          <w:rFonts w:ascii="Times New Roman" w:hAnsi="Times New Roman"/>
          <w:sz w:val="24"/>
        </w:rPr>
      </w:pPr>
      <w:r w:rsidRPr="00600E6F">
        <w:rPr>
          <w:rFonts w:ascii="Times New Roman" w:hAnsi="Times New Roman"/>
          <w:sz w:val="24"/>
        </w:rPr>
        <w:t>Co-brand where feasible;</w:t>
      </w:r>
    </w:p>
    <w:p w:rsidR="00513B47" w:rsidRPr="00600E6F" w:rsidRDefault="00513B47" w:rsidP="00C31CC0">
      <w:pPr>
        <w:numPr>
          <w:ilvl w:val="0"/>
          <w:numId w:val="39"/>
        </w:numPr>
        <w:tabs>
          <w:tab w:val="left" w:pos="360"/>
        </w:tabs>
        <w:spacing w:after="0" w:line="240" w:lineRule="auto"/>
        <w:ind w:left="2880"/>
        <w:rPr>
          <w:rFonts w:ascii="Times New Roman" w:hAnsi="Times New Roman"/>
          <w:sz w:val="24"/>
        </w:rPr>
      </w:pPr>
      <w:r w:rsidRPr="00600E6F">
        <w:rPr>
          <w:rFonts w:ascii="Times New Roman" w:hAnsi="Times New Roman"/>
          <w:sz w:val="24"/>
        </w:rPr>
        <w:t>Coordinate with local governments;</w:t>
      </w:r>
    </w:p>
    <w:p w:rsidR="00513B47" w:rsidRPr="00600E6F" w:rsidRDefault="00513B47" w:rsidP="00C31CC0">
      <w:pPr>
        <w:numPr>
          <w:ilvl w:val="0"/>
          <w:numId w:val="39"/>
        </w:numPr>
        <w:tabs>
          <w:tab w:val="left" w:pos="360"/>
        </w:tabs>
        <w:spacing w:after="0" w:line="240" w:lineRule="auto"/>
        <w:ind w:left="2880"/>
        <w:rPr>
          <w:rFonts w:ascii="Times New Roman" w:hAnsi="Times New Roman"/>
          <w:sz w:val="24"/>
        </w:rPr>
      </w:pPr>
      <w:r w:rsidRPr="00600E6F">
        <w:rPr>
          <w:rFonts w:ascii="Times New Roman" w:hAnsi="Times New Roman"/>
          <w:sz w:val="24"/>
        </w:rPr>
        <w:t>Engage contractors, stakeholders and local governments in generating customer demand; and</w:t>
      </w:r>
    </w:p>
    <w:p w:rsidR="00513B47" w:rsidRPr="00600E6F" w:rsidRDefault="00513B47" w:rsidP="00C31CC0">
      <w:pPr>
        <w:numPr>
          <w:ilvl w:val="0"/>
          <w:numId w:val="39"/>
        </w:numPr>
        <w:tabs>
          <w:tab w:val="left" w:pos="360"/>
        </w:tabs>
        <w:spacing w:after="0" w:line="240" w:lineRule="auto"/>
        <w:ind w:left="2880"/>
        <w:rPr>
          <w:rFonts w:ascii="Times New Roman" w:hAnsi="Times New Roman"/>
          <w:sz w:val="24"/>
        </w:rPr>
      </w:pPr>
      <w:r w:rsidRPr="00600E6F">
        <w:rPr>
          <w:rFonts w:ascii="Times New Roman" w:hAnsi="Times New Roman"/>
          <w:sz w:val="24"/>
        </w:rPr>
        <w:t>Provide collateral pieces to participating contractors to assist in lead generation and education;</w:t>
      </w:r>
    </w:p>
    <w:p w:rsidR="00513B47" w:rsidRPr="00600E6F" w:rsidRDefault="00513B47" w:rsidP="00C31CC0">
      <w:pPr>
        <w:numPr>
          <w:ilvl w:val="0"/>
          <w:numId w:val="39"/>
        </w:numPr>
        <w:tabs>
          <w:tab w:val="left" w:pos="360"/>
        </w:tabs>
        <w:spacing w:after="0" w:line="240" w:lineRule="auto"/>
        <w:ind w:left="2880"/>
        <w:rPr>
          <w:rFonts w:ascii="Times New Roman" w:hAnsi="Times New Roman"/>
          <w:sz w:val="24"/>
        </w:rPr>
      </w:pPr>
      <w:r w:rsidRPr="00600E6F">
        <w:rPr>
          <w:rFonts w:ascii="Times New Roman" w:hAnsi="Times New Roman"/>
          <w:sz w:val="24"/>
        </w:rPr>
        <w:t>Employ expanded community based marketing approach; and</w:t>
      </w:r>
    </w:p>
    <w:p w:rsidR="00513B47" w:rsidRPr="00600E6F" w:rsidRDefault="00513B47" w:rsidP="00C31CC0">
      <w:pPr>
        <w:numPr>
          <w:ilvl w:val="0"/>
          <w:numId w:val="39"/>
        </w:numPr>
        <w:tabs>
          <w:tab w:val="left" w:pos="360"/>
        </w:tabs>
        <w:spacing w:after="0" w:line="240" w:lineRule="auto"/>
        <w:ind w:left="2880"/>
        <w:rPr>
          <w:rFonts w:ascii="Times New Roman" w:hAnsi="Times New Roman"/>
          <w:sz w:val="24"/>
        </w:rPr>
      </w:pPr>
      <w:r w:rsidRPr="00600E6F">
        <w:rPr>
          <w:rFonts w:ascii="Times New Roman" w:hAnsi="Times New Roman"/>
          <w:sz w:val="24"/>
        </w:rPr>
        <w:t>Use a variety of   innovative marketing strategies such as time of sale assessment vouchers.</w:t>
      </w: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 xml:space="preserve">Sub-Program Specific Training: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b/>
          <w:sz w:val="24"/>
        </w:rPr>
        <w:t>Specific workforce development</w:t>
      </w:r>
      <w:r w:rsidRPr="00600E6F">
        <w:rPr>
          <w:rFonts w:ascii="Times New Roman" w:hAnsi="Times New Roman"/>
          <w:sz w:val="24"/>
        </w:rPr>
        <w:t xml:space="preserve"> efforts supporting WHUP include the following:</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CEC/EDD: California Clean Energy Workforce Training Program Community college programs;</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Third party programs; and</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IOU training offerings (IOU trainings will serve as backup if required. IOU courses do not duplicate modules available in the marketplace but will serve backup role in the event that a market need is identified and best served by the IOU Energy Training Centers).</w:t>
      </w:r>
    </w:p>
    <w:p w:rsidR="00513B47" w:rsidRPr="00600E6F" w:rsidRDefault="00513B47" w:rsidP="003408F4">
      <w:pPr>
        <w:spacing w:after="0" w:line="240" w:lineRule="auto"/>
        <w:ind w:left="216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WHUP will be coordinated with the statewide IOU WE&amp;T program, local government residential retrofit and contractor training programs that are tied directly to workforce education and training efforts on a state and federal level.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In addition, IOU WE&amp;T programs will continue to offer both building-block house as a system courses that educate students on the concepts that form the foundation of home retrofit programs when a needs assessment determines that these areas require attention. Those concepts include:</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Advanced house-as-a-system concepts and issues;</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Combustion and other safety training updates;</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Green building techniques applicable to the program;</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Blower Door Based Air Sealing;</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Codes and standards (Title-24) implications;</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Advanced lighting, HVAC technologies and problem solving; and</w:t>
      </w:r>
    </w:p>
    <w:p w:rsidR="00513B47" w:rsidRPr="00600E6F" w:rsidRDefault="00513B47" w:rsidP="00C31CC0">
      <w:pPr>
        <w:numPr>
          <w:ilvl w:val="1"/>
          <w:numId w:val="42"/>
        </w:numPr>
        <w:tabs>
          <w:tab w:val="clear" w:pos="1440"/>
        </w:tabs>
        <w:spacing w:after="0" w:line="240" w:lineRule="auto"/>
        <w:ind w:left="2160"/>
        <w:rPr>
          <w:rFonts w:ascii="Times New Roman" w:hAnsi="Times New Roman"/>
          <w:sz w:val="24"/>
        </w:rPr>
      </w:pPr>
      <w:r w:rsidRPr="00600E6F">
        <w:rPr>
          <w:rFonts w:ascii="Times New Roman" w:hAnsi="Times New Roman"/>
          <w:sz w:val="24"/>
        </w:rPr>
        <w:t>Business training (including the enhancement of sales, marketing, training, and accounting skills).</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Contractor training requirements will be based WHUP requirements and will provide contractors necessary training without sacrificing any considerations for applicable safety requirements.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Contractor recruitment efforts will be conducted primarily by third party program implementers – a model that has proven successful in statewide IOU HVAC programs in the 2010-</w:t>
      </w:r>
      <w:r w:rsidR="003931C8">
        <w:rPr>
          <w:rFonts w:ascii="Times New Roman" w:hAnsi="Times New Roman"/>
          <w:sz w:val="24"/>
          <w:szCs w:val="24"/>
        </w:rPr>
        <w:t>20</w:t>
      </w:r>
      <w:r w:rsidRPr="00D737C2">
        <w:rPr>
          <w:rFonts w:ascii="Times New Roman" w:hAnsi="Times New Roman"/>
          <w:sz w:val="24"/>
          <w:szCs w:val="24"/>
        </w:rPr>
        <w:t>12</w:t>
      </w:r>
      <w:r w:rsidRPr="00600E6F">
        <w:rPr>
          <w:rFonts w:ascii="Times New Roman" w:hAnsi="Times New Roman"/>
          <w:sz w:val="24"/>
        </w:rPr>
        <w:t xml:space="preserve"> program cycle. Program implementers will continue to primarily recruit contractors through:</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numPr>
          <w:ilvl w:val="0"/>
          <w:numId w:val="43"/>
        </w:numPr>
        <w:spacing w:after="0" w:line="240" w:lineRule="auto"/>
        <w:ind w:left="2160"/>
        <w:rPr>
          <w:rFonts w:ascii="Times New Roman" w:hAnsi="Times New Roman"/>
          <w:sz w:val="24"/>
        </w:rPr>
      </w:pPr>
      <w:r w:rsidRPr="00600E6F">
        <w:rPr>
          <w:rFonts w:ascii="Times New Roman" w:hAnsi="Times New Roman"/>
          <w:sz w:val="24"/>
        </w:rPr>
        <w:lastRenderedPageBreak/>
        <w:t>The network of contractors already participating in IOU HVAC, insulation and weatherization programs;</w:t>
      </w:r>
    </w:p>
    <w:p w:rsidR="00513B47" w:rsidRPr="00600E6F" w:rsidRDefault="00513B47" w:rsidP="00C31CC0">
      <w:pPr>
        <w:numPr>
          <w:ilvl w:val="0"/>
          <w:numId w:val="43"/>
        </w:numPr>
        <w:tabs>
          <w:tab w:val="clear" w:pos="1530"/>
        </w:tabs>
        <w:spacing w:after="0" w:line="240" w:lineRule="auto"/>
        <w:ind w:left="2160"/>
        <w:rPr>
          <w:rFonts w:ascii="Times New Roman" w:hAnsi="Times New Roman"/>
          <w:sz w:val="24"/>
        </w:rPr>
      </w:pPr>
      <w:r w:rsidRPr="00600E6F">
        <w:rPr>
          <w:rFonts w:ascii="Times New Roman" w:hAnsi="Times New Roman"/>
          <w:sz w:val="24"/>
        </w:rPr>
        <w:t>Direct outreach through trade groups with locally active memberships;</w:t>
      </w:r>
    </w:p>
    <w:p w:rsidR="00513B47" w:rsidRPr="00600E6F" w:rsidRDefault="00513B47" w:rsidP="00C31CC0">
      <w:pPr>
        <w:numPr>
          <w:ilvl w:val="0"/>
          <w:numId w:val="43"/>
        </w:numPr>
        <w:tabs>
          <w:tab w:val="clear" w:pos="1530"/>
        </w:tabs>
        <w:spacing w:after="0" w:line="240" w:lineRule="auto"/>
        <w:ind w:left="2160"/>
        <w:rPr>
          <w:rFonts w:ascii="Times New Roman" w:hAnsi="Times New Roman"/>
          <w:sz w:val="24"/>
        </w:rPr>
      </w:pPr>
      <w:r w:rsidRPr="00600E6F">
        <w:rPr>
          <w:rFonts w:ascii="Times New Roman" w:hAnsi="Times New Roman"/>
          <w:sz w:val="24"/>
        </w:rPr>
        <w:t>Workforce development departments (to target unemployed general contractors</w:t>
      </w:r>
      <w:r w:rsidR="003931C8">
        <w:rPr>
          <w:rFonts w:ascii="Times New Roman" w:hAnsi="Times New Roman"/>
          <w:sz w:val="24"/>
          <w:szCs w:val="24"/>
        </w:rPr>
        <w:t>).</w:t>
      </w:r>
    </w:p>
    <w:p w:rsidR="00513B47" w:rsidRPr="00600E6F" w:rsidRDefault="00513B47" w:rsidP="003408F4">
      <w:pPr>
        <w:spacing w:after="0" w:line="240" w:lineRule="auto"/>
        <w:ind w:left="2160"/>
        <w:rPr>
          <w:rFonts w:ascii="Times New Roman" w:hAnsi="Times New Roman"/>
          <w:sz w:val="24"/>
        </w:rPr>
      </w:pPr>
    </w:p>
    <w:p w:rsidR="00513B47" w:rsidRPr="00600E6F" w:rsidRDefault="00513B47" w:rsidP="003408F4">
      <w:pPr>
        <w:spacing w:after="0" w:line="240" w:lineRule="auto"/>
        <w:ind w:left="1350"/>
        <w:rPr>
          <w:rFonts w:ascii="Times New Roman" w:hAnsi="Times New Roman"/>
          <w:sz w:val="24"/>
        </w:rPr>
      </w:pPr>
      <w:r w:rsidRPr="00600E6F">
        <w:rPr>
          <w:rFonts w:ascii="Times New Roman" w:hAnsi="Times New Roman"/>
          <w:sz w:val="24"/>
        </w:rPr>
        <w:t xml:space="preserve">Program implementers will verify and enroll Participating Contractors and Raters and provide required program participation related training. Once enrolled, the Participating Contractor and Rater lists will be posted in a centralized location for customers to view. IOUs will direct customers to appropriate websites for lists of eligible Participating Contractors and Raters. </w:t>
      </w:r>
    </w:p>
    <w:p w:rsidR="00513B47" w:rsidRPr="00600E6F" w:rsidRDefault="00513B47" w:rsidP="003408F4">
      <w:pPr>
        <w:spacing w:after="0" w:line="240" w:lineRule="auto"/>
        <w:ind w:left="1350"/>
        <w:rPr>
          <w:rFonts w:ascii="Times New Roman" w:hAnsi="Times New Roman"/>
          <w:sz w:val="24"/>
        </w:rPr>
      </w:pPr>
    </w:p>
    <w:p w:rsidR="00513B47" w:rsidRPr="00600E6F" w:rsidRDefault="00513B47" w:rsidP="003408F4">
      <w:pPr>
        <w:spacing w:after="0" w:line="240" w:lineRule="auto"/>
        <w:ind w:left="1350"/>
        <w:rPr>
          <w:rFonts w:ascii="Times New Roman" w:hAnsi="Times New Roman"/>
          <w:sz w:val="24"/>
        </w:rPr>
      </w:pPr>
      <w:r w:rsidRPr="00600E6F">
        <w:rPr>
          <w:rFonts w:ascii="Times New Roman" w:hAnsi="Times New Roman"/>
          <w:sz w:val="24"/>
        </w:rPr>
        <w:t>Upon completion of 2012 Energy Upgrade California process evaluations, the IOUs will convene a workshop to review workforce training needs.</w:t>
      </w:r>
    </w:p>
    <w:p w:rsidR="00513B47" w:rsidRPr="00600E6F" w:rsidRDefault="00513B47" w:rsidP="003408F4">
      <w:pPr>
        <w:spacing w:after="0" w:line="240" w:lineRule="auto"/>
        <w:ind w:left="1350"/>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Sub-Program Software and/or Additional Tools:</w:t>
      </w:r>
      <w:r w:rsidRPr="00600E6F">
        <w:rPr>
          <w:rFonts w:ascii="Times New Roman" w:hAnsi="Times New Roman"/>
          <w:sz w:val="24"/>
        </w:rPr>
        <w:t xml:space="preserve"> </w:t>
      </w:r>
    </w:p>
    <w:p w:rsidR="00513B47" w:rsidRPr="00600E6F" w:rsidRDefault="00513B47" w:rsidP="00C31CC0">
      <w:pPr>
        <w:numPr>
          <w:ilvl w:val="1"/>
          <w:numId w:val="146"/>
        </w:numPr>
        <w:spacing w:after="0" w:line="240" w:lineRule="auto"/>
        <w:rPr>
          <w:rFonts w:ascii="Times New Roman" w:hAnsi="Times New Roman"/>
          <w:sz w:val="24"/>
        </w:rPr>
      </w:pPr>
      <w:r w:rsidRPr="00600E6F">
        <w:rPr>
          <w:rFonts w:ascii="Times New Roman" w:hAnsi="Times New Roman"/>
          <w:sz w:val="24"/>
        </w:rPr>
        <w:t xml:space="preserve">List all eligible software or similar tools required for sub-program participation. </w:t>
      </w:r>
    </w:p>
    <w:p w:rsidR="00513B47" w:rsidRPr="00600E6F" w:rsidRDefault="00513B47" w:rsidP="00C31CC0">
      <w:pPr>
        <w:pStyle w:val="ListParagraph"/>
        <w:numPr>
          <w:ilvl w:val="0"/>
          <w:numId w:val="122"/>
        </w:numPr>
        <w:spacing w:after="0" w:line="240" w:lineRule="auto"/>
        <w:contextualSpacing w:val="0"/>
        <w:rPr>
          <w:rFonts w:ascii="Times New Roman" w:hAnsi="Times New Roman"/>
          <w:sz w:val="24"/>
        </w:rPr>
      </w:pPr>
      <w:r w:rsidRPr="00600E6F">
        <w:rPr>
          <w:rFonts w:ascii="Times New Roman" w:hAnsi="Times New Roman"/>
          <w:sz w:val="24"/>
        </w:rPr>
        <w:t>Energy Pro energy simulation modeling software</w:t>
      </w:r>
    </w:p>
    <w:p w:rsidR="00513B47" w:rsidRPr="00600E6F" w:rsidRDefault="00513B47" w:rsidP="003408F4">
      <w:pPr>
        <w:pStyle w:val="ListParagraph"/>
        <w:spacing w:after="0" w:line="240" w:lineRule="auto"/>
        <w:ind w:left="2520"/>
        <w:rPr>
          <w:rFonts w:ascii="Times New Roman" w:hAnsi="Times New Roman"/>
          <w:sz w:val="24"/>
        </w:rPr>
      </w:pPr>
    </w:p>
    <w:p w:rsidR="00513B47" w:rsidRPr="00600E6F" w:rsidRDefault="00513B47" w:rsidP="00C31CC0">
      <w:pPr>
        <w:numPr>
          <w:ilvl w:val="1"/>
          <w:numId w:val="146"/>
        </w:numPr>
        <w:spacing w:after="0" w:line="240" w:lineRule="auto"/>
        <w:rPr>
          <w:rFonts w:ascii="Times New Roman" w:hAnsi="Times New Roman"/>
          <w:sz w:val="24"/>
        </w:rPr>
      </w:pPr>
      <w:r w:rsidRPr="00600E6F">
        <w:rPr>
          <w:rFonts w:ascii="Times New Roman" w:hAnsi="Times New Roman"/>
          <w:sz w:val="24"/>
        </w:rPr>
        <w:t xml:space="preserve">Indicate if pre and/or post implementation audits will be required for the sub-program.  </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Pre-implementation audit required _</w:t>
      </w:r>
      <w:r w:rsidRPr="00600E6F">
        <w:rPr>
          <w:rFonts w:ascii="Times New Roman" w:hAnsi="Times New Roman"/>
          <w:sz w:val="24"/>
          <w:u w:val="single"/>
        </w:rPr>
        <w:t>x</w:t>
      </w:r>
      <w:r w:rsidRPr="00600E6F">
        <w:rPr>
          <w:rFonts w:ascii="Times New Roman" w:hAnsi="Times New Roman"/>
          <w:sz w:val="24"/>
        </w:rPr>
        <w:t>__ Yes ___ No</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Post-implementation audit required _</w:t>
      </w:r>
      <w:r w:rsidRPr="00600E6F">
        <w:rPr>
          <w:rFonts w:ascii="Times New Roman" w:hAnsi="Times New Roman"/>
          <w:sz w:val="24"/>
          <w:u w:val="single"/>
        </w:rPr>
        <w:t>x</w:t>
      </w:r>
      <w:r w:rsidRPr="00600E6F">
        <w:rPr>
          <w:rFonts w:ascii="Times New Roman" w:hAnsi="Times New Roman"/>
          <w:sz w:val="24"/>
        </w:rPr>
        <w:t>__ Yes ___ No</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1"/>
          <w:numId w:val="146"/>
        </w:numPr>
        <w:spacing w:after="0" w:line="240" w:lineRule="auto"/>
        <w:rPr>
          <w:rFonts w:ascii="Times New Roman" w:hAnsi="Times New Roman"/>
          <w:sz w:val="24"/>
        </w:rPr>
      </w:pPr>
      <w:r w:rsidRPr="00600E6F">
        <w:rPr>
          <w:rFonts w:ascii="Times New Roman" w:hAnsi="Times New Roman"/>
          <w:sz w:val="24"/>
        </w:rPr>
        <w:t xml:space="preserve">As applicable, indicate levels at which such audits shall be rebated or funded, and to whom such rebates/funding will be provided (i.e. to customer or contractor).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firstLine="360"/>
        <w:rPr>
          <w:rFonts w:ascii="Times New Roman" w:hAnsi="Times New Roman"/>
          <w:sz w:val="24"/>
        </w:rPr>
      </w:pPr>
      <w:r w:rsidRPr="00600E6F">
        <w:rPr>
          <w:rFonts w:ascii="Times New Roman" w:hAnsi="Times New Roman"/>
          <w:b/>
          <w:sz w:val="24"/>
        </w:rPr>
        <w:t xml:space="preserve">Table 13:  </w:t>
      </w:r>
      <w:r w:rsidRPr="00600E6F">
        <w:rPr>
          <w:rFonts w:ascii="Times New Roman" w:hAnsi="Times New Roman"/>
          <w:sz w:val="24"/>
        </w:rPr>
        <w:t>Post-implementation Audits</w:t>
      </w:r>
    </w:p>
    <w:p w:rsidR="00513B47" w:rsidRPr="00600E6F" w:rsidRDefault="00513B47" w:rsidP="003408F4">
      <w:pPr>
        <w:spacing w:after="0" w:line="240" w:lineRule="auto"/>
        <w:ind w:left="1440" w:firstLine="360"/>
        <w:rPr>
          <w:rFonts w:ascii="Times New Roman" w:hAnsi="Times New Roman"/>
          <w:i/>
          <w:sz w:val="24"/>
        </w:rPr>
      </w:pPr>
      <w:r w:rsidRPr="00600E6F">
        <w:rPr>
          <w:rFonts w:ascii="Times New Roman" w:hAnsi="Times New Roman"/>
          <w:i/>
          <w:sz w:val="24"/>
        </w:rPr>
        <w:t>[Table 13 Program to be provided as an Excel Attachment to this PIP]</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0"/>
          <w:numId w:val="146"/>
        </w:numPr>
        <w:spacing w:after="0" w:line="240" w:lineRule="auto"/>
        <w:rPr>
          <w:rFonts w:ascii="Times New Roman" w:hAnsi="Times New Roman"/>
          <w:b/>
          <w:sz w:val="24"/>
        </w:rPr>
      </w:pPr>
      <w:r w:rsidRPr="00600E6F">
        <w:rPr>
          <w:rFonts w:ascii="Times New Roman" w:hAnsi="Times New Roman"/>
          <w:b/>
          <w:sz w:val="24"/>
        </w:rPr>
        <w:t xml:space="preserve">Sub-Program Quality Assurance Provisions: </w:t>
      </w: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Payment of customer incentives will be tied to the contractor’s delivery of full job required program documentation.  Program implementers will randomly select a minimum of 5 percent of each participating contractor’s reported retrofits for onsite job verification and review 100 percent of the job data inputs from contractors.  Verifications will include homeowner interviews, intensive visual checklist inspections, and selective retesting of key items.  A subset of these energy savings estimates may later be validated against the first year’s after-retrofit utility bills plus climate data and homeowner interviews as needed to identify changes in other factors affecting energy use. IOUs will collaborate to develop QA/QC plans and documents that reflect statewide uniformity to the greatest extent possible.  QA/ QC documents and standards will be updated regularly with contractor input and will include:</w:t>
      </w:r>
    </w:p>
    <w:p w:rsidR="00513B47" w:rsidRDefault="00513B47" w:rsidP="003408F4">
      <w:pPr>
        <w:spacing w:after="0" w:line="240" w:lineRule="auto"/>
        <w:ind w:left="720"/>
        <w:rPr>
          <w:rFonts w:ascii="Times New Roman" w:hAnsi="Times New Roman"/>
          <w:sz w:val="24"/>
        </w:rPr>
      </w:pPr>
    </w:p>
    <w:p w:rsidR="00421BBD" w:rsidRPr="00600E6F" w:rsidRDefault="00421BBD"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2160"/>
        <w:rPr>
          <w:rFonts w:ascii="Times New Roman" w:hAnsi="Times New Roman"/>
          <w:sz w:val="24"/>
        </w:rPr>
      </w:pPr>
      <w:r w:rsidRPr="00600E6F">
        <w:rPr>
          <w:rFonts w:ascii="Times New Roman" w:hAnsi="Times New Roman"/>
          <w:sz w:val="24"/>
        </w:rPr>
        <w:lastRenderedPageBreak/>
        <w:t>1.  QA/QC Process and Protocols</w:t>
      </w:r>
    </w:p>
    <w:p w:rsidR="00513B47" w:rsidRPr="00600E6F" w:rsidRDefault="00513B47" w:rsidP="003408F4">
      <w:pPr>
        <w:spacing w:after="0" w:line="240" w:lineRule="auto"/>
        <w:ind w:left="2160"/>
        <w:rPr>
          <w:rFonts w:ascii="Times New Roman" w:hAnsi="Times New Roman"/>
          <w:sz w:val="24"/>
        </w:rPr>
      </w:pPr>
      <w:r w:rsidRPr="00600E6F">
        <w:rPr>
          <w:rFonts w:ascii="Times New Roman" w:hAnsi="Times New Roman"/>
          <w:sz w:val="24"/>
        </w:rPr>
        <w:t>2.  Minimum installation standards for all allowable measures</w:t>
      </w:r>
    </w:p>
    <w:p w:rsidR="00513B47" w:rsidRPr="00600E6F" w:rsidRDefault="00513B47" w:rsidP="003408F4">
      <w:pPr>
        <w:spacing w:after="0" w:line="240" w:lineRule="auto"/>
        <w:ind w:left="2430" w:hanging="270"/>
        <w:rPr>
          <w:rFonts w:ascii="Times New Roman" w:hAnsi="Times New Roman"/>
          <w:sz w:val="24"/>
        </w:rPr>
      </w:pPr>
      <w:r w:rsidRPr="00600E6F">
        <w:rPr>
          <w:rFonts w:ascii="Times New Roman" w:hAnsi="Times New Roman"/>
          <w:sz w:val="24"/>
        </w:rPr>
        <w:t xml:space="preserve">3.  Emergency and Fast Track equipment replacement protocols.  </w:t>
      </w:r>
    </w:p>
    <w:p w:rsidR="00513B47" w:rsidRPr="00600E6F" w:rsidRDefault="00513B47" w:rsidP="003408F4">
      <w:pPr>
        <w:spacing w:after="0" w:line="240" w:lineRule="auto"/>
        <w:ind w:left="2880" w:hanging="360"/>
        <w:rPr>
          <w:rFonts w:ascii="Times New Roman" w:hAnsi="Times New Roman"/>
          <w:sz w:val="24"/>
        </w:rPr>
      </w:pPr>
      <w:r w:rsidRPr="00600E6F">
        <w:rPr>
          <w:rFonts w:ascii="Times New Roman" w:hAnsi="Times New Roman"/>
          <w:sz w:val="24"/>
        </w:rPr>
        <w:t>a.</w:t>
      </w:r>
      <w:r w:rsidRPr="00600E6F">
        <w:rPr>
          <w:rFonts w:ascii="Times New Roman" w:hAnsi="Times New Roman"/>
          <w:sz w:val="24"/>
        </w:rPr>
        <w:tab/>
        <w:t>Exhibit A attached includes existing and continuing IOU Emergency and Fast Track protocols.</w:t>
      </w:r>
    </w:p>
    <w:p w:rsidR="00513B47" w:rsidRPr="00600E6F" w:rsidRDefault="00513B47" w:rsidP="003408F4">
      <w:pPr>
        <w:spacing w:after="0" w:line="240" w:lineRule="auto"/>
        <w:ind w:left="2160"/>
        <w:rPr>
          <w:rFonts w:ascii="Times New Roman" w:hAnsi="Times New Roman"/>
          <w:sz w:val="24"/>
        </w:rPr>
      </w:pPr>
      <w:r w:rsidRPr="00600E6F">
        <w:rPr>
          <w:rFonts w:ascii="Times New Roman" w:hAnsi="Times New Roman"/>
          <w:sz w:val="24"/>
        </w:rPr>
        <w:t>4.  Permitting requirements</w:t>
      </w:r>
    </w:p>
    <w:p w:rsidR="00513B47" w:rsidRPr="00600E6F" w:rsidRDefault="00513B47" w:rsidP="003408F4">
      <w:pPr>
        <w:spacing w:after="0" w:line="240" w:lineRule="auto"/>
        <w:ind w:left="2880" w:hanging="360"/>
        <w:rPr>
          <w:rFonts w:ascii="Times New Roman" w:hAnsi="Times New Roman"/>
          <w:sz w:val="24"/>
        </w:rPr>
      </w:pPr>
      <w:r w:rsidRPr="00600E6F">
        <w:rPr>
          <w:rFonts w:ascii="Times New Roman" w:hAnsi="Times New Roman"/>
          <w:sz w:val="24"/>
        </w:rPr>
        <w:t>a.</w:t>
      </w:r>
      <w:r w:rsidRPr="00600E6F">
        <w:rPr>
          <w:rFonts w:ascii="Times New Roman" w:hAnsi="Times New Roman"/>
          <w:sz w:val="24"/>
        </w:rPr>
        <w:tab/>
        <w:t>WHUP shall support Heating Ventilation and Air Conditioning permit acquisition as a matter of course.</w:t>
      </w:r>
    </w:p>
    <w:p w:rsidR="00513B47" w:rsidRPr="00600E6F" w:rsidRDefault="00513B47" w:rsidP="003408F4">
      <w:pPr>
        <w:spacing w:after="0" w:line="240" w:lineRule="auto"/>
        <w:ind w:left="2880" w:hanging="360"/>
        <w:rPr>
          <w:rFonts w:ascii="Times New Roman" w:hAnsi="Times New Roman"/>
          <w:b/>
          <w:sz w:val="24"/>
        </w:rPr>
      </w:pPr>
      <w:r w:rsidRPr="00600E6F">
        <w:rPr>
          <w:rFonts w:ascii="Times New Roman" w:hAnsi="Times New Roman"/>
          <w:sz w:val="24"/>
        </w:rPr>
        <w:t>b.</w:t>
      </w:r>
      <w:r w:rsidRPr="00600E6F">
        <w:rPr>
          <w:rFonts w:ascii="Times New Roman" w:hAnsi="Times New Roman"/>
          <w:sz w:val="24"/>
        </w:rPr>
        <w:tab/>
        <w:t>WHUP jobs involving HVAC replacement must include submittal of the HVAC permit number and a contractor certification that appropriate permits have been obtained, for inclusion in program records.</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 xml:space="preserve">Table 14:  </w:t>
      </w:r>
      <w:r w:rsidRPr="00600E6F">
        <w:rPr>
          <w:rFonts w:ascii="Times New Roman" w:hAnsi="Times New Roman"/>
          <w:sz w:val="24"/>
        </w:rPr>
        <w:t>Quality Assurance Provisions</w:t>
      </w:r>
    </w:p>
    <w:p w:rsidR="00513B47" w:rsidRDefault="00513B47" w:rsidP="003408F4">
      <w:pPr>
        <w:spacing w:after="0" w:line="240" w:lineRule="auto"/>
        <w:ind w:left="1440"/>
        <w:rPr>
          <w:rFonts w:ascii="Times New Roman" w:hAnsi="Times New Roman"/>
          <w:i/>
          <w:sz w:val="24"/>
        </w:rPr>
      </w:pPr>
      <w:r w:rsidRPr="00600E6F">
        <w:rPr>
          <w:rFonts w:ascii="Times New Roman" w:hAnsi="Times New Roman"/>
          <w:i/>
          <w:sz w:val="24"/>
        </w:rPr>
        <w:t>[Table 14 to be provided as an Excel Attachment to this PIP]</w:t>
      </w:r>
    </w:p>
    <w:p w:rsidR="00CF710C" w:rsidRPr="00600E6F" w:rsidRDefault="00CF710C" w:rsidP="003408F4">
      <w:pPr>
        <w:spacing w:after="0" w:line="240" w:lineRule="auto"/>
        <w:ind w:left="1440"/>
        <w:rPr>
          <w:rFonts w:ascii="Times New Roman" w:hAnsi="Times New Roman"/>
          <w:i/>
          <w:sz w:val="24"/>
        </w:rPr>
      </w:pPr>
    </w:p>
    <w:p w:rsidR="00513B47" w:rsidRPr="00600E6F" w:rsidRDefault="00513B47" w:rsidP="00C31CC0">
      <w:pPr>
        <w:numPr>
          <w:ilvl w:val="0"/>
          <w:numId w:val="146"/>
        </w:numPr>
        <w:spacing w:after="0" w:line="240" w:lineRule="auto"/>
        <w:rPr>
          <w:rFonts w:ascii="Times New Roman" w:hAnsi="Times New Roman"/>
          <w:b/>
          <w:sz w:val="24"/>
        </w:rPr>
      </w:pPr>
      <w:r w:rsidRPr="00600E6F">
        <w:rPr>
          <w:rFonts w:ascii="Times New Roman" w:hAnsi="Times New Roman"/>
          <w:b/>
          <w:sz w:val="24"/>
        </w:rPr>
        <w:t>Sub-program Process Flow Chart:</w:t>
      </w:r>
      <w:r w:rsidRPr="00600E6F">
        <w:rPr>
          <w:rFonts w:ascii="Times New Roman" w:hAnsi="Times New Roman"/>
          <w:sz w:val="24"/>
        </w:rPr>
        <w:t xml:space="preserve"> </w:t>
      </w:r>
    </w:p>
    <w:p w:rsidR="004E5A95" w:rsidRPr="004E5A95" w:rsidRDefault="004E5A95" w:rsidP="004E5A95">
      <w:pPr>
        <w:spacing w:after="0" w:line="240" w:lineRule="auto"/>
        <w:ind w:left="1440"/>
        <w:rPr>
          <w:rFonts w:ascii="Times New Roman" w:hAnsi="Times New Roman"/>
          <w:b/>
          <w:sz w:val="24"/>
          <w:szCs w:val="24"/>
        </w:rPr>
      </w:pPr>
    </w:p>
    <w:p w:rsidR="00513B47" w:rsidRPr="00600E6F" w:rsidRDefault="008D705C" w:rsidP="00600E6F">
      <w:pPr>
        <w:spacing w:after="0" w:line="240" w:lineRule="auto"/>
        <w:ind w:left="720"/>
        <w:rPr>
          <w:rFonts w:ascii="Times New Roman" w:hAnsi="Times New Roman"/>
          <w:b/>
          <w:sz w:val="24"/>
        </w:rPr>
      </w:pPr>
      <w:r>
        <w:rPr>
          <w:rFonts w:ascii="Times New Roman" w:hAnsi="Times New Roman"/>
          <w:b/>
          <w:noProof/>
          <w:sz w:val="24"/>
          <w:szCs w:val="24"/>
        </w:rPr>
        <w:drawing>
          <wp:inline distT="0" distB="0" distL="0" distR="0" wp14:anchorId="5104FDAB" wp14:editId="478478D7">
            <wp:extent cx="6105525" cy="23526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6105525" cy="2352675"/>
                    </a:xfrm>
                    <a:prstGeom prst="rect">
                      <a:avLst/>
                    </a:prstGeom>
                    <a:noFill/>
                    <a:ln w="9525">
                      <a:noFill/>
                      <a:miter lim="800000"/>
                      <a:headEnd/>
                      <a:tailEnd/>
                    </a:ln>
                  </pic:spPr>
                </pic:pic>
              </a:graphicData>
            </a:graphic>
          </wp:inline>
        </w:drawing>
      </w:r>
    </w:p>
    <w:p w:rsidR="00513B47" w:rsidRPr="00600E6F" w:rsidRDefault="00513B47" w:rsidP="00C31CC0">
      <w:pPr>
        <w:numPr>
          <w:ilvl w:val="0"/>
          <w:numId w:val="146"/>
        </w:numPr>
        <w:spacing w:after="0" w:line="240" w:lineRule="auto"/>
        <w:rPr>
          <w:rFonts w:ascii="Times New Roman" w:hAnsi="Times New Roman"/>
          <w:b/>
          <w:sz w:val="24"/>
        </w:rPr>
      </w:pPr>
      <w:r w:rsidRPr="00600E6F">
        <w:rPr>
          <w:rFonts w:ascii="Times New Roman" w:hAnsi="Times New Roman"/>
          <w:b/>
          <w:sz w:val="24"/>
        </w:rPr>
        <w:t xml:space="preserve">Cross-cutting Sub-program and Non-IOU Partner Coordination: </w:t>
      </w:r>
    </w:p>
    <w:p w:rsidR="00513B47" w:rsidRPr="00600E6F" w:rsidRDefault="00513B47" w:rsidP="003408F4">
      <w:pPr>
        <w:spacing w:after="0" w:line="240" w:lineRule="auto"/>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 xml:space="preserve">Table 15:  </w:t>
      </w:r>
      <w:r w:rsidRPr="00600E6F">
        <w:rPr>
          <w:rFonts w:ascii="Times New Roman" w:hAnsi="Times New Roman"/>
          <w:sz w:val="24"/>
        </w:rPr>
        <w:t>Cross-cutting Sub-program and Non-IOU Partner Coordination</w:t>
      </w:r>
    </w:p>
    <w:p w:rsidR="00513B47" w:rsidRPr="00600E6F" w:rsidRDefault="00513B47" w:rsidP="003408F4">
      <w:pPr>
        <w:spacing w:after="0" w:line="240" w:lineRule="auto"/>
        <w:ind w:left="1440"/>
        <w:rPr>
          <w:rFonts w:ascii="Times New Roman" w:hAnsi="Times New Roman"/>
          <w:i/>
          <w:sz w:val="24"/>
        </w:rPr>
      </w:pPr>
      <w:r w:rsidRPr="00600E6F">
        <w:rPr>
          <w:rFonts w:ascii="Times New Roman" w:hAnsi="Times New Roman"/>
          <w:i/>
          <w:sz w:val="24"/>
        </w:rPr>
        <w:t>[Table 15 to be provided as an Excel Attachment to this PIP]</w:t>
      </w:r>
    </w:p>
    <w:p w:rsidR="00513B47" w:rsidRDefault="00513B47" w:rsidP="003408F4">
      <w:pPr>
        <w:spacing w:after="0" w:line="240" w:lineRule="auto"/>
        <w:ind w:left="1440"/>
        <w:rPr>
          <w:rFonts w:ascii="Times New Roman" w:hAnsi="Times New Roman"/>
          <w:b/>
          <w:sz w:val="24"/>
        </w:rPr>
      </w:pPr>
    </w:p>
    <w:p w:rsidR="00513B47" w:rsidRPr="00600E6F" w:rsidRDefault="00513B47" w:rsidP="00C31CC0">
      <w:pPr>
        <w:numPr>
          <w:ilvl w:val="0"/>
          <w:numId w:val="146"/>
        </w:numPr>
        <w:spacing w:after="0" w:line="240" w:lineRule="auto"/>
        <w:rPr>
          <w:rFonts w:ascii="Times New Roman" w:hAnsi="Times New Roman"/>
          <w:sz w:val="24"/>
        </w:rPr>
      </w:pPr>
      <w:r w:rsidRPr="00600E6F">
        <w:rPr>
          <w:rFonts w:ascii="Times New Roman" w:hAnsi="Times New Roman"/>
          <w:b/>
          <w:sz w:val="24"/>
        </w:rPr>
        <w:t>Logic Model:</w:t>
      </w:r>
      <w:r w:rsidRPr="00600E6F">
        <w:rPr>
          <w:rFonts w:ascii="Times New Roman" w:hAnsi="Times New Roman"/>
          <w:sz w:val="24"/>
        </w:rPr>
        <w:t xml:space="preserve"> </w:t>
      </w:r>
    </w:p>
    <w:p w:rsidR="00513B47" w:rsidRDefault="004E5A95" w:rsidP="004E5A95">
      <w:pPr>
        <w:spacing w:after="0" w:line="240" w:lineRule="auto"/>
        <w:ind w:left="-810" w:firstLine="810"/>
        <w:rPr>
          <w:rFonts w:ascii="Times New Roman" w:hAnsi="Times New Roman"/>
        </w:rPr>
      </w:pPr>
      <w:r w:rsidRPr="00D737C2">
        <w:rPr>
          <w:rFonts w:ascii="Times New Roman" w:hAnsi="Times New Roman"/>
        </w:rPr>
        <w:object w:dxaOrig="14850" w:dyaOrig="10675">
          <v:shape id="_x0000_i1029" type="#_x0000_t75" style="width:488.25pt;height:323.25pt" o:ole="">
            <v:imagedata r:id="rId43" o:title=""/>
          </v:shape>
          <o:OLEObject Type="Embed" ProgID="Visio.Drawing.11" ShapeID="_x0000_i1029" DrawAspect="Content" ObjectID="_1408270870" r:id="rId44"/>
        </w:object>
      </w:r>
    </w:p>
    <w:p w:rsidR="00CF710C" w:rsidRDefault="00CF710C" w:rsidP="00C31CC0">
      <w:pPr>
        <w:numPr>
          <w:ilvl w:val="0"/>
          <w:numId w:val="145"/>
        </w:numPr>
        <w:spacing w:after="0" w:line="240" w:lineRule="auto"/>
        <w:rPr>
          <w:rFonts w:ascii="Times New Roman" w:hAnsi="Times New Roman"/>
          <w:b/>
          <w:sz w:val="24"/>
        </w:rPr>
      </w:pPr>
      <w:r>
        <w:rPr>
          <w:rFonts w:ascii="Times New Roman" w:hAnsi="Times New Roman"/>
          <w:b/>
          <w:sz w:val="24"/>
          <w:szCs w:val="24"/>
        </w:rPr>
        <w:br w:type="page"/>
      </w:r>
      <w:r w:rsidR="004E5A95">
        <w:rPr>
          <w:rFonts w:ascii="Times New Roman" w:hAnsi="Times New Roman"/>
          <w:b/>
          <w:sz w:val="24"/>
          <w:szCs w:val="24"/>
        </w:rPr>
        <w:lastRenderedPageBreak/>
        <w:t xml:space="preserve"> </w:t>
      </w:r>
      <w:r w:rsidR="00513B47" w:rsidRPr="00600E6F">
        <w:rPr>
          <w:rFonts w:ascii="Times New Roman" w:hAnsi="Times New Roman"/>
          <w:b/>
          <w:sz w:val="24"/>
        </w:rPr>
        <w:t>Additional Sub-Program Information</w:t>
      </w:r>
    </w:p>
    <w:p w:rsidR="00513B47" w:rsidRPr="00600E6F" w:rsidRDefault="00513B47" w:rsidP="00CF710C">
      <w:pPr>
        <w:spacing w:after="0" w:line="240" w:lineRule="auto"/>
        <w:ind w:left="630"/>
        <w:rPr>
          <w:rFonts w:ascii="Times New Roman" w:hAnsi="Times New Roman"/>
          <w:b/>
          <w:sz w:val="24"/>
        </w:rPr>
      </w:pPr>
    </w:p>
    <w:p w:rsidR="00513B47" w:rsidRPr="00600E6F" w:rsidRDefault="00513B47" w:rsidP="00C31CC0">
      <w:pPr>
        <w:numPr>
          <w:ilvl w:val="0"/>
          <w:numId w:val="147"/>
        </w:numPr>
        <w:spacing w:after="0" w:line="240" w:lineRule="auto"/>
        <w:rPr>
          <w:rFonts w:ascii="Times New Roman" w:hAnsi="Times New Roman"/>
          <w:sz w:val="24"/>
        </w:rPr>
      </w:pPr>
      <w:r w:rsidRPr="00600E6F">
        <w:rPr>
          <w:rFonts w:ascii="Times New Roman" w:hAnsi="Times New Roman"/>
          <w:b/>
          <w:sz w:val="24"/>
        </w:rPr>
        <w:t>Advancing Strategic Plan Goals and Objectives</w:t>
      </w: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The WHUP is consistent with the requirements of the </w:t>
      </w:r>
      <w:r w:rsidRPr="00600E6F">
        <w:rPr>
          <w:rFonts w:ascii="Times New Roman" w:hAnsi="Times New Roman"/>
          <w:i/>
          <w:sz w:val="24"/>
        </w:rPr>
        <w:t>Strategic Plan</w:t>
      </w:r>
      <w:r w:rsidRPr="00600E6F">
        <w:rPr>
          <w:rFonts w:ascii="Times New Roman" w:hAnsi="Times New Roman"/>
          <w:sz w:val="24"/>
        </w:rPr>
        <w:t xml:space="preserve">. It addresses the Whole-House Strategy of the </w:t>
      </w:r>
      <w:r w:rsidRPr="00600E6F">
        <w:rPr>
          <w:rFonts w:ascii="Times New Roman" w:hAnsi="Times New Roman"/>
          <w:i/>
          <w:sz w:val="24"/>
        </w:rPr>
        <w:t>Strategic Plan</w:t>
      </w:r>
      <w:r w:rsidRPr="00600E6F">
        <w:rPr>
          <w:rFonts w:ascii="Times New Roman" w:hAnsi="Times New Roman"/>
          <w:sz w:val="24"/>
        </w:rPr>
        <w:t xml:space="preserve"> by influencing contractors and customers to implement comprehensive home retrofit energy efficiency measures through either the </w:t>
      </w:r>
      <w:r w:rsidRPr="00600E6F">
        <w:rPr>
          <w:rFonts w:ascii="Times New Roman" w:hAnsi="Times New Roman"/>
          <w:i/>
          <w:sz w:val="24"/>
        </w:rPr>
        <w:t>Basic Path</w:t>
      </w:r>
      <w:r w:rsidRPr="00600E6F">
        <w:rPr>
          <w:rFonts w:ascii="Times New Roman" w:hAnsi="Times New Roman"/>
          <w:sz w:val="24"/>
        </w:rPr>
        <w:t xml:space="preserve"> on-ramp, </w:t>
      </w:r>
      <w:r w:rsidRPr="00600E6F">
        <w:rPr>
          <w:rFonts w:ascii="Times New Roman" w:hAnsi="Times New Roman"/>
          <w:i/>
          <w:sz w:val="24"/>
        </w:rPr>
        <w:t>Advanced Path</w:t>
      </w:r>
      <w:r w:rsidRPr="00600E6F">
        <w:rPr>
          <w:rFonts w:ascii="Times New Roman" w:hAnsi="Times New Roman"/>
          <w:sz w:val="24"/>
        </w:rPr>
        <w:t xml:space="preserve"> or </w:t>
      </w:r>
      <w:r w:rsidRPr="00600E6F">
        <w:rPr>
          <w:rFonts w:ascii="Times New Roman" w:hAnsi="Times New Roman"/>
          <w:i/>
          <w:sz w:val="24"/>
        </w:rPr>
        <w:t>Multifamily</w:t>
      </w:r>
      <w:r w:rsidRPr="00600E6F">
        <w:rPr>
          <w:rFonts w:ascii="Times New Roman" w:hAnsi="Times New Roman"/>
          <w:sz w:val="24"/>
        </w:rPr>
        <w:t xml:space="preserve"> </w:t>
      </w:r>
      <w:r w:rsidRPr="00600E6F">
        <w:rPr>
          <w:rFonts w:ascii="Times New Roman" w:hAnsi="Times New Roman"/>
          <w:i/>
          <w:sz w:val="24"/>
        </w:rPr>
        <w:t>Path</w:t>
      </w:r>
      <w:r w:rsidRPr="00600E6F">
        <w:rPr>
          <w:rFonts w:ascii="Times New Roman" w:hAnsi="Times New Roman"/>
          <w:sz w:val="24"/>
        </w:rPr>
        <w:t>.</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WHUP responds to the need for much larger energy savings in existing homes and multifamily buildings than is possible with conventional checklist audits or single measure improvement (prescriptive) programs.  It addresses the key “whole house" strategy of the </w:t>
      </w:r>
      <w:r w:rsidRPr="00600E6F">
        <w:rPr>
          <w:rFonts w:ascii="Times New Roman" w:hAnsi="Times New Roman"/>
          <w:i/>
          <w:sz w:val="24"/>
        </w:rPr>
        <w:t>Strategic Plan</w:t>
      </w:r>
      <w:r w:rsidRPr="00600E6F">
        <w:rPr>
          <w:rFonts w:ascii="Times New Roman" w:hAnsi="Times New Roman"/>
          <w:sz w:val="24"/>
        </w:rPr>
        <w:t xml:space="preserve"> by influencing “decision triggers” to improving energy efficiency and understand advantages to expand participation to reach savings goals.  This program is also a vehicle to increase penetration of shell upgrades and cost effective, high efficiency appliances, water heaters and HVAC upgrades.  The </w:t>
      </w:r>
      <w:r w:rsidRPr="00600E6F">
        <w:rPr>
          <w:rFonts w:ascii="Times New Roman" w:hAnsi="Times New Roman"/>
          <w:i/>
          <w:sz w:val="24"/>
        </w:rPr>
        <w:t>Strategic Plan</w:t>
      </w:r>
      <w:r w:rsidRPr="00600E6F">
        <w:rPr>
          <w:rFonts w:ascii="Times New Roman" w:hAnsi="Times New Roman"/>
          <w:sz w:val="24"/>
        </w:rPr>
        <w:t xml:space="preserve"> further states that a similar approach must be developed for multifamily housing. The program will help to achieve the following goals identified in Section 2 of the </w:t>
      </w:r>
      <w:r w:rsidRPr="00600E6F">
        <w:rPr>
          <w:rFonts w:ascii="Times New Roman" w:hAnsi="Times New Roman"/>
          <w:i/>
          <w:sz w:val="24"/>
        </w:rPr>
        <w:t>Strategic Plan</w:t>
      </w:r>
      <w:r w:rsidRPr="00600E6F">
        <w:rPr>
          <w:rFonts w:ascii="Times New Roman" w:hAnsi="Times New Roman"/>
          <w:sz w:val="24"/>
        </w:rPr>
        <w:t>:</w:t>
      </w:r>
    </w:p>
    <w:tbl>
      <w:tblPr>
        <w:tblpPr w:leftFromText="180" w:rightFromText="180" w:vertAnchor="text" w:horzAnchor="margin" w:tblpX="-252" w:tblpY="294"/>
        <w:tblW w:w="10098" w:type="dxa"/>
        <w:tblLook w:val="0000" w:firstRow="0" w:lastRow="0" w:firstColumn="0" w:lastColumn="0" w:noHBand="0" w:noVBand="0"/>
      </w:tblPr>
      <w:tblGrid>
        <w:gridCol w:w="1052"/>
        <w:gridCol w:w="2418"/>
        <w:gridCol w:w="3298"/>
        <w:gridCol w:w="3330"/>
      </w:tblGrid>
      <w:tr w:rsidR="00513B47" w:rsidRPr="00247F81" w:rsidTr="008A0A65">
        <w:trPr>
          <w:trHeight w:val="257"/>
        </w:trPr>
        <w:tc>
          <w:tcPr>
            <w:tcW w:w="10098" w:type="dxa"/>
            <w:gridSpan w:val="4"/>
            <w:tcBorders>
              <w:top w:val="single" w:sz="4" w:space="0" w:color="auto"/>
              <w:left w:val="single" w:sz="4" w:space="0" w:color="auto"/>
              <w:bottom w:val="single" w:sz="4" w:space="0" w:color="auto"/>
              <w:right w:val="single" w:sz="4" w:space="0" w:color="auto"/>
            </w:tcBorders>
            <w:shd w:val="clear" w:color="auto" w:fill="C0C0C0"/>
            <w:noWrap/>
            <w:vAlign w:val="center"/>
          </w:tcPr>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 xml:space="preserve">Table 6. Whole House Alignment with California Long Term Energy Efficiency </w:t>
            </w:r>
            <w:r w:rsidRPr="00600E6F">
              <w:rPr>
                <w:rFonts w:ascii="Times New Roman" w:hAnsi="Times New Roman"/>
                <w:b/>
                <w:i/>
                <w:sz w:val="18"/>
              </w:rPr>
              <w:t>Strategic Plan</w:t>
            </w:r>
          </w:p>
        </w:tc>
      </w:tr>
      <w:tr w:rsidR="00513B47" w:rsidRPr="00247F81" w:rsidTr="008A0A65">
        <w:trPr>
          <w:trHeight w:val="257"/>
        </w:trPr>
        <w:tc>
          <w:tcPr>
            <w:tcW w:w="10098" w:type="dxa"/>
            <w:gridSpan w:val="4"/>
            <w:tcBorders>
              <w:top w:val="single" w:sz="4" w:space="0" w:color="auto"/>
              <w:left w:val="single" w:sz="4" w:space="0" w:color="auto"/>
              <w:bottom w:val="single" w:sz="4" w:space="0" w:color="auto"/>
              <w:right w:val="single" w:sz="4" w:space="0" w:color="auto"/>
            </w:tcBorders>
            <w:noWrap/>
            <w:vAlign w:val="center"/>
          </w:tcPr>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Residential and Low Income Goal 2: Existing Homes</w:t>
            </w:r>
          </w:p>
        </w:tc>
      </w:tr>
      <w:tr w:rsidR="00513B47" w:rsidRPr="00247F81" w:rsidTr="008A0A65">
        <w:trPr>
          <w:trHeight w:val="527"/>
        </w:trPr>
        <w:tc>
          <w:tcPr>
            <w:tcW w:w="1052" w:type="dxa"/>
            <w:tcBorders>
              <w:top w:val="nil"/>
              <w:left w:val="single" w:sz="4" w:space="0" w:color="auto"/>
              <w:bottom w:val="single" w:sz="4" w:space="0" w:color="auto"/>
              <w:right w:val="single" w:sz="4" w:space="0" w:color="auto"/>
            </w:tcBorders>
            <w:shd w:val="clear" w:color="auto" w:fill="92D050"/>
            <w:vAlign w:val="center"/>
          </w:tcPr>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Goal Number</w:t>
            </w:r>
          </w:p>
        </w:tc>
        <w:tc>
          <w:tcPr>
            <w:tcW w:w="2418" w:type="dxa"/>
            <w:tcBorders>
              <w:top w:val="nil"/>
              <w:left w:val="nil"/>
              <w:bottom w:val="single" w:sz="4" w:space="0" w:color="auto"/>
              <w:right w:val="single" w:sz="4" w:space="0" w:color="auto"/>
            </w:tcBorders>
            <w:shd w:val="clear" w:color="auto" w:fill="92D050"/>
            <w:vAlign w:val="center"/>
          </w:tcPr>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Strategy</w:t>
            </w:r>
          </w:p>
        </w:tc>
        <w:tc>
          <w:tcPr>
            <w:tcW w:w="3298" w:type="dxa"/>
            <w:tcBorders>
              <w:top w:val="nil"/>
              <w:left w:val="nil"/>
              <w:bottom w:val="single" w:sz="4" w:space="0" w:color="auto"/>
              <w:right w:val="single" w:sz="4" w:space="0" w:color="auto"/>
            </w:tcBorders>
            <w:shd w:val="clear" w:color="auto" w:fill="92D050"/>
            <w:vAlign w:val="center"/>
          </w:tcPr>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WHUP Strategy</w:t>
            </w:r>
          </w:p>
        </w:tc>
        <w:tc>
          <w:tcPr>
            <w:tcW w:w="3330" w:type="dxa"/>
            <w:tcBorders>
              <w:top w:val="nil"/>
              <w:left w:val="nil"/>
              <w:bottom w:val="single" w:sz="4" w:space="0" w:color="auto"/>
              <w:right w:val="single" w:sz="4" w:space="0" w:color="auto"/>
            </w:tcBorders>
            <w:shd w:val="clear" w:color="auto" w:fill="92D050"/>
            <w:vAlign w:val="center"/>
          </w:tcPr>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Integrated Programs</w:t>
            </w:r>
          </w:p>
          <w:p w:rsidR="00513B47" w:rsidRPr="00600E6F" w:rsidRDefault="00513B47" w:rsidP="008A0A65">
            <w:pPr>
              <w:spacing w:after="0" w:line="240" w:lineRule="auto"/>
              <w:jc w:val="center"/>
              <w:rPr>
                <w:rFonts w:ascii="Times New Roman" w:hAnsi="Times New Roman"/>
                <w:b/>
                <w:sz w:val="18"/>
              </w:rPr>
            </w:pPr>
            <w:r w:rsidRPr="00600E6F">
              <w:rPr>
                <w:rFonts w:ascii="Times New Roman" w:hAnsi="Times New Roman"/>
                <w:b/>
                <w:sz w:val="18"/>
              </w:rPr>
              <w:t>&amp; Activities</w:t>
            </w:r>
          </w:p>
        </w:tc>
      </w:tr>
      <w:tr w:rsidR="00513B47" w:rsidRPr="00247F81" w:rsidTr="008A0A65">
        <w:trPr>
          <w:trHeight w:val="1622"/>
        </w:trPr>
        <w:tc>
          <w:tcPr>
            <w:tcW w:w="1052" w:type="dxa"/>
            <w:tcBorders>
              <w:top w:val="nil"/>
              <w:left w:val="single" w:sz="4" w:space="0" w:color="auto"/>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2-1</w:t>
            </w:r>
          </w:p>
        </w:tc>
        <w:tc>
          <w:tcPr>
            <w:tcW w:w="241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 xml:space="preserve">Deploy full-scale Whole-House programs. </w:t>
            </w:r>
          </w:p>
        </w:tc>
        <w:tc>
          <w:tcPr>
            <w:tcW w:w="329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 xml:space="preserve">  Monitor performance of selected lower energy homes.  Design implement, monitor and continuously improve full-scale programs for whole-house energy efficiency and renewable energy retrofits.</w:t>
            </w:r>
          </w:p>
        </w:tc>
        <w:tc>
          <w:tcPr>
            <w:tcW w:w="3330"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Programs:  WHUP, Solar, Demand Response, MFEER, Plug Loads, ESAP</w:t>
            </w:r>
          </w:p>
          <w:p w:rsidR="00513B47" w:rsidRPr="00600E6F" w:rsidRDefault="00513B47" w:rsidP="008A0A65">
            <w:pPr>
              <w:spacing w:after="0" w:line="240" w:lineRule="auto"/>
              <w:jc w:val="center"/>
              <w:rPr>
                <w:rFonts w:ascii="Times New Roman" w:hAnsi="Times New Roman"/>
                <w:sz w:val="18"/>
              </w:rPr>
            </w:pPr>
          </w:p>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Marketing: Customer segmentation and local coordination</w:t>
            </w:r>
          </w:p>
          <w:p w:rsidR="00513B47" w:rsidRPr="00600E6F" w:rsidRDefault="00513B47" w:rsidP="008A0A65">
            <w:pPr>
              <w:spacing w:after="0" w:line="240" w:lineRule="auto"/>
              <w:jc w:val="center"/>
              <w:rPr>
                <w:rFonts w:ascii="Times New Roman" w:hAnsi="Times New Roman"/>
                <w:sz w:val="18"/>
              </w:rPr>
            </w:pPr>
          </w:p>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EM&amp;V: Studies to provide early feedback and establish baselines</w:t>
            </w:r>
          </w:p>
        </w:tc>
      </w:tr>
      <w:tr w:rsidR="00513B47" w:rsidRPr="00247F81" w:rsidTr="008A0A65">
        <w:trPr>
          <w:trHeight w:val="1208"/>
        </w:trPr>
        <w:tc>
          <w:tcPr>
            <w:tcW w:w="1052" w:type="dxa"/>
            <w:tcBorders>
              <w:top w:val="nil"/>
              <w:left w:val="single" w:sz="4" w:space="0" w:color="auto"/>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2-2</w:t>
            </w:r>
          </w:p>
        </w:tc>
        <w:tc>
          <w:tcPr>
            <w:tcW w:w="241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Promote effective decision-making to create widespread demand for energy efficiency measures.</w:t>
            </w:r>
          </w:p>
        </w:tc>
        <w:tc>
          <w:tcPr>
            <w:tcW w:w="329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Continue to offer Energy Advisor programs online, by mail, and over-the-phone to provide customers with information to promote effective decision-making, in combination with other segment specific marketing outreach and educational activities.</w:t>
            </w:r>
          </w:p>
        </w:tc>
        <w:tc>
          <w:tcPr>
            <w:tcW w:w="3330"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Programs: Energy Advisor  WHUP, MFEER</w:t>
            </w:r>
          </w:p>
          <w:p w:rsidR="00513B47" w:rsidRPr="00600E6F" w:rsidRDefault="00513B47" w:rsidP="008A0A65">
            <w:pPr>
              <w:spacing w:after="0" w:line="240" w:lineRule="auto"/>
              <w:jc w:val="center"/>
              <w:rPr>
                <w:rFonts w:ascii="Times New Roman" w:hAnsi="Times New Roman"/>
                <w:sz w:val="18"/>
              </w:rPr>
            </w:pPr>
          </w:p>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Marketing: Customer and contractor education to promote building efficiency and appropriate EE behaviors in a segmented manner</w:t>
            </w:r>
          </w:p>
        </w:tc>
      </w:tr>
      <w:tr w:rsidR="00513B47" w:rsidRPr="00247F81" w:rsidTr="008A0A65">
        <w:trPr>
          <w:trHeight w:val="1550"/>
        </w:trPr>
        <w:tc>
          <w:tcPr>
            <w:tcW w:w="1052" w:type="dxa"/>
            <w:tcBorders>
              <w:top w:val="nil"/>
              <w:left w:val="single" w:sz="4" w:space="0" w:color="auto"/>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2-3</w:t>
            </w:r>
          </w:p>
        </w:tc>
        <w:tc>
          <w:tcPr>
            <w:tcW w:w="241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Manage research into new/advanced cost-effective innovations to reduce energy use in existing homes.</w:t>
            </w:r>
          </w:p>
        </w:tc>
        <w:tc>
          <w:tcPr>
            <w:tcW w:w="329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Coordinate with Emerging Technologies and other programs to integrate market-ready technologies into the Whole House offering when appropriate.  Promote commercialization of home energy management tools including AMI-based monitoring and display tools</w:t>
            </w:r>
          </w:p>
        </w:tc>
        <w:tc>
          <w:tcPr>
            <w:tcW w:w="3330"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Programs: Emerging Technologies, Demand Response, Solar, and others</w:t>
            </w:r>
          </w:p>
        </w:tc>
      </w:tr>
      <w:tr w:rsidR="00513B47" w:rsidRPr="00247F81" w:rsidTr="008A0A65">
        <w:trPr>
          <w:trHeight w:val="533"/>
        </w:trPr>
        <w:tc>
          <w:tcPr>
            <w:tcW w:w="1052" w:type="dxa"/>
            <w:tcBorders>
              <w:top w:val="nil"/>
              <w:left w:val="single" w:sz="4" w:space="0" w:color="auto"/>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2-4</w:t>
            </w:r>
          </w:p>
        </w:tc>
        <w:tc>
          <w:tcPr>
            <w:tcW w:w="241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Develop financial products and programs such as on-bill financing to encourage demand for energy efficiency building products, home systems, and appliances.</w:t>
            </w:r>
          </w:p>
        </w:tc>
        <w:tc>
          <w:tcPr>
            <w:tcW w:w="329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Ensure that customers are aware of the most effective and attractive financing packages that are available to them.</w:t>
            </w:r>
          </w:p>
        </w:tc>
        <w:tc>
          <w:tcPr>
            <w:tcW w:w="3330"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p>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Programs:  WHUP</w:t>
            </w:r>
          </w:p>
          <w:p w:rsidR="00513B47" w:rsidRPr="00600E6F" w:rsidRDefault="00513B47" w:rsidP="008A0A65">
            <w:pPr>
              <w:spacing w:after="0" w:line="240" w:lineRule="auto"/>
              <w:jc w:val="center"/>
              <w:rPr>
                <w:rFonts w:ascii="Times New Roman" w:hAnsi="Times New Roman"/>
                <w:sz w:val="18"/>
              </w:rPr>
            </w:pPr>
          </w:p>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Coordination: Local government partnerships and other state/federal financing entities</w:t>
            </w:r>
          </w:p>
          <w:p w:rsidR="00513B47" w:rsidRPr="00600E6F" w:rsidRDefault="00513B47" w:rsidP="008A0A65">
            <w:pPr>
              <w:spacing w:after="0" w:line="240" w:lineRule="auto"/>
              <w:jc w:val="center"/>
              <w:rPr>
                <w:rFonts w:ascii="Times New Roman" w:hAnsi="Times New Roman"/>
                <w:sz w:val="18"/>
              </w:rPr>
            </w:pPr>
          </w:p>
        </w:tc>
      </w:tr>
      <w:tr w:rsidR="00513B47" w:rsidRPr="00247F81" w:rsidTr="008A0A65">
        <w:trPr>
          <w:trHeight w:val="605"/>
        </w:trPr>
        <w:tc>
          <w:tcPr>
            <w:tcW w:w="1052" w:type="dxa"/>
            <w:tcBorders>
              <w:top w:val="nil"/>
              <w:left w:val="single" w:sz="4" w:space="0" w:color="auto"/>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2-5</w:t>
            </w:r>
          </w:p>
        </w:tc>
        <w:tc>
          <w:tcPr>
            <w:tcW w:w="241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Increase Title 24 compliance through specific measures leading to aggressive statewide enforcement.</w:t>
            </w:r>
          </w:p>
        </w:tc>
        <w:tc>
          <w:tcPr>
            <w:tcW w:w="3298"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Partner with local governments to expedite the permitting process to decrease the barriers to entry in the home performance industry.</w:t>
            </w:r>
          </w:p>
        </w:tc>
        <w:tc>
          <w:tcPr>
            <w:tcW w:w="3330" w:type="dxa"/>
            <w:tcBorders>
              <w:top w:val="nil"/>
              <w:left w:val="nil"/>
              <w:bottom w:val="single" w:sz="4" w:space="0" w:color="auto"/>
              <w:right w:val="single" w:sz="4" w:space="0" w:color="auto"/>
            </w:tcBorders>
            <w:vAlign w:val="center"/>
          </w:tcPr>
          <w:p w:rsidR="00513B47" w:rsidRPr="00600E6F" w:rsidRDefault="00513B47" w:rsidP="008A0A65">
            <w:pPr>
              <w:spacing w:after="0" w:line="240" w:lineRule="auto"/>
              <w:jc w:val="center"/>
              <w:rPr>
                <w:rFonts w:ascii="Times New Roman" w:hAnsi="Times New Roman"/>
                <w:sz w:val="18"/>
              </w:rPr>
            </w:pPr>
            <w:r w:rsidRPr="00600E6F">
              <w:rPr>
                <w:rFonts w:ascii="Times New Roman" w:hAnsi="Times New Roman"/>
                <w:sz w:val="18"/>
              </w:rPr>
              <w:t xml:space="preserve">Coordination: Local government partnerships </w:t>
            </w:r>
          </w:p>
        </w:tc>
      </w:tr>
    </w:tbl>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C31CC0">
      <w:pPr>
        <w:numPr>
          <w:ilvl w:val="0"/>
          <w:numId w:val="147"/>
        </w:numPr>
        <w:spacing w:after="0" w:line="240" w:lineRule="auto"/>
        <w:rPr>
          <w:rFonts w:ascii="Times New Roman" w:hAnsi="Times New Roman"/>
          <w:b/>
          <w:sz w:val="24"/>
        </w:rPr>
      </w:pPr>
      <w:r w:rsidRPr="00600E6F">
        <w:rPr>
          <w:rFonts w:ascii="Times New Roman" w:hAnsi="Times New Roman"/>
          <w:b/>
          <w:sz w:val="24"/>
        </w:rPr>
        <w:lastRenderedPageBreak/>
        <w:t>Integration</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148"/>
        </w:numPr>
        <w:spacing w:after="0" w:line="240" w:lineRule="auto"/>
        <w:ind w:left="1890"/>
        <w:rPr>
          <w:rFonts w:ascii="Times New Roman" w:hAnsi="Times New Roman"/>
          <w:sz w:val="24"/>
        </w:rPr>
      </w:pPr>
      <w:r w:rsidRPr="00600E6F">
        <w:rPr>
          <w:rFonts w:ascii="Times New Roman" w:hAnsi="Times New Roman"/>
          <w:b/>
          <w:sz w:val="24"/>
        </w:rPr>
        <w:t>Integrated/coordinated Demand Side Management</w:t>
      </w:r>
      <w:r w:rsidRPr="00600E6F">
        <w:rPr>
          <w:rFonts w:ascii="Times New Roman" w:hAnsi="Times New Roman"/>
          <w:sz w:val="24"/>
        </w:rPr>
        <w:t>: As applicable, describe how sub-program will promote customer education and sub-program participation across all DSM options. Provide budget information of non-EE sub-programs where applicable.</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The IOUs have identified IDSM as an important priority. The IOUs plan to monitor the progress of other IDSM efforts and to work closely to identify comprehensive integration approaches that feed into the overall statewide strategy and to implement best practices as rapidly as practical.</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 xml:space="preserve">The statewide WHUP is a platform for integration of solutions to the residential customer and is intended to provide an easy entry point for customers and contractors that ultimately integrate other programs for whole house and customer solutions. As awareness of the cost-effective opportunities in whole house retrofits grows through training and education efforts, customers will be presented with the ability to integrate Demand Response and properly-sized onsite generation. </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 xml:space="preserve">With the inherent synergy that exists between the energy efficiency awareness efforts of CSI and the Whole House programs, WHUP information will be made available to IOU teams in call-centers with the intent of providing a WHUP introduction to customers or contractors interested in CSI. Coordination with stakeholders who maintain approved solar contractor lists may also provide an opportunity to deliver the whole house message to parties interested in installing solar systems. </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The statewide Energy Advisor program will also provide a unique nexus between CSI and WHUP. CSI customers are required to conduct an energy efficiency survey prior to installing solar, which presents a unique opportunity to educate customers on the benefits of improving the efficiency of their home prior to purchasing solar equipment. These efforts are expected to include, but will not be limited to:</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C31CC0">
      <w:pPr>
        <w:numPr>
          <w:ilvl w:val="0"/>
          <w:numId w:val="41"/>
        </w:numPr>
        <w:tabs>
          <w:tab w:val="clear" w:pos="1080"/>
        </w:tabs>
        <w:spacing w:after="0" w:line="240" w:lineRule="auto"/>
        <w:ind w:left="2160"/>
        <w:rPr>
          <w:rFonts w:ascii="Times New Roman" w:hAnsi="Times New Roman"/>
          <w:sz w:val="24"/>
        </w:rPr>
      </w:pPr>
      <w:r w:rsidRPr="00600E6F">
        <w:rPr>
          <w:rFonts w:ascii="Times New Roman" w:hAnsi="Times New Roman"/>
          <w:sz w:val="24"/>
        </w:rPr>
        <w:t>WHUP links and information on IOU CSI sites;</w:t>
      </w:r>
    </w:p>
    <w:p w:rsidR="00513B47" w:rsidRPr="00600E6F" w:rsidRDefault="00513B47" w:rsidP="00C31CC0">
      <w:pPr>
        <w:numPr>
          <w:ilvl w:val="0"/>
          <w:numId w:val="41"/>
        </w:numPr>
        <w:tabs>
          <w:tab w:val="clear" w:pos="1080"/>
        </w:tabs>
        <w:spacing w:after="0" w:line="240" w:lineRule="auto"/>
        <w:ind w:left="2160"/>
        <w:rPr>
          <w:rFonts w:ascii="Times New Roman" w:hAnsi="Times New Roman"/>
          <w:sz w:val="24"/>
        </w:rPr>
      </w:pPr>
      <w:r w:rsidRPr="00600E6F">
        <w:rPr>
          <w:rFonts w:ascii="Times New Roman" w:hAnsi="Times New Roman"/>
          <w:sz w:val="24"/>
        </w:rPr>
        <w:t>Links to  WHUP landing pages from  Energy Advisor;</w:t>
      </w:r>
    </w:p>
    <w:p w:rsidR="00513B47" w:rsidRPr="00600E6F" w:rsidRDefault="00513B47" w:rsidP="00C31CC0">
      <w:pPr>
        <w:numPr>
          <w:ilvl w:val="0"/>
          <w:numId w:val="41"/>
        </w:numPr>
        <w:tabs>
          <w:tab w:val="clear" w:pos="1080"/>
        </w:tabs>
        <w:spacing w:after="0" w:line="240" w:lineRule="auto"/>
        <w:ind w:left="2160"/>
        <w:rPr>
          <w:rFonts w:ascii="Times New Roman" w:hAnsi="Times New Roman"/>
          <w:sz w:val="24"/>
        </w:rPr>
      </w:pPr>
      <w:r w:rsidRPr="00600E6F">
        <w:rPr>
          <w:rFonts w:ascii="Times New Roman" w:hAnsi="Times New Roman"/>
          <w:sz w:val="24"/>
        </w:rPr>
        <w:t>Targeted messaging during and after each survey;</w:t>
      </w:r>
    </w:p>
    <w:p w:rsidR="00513B47" w:rsidRPr="00600E6F" w:rsidRDefault="00513B47" w:rsidP="00C31CC0">
      <w:pPr>
        <w:numPr>
          <w:ilvl w:val="0"/>
          <w:numId w:val="41"/>
        </w:numPr>
        <w:tabs>
          <w:tab w:val="clear" w:pos="1080"/>
        </w:tabs>
        <w:spacing w:after="0" w:line="240" w:lineRule="auto"/>
        <w:ind w:left="2160"/>
        <w:rPr>
          <w:rFonts w:ascii="Times New Roman" w:hAnsi="Times New Roman"/>
          <w:sz w:val="24"/>
        </w:rPr>
      </w:pPr>
      <w:r w:rsidRPr="00600E6F">
        <w:rPr>
          <w:rFonts w:ascii="Times New Roman" w:hAnsi="Times New Roman"/>
          <w:sz w:val="24"/>
        </w:rPr>
        <w:t>Information about WHUP incentives; and</w:t>
      </w:r>
    </w:p>
    <w:p w:rsidR="00513B47" w:rsidRPr="00600E6F" w:rsidRDefault="00513B47" w:rsidP="00C31CC0">
      <w:pPr>
        <w:numPr>
          <w:ilvl w:val="0"/>
          <w:numId w:val="41"/>
        </w:numPr>
        <w:tabs>
          <w:tab w:val="clear" w:pos="1080"/>
        </w:tabs>
        <w:spacing w:after="0" w:line="240" w:lineRule="auto"/>
        <w:ind w:left="2160"/>
        <w:rPr>
          <w:rFonts w:ascii="Times New Roman" w:hAnsi="Times New Roman"/>
          <w:sz w:val="24"/>
        </w:rPr>
      </w:pPr>
      <w:r w:rsidRPr="00600E6F">
        <w:rPr>
          <w:rFonts w:ascii="Times New Roman" w:hAnsi="Times New Roman"/>
          <w:sz w:val="24"/>
        </w:rPr>
        <w:t>Educational information that encourages customers to “reduce then produce.”</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In addition, any contractors who work onsite with customers can provide delivery channels for DR programs information or installation of DR technology.</w:t>
      </w:r>
    </w:p>
    <w:p w:rsidR="00513B47" w:rsidRDefault="00513B47" w:rsidP="003408F4">
      <w:pPr>
        <w:spacing w:after="0" w:line="240" w:lineRule="auto"/>
        <w:ind w:left="1800"/>
        <w:rPr>
          <w:rFonts w:ascii="Times New Roman" w:hAnsi="Times New Roman"/>
          <w:sz w:val="24"/>
        </w:rPr>
      </w:pPr>
      <w:r w:rsidRPr="00600E6F">
        <w:rPr>
          <w:rFonts w:ascii="Times New Roman" w:hAnsi="Times New Roman"/>
          <w:sz w:val="24"/>
        </w:rPr>
        <w:t>WHUP will also serve as a platform to integrate technology advancements in DR and Advanced Metering. IDSM efforts will be part of an ongoing conversation with customers to enhance program offerings and increase their participation in DSM efforts over time.</w:t>
      </w:r>
    </w:p>
    <w:p w:rsidR="00CF710C" w:rsidRPr="00600E6F" w:rsidRDefault="00CF710C"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b/>
          <w:sz w:val="24"/>
        </w:rPr>
      </w:pPr>
      <w:r w:rsidRPr="00600E6F">
        <w:rPr>
          <w:rFonts w:ascii="Times New Roman" w:hAnsi="Times New Roman"/>
          <w:b/>
          <w:sz w:val="24"/>
        </w:rPr>
        <w:lastRenderedPageBreak/>
        <w:t xml:space="preserve">Table 16:  </w:t>
      </w:r>
      <w:r w:rsidRPr="00600E6F">
        <w:rPr>
          <w:rFonts w:ascii="Times New Roman" w:hAnsi="Times New Roman"/>
          <w:sz w:val="24"/>
        </w:rPr>
        <w:t>Non-EE Sub-Program Information</w:t>
      </w:r>
    </w:p>
    <w:p w:rsidR="00513B47" w:rsidRPr="00600E6F" w:rsidRDefault="00513B47" w:rsidP="003408F4">
      <w:pPr>
        <w:spacing w:after="0" w:line="240" w:lineRule="auto"/>
        <w:ind w:left="1800"/>
        <w:rPr>
          <w:rFonts w:ascii="Times New Roman" w:hAnsi="Times New Roman"/>
          <w:i/>
          <w:sz w:val="24"/>
        </w:rPr>
      </w:pPr>
      <w:r w:rsidRPr="00600E6F">
        <w:rPr>
          <w:rFonts w:ascii="Times New Roman" w:hAnsi="Times New Roman"/>
          <w:i/>
          <w:sz w:val="24"/>
        </w:rPr>
        <w:t>[Table 16 to be provided as an Excel Attachment to this PIP]</w:t>
      </w:r>
    </w:p>
    <w:p w:rsidR="00513B47" w:rsidRPr="00600E6F" w:rsidRDefault="00513B47" w:rsidP="003408F4">
      <w:pPr>
        <w:spacing w:after="0" w:line="240" w:lineRule="auto"/>
        <w:ind w:left="1800"/>
        <w:rPr>
          <w:rFonts w:ascii="Times New Roman" w:hAnsi="Times New Roman"/>
          <w:i/>
          <w:sz w:val="24"/>
        </w:rPr>
      </w:pPr>
    </w:p>
    <w:p w:rsidR="00513B47" w:rsidRPr="00600E6F" w:rsidRDefault="00513B47" w:rsidP="00C31CC0">
      <w:pPr>
        <w:numPr>
          <w:ilvl w:val="0"/>
          <w:numId w:val="148"/>
        </w:numPr>
        <w:spacing w:after="0" w:line="240" w:lineRule="auto"/>
        <w:ind w:left="1800"/>
        <w:rPr>
          <w:rFonts w:ascii="Times New Roman" w:hAnsi="Times New Roman"/>
          <w:sz w:val="24"/>
        </w:rPr>
      </w:pPr>
      <w:r w:rsidRPr="00600E6F">
        <w:rPr>
          <w:rFonts w:ascii="Times New Roman" w:hAnsi="Times New Roman"/>
          <w:b/>
          <w:sz w:val="24"/>
        </w:rPr>
        <w:t>Integration across resource types</w:t>
      </w:r>
      <w:r w:rsidRPr="00600E6F">
        <w:rPr>
          <w:rFonts w:ascii="Times New Roman" w:hAnsi="Times New Roman"/>
          <w:sz w:val="24"/>
        </w:rPr>
        <w:t xml:space="preserve"> (energy, water, air quality, etc):  If sub-program aims to integrate across resources types, please provide rationale and general approach.</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WHUP is designed to deliver comprehensive solutions to customers while integrating across resource types to maximize customer benefits not only in terms of energy savings, but through improvements to occupant health, safety and comfort. Primarily, there are opportunities for water efficiency and indoor air quality improvements.</w:t>
      </w:r>
    </w:p>
    <w:p w:rsidR="00513B47" w:rsidRPr="00600E6F" w:rsidRDefault="00513B47" w:rsidP="003408F4">
      <w:pPr>
        <w:spacing w:after="0" w:line="240" w:lineRule="auto"/>
        <w:ind w:left="1800"/>
        <w:rPr>
          <w:rFonts w:ascii="Times New Roman" w:hAnsi="Times New Roman"/>
          <w:sz w:val="24"/>
        </w:rPr>
      </w:pP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One of the major benefits of comprehensive home retrofits is improved indoor air quality. Residents will notice more consistent temperatures throughout their home and in many cases, improved indoor air quality.</w:t>
      </w:r>
    </w:p>
    <w:p w:rsidR="00513B47" w:rsidRPr="00600E6F" w:rsidRDefault="00513B47" w:rsidP="003408F4">
      <w:pPr>
        <w:spacing w:after="0" w:line="240" w:lineRule="auto"/>
        <w:ind w:left="1800"/>
        <w:rPr>
          <w:rFonts w:ascii="Times New Roman" w:hAnsi="Times New Roman"/>
          <w:sz w:val="24"/>
        </w:rPr>
      </w:pPr>
      <w:r w:rsidRPr="00600E6F">
        <w:rPr>
          <w:rFonts w:ascii="Times New Roman" w:hAnsi="Times New Roman"/>
          <w:sz w:val="24"/>
        </w:rPr>
        <w:t xml:space="preserve">The embodied energy in water distribution will become an increasingly important part of utility programs. The consumer education process in the house-as-a-system approach will provide an opportunity for local governments to present customers with information on non-energy savings inherent in comprehensive retrofits. </w:t>
      </w:r>
    </w:p>
    <w:p w:rsidR="00513B47" w:rsidRPr="00600E6F" w:rsidRDefault="00513B47" w:rsidP="003408F4">
      <w:pPr>
        <w:spacing w:after="0" w:line="240" w:lineRule="auto"/>
        <w:ind w:left="1800"/>
        <w:rPr>
          <w:rFonts w:ascii="Times New Roman" w:hAnsi="Times New Roman"/>
          <w:i/>
          <w:sz w:val="24"/>
        </w:rPr>
      </w:pPr>
    </w:p>
    <w:p w:rsidR="00513B47" w:rsidRPr="00600E6F" w:rsidRDefault="00513B47" w:rsidP="003408F4">
      <w:pPr>
        <w:spacing w:after="0" w:line="240" w:lineRule="auto"/>
        <w:ind w:left="1800"/>
        <w:rPr>
          <w:rFonts w:ascii="Times New Roman" w:hAnsi="Times New Roman"/>
          <w:i/>
          <w:sz w:val="24"/>
        </w:rPr>
      </w:pPr>
      <w:r w:rsidRPr="00600E6F">
        <w:rPr>
          <w:rFonts w:ascii="Times New Roman" w:hAnsi="Times New Roman"/>
          <w:i/>
          <w:sz w:val="24"/>
        </w:rPr>
        <w:t>[This information can be found in Table 16</w:t>
      </w:r>
      <w:r w:rsidRPr="00600E6F">
        <w:rPr>
          <w:rFonts w:ascii="Times New Roman" w:hAnsi="Times New Roman"/>
          <w:sz w:val="24"/>
        </w:rPr>
        <w:t xml:space="preserve"> </w:t>
      </w:r>
      <w:r w:rsidRPr="00600E6F">
        <w:rPr>
          <w:rFonts w:ascii="Times New Roman" w:hAnsi="Times New Roman"/>
          <w:i/>
          <w:sz w:val="24"/>
        </w:rPr>
        <w:t>Non-EE Sub-Program Information to be provided as an Excel Attachment to this PIP]</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147"/>
        </w:numPr>
        <w:spacing w:after="0" w:line="240" w:lineRule="auto"/>
        <w:rPr>
          <w:rFonts w:ascii="Times New Roman" w:hAnsi="Times New Roman"/>
          <w:sz w:val="24"/>
        </w:rPr>
      </w:pPr>
      <w:r w:rsidRPr="00600E6F">
        <w:rPr>
          <w:rFonts w:ascii="Times New Roman" w:hAnsi="Times New Roman"/>
          <w:b/>
          <w:sz w:val="24"/>
        </w:rPr>
        <w:t>Leveraging of Resources</w:t>
      </w:r>
      <w:r w:rsidRPr="00600E6F">
        <w:rPr>
          <w:rFonts w:ascii="Times New Roman" w:hAnsi="Times New Roman"/>
          <w:sz w:val="24"/>
        </w:rPr>
        <w:t xml:space="preserve">: </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800" w:hanging="360"/>
        <w:rPr>
          <w:rFonts w:ascii="Times New Roman" w:hAnsi="Times New Roman"/>
          <w:sz w:val="24"/>
          <w:u w:val="single"/>
        </w:rPr>
      </w:pPr>
      <w:r w:rsidRPr="00600E6F">
        <w:rPr>
          <w:rFonts w:ascii="Times New Roman" w:hAnsi="Times New Roman"/>
          <w:sz w:val="24"/>
          <w:u w:val="single"/>
        </w:rPr>
        <w:t>Local Governments</w:t>
      </w:r>
    </w:p>
    <w:p w:rsidR="00513B47" w:rsidRPr="00600E6F" w:rsidRDefault="00513B47" w:rsidP="003408F4">
      <w:pPr>
        <w:spacing w:after="0" w:line="240" w:lineRule="auto"/>
        <w:ind w:left="1440"/>
        <w:rPr>
          <w:rFonts w:ascii="Times New Roman" w:hAnsi="Times New Roman"/>
          <w:b/>
          <w:sz w:val="24"/>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rPr>
        <w:t>i.  SDG&amp;E</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Local Governments play a unique and important role in the promotion and advancement of Energy Upgrade California.  Beginning in 2009, when the American Recovery and Reinvestment Act was passed and programs like the State Energy Program and the Energy Efficiency &amp; Conservation Block Grant program, jurisdictions across the state were given the unique opportunity to make significant investments on energy programs.  Because of the unique and collaborative relationship that exists among the local jurisdictions and SDG&amp;E, and the existence of a non-resource local government partnership program, the San Diego region saw the development of a number of community focused residential retrofit programs including innovative marketing pilots, specialized workforce education &amp; training programs, and a variety of rebate and loan programs that sought to incentivize residents to perform energy upgrades in their homes.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Over the course of the last few years, SDG&amp;E has worked closely with each local government to ensure local programs are closely coordinated and achieve the highest level of collaboration and consistency across the region.  Building off the lessons learned over the course of the last few years as well as the unique authorities </w:t>
      </w:r>
      <w:r w:rsidRPr="00600E6F">
        <w:rPr>
          <w:rFonts w:ascii="Times New Roman" w:hAnsi="Times New Roman"/>
          <w:sz w:val="24"/>
        </w:rPr>
        <w:lastRenderedPageBreak/>
        <w:t>afforded local governments, SDG&amp;E and the local government program advisory group has developed the following list of key roles that local governments will play to advance Energy Upgrade California during the transition cycle.</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Incorporate building retrofits &amp; building occupant health and safety issues into Climate Action Plans, General Plans, and other relevant planning and long term strategy documents;</w:t>
      </w:r>
    </w:p>
    <w:p w:rsidR="00513B47" w:rsidRPr="00600E6F" w:rsidRDefault="00513B47" w:rsidP="003408F4">
      <w:pPr>
        <w:pStyle w:val="ListParagraph"/>
        <w:spacing w:after="0" w:line="240" w:lineRule="auto"/>
        <w:ind w:left="216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Leverage community relationships and resources to market Energy Upgrade California including targeted outreach and education to the community;</w:t>
      </w:r>
    </w:p>
    <w:p w:rsidR="00513B47" w:rsidRPr="00600E6F" w:rsidRDefault="00513B47" w:rsidP="003408F4">
      <w:pPr>
        <w:pStyle w:val="ListParagraph"/>
        <w:spacing w:after="0" w:line="240" w:lineRule="auto"/>
        <w:ind w:left="216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Provide targeted education on EUC and its benefits to key community stakeholders, business sectors and elected officials</w:t>
      </w:r>
    </w:p>
    <w:p w:rsidR="00513B47" w:rsidRPr="00600E6F" w:rsidRDefault="00513B47" w:rsidP="003408F4">
      <w:pPr>
        <w:pStyle w:val="ListParagraph"/>
        <w:spacing w:after="0" w:line="240" w:lineRule="auto"/>
        <w:ind w:left="216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Coordinate workforce education and training program activities;</w:t>
      </w:r>
    </w:p>
    <w:p w:rsidR="00513B47" w:rsidRPr="00600E6F" w:rsidRDefault="00513B47" w:rsidP="003408F4">
      <w:pPr>
        <w:pStyle w:val="ListParagraph"/>
        <w:spacing w:after="0" w:line="240" w:lineRule="auto"/>
        <w:ind w:left="216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Leverage building permit interactions to encourage WHUP enrollment and work to develop streamlined permitting process as it relates to WHUP;</w:t>
      </w:r>
    </w:p>
    <w:p w:rsidR="00513B47" w:rsidRPr="00600E6F" w:rsidRDefault="00513B47" w:rsidP="003408F4">
      <w:pPr>
        <w:pStyle w:val="ListParagraph"/>
        <w:spacing w:after="0" w:line="240" w:lineRule="auto"/>
        <w:ind w:left="216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Leverage unique authority to encourage/require building rating/audits to drive customers to EUC;</w:t>
      </w:r>
    </w:p>
    <w:p w:rsidR="00513B47" w:rsidRPr="00600E6F" w:rsidRDefault="00513B47" w:rsidP="003408F4">
      <w:pPr>
        <w:pStyle w:val="ListParagraph"/>
        <w:spacing w:after="0" w:line="240" w:lineRule="auto"/>
        <w:ind w:left="216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Pilot unique incentive programs such as point of sale audits, to encourage participation in Energy Upgrade California;</w:t>
      </w:r>
    </w:p>
    <w:p w:rsidR="00513B47" w:rsidRPr="00600E6F" w:rsidRDefault="00513B47" w:rsidP="003408F4">
      <w:pPr>
        <w:pStyle w:val="ListParagraph"/>
        <w:spacing w:after="0" w:line="240" w:lineRule="auto"/>
        <w:ind w:left="1800"/>
        <w:rPr>
          <w:rFonts w:ascii="Times New Roman" w:hAnsi="Times New Roman"/>
          <w:sz w:val="24"/>
        </w:rPr>
      </w:pP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Work with the financing community to deploy innovative products and services to further enable residential and commercial energy upgrades throughout their jurisdictions.</w:t>
      </w:r>
    </w:p>
    <w:p w:rsidR="00513B47" w:rsidRPr="00600E6F" w:rsidRDefault="00513B47" w:rsidP="00C31CC0">
      <w:pPr>
        <w:pStyle w:val="ListParagraph"/>
        <w:numPr>
          <w:ilvl w:val="0"/>
          <w:numId w:val="44"/>
        </w:numPr>
        <w:spacing w:after="0" w:line="240" w:lineRule="auto"/>
        <w:ind w:left="2160"/>
        <w:rPr>
          <w:rFonts w:ascii="Times New Roman" w:hAnsi="Times New Roman"/>
          <w:sz w:val="24"/>
        </w:rPr>
      </w:pPr>
      <w:r w:rsidRPr="00600E6F">
        <w:rPr>
          <w:rFonts w:ascii="Times New Roman" w:hAnsi="Times New Roman"/>
          <w:sz w:val="24"/>
        </w:rPr>
        <w:t xml:space="preserve">Pilot incentives for Whole Home Energy Rating System II assessment as part of the WHUP.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Please refer to the Local Government Partnership Program PIP for budget details associated with these activities.</w:t>
      </w:r>
    </w:p>
    <w:p w:rsidR="00513B47" w:rsidRPr="00600E6F" w:rsidRDefault="00513B47" w:rsidP="003408F4">
      <w:pPr>
        <w:spacing w:after="0" w:line="240" w:lineRule="auto"/>
        <w:ind w:left="1080" w:hanging="360"/>
        <w:rPr>
          <w:rFonts w:ascii="Times New Roman" w:hAnsi="Times New Roman"/>
          <w:sz w:val="24"/>
        </w:rPr>
      </w:pP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WHUP will coordinate IOU incentives and marketing outreach with local government efforts in neighborhood outreach and contractor recruitment. This effort allows for multiple levels of engagement that, through coordination with local entities, will reach to a neighborhood level that will drive awareness and market adoption.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440"/>
        <w:rPr>
          <w:rFonts w:ascii="Times New Roman" w:hAnsi="Times New Roman"/>
          <w:b/>
          <w:sz w:val="24"/>
          <w:lang w:val="es-ES"/>
        </w:rPr>
      </w:pPr>
      <w:r w:rsidRPr="00600E6F">
        <w:rPr>
          <w:rFonts w:ascii="Times New Roman" w:hAnsi="Times New Roman"/>
          <w:b/>
          <w:sz w:val="24"/>
          <w:lang w:val="es-ES"/>
        </w:rPr>
        <w:t xml:space="preserve">ii.  PG&amp;E  </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 xml:space="preserve">During the development and implementation of the 2010-2012 Whole House Program PG&amp;E partnered and coordinated closely with recipients of American Recovery Reinvestment Act (ARRA), State Energy Program (SEP), and Energy Efficiency &amp; Conservation Block Grant (EECBG) statewide and within the PG&amp;E service territory. In the 2013-2014 Transition Period, PG&amp;E plans to continue to </w:t>
      </w:r>
      <w:r w:rsidRPr="00600E6F">
        <w:rPr>
          <w:rFonts w:ascii="Times New Roman" w:hAnsi="Times New Roman"/>
          <w:sz w:val="24"/>
        </w:rPr>
        <w:lastRenderedPageBreak/>
        <w:t>work with and leverage these partners as described in further detail in the Local Government PIP.</w:t>
      </w:r>
    </w:p>
    <w:p w:rsidR="00513B47" w:rsidRPr="00600E6F" w:rsidRDefault="00513B47" w:rsidP="003408F4">
      <w:pPr>
        <w:spacing w:after="0" w:line="240" w:lineRule="auto"/>
        <w:ind w:left="1080"/>
        <w:rPr>
          <w:rFonts w:ascii="Times New Roman" w:hAnsi="Times New Roman"/>
          <w:b/>
          <w:sz w:val="24"/>
          <w:lang w:val="es-ES"/>
        </w:rPr>
      </w:pPr>
    </w:p>
    <w:p w:rsidR="00513B47" w:rsidRPr="00600E6F" w:rsidRDefault="00513B47" w:rsidP="003408F4">
      <w:pPr>
        <w:spacing w:after="0" w:line="240" w:lineRule="auto"/>
        <w:ind w:left="1440"/>
        <w:rPr>
          <w:rFonts w:ascii="Times New Roman" w:hAnsi="Times New Roman"/>
          <w:b/>
          <w:sz w:val="24"/>
          <w:lang w:val="es-ES"/>
        </w:rPr>
      </w:pPr>
      <w:r w:rsidRPr="00600E6F">
        <w:rPr>
          <w:rFonts w:ascii="Times New Roman" w:hAnsi="Times New Roman"/>
          <w:b/>
          <w:sz w:val="24"/>
          <w:lang w:val="es-ES"/>
        </w:rPr>
        <w:t>iii.  SoCalGas</w:t>
      </w:r>
    </w:p>
    <w:p w:rsidR="00513B47" w:rsidRPr="00600E6F" w:rsidRDefault="00513B47" w:rsidP="003408F4">
      <w:pPr>
        <w:spacing w:after="0" w:line="240" w:lineRule="auto"/>
        <w:ind w:left="1080"/>
        <w:rPr>
          <w:rFonts w:ascii="Times New Roman" w:hAnsi="Times New Roman"/>
          <w:b/>
          <w:sz w:val="24"/>
          <w:lang w:val="es-ES"/>
        </w:rPr>
      </w:pPr>
    </w:p>
    <w:p w:rsidR="00513B47" w:rsidRPr="00600E6F" w:rsidRDefault="00513B47" w:rsidP="003408F4">
      <w:pPr>
        <w:spacing w:after="0" w:line="240" w:lineRule="auto"/>
        <w:ind w:left="1440"/>
        <w:rPr>
          <w:rFonts w:ascii="Times New Roman" w:hAnsi="Times New Roman"/>
          <w:b/>
          <w:sz w:val="24"/>
        </w:rPr>
      </w:pPr>
      <w:r w:rsidRPr="00600E6F">
        <w:rPr>
          <w:rFonts w:ascii="Times New Roman" w:hAnsi="Times New Roman"/>
          <w:b/>
          <w:sz w:val="24"/>
          <w:lang w:val="es-ES"/>
        </w:rPr>
        <w:t xml:space="preserve">iv.  </w:t>
      </w:r>
      <w:r w:rsidRPr="00600E6F">
        <w:rPr>
          <w:rFonts w:ascii="Times New Roman" w:hAnsi="Times New Roman"/>
          <w:b/>
          <w:sz w:val="24"/>
        </w:rPr>
        <w:t>SCE</w:t>
      </w:r>
    </w:p>
    <w:p w:rsidR="00513B47" w:rsidRPr="00600E6F" w:rsidRDefault="00513B47" w:rsidP="003408F4">
      <w:pPr>
        <w:spacing w:after="0" w:line="240" w:lineRule="auto"/>
        <w:ind w:left="1440"/>
        <w:rPr>
          <w:rFonts w:ascii="Times New Roman" w:hAnsi="Times New Roman"/>
          <w:sz w:val="24"/>
        </w:rPr>
      </w:pPr>
      <w:r w:rsidRPr="00600E6F">
        <w:rPr>
          <w:rFonts w:ascii="Times New Roman" w:hAnsi="Times New Roman"/>
          <w:sz w:val="24"/>
        </w:rPr>
        <w:t>SCE has worked closely with local governments who received American Recovery Reinvestment Act (ARRA), State Energy Program (SEP), and Energy Efficiency &amp; Conservation Block Grant (EECBG) in the last couple of years.  This has allowed SCE and local governments to achieve a high level of collaboration and consistency across the service territory. SCE is in discussion with local governments who are interested in continuing collaboration post ARRA, SEP, and EECBG era.  These discussions will determine key roles for local governments, based on lessons learned and their successful offerings from ARRA, SEP, and EECBG grants. Such activities may include:</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 xml:space="preserve">Expanding existing outreach programs to the Real Estate Community </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2.</w:t>
      </w:r>
      <w:r w:rsidRPr="00600E6F">
        <w:rPr>
          <w:rFonts w:ascii="Times New Roman" w:hAnsi="Times New Roman"/>
          <w:sz w:val="24"/>
        </w:rPr>
        <w:tab/>
        <w:t xml:space="preserve">Leveraging existing low-interest financing </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3.</w:t>
      </w:r>
      <w:r w:rsidRPr="00600E6F">
        <w:rPr>
          <w:rFonts w:ascii="Times New Roman" w:hAnsi="Times New Roman"/>
          <w:sz w:val="24"/>
        </w:rPr>
        <w:tab/>
        <w:t>Drawing upon LA County’s experience with FlexPath for modifications to meet the CPUC’s goal for a more appealing approach.</w:t>
      </w:r>
    </w:p>
    <w:p w:rsidR="00513B47" w:rsidRPr="00600E6F" w:rsidRDefault="00513B47" w:rsidP="003408F4">
      <w:pPr>
        <w:spacing w:after="0" w:line="240" w:lineRule="auto"/>
        <w:ind w:left="2520" w:hanging="360"/>
        <w:rPr>
          <w:rFonts w:ascii="Times New Roman" w:hAnsi="Times New Roman"/>
          <w:sz w:val="24"/>
        </w:rPr>
      </w:pPr>
      <w:r w:rsidRPr="00600E6F">
        <w:rPr>
          <w:rFonts w:ascii="Times New Roman" w:hAnsi="Times New Roman"/>
          <w:sz w:val="24"/>
        </w:rPr>
        <w:t>4.</w:t>
      </w:r>
      <w:r w:rsidRPr="00600E6F">
        <w:rPr>
          <w:rFonts w:ascii="Times New Roman" w:hAnsi="Times New Roman"/>
          <w:sz w:val="24"/>
        </w:rPr>
        <w:tab/>
        <w:t xml:space="preserve">Marketing and Workforce Development support for contractors </w:t>
      </w:r>
    </w:p>
    <w:p w:rsidR="00513B47" w:rsidRPr="00600E6F" w:rsidRDefault="00513B47" w:rsidP="003408F4">
      <w:pPr>
        <w:spacing w:after="0" w:line="240" w:lineRule="auto"/>
        <w:rPr>
          <w:rFonts w:ascii="Times New Roman" w:hAnsi="Times New Roman"/>
          <w:b/>
          <w:sz w:val="24"/>
        </w:rPr>
      </w:pPr>
    </w:p>
    <w:p w:rsidR="00513B47" w:rsidRPr="00600E6F" w:rsidRDefault="00513B47" w:rsidP="00C31CC0">
      <w:pPr>
        <w:numPr>
          <w:ilvl w:val="0"/>
          <w:numId w:val="147"/>
        </w:numPr>
        <w:spacing w:after="0" w:line="240" w:lineRule="auto"/>
        <w:rPr>
          <w:rFonts w:ascii="Times New Roman" w:hAnsi="Times New Roman"/>
          <w:sz w:val="24"/>
        </w:rPr>
      </w:pPr>
      <w:r w:rsidRPr="00600E6F">
        <w:rPr>
          <w:rFonts w:ascii="Times New Roman" w:hAnsi="Times New Roman"/>
          <w:b/>
          <w:sz w:val="24"/>
        </w:rPr>
        <w:t>Trials/ Pilots:</w:t>
      </w:r>
      <w:r w:rsidRPr="00600E6F">
        <w:rPr>
          <w:rFonts w:ascii="Times New Roman" w:hAnsi="Times New Roman"/>
          <w:sz w:val="24"/>
        </w:rPr>
        <w:t xml:space="preserve"> </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ab/>
      </w:r>
    </w:p>
    <w:p w:rsidR="00513B47" w:rsidRPr="003D367E" w:rsidRDefault="00513B47" w:rsidP="003D367E">
      <w:pPr>
        <w:tabs>
          <w:tab w:val="left" w:pos="1980"/>
        </w:tabs>
        <w:spacing w:after="0" w:line="240" w:lineRule="auto"/>
        <w:ind w:left="1980" w:hanging="540"/>
        <w:rPr>
          <w:rFonts w:ascii="Times New Roman" w:hAnsi="Times New Roman"/>
          <w:b/>
          <w:sz w:val="24"/>
          <w:szCs w:val="24"/>
          <w:u w:val="single"/>
        </w:rPr>
      </w:pPr>
      <w:r w:rsidRPr="003D367E">
        <w:rPr>
          <w:rFonts w:ascii="Times New Roman" w:hAnsi="Times New Roman"/>
          <w:b/>
          <w:sz w:val="24"/>
          <w:szCs w:val="24"/>
        </w:rPr>
        <w:t>1)</w:t>
      </w:r>
      <w:r w:rsidRPr="003D367E">
        <w:rPr>
          <w:rFonts w:ascii="Times New Roman" w:hAnsi="Times New Roman"/>
          <w:b/>
          <w:sz w:val="24"/>
          <w:szCs w:val="24"/>
        </w:rPr>
        <w:tab/>
        <w:t xml:space="preserve">SCE/ </w:t>
      </w:r>
      <w:r w:rsidRPr="003D367E">
        <w:rPr>
          <w:rFonts w:ascii="Times New Roman" w:hAnsi="Times New Roman"/>
          <w:b/>
          <w:sz w:val="24"/>
          <w:szCs w:val="24"/>
          <w:u w:val="single"/>
        </w:rPr>
        <w:t>SoCalGas Moderate Income Direct Install-MIDI</w:t>
      </w:r>
    </w:p>
    <w:p w:rsidR="00513B47" w:rsidRPr="00627F09" w:rsidRDefault="00513B47" w:rsidP="003D367E">
      <w:pPr>
        <w:autoSpaceDE w:val="0"/>
        <w:autoSpaceDN w:val="0"/>
        <w:adjustRightInd w:val="0"/>
        <w:spacing w:after="0" w:line="240" w:lineRule="auto"/>
        <w:ind w:left="1980"/>
        <w:rPr>
          <w:rFonts w:ascii="Times New Roman" w:hAnsi="Times New Roman"/>
          <w:sz w:val="24"/>
          <w:szCs w:val="24"/>
        </w:rPr>
      </w:pPr>
      <w:r w:rsidRPr="00627F09">
        <w:rPr>
          <w:rFonts w:ascii="Times New Roman" w:hAnsi="Times New Roman"/>
          <w:sz w:val="24"/>
          <w:szCs w:val="24"/>
        </w:rPr>
        <w:t xml:space="preserve">The Local MIDI Program will be offered by SCE and SoCalGas to eligible customers residing in SF and MF properties (MF </w:t>
      </w:r>
      <w:r>
        <w:rPr>
          <w:rFonts w:ascii="Times New Roman" w:hAnsi="Times New Roman"/>
          <w:sz w:val="24"/>
          <w:szCs w:val="24"/>
        </w:rPr>
        <w:t>c</w:t>
      </w:r>
      <w:r w:rsidRPr="00627F09">
        <w:rPr>
          <w:rFonts w:ascii="Times New Roman" w:hAnsi="Times New Roman"/>
          <w:sz w:val="24"/>
          <w:szCs w:val="24"/>
        </w:rPr>
        <w:t xml:space="preserve">ommon areas excluded) served by SCE and SoCalGas.  The MIDI </w:t>
      </w:r>
      <w:r>
        <w:rPr>
          <w:rFonts w:ascii="Times New Roman" w:hAnsi="Times New Roman"/>
          <w:sz w:val="24"/>
          <w:szCs w:val="24"/>
        </w:rPr>
        <w:t xml:space="preserve">Program </w:t>
      </w:r>
      <w:r w:rsidRPr="00627F09">
        <w:rPr>
          <w:rFonts w:ascii="Times New Roman" w:hAnsi="Times New Roman"/>
          <w:sz w:val="24"/>
          <w:szCs w:val="24"/>
        </w:rPr>
        <w:t>will coordinate with SCE and SoCalGas’ Energy Savings Assistance Program (ESAP) to deliver MIDI measures through select ESA</w:t>
      </w:r>
      <w:r>
        <w:rPr>
          <w:rFonts w:ascii="Times New Roman" w:hAnsi="Times New Roman"/>
          <w:sz w:val="24"/>
          <w:szCs w:val="24"/>
        </w:rPr>
        <w:t>P</w:t>
      </w:r>
      <w:r w:rsidR="00CF710C">
        <w:rPr>
          <w:rFonts w:ascii="Times New Roman" w:hAnsi="Times New Roman"/>
          <w:sz w:val="24"/>
          <w:szCs w:val="24"/>
        </w:rPr>
        <w:t xml:space="preserve"> </w:t>
      </w:r>
      <w:r w:rsidRPr="00627F09">
        <w:rPr>
          <w:rFonts w:ascii="Times New Roman" w:hAnsi="Times New Roman"/>
          <w:sz w:val="24"/>
          <w:szCs w:val="24"/>
        </w:rPr>
        <w:t>Contractor</w:t>
      </w:r>
      <w:r>
        <w:rPr>
          <w:rFonts w:ascii="Times New Roman" w:hAnsi="Times New Roman"/>
          <w:sz w:val="24"/>
          <w:szCs w:val="24"/>
        </w:rPr>
        <w:t>s</w:t>
      </w:r>
      <w:r w:rsidRPr="00627F09">
        <w:rPr>
          <w:rFonts w:ascii="Times New Roman" w:hAnsi="Times New Roman"/>
          <w:sz w:val="24"/>
          <w:szCs w:val="24"/>
        </w:rPr>
        <w:t xml:space="preserve">.  ESA </w:t>
      </w:r>
      <w:r>
        <w:rPr>
          <w:rFonts w:ascii="Times New Roman" w:hAnsi="Times New Roman"/>
          <w:sz w:val="24"/>
          <w:szCs w:val="24"/>
        </w:rPr>
        <w:t>P</w:t>
      </w:r>
      <w:r w:rsidRPr="00627F09">
        <w:rPr>
          <w:rFonts w:ascii="Times New Roman" w:hAnsi="Times New Roman"/>
          <w:sz w:val="24"/>
          <w:szCs w:val="24"/>
        </w:rPr>
        <w:t xml:space="preserve">rogram infrastructure will be used </w:t>
      </w:r>
      <w:r>
        <w:rPr>
          <w:rFonts w:ascii="Times New Roman" w:hAnsi="Times New Roman"/>
          <w:sz w:val="24"/>
          <w:szCs w:val="24"/>
        </w:rPr>
        <w:t xml:space="preserve">to </w:t>
      </w:r>
      <w:r w:rsidRPr="00627F09">
        <w:rPr>
          <w:rFonts w:ascii="Times New Roman" w:hAnsi="Times New Roman"/>
          <w:sz w:val="24"/>
          <w:szCs w:val="24"/>
        </w:rPr>
        <w:t>administer the MIDI Program.  When working in joint SCE/SoCalGas territory</w:t>
      </w:r>
      <w:r>
        <w:rPr>
          <w:rFonts w:ascii="Times New Roman" w:hAnsi="Times New Roman"/>
          <w:sz w:val="24"/>
          <w:szCs w:val="24"/>
        </w:rPr>
        <w:t>,</w:t>
      </w:r>
      <w:r w:rsidRPr="00627F09">
        <w:rPr>
          <w:rFonts w:ascii="Times New Roman" w:hAnsi="Times New Roman"/>
          <w:sz w:val="24"/>
          <w:szCs w:val="24"/>
        </w:rPr>
        <w:t xml:space="preserve"> shared contractors will offer both IOU</w:t>
      </w:r>
      <w:r>
        <w:rPr>
          <w:rFonts w:ascii="Times New Roman" w:hAnsi="Times New Roman"/>
          <w:sz w:val="24"/>
          <w:szCs w:val="24"/>
        </w:rPr>
        <w:t>’</w:t>
      </w:r>
      <w:r w:rsidRPr="00627F09">
        <w:rPr>
          <w:rFonts w:ascii="Times New Roman" w:hAnsi="Times New Roman"/>
          <w:sz w:val="24"/>
          <w:szCs w:val="24"/>
        </w:rPr>
        <w:t xml:space="preserve">s Program measures.    The MIDI Program will encourage residential owners/property managers of SF and MF properties to install comprehensive energy efficiency improvements.   </w:t>
      </w:r>
    </w:p>
    <w:p w:rsidR="00513B47" w:rsidRPr="00627F09" w:rsidRDefault="00513B47" w:rsidP="003D367E">
      <w:pPr>
        <w:autoSpaceDE w:val="0"/>
        <w:autoSpaceDN w:val="0"/>
        <w:adjustRightInd w:val="0"/>
        <w:spacing w:after="0" w:line="240" w:lineRule="auto"/>
        <w:ind w:left="1980"/>
        <w:rPr>
          <w:rFonts w:ascii="Times New Roman" w:hAnsi="Times New Roman"/>
          <w:sz w:val="24"/>
          <w:szCs w:val="24"/>
        </w:rPr>
      </w:pPr>
    </w:p>
    <w:p w:rsidR="00513B47" w:rsidRPr="00627F09" w:rsidRDefault="00513B47" w:rsidP="003D367E">
      <w:pPr>
        <w:pStyle w:val="Heading3"/>
        <w:spacing w:before="0" w:after="0"/>
        <w:ind w:left="1980"/>
        <w:rPr>
          <w:rFonts w:ascii="Times New Roman" w:hAnsi="Times New Roman"/>
          <w:b w:val="0"/>
          <w:sz w:val="24"/>
          <w:szCs w:val="24"/>
        </w:rPr>
      </w:pPr>
      <w:r w:rsidRPr="00627F09">
        <w:rPr>
          <w:rFonts w:ascii="Times New Roman" w:hAnsi="Times New Roman"/>
          <w:b w:val="0"/>
          <w:sz w:val="24"/>
          <w:szCs w:val="24"/>
        </w:rPr>
        <w:t>The EUC Program traditionally requires significant financial contributions by customers who wish to participate.  The MIDI Program closes the financial gap by installing no</w:t>
      </w:r>
      <w:r>
        <w:rPr>
          <w:rFonts w:ascii="Times New Roman" w:hAnsi="Times New Roman"/>
          <w:b w:val="0"/>
          <w:sz w:val="24"/>
          <w:szCs w:val="24"/>
        </w:rPr>
        <w:t>-</w:t>
      </w:r>
      <w:r w:rsidRPr="00627F09">
        <w:rPr>
          <w:rFonts w:ascii="Times New Roman" w:hAnsi="Times New Roman"/>
          <w:b w:val="0"/>
          <w:sz w:val="24"/>
          <w:szCs w:val="24"/>
        </w:rPr>
        <w:t xml:space="preserve">cost measures thereby reducing the total amount of money a customer would need to invest in their property in order to participate in the SF or MF EUC Program.   </w:t>
      </w:r>
    </w:p>
    <w:p w:rsidR="00513B47" w:rsidRPr="00627F09" w:rsidRDefault="00513B47" w:rsidP="003D367E">
      <w:pPr>
        <w:spacing w:after="0" w:line="240" w:lineRule="auto"/>
        <w:rPr>
          <w:rFonts w:ascii="Times New Roman" w:hAnsi="Times New Roman"/>
          <w:sz w:val="24"/>
          <w:szCs w:val="24"/>
        </w:rPr>
      </w:pPr>
    </w:p>
    <w:p w:rsidR="00513B47" w:rsidRPr="00627F09" w:rsidRDefault="00513B47" w:rsidP="003D367E">
      <w:pPr>
        <w:spacing w:after="0" w:line="240" w:lineRule="auto"/>
        <w:ind w:left="1980"/>
        <w:rPr>
          <w:rFonts w:ascii="Times New Roman" w:hAnsi="Times New Roman"/>
          <w:sz w:val="24"/>
          <w:szCs w:val="24"/>
        </w:rPr>
      </w:pPr>
      <w:r w:rsidRPr="00627F09">
        <w:rPr>
          <w:rFonts w:ascii="Times New Roman" w:hAnsi="Times New Roman"/>
          <w:sz w:val="24"/>
          <w:szCs w:val="24"/>
        </w:rPr>
        <w:t>SCE and SoCalGas propose:</w:t>
      </w:r>
    </w:p>
    <w:p w:rsidR="00513B47" w:rsidRDefault="00513B47" w:rsidP="00C31CC0">
      <w:pPr>
        <w:pStyle w:val="ListParagraph"/>
        <w:numPr>
          <w:ilvl w:val="0"/>
          <w:numId w:val="54"/>
        </w:numPr>
        <w:spacing w:after="0" w:line="240" w:lineRule="auto"/>
        <w:ind w:left="2700"/>
        <w:rPr>
          <w:rFonts w:ascii="Times New Roman" w:hAnsi="Times New Roman"/>
          <w:sz w:val="24"/>
          <w:szCs w:val="24"/>
        </w:rPr>
      </w:pPr>
      <w:r w:rsidRPr="00627F09">
        <w:rPr>
          <w:rFonts w:ascii="Times New Roman" w:hAnsi="Times New Roman"/>
          <w:sz w:val="24"/>
          <w:szCs w:val="24"/>
        </w:rPr>
        <w:t>To implement a MIDI trial with a set goal of 1,000 units served</w:t>
      </w:r>
    </w:p>
    <w:p w:rsidR="00513B47" w:rsidRDefault="00513B47" w:rsidP="00C31CC0">
      <w:pPr>
        <w:pStyle w:val="ListParagraph"/>
        <w:numPr>
          <w:ilvl w:val="0"/>
          <w:numId w:val="54"/>
        </w:numPr>
        <w:spacing w:after="0" w:line="240" w:lineRule="auto"/>
        <w:ind w:left="2700"/>
        <w:rPr>
          <w:rFonts w:ascii="Times New Roman" w:hAnsi="Times New Roman"/>
          <w:sz w:val="24"/>
          <w:szCs w:val="24"/>
        </w:rPr>
      </w:pPr>
      <w:r w:rsidRPr="00627F09">
        <w:rPr>
          <w:rFonts w:ascii="Times New Roman" w:hAnsi="Times New Roman"/>
          <w:sz w:val="24"/>
          <w:szCs w:val="24"/>
        </w:rPr>
        <w:t>Develop a scalable program design for larger rollout in future cycles.</w:t>
      </w:r>
    </w:p>
    <w:p w:rsidR="00513B47" w:rsidRDefault="00513B47" w:rsidP="00C31CC0">
      <w:pPr>
        <w:pStyle w:val="ListParagraph"/>
        <w:numPr>
          <w:ilvl w:val="0"/>
          <w:numId w:val="53"/>
        </w:numPr>
        <w:spacing w:after="0" w:line="240" w:lineRule="auto"/>
        <w:ind w:left="2700"/>
        <w:contextualSpacing w:val="0"/>
        <w:rPr>
          <w:rFonts w:ascii="Times New Roman" w:hAnsi="Times New Roman"/>
          <w:sz w:val="24"/>
          <w:szCs w:val="24"/>
        </w:rPr>
      </w:pPr>
      <w:r w:rsidRPr="00627F09">
        <w:rPr>
          <w:rFonts w:ascii="Times New Roman" w:hAnsi="Times New Roman"/>
          <w:sz w:val="24"/>
          <w:szCs w:val="24"/>
        </w:rPr>
        <w:t>Evaluate delivery of MIDI Program utilizing existing ESAP infrastructure.</w:t>
      </w:r>
    </w:p>
    <w:p w:rsidR="00513B47" w:rsidRPr="00627F09" w:rsidRDefault="00513B47" w:rsidP="003D367E">
      <w:pPr>
        <w:pStyle w:val="ListParagraph"/>
        <w:spacing w:after="0" w:line="240" w:lineRule="auto"/>
        <w:ind w:left="0"/>
        <w:rPr>
          <w:rFonts w:ascii="Times New Roman" w:hAnsi="Times New Roman"/>
          <w:sz w:val="24"/>
          <w:szCs w:val="24"/>
        </w:rPr>
      </w:pPr>
    </w:p>
    <w:p w:rsidR="00513B47" w:rsidRPr="003D367E" w:rsidRDefault="00513B47" w:rsidP="003D367E">
      <w:pPr>
        <w:spacing w:after="0" w:line="240" w:lineRule="auto"/>
        <w:ind w:left="2340" w:hanging="360"/>
        <w:rPr>
          <w:rFonts w:ascii="Times New Roman" w:hAnsi="Times New Roman"/>
          <w:b/>
          <w:sz w:val="24"/>
          <w:szCs w:val="24"/>
          <w:u w:val="single"/>
        </w:rPr>
      </w:pPr>
      <w:r w:rsidRPr="003D367E">
        <w:rPr>
          <w:rFonts w:ascii="Times New Roman" w:hAnsi="Times New Roman"/>
          <w:b/>
          <w:sz w:val="24"/>
          <w:szCs w:val="24"/>
          <w:u w:val="single"/>
        </w:rPr>
        <w:t>1)</w:t>
      </w:r>
      <w:r w:rsidRPr="003D367E">
        <w:rPr>
          <w:rFonts w:ascii="Times New Roman" w:hAnsi="Times New Roman"/>
          <w:b/>
          <w:sz w:val="24"/>
          <w:szCs w:val="24"/>
          <w:u w:val="single"/>
        </w:rPr>
        <w:tab/>
        <w:t xml:space="preserve">Customer/Living Unit Eligibility </w:t>
      </w:r>
    </w:p>
    <w:p w:rsidR="00513B47" w:rsidRPr="00627F09" w:rsidRDefault="00513B47" w:rsidP="003D367E">
      <w:pPr>
        <w:spacing w:after="0" w:line="240" w:lineRule="auto"/>
        <w:ind w:left="2340"/>
        <w:rPr>
          <w:rFonts w:ascii="Times New Roman" w:hAnsi="Times New Roman"/>
          <w:sz w:val="24"/>
          <w:szCs w:val="24"/>
        </w:rPr>
      </w:pPr>
      <w:r w:rsidRPr="00627F09">
        <w:rPr>
          <w:rFonts w:ascii="Times New Roman" w:hAnsi="Times New Roman"/>
          <w:sz w:val="24"/>
          <w:szCs w:val="24"/>
        </w:rPr>
        <w:t>To participate, the following guidelines must be met:</w:t>
      </w:r>
    </w:p>
    <w:p w:rsidR="00513B47" w:rsidRDefault="00513B47" w:rsidP="00C31CC0">
      <w:pPr>
        <w:numPr>
          <w:ilvl w:val="1"/>
          <w:numId w:val="52"/>
        </w:numPr>
        <w:spacing w:after="0" w:line="240" w:lineRule="auto"/>
        <w:ind w:left="2700"/>
        <w:rPr>
          <w:rFonts w:ascii="Times New Roman" w:hAnsi="Times New Roman"/>
          <w:sz w:val="24"/>
          <w:szCs w:val="24"/>
        </w:rPr>
      </w:pPr>
      <w:r w:rsidRPr="00627F09">
        <w:rPr>
          <w:rFonts w:ascii="Times New Roman" w:hAnsi="Times New Roman"/>
          <w:sz w:val="24"/>
          <w:szCs w:val="24"/>
        </w:rPr>
        <w:t xml:space="preserve">participants must be income eligible (between 201% and 250% of FPG) </w:t>
      </w:r>
    </w:p>
    <w:p w:rsidR="00513B47" w:rsidRDefault="00513B47" w:rsidP="00C31CC0">
      <w:pPr>
        <w:numPr>
          <w:ilvl w:val="1"/>
          <w:numId w:val="52"/>
        </w:numPr>
        <w:spacing w:after="0" w:line="240" w:lineRule="auto"/>
        <w:ind w:left="2700"/>
        <w:rPr>
          <w:rFonts w:ascii="Times New Roman" w:hAnsi="Times New Roman"/>
          <w:sz w:val="24"/>
          <w:szCs w:val="24"/>
        </w:rPr>
      </w:pPr>
      <w:r w:rsidRPr="00627F09">
        <w:rPr>
          <w:rFonts w:ascii="Times New Roman" w:hAnsi="Times New Roman"/>
          <w:sz w:val="24"/>
          <w:szCs w:val="24"/>
        </w:rPr>
        <w:t>living unit must not have received ESAP services after January 1</w:t>
      </w:r>
      <w:r w:rsidRPr="00627F09">
        <w:rPr>
          <w:rFonts w:ascii="Times New Roman" w:hAnsi="Times New Roman"/>
          <w:sz w:val="24"/>
          <w:szCs w:val="24"/>
          <w:vertAlign w:val="superscript"/>
        </w:rPr>
        <w:t>st</w:t>
      </w:r>
      <w:r w:rsidRPr="00627F09">
        <w:rPr>
          <w:rFonts w:ascii="Times New Roman" w:hAnsi="Times New Roman"/>
          <w:sz w:val="24"/>
          <w:szCs w:val="24"/>
        </w:rPr>
        <w:t>, 2002</w:t>
      </w:r>
    </w:p>
    <w:p w:rsidR="00513B47" w:rsidRDefault="00513B47" w:rsidP="00C31CC0">
      <w:pPr>
        <w:numPr>
          <w:ilvl w:val="1"/>
          <w:numId w:val="52"/>
        </w:numPr>
        <w:spacing w:after="0" w:line="240" w:lineRule="auto"/>
        <w:ind w:left="2700"/>
        <w:rPr>
          <w:rFonts w:ascii="Times New Roman" w:hAnsi="Times New Roman"/>
          <w:sz w:val="24"/>
          <w:szCs w:val="24"/>
        </w:rPr>
      </w:pPr>
      <w:r w:rsidRPr="00627F09">
        <w:rPr>
          <w:rFonts w:ascii="Times New Roman" w:hAnsi="Times New Roman"/>
          <w:sz w:val="24"/>
          <w:szCs w:val="24"/>
        </w:rPr>
        <w:t>living unit must meet the current ESAP/MIDI minimum measure requirements</w:t>
      </w:r>
    </w:p>
    <w:p w:rsidR="00513B47" w:rsidRPr="00627F09" w:rsidRDefault="00513B47" w:rsidP="003D367E">
      <w:pPr>
        <w:spacing w:after="0" w:line="240" w:lineRule="auto"/>
        <w:ind w:left="1080"/>
        <w:rPr>
          <w:rFonts w:ascii="Times New Roman" w:hAnsi="Times New Roman"/>
          <w:sz w:val="24"/>
          <w:szCs w:val="24"/>
        </w:rPr>
      </w:pPr>
    </w:p>
    <w:p w:rsidR="00513B47" w:rsidRPr="003D367E" w:rsidRDefault="00513B47" w:rsidP="003D367E">
      <w:pPr>
        <w:spacing w:after="0" w:line="240" w:lineRule="auto"/>
        <w:ind w:left="2340" w:hanging="360"/>
        <w:contextualSpacing/>
        <w:rPr>
          <w:rFonts w:ascii="Times New Roman" w:hAnsi="Times New Roman"/>
          <w:b/>
          <w:sz w:val="24"/>
          <w:szCs w:val="24"/>
          <w:u w:val="single"/>
        </w:rPr>
      </w:pPr>
      <w:r w:rsidRPr="003D367E">
        <w:rPr>
          <w:rFonts w:ascii="Times New Roman" w:hAnsi="Times New Roman"/>
          <w:b/>
          <w:sz w:val="24"/>
          <w:szCs w:val="24"/>
          <w:u w:val="single"/>
        </w:rPr>
        <w:t>2)</w:t>
      </w:r>
      <w:r w:rsidRPr="003D367E">
        <w:rPr>
          <w:rFonts w:ascii="Times New Roman" w:hAnsi="Times New Roman"/>
          <w:b/>
          <w:sz w:val="24"/>
          <w:szCs w:val="24"/>
          <w:u w:val="single"/>
        </w:rPr>
        <w:tab/>
        <w:t>Measures</w:t>
      </w:r>
    </w:p>
    <w:p w:rsidR="00513B47" w:rsidRPr="00627F09" w:rsidRDefault="00513B47" w:rsidP="003D367E">
      <w:pPr>
        <w:spacing w:after="0" w:line="240" w:lineRule="auto"/>
        <w:ind w:left="2340"/>
        <w:rPr>
          <w:rFonts w:ascii="Times New Roman" w:hAnsi="Times New Roman"/>
          <w:sz w:val="24"/>
          <w:szCs w:val="24"/>
        </w:rPr>
      </w:pPr>
      <w:r w:rsidRPr="00627F09">
        <w:rPr>
          <w:rFonts w:ascii="Times New Roman" w:hAnsi="Times New Roman"/>
          <w:sz w:val="24"/>
          <w:szCs w:val="24"/>
        </w:rPr>
        <w:t>(ESAP approved measure</w:t>
      </w:r>
      <w:r>
        <w:rPr>
          <w:rFonts w:ascii="Times New Roman" w:hAnsi="Times New Roman"/>
          <w:sz w:val="24"/>
          <w:szCs w:val="24"/>
        </w:rPr>
        <w:t>s</w:t>
      </w:r>
      <w:r w:rsidRPr="00627F09">
        <w:rPr>
          <w:rFonts w:ascii="Times New Roman" w:hAnsi="Times New Roman"/>
          <w:sz w:val="24"/>
          <w:szCs w:val="24"/>
        </w:rPr>
        <w:t xml:space="preserve"> excluding appliances)</w:t>
      </w:r>
    </w:p>
    <w:p w:rsidR="00513B47" w:rsidRPr="00627F09" w:rsidRDefault="00513B47" w:rsidP="003D367E">
      <w:pPr>
        <w:spacing w:after="0" w:line="240" w:lineRule="auto"/>
        <w:rPr>
          <w:rFonts w:ascii="Times New Roman" w:hAnsi="Times New Roman"/>
          <w:sz w:val="24"/>
          <w:szCs w:val="24"/>
          <w:u w:val="single"/>
        </w:rPr>
      </w:pPr>
    </w:p>
    <w:p w:rsidR="00513B47" w:rsidRPr="003D367E" w:rsidRDefault="00513B47" w:rsidP="003D367E">
      <w:pPr>
        <w:spacing w:after="0" w:line="240" w:lineRule="auto"/>
        <w:ind w:left="2340" w:hanging="360"/>
        <w:rPr>
          <w:rFonts w:ascii="Times New Roman" w:hAnsi="Times New Roman"/>
          <w:b/>
          <w:sz w:val="24"/>
          <w:szCs w:val="24"/>
        </w:rPr>
      </w:pPr>
      <w:r w:rsidRPr="003D367E">
        <w:rPr>
          <w:rFonts w:ascii="Times New Roman" w:hAnsi="Times New Roman"/>
          <w:b/>
          <w:sz w:val="24"/>
          <w:szCs w:val="24"/>
          <w:u w:val="single"/>
        </w:rPr>
        <w:t>3)</w:t>
      </w:r>
      <w:r w:rsidRPr="003D367E">
        <w:rPr>
          <w:rFonts w:ascii="Times New Roman" w:hAnsi="Times New Roman"/>
          <w:b/>
          <w:sz w:val="24"/>
          <w:szCs w:val="24"/>
          <w:u w:val="single"/>
        </w:rPr>
        <w:tab/>
        <w:t xml:space="preserve">Contractors </w:t>
      </w:r>
    </w:p>
    <w:p w:rsidR="00513B47" w:rsidRPr="00627F09" w:rsidRDefault="00513B47" w:rsidP="003D367E">
      <w:pPr>
        <w:spacing w:after="0" w:line="240" w:lineRule="auto"/>
        <w:ind w:left="2340"/>
        <w:rPr>
          <w:rFonts w:ascii="Times New Roman" w:hAnsi="Times New Roman"/>
          <w:sz w:val="24"/>
          <w:szCs w:val="24"/>
        </w:rPr>
      </w:pPr>
      <w:r w:rsidRPr="00627F09">
        <w:rPr>
          <w:rFonts w:ascii="Times New Roman" w:hAnsi="Times New Roman"/>
          <w:sz w:val="24"/>
          <w:szCs w:val="24"/>
        </w:rPr>
        <w:t xml:space="preserve">SCE and SoCalGas will coordinate with select experienced </w:t>
      </w:r>
      <w:r>
        <w:rPr>
          <w:rFonts w:ascii="Times New Roman" w:hAnsi="Times New Roman"/>
          <w:sz w:val="24"/>
          <w:szCs w:val="24"/>
        </w:rPr>
        <w:t xml:space="preserve">joint </w:t>
      </w:r>
      <w:r w:rsidRPr="00627F09">
        <w:rPr>
          <w:rFonts w:ascii="Times New Roman" w:hAnsi="Times New Roman"/>
          <w:sz w:val="24"/>
          <w:szCs w:val="24"/>
        </w:rPr>
        <w:t xml:space="preserve">ESAP contractors to perform an assessment of the living unit, complete customer enrollment, and install measures as applicable in the MIDI </w:t>
      </w:r>
      <w:r>
        <w:rPr>
          <w:rFonts w:ascii="Times New Roman" w:hAnsi="Times New Roman"/>
          <w:sz w:val="24"/>
          <w:szCs w:val="24"/>
        </w:rPr>
        <w:t xml:space="preserve">Program </w:t>
      </w:r>
      <w:r w:rsidRPr="00627F09">
        <w:rPr>
          <w:rFonts w:ascii="Times New Roman" w:hAnsi="Times New Roman"/>
          <w:sz w:val="24"/>
          <w:szCs w:val="24"/>
        </w:rPr>
        <w:t>trial.</w:t>
      </w:r>
    </w:p>
    <w:p w:rsidR="00513B47" w:rsidRPr="00627F09" w:rsidRDefault="00513B47" w:rsidP="003D367E">
      <w:pPr>
        <w:tabs>
          <w:tab w:val="left" w:pos="1980"/>
        </w:tabs>
        <w:spacing w:after="0" w:line="240" w:lineRule="auto"/>
        <w:ind w:left="1980" w:hanging="540"/>
        <w:rPr>
          <w:rFonts w:ascii="Times New Roman" w:hAnsi="Times New Roman"/>
          <w:sz w:val="24"/>
          <w:szCs w:val="24"/>
        </w:rPr>
      </w:pPr>
      <w:r w:rsidRPr="00627F09">
        <w:rPr>
          <w:rFonts w:ascii="Times New Roman" w:hAnsi="Times New Roman"/>
          <w:sz w:val="24"/>
          <w:szCs w:val="24"/>
        </w:rPr>
        <w:t xml:space="preserve"> </w:t>
      </w:r>
    </w:p>
    <w:p w:rsidR="00513B47" w:rsidRPr="00627F09" w:rsidRDefault="00513B47" w:rsidP="003D367E">
      <w:pPr>
        <w:tabs>
          <w:tab w:val="left" w:pos="1890"/>
          <w:tab w:val="left" w:pos="2340"/>
        </w:tabs>
        <w:spacing w:after="0" w:line="240" w:lineRule="auto"/>
        <w:ind w:left="2340" w:hanging="900"/>
        <w:rPr>
          <w:rFonts w:ascii="Times New Roman" w:hAnsi="Times New Roman"/>
          <w:sz w:val="24"/>
          <w:szCs w:val="24"/>
        </w:rPr>
      </w:pPr>
      <w:r w:rsidRPr="00627F09">
        <w:rPr>
          <w:rFonts w:ascii="Times New Roman" w:hAnsi="Times New Roman"/>
          <w:b/>
          <w:sz w:val="24"/>
          <w:szCs w:val="24"/>
        </w:rPr>
        <w:t>2)</w:t>
      </w:r>
      <w:r w:rsidRPr="00627F09">
        <w:rPr>
          <w:rFonts w:ascii="Times New Roman" w:hAnsi="Times New Roman"/>
          <w:sz w:val="24"/>
          <w:szCs w:val="24"/>
        </w:rPr>
        <w:tab/>
      </w:r>
      <w:r w:rsidRPr="00627F09">
        <w:rPr>
          <w:rFonts w:ascii="Times New Roman" w:hAnsi="Times New Roman"/>
          <w:sz w:val="24"/>
          <w:szCs w:val="24"/>
        </w:rPr>
        <w:tab/>
      </w:r>
      <w:r w:rsidRPr="00627F09">
        <w:rPr>
          <w:rFonts w:ascii="Times New Roman" w:hAnsi="Times New Roman"/>
          <w:b/>
          <w:sz w:val="24"/>
          <w:szCs w:val="24"/>
        </w:rPr>
        <w:t>SDG&amp;E Trial Incentives</w:t>
      </w:r>
    </w:p>
    <w:p w:rsidR="00513B47" w:rsidRPr="00627F09" w:rsidRDefault="00513B47" w:rsidP="003D367E">
      <w:pPr>
        <w:tabs>
          <w:tab w:val="left" w:pos="1890"/>
          <w:tab w:val="left" w:pos="2340"/>
        </w:tabs>
        <w:spacing w:after="0" w:line="240" w:lineRule="auto"/>
        <w:ind w:left="2340" w:hanging="900"/>
        <w:rPr>
          <w:rFonts w:ascii="Times New Roman" w:hAnsi="Times New Roman"/>
          <w:sz w:val="24"/>
          <w:szCs w:val="24"/>
        </w:rPr>
      </w:pPr>
      <w:r w:rsidRPr="00627F09">
        <w:rPr>
          <w:rFonts w:ascii="Times New Roman" w:hAnsi="Times New Roman"/>
          <w:sz w:val="24"/>
          <w:szCs w:val="24"/>
        </w:rPr>
        <w:tab/>
      </w:r>
      <w:r w:rsidRPr="00627F09">
        <w:rPr>
          <w:rFonts w:ascii="Times New Roman" w:hAnsi="Times New Roman"/>
          <w:sz w:val="24"/>
          <w:szCs w:val="24"/>
        </w:rPr>
        <w:tab/>
        <w:t>SDG&amp;E may explore additional incentive trial offerings for customers who perform an HVAC QI installation as part of a scope of work.  Additional trial integration offerings may include offering IHDs, PCTs, or other enabling technologies for advance path customers who achieve certain saving levels.</w:t>
      </w:r>
    </w:p>
    <w:p w:rsidR="00513B47" w:rsidRDefault="00513B47" w:rsidP="003D367E">
      <w:pPr>
        <w:spacing w:after="0" w:line="240" w:lineRule="auto"/>
        <w:ind w:left="1440"/>
        <w:rPr>
          <w:rFonts w:ascii="Times New Roman" w:hAnsi="Times New Roman"/>
          <w:sz w:val="24"/>
          <w:szCs w:val="24"/>
        </w:rPr>
      </w:pPr>
    </w:p>
    <w:p w:rsidR="00513B47" w:rsidRDefault="00513B47" w:rsidP="00C31CC0">
      <w:pPr>
        <w:numPr>
          <w:ilvl w:val="0"/>
          <w:numId w:val="145"/>
        </w:numPr>
        <w:spacing w:after="0" w:line="240" w:lineRule="auto"/>
        <w:ind w:left="720" w:hanging="450"/>
        <w:rPr>
          <w:rFonts w:ascii="Times New Roman" w:hAnsi="Times New Roman"/>
          <w:b/>
          <w:sz w:val="24"/>
          <w:szCs w:val="24"/>
        </w:rPr>
      </w:pPr>
      <w:r w:rsidRPr="00627F09">
        <w:rPr>
          <w:rFonts w:ascii="Times New Roman" w:hAnsi="Times New Roman"/>
          <w:b/>
          <w:sz w:val="24"/>
          <w:szCs w:val="24"/>
        </w:rPr>
        <w:t>Market Transformation Information</w:t>
      </w:r>
      <w:r w:rsidRPr="00627F09">
        <w:rPr>
          <w:rFonts w:ascii="Times New Roman" w:hAnsi="Times New Roman"/>
          <w:sz w:val="24"/>
          <w:szCs w:val="24"/>
        </w:rPr>
        <w:t xml:space="preserve">: </w:t>
      </w:r>
    </w:p>
    <w:p w:rsidR="00513B47" w:rsidRPr="00600E6F" w:rsidRDefault="00513B47" w:rsidP="003408F4">
      <w:pPr>
        <w:spacing w:after="0" w:line="240" w:lineRule="auto"/>
        <w:ind w:left="720"/>
        <w:rPr>
          <w:rFonts w:ascii="Times New Roman" w:hAnsi="Times New Roman"/>
          <w:b/>
          <w:sz w:val="24"/>
        </w:rPr>
      </w:pPr>
    </w:p>
    <w:p w:rsidR="00513B47" w:rsidRPr="00600E6F" w:rsidRDefault="00513B47" w:rsidP="003408F4">
      <w:pPr>
        <w:pStyle w:val="Heading2"/>
        <w:keepNext w:val="0"/>
        <w:spacing w:before="0" w:after="0"/>
        <w:ind w:left="1080" w:hanging="360"/>
        <w:rPr>
          <w:rFonts w:ascii="Times New Roman" w:hAnsi="Times New Roman"/>
          <w:b w:val="0"/>
          <w:sz w:val="24"/>
        </w:rPr>
      </w:pPr>
      <w:r w:rsidRPr="00600E6F">
        <w:rPr>
          <w:rFonts w:ascii="Times New Roman" w:hAnsi="Times New Roman"/>
          <w:color w:val="000000"/>
          <w:sz w:val="24"/>
        </w:rPr>
        <w:t xml:space="preserve">1)  </w:t>
      </w:r>
      <w:r w:rsidRPr="00600E6F">
        <w:rPr>
          <w:rFonts w:ascii="Times New Roman" w:hAnsi="Times New Roman"/>
          <w:color w:val="000000"/>
          <w:sz w:val="24"/>
        </w:rPr>
        <w:tab/>
        <w:t xml:space="preserve">Summary of the market transformation objectives of the program. </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The WHUP program is designed to fulfill the goals of the </w:t>
      </w:r>
      <w:r w:rsidRPr="00600E6F">
        <w:rPr>
          <w:rFonts w:ascii="Times New Roman" w:hAnsi="Times New Roman"/>
          <w:i/>
          <w:sz w:val="24"/>
        </w:rPr>
        <w:t>Strategic Plan</w:t>
      </w:r>
      <w:r w:rsidRPr="00600E6F">
        <w:rPr>
          <w:rFonts w:ascii="Times New Roman" w:hAnsi="Times New Roman"/>
          <w:sz w:val="24"/>
        </w:rPr>
        <w:t xml:space="preserve"> by guiding and incenting home and building buyers, owners and renovators to implement a whole house approach in energy consumption undertaken in their purchase and use of existing and new homes and buildings, home and building equipment (e.g. HVAC systems), household appliances, lighting and “plug load” amenities. The target is all existing homes in an effort to realize the maximum energy efficiency potential via the delivery of a comprehensive package of cost-effective whole-house and whole-building energy efficiency retrofit measures. These programs will include building shell upgrades, high-efficiency HVAC systems – appropriately sized for the building structure, and emerging deep energy reductions in the lighting, appliance, plug-load and other residential oriented sectors. This initiative will be structured around a comprehensive audit, installation of the variety of retrofits required across the entire building structure, and access to attractive financing programs. The WHUP effort will be achieved via the parallel and coordinated efforts of the utility programs, partners and other private market actors, and the State and local government policies and programs made available. As IOUs implement a system of automatic meters and wide-area network to enable data transport, the IOUs and customers will have the opportunity to integrate additional home automatic systems and integrated energy management features into the home (i.e., interim Intelligent Home Network, comprehensive Home Automatic Network and etc.) to support IDSM integration and deployment.  The Plug Load and Appliance Program </w:t>
      </w:r>
      <w:r w:rsidRPr="00600E6F">
        <w:rPr>
          <w:rFonts w:ascii="Times New Roman" w:hAnsi="Times New Roman"/>
          <w:sz w:val="24"/>
        </w:rPr>
        <w:lastRenderedPageBreak/>
        <w:t>will have the potential to offer not only hardware based energy savings, but also comprehensive behavior savings opportunities.</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D367E">
      <w:pPr>
        <w:pStyle w:val="Heading2"/>
        <w:keepNext w:val="0"/>
        <w:spacing w:before="0" w:after="0"/>
        <w:ind w:left="1080" w:hanging="360"/>
        <w:rPr>
          <w:rFonts w:ascii="Times New Roman" w:hAnsi="Times New Roman"/>
          <w:color w:val="000000"/>
          <w:sz w:val="24"/>
        </w:rPr>
      </w:pPr>
      <w:r w:rsidRPr="00600E6F">
        <w:rPr>
          <w:rFonts w:ascii="Times New Roman" w:hAnsi="Times New Roman"/>
          <w:color w:val="000000"/>
          <w:sz w:val="24"/>
        </w:rPr>
        <w:t xml:space="preserve">2)  </w:t>
      </w:r>
      <w:r w:rsidRPr="00600E6F">
        <w:rPr>
          <w:rFonts w:ascii="Times New Roman" w:hAnsi="Times New Roman"/>
          <w:color w:val="000000"/>
          <w:sz w:val="24"/>
        </w:rPr>
        <w:tab/>
        <w:t>A description of the market, including identification of the relevant market actors and the relationships among them</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Whole Home Upgrade Program is designed to serve residential homeowners, moderate income households and property owners and managers.  For the 2013-2014, the program consists of the following paths:</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C31CC0">
      <w:pPr>
        <w:pStyle w:val="ListParagraph"/>
        <w:numPr>
          <w:ilvl w:val="0"/>
          <w:numId w:val="45"/>
        </w:numPr>
        <w:spacing w:after="0" w:line="240" w:lineRule="auto"/>
        <w:ind w:left="1800"/>
        <w:rPr>
          <w:rFonts w:ascii="Times New Roman" w:hAnsi="Times New Roman"/>
          <w:sz w:val="24"/>
        </w:rPr>
      </w:pPr>
      <w:r w:rsidRPr="00600E6F">
        <w:rPr>
          <w:rFonts w:ascii="Times New Roman" w:hAnsi="Times New Roman"/>
          <w:sz w:val="24"/>
        </w:rPr>
        <w:t xml:space="preserve">Whole Home Upgrade Program:  </w:t>
      </w:r>
    </w:p>
    <w:p w:rsidR="00513B47" w:rsidRPr="00600E6F" w:rsidRDefault="00513B47" w:rsidP="00C31CC0">
      <w:pPr>
        <w:pStyle w:val="ListParagraph"/>
        <w:numPr>
          <w:ilvl w:val="1"/>
          <w:numId w:val="45"/>
        </w:numPr>
        <w:spacing w:after="0" w:line="240" w:lineRule="auto"/>
        <w:ind w:left="2160"/>
        <w:rPr>
          <w:rFonts w:ascii="Times New Roman" w:hAnsi="Times New Roman"/>
          <w:sz w:val="24"/>
        </w:rPr>
      </w:pPr>
      <w:r w:rsidRPr="00600E6F">
        <w:rPr>
          <w:rFonts w:ascii="Times New Roman" w:hAnsi="Times New Roman"/>
          <w:i/>
          <w:sz w:val="24"/>
        </w:rPr>
        <w:t>Basic Path</w:t>
      </w:r>
      <w:r w:rsidRPr="00600E6F">
        <w:rPr>
          <w:rFonts w:ascii="Times New Roman" w:hAnsi="Times New Roman"/>
          <w:sz w:val="24"/>
        </w:rPr>
        <w:t>,</w:t>
      </w:r>
    </w:p>
    <w:p w:rsidR="00513B47" w:rsidRPr="00600E6F" w:rsidRDefault="00513B47" w:rsidP="00C31CC0">
      <w:pPr>
        <w:pStyle w:val="ListParagraph"/>
        <w:numPr>
          <w:ilvl w:val="1"/>
          <w:numId w:val="45"/>
        </w:numPr>
        <w:spacing w:after="0" w:line="240" w:lineRule="auto"/>
        <w:ind w:left="2160"/>
        <w:rPr>
          <w:rFonts w:ascii="Times New Roman" w:hAnsi="Times New Roman"/>
          <w:i/>
          <w:sz w:val="24"/>
        </w:rPr>
      </w:pPr>
      <w:r w:rsidRPr="00600E6F">
        <w:rPr>
          <w:rFonts w:ascii="Times New Roman" w:hAnsi="Times New Roman"/>
          <w:i/>
          <w:sz w:val="24"/>
        </w:rPr>
        <w:t>Advanced Path</w:t>
      </w:r>
    </w:p>
    <w:p w:rsidR="00513B47" w:rsidRPr="00600E6F" w:rsidRDefault="00513B47" w:rsidP="00C31CC0">
      <w:pPr>
        <w:pStyle w:val="ListParagraph"/>
        <w:numPr>
          <w:ilvl w:val="1"/>
          <w:numId w:val="45"/>
        </w:numPr>
        <w:spacing w:after="0" w:line="240" w:lineRule="auto"/>
        <w:ind w:left="2160"/>
        <w:rPr>
          <w:rFonts w:ascii="Times New Roman" w:hAnsi="Times New Roman"/>
          <w:i/>
          <w:sz w:val="24"/>
        </w:rPr>
      </w:pPr>
      <w:r w:rsidRPr="00600E6F">
        <w:rPr>
          <w:rFonts w:ascii="Times New Roman" w:hAnsi="Times New Roman"/>
          <w:i/>
          <w:sz w:val="24"/>
        </w:rPr>
        <w:t>Multifamily Path</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Whole Home Upgrade Program is a contractor lead program in that it is the local contractor who interfaces with the customer, markets and sells the concept of Whole House Retrofits, and completes the actual work.  The Statewide Process Evaluation (5/1/12) revealed that 32% of participants first heard about the EUC program from a contractor. A number of Local Governments, most initially supported by CEC/ARRA funding during the 2010-12 time frame, also support the program via local marketing and incentive offerings. Coordinated on a Statewide basis – the IOUs offer consistency in program scope (to the degree possible) and a consistent marketing message.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pStyle w:val="Heading2"/>
        <w:keepNext w:val="0"/>
        <w:spacing w:before="0" w:after="0"/>
        <w:ind w:left="1080" w:hanging="360"/>
        <w:rPr>
          <w:rFonts w:ascii="Times New Roman" w:hAnsi="Times New Roman"/>
          <w:color w:val="000000"/>
          <w:sz w:val="24"/>
        </w:rPr>
      </w:pPr>
      <w:r w:rsidRPr="00600E6F">
        <w:rPr>
          <w:rFonts w:ascii="Times New Roman" w:hAnsi="Times New Roman"/>
          <w:color w:val="000000"/>
          <w:sz w:val="24"/>
        </w:rPr>
        <w:t xml:space="preserve">3)  </w:t>
      </w:r>
      <w:r w:rsidRPr="00600E6F">
        <w:rPr>
          <w:rFonts w:ascii="Times New Roman" w:hAnsi="Times New Roman"/>
          <w:color w:val="000000"/>
          <w:sz w:val="24"/>
        </w:rPr>
        <w:tab/>
        <w:t>A market characterization and identification of key barriers and opportunities to advance demand-side management technologies and strategies</w:t>
      </w:r>
    </w:p>
    <w:p w:rsidR="00513B47" w:rsidRPr="00600E6F" w:rsidRDefault="00513B47" w:rsidP="003408F4">
      <w:pPr>
        <w:spacing w:after="0" w:line="240" w:lineRule="auto"/>
        <w:rPr>
          <w:rFonts w:ascii="Times New Roman" w:hAnsi="Times New Roman"/>
          <w:b/>
          <w:sz w:val="24"/>
          <w:u w:val="single"/>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Market Characterization</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IOUs statewide Whole House Program has initially focused on training a pool of qualified contractors available to perform these comprehensive retrofits.  The number of individuals with active BPI certifications grew dramatically between January 1, 2010 and November 1, 2011.  Total active certified individuals grew from 65 to 1,596.  The number of certifications (individuals may have more than one type of BPI certification) grew from 88 to 2,349. The 2010-2012 PG&amp;E and SCE Whole-House process evaluation study by SBW/ODC/ASW, produced a number of findings, including:</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Overarching program participant profile</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 xml:space="preserve">The program participation is primary through the </w:t>
      </w:r>
      <w:r w:rsidRPr="00600E6F">
        <w:rPr>
          <w:rFonts w:ascii="Times New Roman" w:hAnsi="Times New Roman"/>
          <w:i/>
          <w:sz w:val="24"/>
        </w:rPr>
        <w:t>Advanced Path</w:t>
      </w:r>
      <w:r w:rsidRPr="00600E6F">
        <w:rPr>
          <w:rFonts w:ascii="Times New Roman" w:hAnsi="Times New Roman"/>
          <w:sz w:val="24"/>
        </w:rPr>
        <w:t xml:space="preserve"> and there is little engagement in the </w:t>
      </w:r>
      <w:r w:rsidRPr="00600E6F">
        <w:rPr>
          <w:rFonts w:ascii="Times New Roman" w:hAnsi="Times New Roman"/>
          <w:i/>
          <w:sz w:val="24"/>
        </w:rPr>
        <w:t>Basic Path</w:t>
      </w:r>
      <w:r w:rsidRPr="00600E6F">
        <w:rPr>
          <w:rFonts w:ascii="Times New Roman" w:hAnsi="Times New Roman"/>
          <w:sz w:val="24"/>
        </w:rPr>
        <w:t xml:space="preserve"> service.</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i/>
          <w:sz w:val="24"/>
        </w:rPr>
        <w:t>Advanced Path</w:t>
      </w:r>
      <w:r w:rsidRPr="00600E6F">
        <w:rPr>
          <w:rFonts w:ascii="Times New Roman" w:hAnsi="Times New Roman"/>
          <w:sz w:val="24"/>
        </w:rPr>
        <w:t xml:space="preserve"> jobs report energy savings of 30% average in this first program phase. </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The average cost per job ranges from $13,000 to $16,000</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The utility incentives covered typically 23% to 27% of the project costs.</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Despite the large supply of program contractors, only a limited pool of larger contractors complete the majority of the projects</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 xml:space="preserve">Many – 44% of participants – used financing to pay for their projects. </w:t>
      </w:r>
    </w:p>
    <w:p w:rsidR="00513B47" w:rsidRDefault="00513B47" w:rsidP="003408F4">
      <w:pPr>
        <w:spacing w:after="0" w:line="240" w:lineRule="auto"/>
        <w:ind w:left="720"/>
        <w:rPr>
          <w:rFonts w:ascii="Times New Roman" w:hAnsi="Times New Roman"/>
          <w:sz w:val="24"/>
        </w:rPr>
      </w:pPr>
    </w:p>
    <w:p w:rsidR="00CF710C" w:rsidRPr="00600E6F" w:rsidRDefault="00CF710C"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lastRenderedPageBreak/>
        <w:t>Contractor recruiting/training/mentoring—from SCE’s in-depth assessment</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There are widespread contractor performance gaps despite a certification requirement (i.e., BPI),</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The current contractors’ participation training does not adequately prepare them for job processing expectations and the rigor of the QA/QC process,</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 xml:space="preserve">BPI certification does not guarantee a standardized job performance level </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since the requirements for certification often vary (i.e., (1) on-line training versus in-person classes, (2) different region may place different emphasis, i.e., Vermont may focus more on heating, while California may focus more on HVAC).</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For the targeted population—from PG&amp;E’s in-depth market effectiveness assessment</w:t>
      </w:r>
    </w:p>
    <w:p w:rsidR="00513B47" w:rsidRPr="00600E6F" w:rsidRDefault="00513B47" w:rsidP="00C31CC0">
      <w:pPr>
        <w:pStyle w:val="ListParagraph"/>
        <w:numPr>
          <w:ilvl w:val="1"/>
          <w:numId w:val="47"/>
        </w:numPr>
        <w:spacing w:after="0" w:line="240" w:lineRule="auto"/>
        <w:ind w:left="1800"/>
        <w:contextualSpacing w:val="0"/>
        <w:rPr>
          <w:rFonts w:ascii="Times New Roman" w:hAnsi="Times New Roman"/>
          <w:sz w:val="24"/>
        </w:rPr>
      </w:pPr>
      <w:r w:rsidRPr="00600E6F">
        <w:rPr>
          <w:rFonts w:ascii="Times New Roman" w:hAnsi="Times New Roman"/>
          <w:sz w:val="24"/>
        </w:rPr>
        <w:t>29% of the targeted population are aware of Energy Upgrade California (EUC),</w:t>
      </w:r>
    </w:p>
    <w:p w:rsidR="00513B47" w:rsidRPr="00600E6F" w:rsidRDefault="00513B47" w:rsidP="00C31CC0">
      <w:pPr>
        <w:pStyle w:val="ListParagraph"/>
        <w:numPr>
          <w:ilvl w:val="0"/>
          <w:numId w:val="49"/>
        </w:numPr>
        <w:spacing w:after="0" w:line="240" w:lineRule="auto"/>
        <w:ind w:left="1800"/>
        <w:contextualSpacing w:val="0"/>
        <w:rPr>
          <w:rFonts w:ascii="Times New Roman" w:hAnsi="Times New Roman"/>
          <w:sz w:val="24"/>
        </w:rPr>
      </w:pPr>
      <w:r w:rsidRPr="00600E6F">
        <w:rPr>
          <w:rFonts w:ascii="Times New Roman" w:hAnsi="Times New Roman"/>
          <w:sz w:val="24"/>
        </w:rPr>
        <w:t>13% of the targeted population reported seeing logo displayed,</w:t>
      </w:r>
    </w:p>
    <w:p w:rsidR="00513B47" w:rsidRPr="00600E6F" w:rsidRDefault="00513B47" w:rsidP="00C31CC0">
      <w:pPr>
        <w:pStyle w:val="ListParagraph"/>
        <w:numPr>
          <w:ilvl w:val="0"/>
          <w:numId w:val="49"/>
        </w:numPr>
        <w:spacing w:after="0" w:line="240" w:lineRule="auto"/>
        <w:ind w:left="1800"/>
        <w:contextualSpacing w:val="0"/>
        <w:rPr>
          <w:rFonts w:ascii="Times New Roman" w:hAnsi="Times New Roman"/>
          <w:sz w:val="24"/>
        </w:rPr>
      </w:pPr>
      <w:r w:rsidRPr="00600E6F">
        <w:rPr>
          <w:rFonts w:ascii="Times New Roman" w:hAnsi="Times New Roman"/>
          <w:sz w:val="24"/>
        </w:rPr>
        <w:t>3% of the targeted population have visited the website,</w:t>
      </w:r>
    </w:p>
    <w:p w:rsidR="00513B47" w:rsidRPr="00600E6F" w:rsidRDefault="00513B47" w:rsidP="00C31CC0">
      <w:pPr>
        <w:pStyle w:val="ListParagraph"/>
        <w:numPr>
          <w:ilvl w:val="0"/>
          <w:numId w:val="49"/>
        </w:numPr>
        <w:spacing w:after="0" w:line="240" w:lineRule="auto"/>
        <w:ind w:left="1800"/>
        <w:contextualSpacing w:val="0"/>
        <w:rPr>
          <w:rFonts w:ascii="Times New Roman" w:hAnsi="Times New Roman"/>
          <w:sz w:val="24"/>
        </w:rPr>
      </w:pPr>
      <w:r w:rsidRPr="00600E6F">
        <w:rPr>
          <w:rFonts w:ascii="Times New Roman" w:hAnsi="Times New Roman"/>
          <w:sz w:val="24"/>
        </w:rPr>
        <w:t>43% of the targeted population has been exposed to at least one marketing treatment from EUC.</w:t>
      </w:r>
    </w:p>
    <w:p w:rsidR="00513B47" w:rsidRPr="00600E6F" w:rsidRDefault="00513B47" w:rsidP="00C31CC0">
      <w:pPr>
        <w:pStyle w:val="ListParagraph"/>
        <w:numPr>
          <w:ilvl w:val="0"/>
          <w:numId w:val="49"/>
        </w:numPr>
        <w:spacing w:after="0" w:line="240" w:lineRule="auto"/>
        <w:ind w:left="1800"/>
        <w:contextualSpacing w:val="0"/>
        <w:rPr>
          <w:rFonts w:ascii="Times New Roman" w:hAnsi="Times New Roman"/>
          <w:sz w:val="24"/>
        </w:rPr>
      </w:pPr>
      <w:r w:rsidRPr="00600E6F">
        <w:rPr>
          <w:rFonts w:ascii="Times New Roman" w:hAnsi="Times New Roman"/>
          <w:sz w:val="24"/>
        </w:rPr>
        <w:t xml:space="preserve">Among those “aware” in the targeted population, 27% first heard of the program from radio, (PG&amp;E did not do radio ads but the local governments did), 18% from direct mail, 11% Newspaper, and 10% each for Word-of-Mouth, Internet and Television.  </w:t>
      </w:r>
    </w:p>
    <w:p w:rsidR="00513B47" w:rsidRPr="00600E6F" w:rsidRDefault="00513B47" w:rsidP="00C31CC0">
      <w:pPr>
        <w:pStyle w:val="ListParagraph"/>
        <w:numPr>
          <w:ilvl w:val="0"/>
          <w:numId w:val="48"/>
        </w:numPr>
        <w:spacing w:after="0" w:line="240" w:lineRule="auto"/>
        <w:ind w:left="1800"/>
        <w:contextualSpacing w:val="0"/>
        <w:rPr>
          <w:rFonts w:ascii="Times New Roman" w:hAnsi="Times New Roman"/>
          <w:sz w:val="24"/>
        </w:rPr>
      </w:pPr>
      <w:r w:rsidRPr="00600E6F">
        <w:rPr>
          <w:rFonts w:ascii="Times New Roman" w:hAnsi="Times New Roman"/>
          <w:sz w:val="24"/>
        </w:rPr>
        <w:t>Among workshop participants, word-of-mouth and events are the most effective communication channels.</w:t>
      </w:r>
    </w:p>
    <w:p w:rsidR="00513B47" w:rsidRPr="00600E6F" w:rsidRDefault="00513B47" w:rsidP="00C31CC0">
      <w:pPr>
        <w:pStyle w:val="ListParagraph"/>
        <w:numPr>
          <w:ilvl w:val="0"/>
          <w:numId w:val="48"/>
        </w:numPr>
        <w:spacing w:after="0" w:line="240" w:lineRule="auto"/>
        <w:ind w:left="1800"/>
        <w:contextualSpacing w:val="0"/>
        <w:rPr>
          <w:rFonts w:ascii="Times New Roman" w:hAnsi="Times New Roman"/>
          <w:sz w:val="24"/>
        </w:rPr>
      </w:pPr>
      <w:r w:rsidRPr="00600E6F">
        <w:rPr>
          <w:rFonts w:ascii="Times New Roman" w:hAnsi="Times New Roman"/>
          <w:sz w:val="24"/>
        </w:rPr>
        <w:t>Program homeowner participants ranked “comfort”, “reduced energy bill”, “benefits of the incentive” and “home energy assessments” as important reasons for why they participated.</w:t>
      </w:r>
    </w:p>
    <w:p w:rsidR="00513B47" w:rsidRPr="00600E6F" w:rsidRDefault="00513B47" w:rsidP="00C31CC0">
      <w:pPr>
        <w:pStyle w:val="ListParagraph"/>
        <w:numPr>
          <w:ilvl w:val="0"/>
          <w:numId w:val="48"/>
        </w:numPr>
        <w:spacing w:after="0" w:line="240" w:lineRule="auto"/>
        <w:ind w:left="1800"/>
        <w:contextualSpacing w:val="0"/>
        <w:rPr>
          <w:rFonts w:ascii="Times New Roman" w:hAnsi="Times New Roman"/>
          <w:sz w:val="24"/>
        </w:rPr>
      </w:pPr>
      <w:r w:rsidRPr="00600E6F">
        <w:rPr>
          <w:rFonts w:ascii="Times New Roman" w:hAnsi="Times New Roman"/>
          <w:sz w:val="24"/>
        </w:rPr>
        <w:t xml:space="preserve">Contractors report  the most effective messaging in their opinion are the messages of: Comfort, Incentives, Lowering energy bills </w:t>
      </w:r>
    </w:p>
    <w:p w:rsidR="00513B47" w:rsidRPr="00600E6F" w:rsidRDefault="00513B47" w:rsidP="003408F4">
      <w:pPr>
        <w:spacing w:after="0" w:line="240" w:lineRule="auto"/>
        <w:rPr>
          <w:rFonts w:ascii="Times New Roman" w:hAnsi="Times New Roman"/>
          <w:b/>
          <w:sz w:val="24"/>
          <w:u w:val="single"/>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Market Actors:</w:t>
      </w:r>
    </w:p>
    <w:p w:rsidR="00513B47" w:rsidRPr="00600E6F" w:rsidRDefault="00513B47" w:rsidP="00C31CC0">
      <w:pPr>
        <w:pStyle w:val="ListParagraph"/>
        <w:numPr>
          <w:ilvl w:val="0"/>
          <w:numId w:val="50"/>
        </w:numPr>
        <w:spacing w:after="0" w:line="240" w:lineRule="auto"/>
        <w:ind w:left="1800"/>
        <w:rPr>
          <w:rFonts w:ascii="Times New Roman" w:hAnsi="Times New Roman"/>
          <w:sz w:val="24"/>
        </w:rPr>
      </w:pPr>
      <w:r w:rsidRPr="00600E6F">
        <w:rPr>
          <w:rFonts w:ascii="Times New Roman" w:hAnsi="Times New Roman"/>
          <w:sz w:val="24"/>
        </w:rPr>
        <w:t>Homeowners/renters &amp; property owners/managers</w:t>
      </w:r>
    </w:p>
    <w:p w:rsidR="00513B47" w:rsidRPr="00600E6F" w:rsidRDefault="00513B47" w:rsidP="00C31CC0">
      <w:pPr>
        <w:pStyle w:val="ListParagraph"/>
        <w:numPr>
          <w:ilvl w:val="0"/>
          <w:numId w:val="50"/>
        </w:numPr>
        <w:spacing w:after="0" w:line="240" w:lineRule="auto"/>
        <w:ind w:left="1800"/>
        <w:rPr>
          <w:rFonts w:ascii="Times New Roman" w:hAnsi="Times New Roman"/>
          <w:sz w:val="24"/>
        </w:rPr>
      </w:pPr>
      <w:r w:rsidRPr="00600E6F">
        <w:rPr>
          <w:rFonts w:ascii="Times New Roman" w:hAnsi="Times New Roman"/>
          <w:sz w:val="24"/>
        </w:rPr>
        <w:t>Contractors</w:t>
      </w:r>
    </w:p>
    <w:p w:rsidR="00513B47" w:rsidRPr="00600E6F" w:rsidRDefault="00513B47" w:rsidP="00C31CC0">
      <w:pPr>
        <w:pStyle w:val="ListParagraph"/>
        <w:numPr>
          <w:ilvl w:val="0"/>
          <w:numId w:val="50"/>
        </w:numPr>
        <w:spacing w:after="0" w:line="240" w:lineRule="auto"/>
        <w:ind w:left="1800"/>
        <w:rPr>
          <w:rFonts w:ascii="Times New Roman" w:hAnsi="Times New Roman"/>
          <w:sz w:val="24"/>
        </w:rPr>
      </w:pPr>
      <w:r w:rsidRPr="00600E6F">
        <w:rPr>
          <w:rFonts w:ascii="Times New Roman" w:hAnsi="Times New Roman"/>
          <w:sz w:val="24"/>
        </w:rPr>
        <w:t>Realtors</w:t>
      </w:r>
    </w:p>
    <w:p w:rsidR="00513B47" w:rsidRPr="00600E6F" w:rsidRDefault="00513B47" w:rsidP="00C31CC0">
      <w:pPr>
        <w:pStyle w:val="ListParagraph"/>
        <w:numPr>
          <w:ilvl w:val="0"/>
          <w:numId w:val="50"/>
        </w:numPr>
        <w:spacing w:after="0" w:line="240" w:lineRule="auto"/>
        <w:ind w:left="1800"/>
        <w:rPr>
          <w:rFonts w:ascii="Times New Roman" w:hAnsi="Times New Roman"/>
          <w:sz w:val="24"/>
        </w:rPr>
      </w:pPr>
      <w:r w:rsidRPr="00600E6F">
        <w:rPr>
          <w:rFonts w:ascii="Times New Roman" w:hAnsi="Times New Roman"/>
          <w:sz w:val="24"/>
        </w:rPr>
        <w:t>Financial Institutions</w:t>
      </w:r>
    </w:p>
    <w:p w:rsidR="00513B47" w:rsidRPr="00600E6F" w:rsidRDefault="00513B47" w:rsidP="00C31CC0">
      <w:pPr>
        <w:pStyle w:val="ListParagraph"/>
        <w:numPr>
          <w:ilvl w:val="0"/>
          <w:numId w:val="50"/>
        </w:numPr>
        <w:spacing w:after="0" w:line="240" w:lineRule="auto"/>
        <w:ind w:left="1800"/>
        <w:rPr>
          <w:rFonts w:ascii="Times New Roman" w:hAnsi="Times New Roman"/>
          <w:sz w:val="24"/>
        </w:rPr>
      </w:pPr>
      <w:r w:rsidRPr="00600E6F">
        <w:rPr>
          <w:rFonts w:ascii="Times New Roman" w:hAnsi="Times New Roman"/>
          <w:sz w:val="24"/>
        </w:rPr>
        <w:t>Property Appraisers</w:t>
      </w:r>
    </w:p>
    <w:p w:rsidR="00513B47" w:rsidRPr="00600E6F" w:rsidRDefault="00513B47" w:rsidP="00C31CC0">
      <w:pPr>
        <w:pStyle w:val="ListParagraph"/>
        <w:numPr>
          <w:ilvl w:val="0"/>
          <w:numId w:val="50"/>
        </w:numPr>
        <w:spacing w:after="0" w:line="240" w:lineRule="auto"/>
        <w:ind w:left="1800"/>
        <w:rPr>
          <w:rFonts w:ascii="Times New Roman" w:hAnsi="Times New Roman"/>
          <w:sz w:val="24"/>
        </w:rPr>
      </w:pPr>
      <w:r w:rsidRPr="00600E6F">
        <w:rPr>
          <w:rFonts w:ascii="Times New Roman" w:hAnsi="Times New Roman"/>
          <w:sz w:val="24"/>
        </w:rPr>
        <w:t>Local governments</w:t>
      </w:r>
    </w:p>
    <w:p w:rsidR="00513B47" w:rsidRPr="00600E6F" w:rsidRDefault="00513B47" w:rsidP="003408F4">
      <w:pPr>
        <w:spacing w:after="0" w:line="240" w:lineRule="auto"/>
        <w:ind w:left="1080"/>
        <w:rPr>
          <w:rFonts w:ascii="Times New Roman" w:hAnsi="Times New Roman"/>
          <w:b/>
          <w:sz w:val="24"/>
          <w:u w:val="single"/>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Relationship Among the Market Actors:</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contractor community is the key actor with the WHUP. They are the program actor who outreaches personally to the owner of the building and home and communicates the concepts of approaching a building on an entire whole basis. And it is the contractor who proposes the appropriate work and completes the retrofit. The contractor provides the linkage between the WHUP and the customer who receives the rebate.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lastRenderedPageBreak/>
        <w:t xml:space="preserve">Working together, the realtor, appraisal and financial communities are market actors that can help push energy efficiency in the home resale market. Realtors can be educated to differentiate the advantages of purchasing energy efficient existing residential structures to prospective home buyers. Working with the appraisal community to perceive installed energy efficient measure in a home as monetary assets to a structure thus increasing the property’s value can be a significant push to the acceptance and importance of energy efficiency and financial institutions recognizing this effort to provide exceptional financing opportunities to prospective home buyers for their investment in an energy efficient home.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Many local governments were very active in the EUC sector in the prior 2010-12 cycle as supported by ARRA funding. Some of those local government programs will be continuing on into the 2013-14 program cycle. The IOUs will continue to provide WHUP as a foundation offering to our customers, and local governments can continue to build upon these (with additional rebates) or support these with customized marketing programs. The IOUs will coordinate and partner with local governments in an effort to achieve the synergy possible between these aligned efforts. </w:t>
      </w:r>
    </w:p>
    <w:p w:rsidR="00513B47" w:rsidRPr="00600E6F" w:rsidRDefault="00513B47" w:rsidP="003408F4">
      <w:pPr>
        <w:spacing w:after="0" w:line="240" w:lineRule="auto"/>
        <w:rPr>
          <w:rFonts w:ascii="Times New Roman" w:hAnsi="Times New Roman"/>
          <w:b/>
          <w:sz w:val="24"/>
          <w:u w:val="single"/>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Opportunities to advance demand side management technologies and strategies:</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Building owners who have committed to a WHUP retrofit solution will have taken the ultimate step in applying energy efficiency technology to minimize their energy usage. They have evidenced their willingness to pursue minimizing energy usage, and are therefore self-identified as highly likely to embrace the next step(s) of demand side technologies and strategies to further minimize energy usage. So the next phase of energy reduction for the EUC retrofit customers will be the variety of demand side reduction programs that the IOUs can make available. </w:t>
      </w:r>
    </w:p>
    <w:p w:rsidR="00513B47" w:rsidRPr="00600E6F" w:rsidRDefault="00513B47" w:rsidP="003408F4">
      <w:pPr>
        <w:spacing w:after="0" w:line="240" w:lineRule="auto"/>
        <w:ind w:left="1080"/>
        <w:rPr>
          <w:rFonts w:ascii="Times New Roman" w:hAnsi="Times New Roman"/>
          <w:b/>
          <w:sz w:val="24"/>
          <w:u w:val="single"/>
        </w:rPr>
      </w:pPr>
    </w:p>
    <w:p w:rsidR="00513B47" w:rsidRPr="00600E6F" w:rsidRDefault="00513B47" w:rsidP="003408F4">
      <w:pPr>
        <w:spacing w:after="0" w:line="240" w:lineRule="auto"/>
        <w:ind w:left="1080"/>
        <w:rPr>
          <w:rFonts w:ascii="Times New Roman" w:hAnsi="Times New Roman"/>
          <w:b/>
          <w:sz w:val="24"/>
          <w:u w:val="single"/>
        </w:rPr>
      </w:pPr>
      <w:r w:rsidRPr="00600E6F">
        <w:rPr>
          <w:rFonts w:ascii="Times New Roman" w:hAnsi="Times New Roman"/>
          <w:b/>
          <w:sz w:val="24"/>
          <w:u w:val="single"/>
        </w:rPr>
        <w:t>Key Barriers &amp; Opportunity for Intervention:</w:t>
      </w:r>
    </w:p>
    <w:p w:rsidR="00513B47" w:rsidRPr="00600E6F" w:rsidRDefault="00513B47" w:rsidP="003408F4">
      <w:pPr>
        <w:autoSpaceDE w:val="0"/>
        <w:autoSpaceDN w:val="0"/>
        <w:adjustRightInd w:val="0"/>
        <w:spacing w:after="0" w:line="240" w:lineRule="auto"/>
        <w:ind w:left="1080"/>
        <w:rPr>
          <w:rFonts w:ascii="Times New Roman" w:hAnsi="Times New Roman"/>
          <w:color w:val="000000"/>
          <w:sz w:val="24"/>
        </w:rPr>
      </w:pPr>
      <w:r w:rsidRPr="00600E6F">
        <w:rPr>
          <w:rFonts w:ascii="Times New Roman" w:hAnsi="Times New Roman"/>
          <w:color w:val="000000"/>
          <w:sz w:val="24"/>
        </w:rPr>
        <w:t>The barriers for this program for the homeowner sector are the:</w:t>
      </w:r>
    </w:p>
    <w:p w:rsidR="00513B47" w:rsidRPr="00600E6F" w:rsidRDefault="00513B47" w:rsidP="003408F4">
      <w:pPr>
        <w:autoSpaceDE w:val="0"/>
        <w:autoSpaceDN w:val="0"/>
        <w:adjustRightInd w:val="0"/>
        <w:spacing w:after="0" w:line="240" w:lineRule="auto"/>
        <w:ind w:left="1080"/>
        <w:rPr>
          <w:rFonts w:ascii="Times New Roman" w:hAnsi="Times New Roman"/>
          <w:color w:val="000000"/>
          <w:sz w:val="24"/>
        </w:rPr>
      </w:pP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Relatively high cost of home assessments,</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Relatively high gross costs of comprehensive energy upgrades,</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Market  not aware of additional non-economic values resulting from  comprehensive energy upgrades,</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Fledgling contracting and supporting industry for existing home energy upgrades,</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Low consumer awareness of incentive subprograms and the concepts of comprehensive home energy assessments and upgrades,</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 xml:space="preserve">Lack of common home rating protocols and common vernacular for the market to assign value to homes which undergo comprehensive energy upgrades, </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The economic downturn and its impact on the residential housing sector.</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Contractor awareness and access to information,</w:t>
      </w:r>
    </w:p>
    <w:p w:rsidR="00513B47" w:rsidRPr="00600E6F" w:rsidRDefault="00513B47" w:rsidP="00C31CC0">
      <w:pPr>
        <w:pStyle w:val="ListParagraph"/>
        <w:numPr>
          <w:ilvl w:val="1"/>
          <w:numId w:val="46"/>
        </w:numPr>
        <w:spacing w:after="0" w:line="240" w:lineRule="auto"/>
        <w:ind w:left="2160" w:hanging="720"/>
        <w:rPr>
          <w:rFonts w:ascii="Times New Roman" w:hAnsi="Times New Roman"/>
          <w:sz w:val="24"/>
        </w:rPr>
      </w:pPr>
      <w:r w:rsidRPr="00600E6F">
        <w:rPr>
          <w:rFonts w:ascii="Times New Roman" w:hAnsi="Times New Roman"/>
          <w:sz w:val="24"/>
        </w:rPr>
        <w:t>Access to financing,</w:t>
      </w:r>
    </w:p>
    <w:p w:rsidR="00513B47" w:rsidRPr="00600E6F" w:rsidRDefault="00513B47" w:rsidP="00C31CC0">
      <w:pPr>
        <w:pStyle w:val="ListParagraph"/>
        <w:numPr>
          <w:ilvl w:val="1"/>
          <w:numId w:val="46"/>
        </w:numPr>
        <w:spacing w:after="0" w:line="240" w:lineRule="auto"/>
        <w:ind w:left="1800"/>
        <w:rPr>
          <w:rFonts w:ascii="Times New Roman" w:hAnsi="Times New Roman"/>
          <w:sz w:val="24"/>
        </w:rPr>
      </w:pPr>
      <w:r w:rsidRPr="00600E6F">
        <w:rPr>
          <w:rFonts w:ascii="Times New Roman" w:hAnsi="Times New Roman"/>
          <w:sz w:val="24"/>
        </w:rPr>
        <w:t>Lack of access to skilled labor.</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lastRenderedPageBreak/>
        <w:t xml:space="preserve">Note: Potential participants who have attended a workshop (PG&amp;E) also explain their lack of participation in that they haven’t been able to contact/find a contractor yet.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For the owners and/or managers of multifamily buildings, there are another set of barriers, closely aligned to those for private single-family homes, but different in some very important dimensions: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Lack of knowledge regarding energy efficiency as well as the comprehensive programs that are offered by the IOUs,</w:t>
      </w: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Challenge of the “split incentive” where it is the building owner/manager who must pay for all building improvements, including those inside of the individual rental units. But it is the tenants of the unit that pay the energy bills and therefore receive the immediate benefits of the energy efficient investment (by the landlord),</w:t>
      </w: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Multifamily buildings are managed as businesses, where capital for major improvements must be borrowed. But the extended ROI for most energy efficiency projects is longer than the few years that most business allow for recouping their investments,</w:t>
      </w: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 xml:space="preserve">To implement a “whole building” retrofit, the apartment owner/manager must typically bring in several specialty contractors for multiple visits, which in tenant occupied units is a very challenging task, </w:t>
      </w: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Tenants having to out of the rental units during retrofit work, as well as the management time required on behalf of the building owner/manager – is a costly investment of resources,</w:t>
      </w: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 xml:space="preserve">Major retrofit often can only happen when the rental unit(s) is unoccupied – which is a significant loss of income for the owner/manager, </w:t>
      </w:r>
    </w:p>
    <w:p w:rsidR="00513B47" w:rsidRPr="00600E6F" w:rsidRDefault="00513B47" w:rsidP="00C31CC0">
      <w:pPr>
        <w:pStyle w:val="ListParagraph"/>
        <w:numPr>
          <w:ilvl w:val="0"/>
          <w:numId w:val="51"/>
        </w:numPr>
        <w:spacing w:after="0" w:line="240" w:lineRule="auto"/>
        <w:ind w:left="1440"/>
        <w:rPr>
          <w:rFonts w:ascii="Times New Roman" w:hAnsi="Times New Roman"/>
          <w:sz w:val="24"/>
        </w:rPr>
      </w:pPr>
      <w:r w:rsidRPr="00600E6F">
        <w:rPr>
          <w:rFonts w:ascii="Times New Roman" w:hAnsi="Times New Roman"/>
          <w:sz w:val="24"/>
        </w:rPr>
        <w:t xml:space="preserve">Managed as a business – multifamily building owners/managers are not inclined to replace any major building component or energy system prior to its actual wear-out/break-down. Building retrofits usually take place toward the “end-of-life” of key components (HVAC – for example) – but not when they break-down. Building owners/managers cannot afford the impact on tenants of having key systems not functioning for any length of time.  </w:t>
      </w:r>
    </w:p>
    <w:p w:rsidR="00513B47" w:rsidRPr="00600E6F" w:rsidRDefault="00513B47" w:rsidP="003408F4">
      <w:pPr>
        <w:pStyle w:val="ListParagraph"/>
        <w:spacing w:after="0" w:line="240" w:lineRule="auto"/>
        <w:ind w:left="1800"/>
        <w:rPr>
          <w:rFonts w:ascii="Times New Roman" w:hAnsi="Times New Roman"/>
          <w:sz w:val="24"/>
        </w:rPr>
      </w:pPr>
    </w:p>
    <w:p w:rsidR="00513B47" w:rsidRPr="00600E6F" w:rsidRDefault="00513B47" w:rsidP="003408F4">
      <w:pPr>
        <w:pStyle w:val="Heading2"/>
        <w:keepNext w:val="0"/>
        <w:spacing w:before="0" w:after="0"/>
        <w:rPr>
          <w:rFonts w:ascii="Times New Roman" w:hAnsi="Times New Roman"/>
          <w:color w:val="000000"/>
          <w:sz w:val="24"/>
        </w:rPr>
      </w:pPr>
      <w:r w:rsidRPr="00600E6F">
        <w:rPr>
          <w:rFonts w:ascii="Times New Roman" w:hAnsi="Times New Roman"/>
          <w:color w:val="000000"/>
          <w:sz w:val="24"/>
        </w:rPr>
        <w:t xml:space="preserve">          4)     A description of proposed intervention(s) and its/their intended results</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WHUP seeks to address these barriers for private single-family homes through:</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440" w:hanging="360"/>
        <w:contextualSpacing/>
        <w:rPr>
          <w:rFonts w:ascii="Times New Roman" w:hAnsi="Times New Roman"/>
          <w:sz w:val="24"/>
        </w:rPr>
      </w:pPr>
      <w:r w:rsidRPr="00600E6F">
        <w:rPr>
          <w:rFonts w:ascii="Times New Roman" w:hAnsi="Times New Roman"/>
          <w:sz w:val="24"/>
        </w:rPr>
        <w:t xml:space="preserve">1)  </w:t>
      </w:r>
      <w:r w:rsidRPr="00600E6F">
        <w:rPr>
          <w:rFonts w:ascii="Times New Roman" w:hAnsi="Times New Roman"/>
          <w:sz w:val="24"/>
        </w:rPr>
        <w:tab/>
        <w:t>Continued marketing of Energy Upgrade California and whole house concepts. (Barrier 3, 5, 8)</w:t>
      </w:r>
    </w:p>
    <w:p w:rsidR="00513B47" w:rsidRPr="00600E6F" w:rsidRDefault="00513B47" w:rsidP="003408F4">
      <w:pPr>
        <w:pStyle w:val="ListParagraph"/>
        <w:spacing w:after="0" w:line="240" w:lineRule="auto"/>
        <w:ind w:left="1800" w:hanging="360"/>
        <w:rPr>
          <w:rFonts w:ascii="Times New Roman" w:hAnsi="Times New Roman"/>
          <w:sz w:val="24"/>
        </w:rPr>
      </w:pPr>
      <w:r w:rsidRPr="00600E6F">
        <w:rPr>
          <w:rFonts w:ascii="Times New Roman" w:hAnsi="Times New Roman"/>
          <w:i/>
          <w:sz w:val="24"/>
        </w:rPr>
        <w:t>Intended Results</w:t>
      </w:r>
      <w:r w:rsidRPr="00600E6F">
        <w:rPr>
          <w:rFonts w:ascii="Times New Roman" w:hAnsi="Times New Roman"/>
          <w:sz w:val="24"/>
        </w:rPr>
        <w:t>:  Increase awareness</w:t>
      </w:r>
    </w:p>
    <w:p w:rsidR="00513B47" w:rsidRPr="00600E6F" w:rsidRDefault="00513B47" w:rsidP="003408F4">
      <w:pPr>
        <w:pStyle w:val="ListParagraph"/>
        <w:spacing w:after="0" w:line="240" w:lineRule="auto"/>
        <w:ind w:left="1440" w:hanging="360"/>
        <w:rPr>
          <w:rFonts w:ascii="Times New Roman" w:hAnsi="Times New Roman"/>
          <w:sz w:val="24"/>
        </w:rPr>
      </w:pPr>
    </w:p>
    <w:p w:rsidR="00513B47" w:rsidRPr="00600E6F" w:rsidRDefault="00513B47" w:rsidP="003408F4">
      <w:pPr>
        <w:spacing w:after="0" w:line="240" w:lineRule="auto"/>
        <w:ind w:left="1440" w:hanging="360"/>
        <w:contextualSpacing/>
        <w:rPr>
          <w:rFonts w:ascii="Times New Roman" w:hAnsi="Times New Roman"/>
          <w:sz w:val="24"/>
        </w:rPr>
      </w:pPr>
      <w:r w:rsidRPr="00600E6F">
        <w:rPr>
          <w:rFonts w:ascii="Times New Roman" w:hAnsi="Times New Roman"/>
          <w:sz w:val="24"/>
        </w:rPr>
        <w:t>2)  Continued contractor recruitment, training and mentoring. (Barrier 4, 5, 8, 10)</w:t>
      </w:r>
    </w:p>
    <w:p w:rsidR="00513B47" w:rsidRPr="00600E6F" w:rsidRDefault="00513B47" w:rsidP="003408F4">
      <w:pPr>
        <w:spacing w:after="0" w:line="240" w:lineRule="auto"/>
        <w:ind w:left="3240" w:hanging="1800"/>
        <w:contextualSpacing/>
        <w:rPr>
          <w:rFonts w:ascii="Times New Roman" w:hAnsi="Times New Roman"/>
          <w:sz w:val="24"/>
        </w:rPr>
      </w:pPr>
      <w:r w:rsidRPr="00600E6F">
        <w:rPr>
          <w:rFonts w:ascii="Times New Roman" w:hAnsi="Times New Roman"/>
          <w:i/>
          <w:sz w:val="24"/>
        </w:rPr>
        <w:t>Intended Results:</w:t>
      </w:r>
      <w:r w:rsidRPr="00600E6F">
        <w:rPr>
          <w:rFonts w:ascii="Times New Roman" w:hAnsi="Times New Roman"/>
          <w:sz w:val="24"/>
        </w:rPr>
        <w:t xml:space="preserve">  Continue to maintain and improve the supply and quality of the contractors serving the program</w:t>
      </w:r>
    </w:p>
    <w:p w:rsidR="00513B47" w:rsidRPr="00600E6F" w:rsidRDefault="00513B47" w:rsidP="003408F4">
      <w:pPr>
        <w:tabs>
          <w:tab w:val="left" w:pos="3240"/>
        </w:tabs>
        <w:spacing w:after="0" w:line="240" w:lineRule="auto"/>
        <w:ind w:left="1440" w:hanging="360"/>
        <w:contextualSpacing/>
        <w:rPr>
          <w:rFonts w:ascii="Times New Roman" w:hAnsi="Times New Roman"/>
          <w:sz w:val="24"/>
        </w:rPr>
      </w:pPr>
    </w:p>
    <w:p w:rsidR="00513B47" w:rsidRPr="00600E6F" w:rsidRDefault="00513B47" w:rsidP="003408F4">
      <w:pPr>
        <w:spacing w:after="0" w:line="240" w:lineRule="auto"/>
        <w:ind w:left="1440" w:hanging="360"/>
        <w:contextualSpacing/>
        <w:rPr>
          <w:rFonts w:ascii="Times New Roman" w:hAnsi="Times New Roman"/>
          <w:sz w:val="24"/>
        </w:rPr>
      </w:pPr>
      <w:r w:rsidRPr="00600E6F">
        <w:rPr>
          <w:rFonts w:ascii="Times New Roman" w:hAnsi="Times New Roman"/>
          <w:sz w:val="24"/>
        </w:rPr>
        <w:t>3)  Expanded customer uptake through WHUP incentives. (Barrier 1, 2, 5)</w:t>
      </w:r>
    </w:p>
    <w:p w:rsidR="00513B47" w:rsidRPr="00600E6F" w:rsidRDefault="00513B47" w:rsidP="003408F4">
      <w:pPr>
        <w:spacing w:after="0" w:line="240" w:lineRule="auto"/>
        <w:ind w:left="3240" w:hanging="1800"/>
        <w:contextualSpacing/>
        <w:rPr>
          <w:rFonts w:ascii="Times New Roman" w:hAnsi="Times New Roman"/>
          <w:sz w:val="24"/>
        </w:rPr>
      </w:pPr>
      <w:r w:rsidRPr="00600E6F">
        <w:rPr>
          <w:rFonts w:ascii="Times New Roman" w:hAnsi="Times New Roman"/>
          <w:i/>
          <w:sz w:val="24"/>
        </w:rPr>
        <w:t>Intended Results:</w:t>
      </w:r>
      <w:r w:rsidRPr="00600E6F">
        <w:rPr>
          <w:rFonts w:ascii="Times New Roman" w:hAnsi="Times New Roman"/>
          <w:sz w:val="24"/>
        </w:rPr>
        <w:t xml:space="preserve">  </w:t>
      </w:r>
      <w:r w:rsidRPr="00600E6F">
        <w:rPr>
          <w:rFonts w:ascii="Times New Roman" w:hAnsi="Times New Roman"/>
          <w:sz w:val="24"/>
        </w:rPr>
        <w:tab/>
        <w:t>Use incentives to reduce the barrier of entry into the comprehensive retrofit projects</w:t>
      </w:r>
    </w:p>
    <w:p w:rsidR="00513B47" w:rsidRPr="00600E6F" w:rsidRDefault="00513B47" w:rsidP="003408F4">
      <w:pPr>
        <w:spacing w:after="0" w:line="240" w:lineRule="auto"/>
        <w:ind w:left="1440" w:hanging="360"/>
        <w:contextualSpacing/>
        <w:rPr>
          <w:rFonts w:ascii="Times New Roman" w:hAnsi="Times New Roman"/>
          <w:sz w:val="24"/>
        </w:rPr>
      </w:pPr>
      <w:r w:rsidRPr="00600E6F">
        <w:rPr>
          <w:rFonts w:ascii="Times New Roman" w:hAnsi="Times New Roman"/>
          <w:sz w:val="24"/>
        </w:rPr>
        <w:t>4)  Offering of Financing programs (by IOUs and/or other entities) (Barrier 1,2, 9)</w:t>
      </w:r>
    </w:p>
    <w:p w:rsidR="00513B47" w:rsidRPr="00600E6F" w:rsidRDefault="00513B47" w:rsidP="003408F4">
      <w:pPr>
        <w:pStyle w:val="ListParagraph"/>
        <w:spacing w:after="0" w:line="240" w:lineRule="auto"/>
        <w:ind w:left="3240" w:hanging="1800"/>
        <w:rPr>
          <w:rFonts w:ascii="Times New Roman" w:hAnsi="Times New Roman"/>
          <w:sz w:val="24"/>
        </w:rPr>
      </w:pPr>
      <w:r w:rsidRPr="00600E6F">
        <w:rPr>
          <w:rFonts w:ascii="Times New Roman" w:hAnsi="Times New Roman"/>
          <w:i/>
          <w:sz w:val="24"/>
        </w:rPr>
        <w:lastRenderedPageBreak/>
        <w:t xml:space="preserve">Intended Results: </w:t>
      </w:r>
      <w:r w:rsidRPr="00600E6F">
        <w:rPr>
          <w:rFonts w:ascii="Times New Roman" w:hAnsi="Times New Roman"/>
          <w:sz w:val="24"/>
        </w:rPr>
        <w:tab/>
        <w:t>Provide building owners the upfront cash they need to borrow</w:t>
      </w:r>
    </w:p>
    <w:p w:rsidR="00513B47" w:rsidRPr="00600E6F" w:rsidRDefault="00513B47" w:rsidP="003408F4">
      <w:pPr>
        <w:pStyle w:val="ListParagraph"/>
        <w:spacing w:after="0" w:line="240" w:lineRule="auto"/>
        <w:ind w:left="3240" w:hanging="1800"/>
        <w:rPr>
          <w:rFonts w:ascii="Times New Roman" w:hAnsi="Times New Roman"/>
          <w:sz w:val="24"/>
        </w:rPr>
      </w:pPr>
      <w:r w:rsidRPr="00600E6F">
        <w:rPr>
          <w:rFonts w:ascii="Times New Roman" w:hAnsi="Times New Roman"/>
          <w:sz w:val="24"/>
        </w:rPr>
        <w:t xml:space="preserve"> </w:t>
      </w:r>
      <w:r w:rsidRPr="00600E6F">
        <w:rPr>
          <w:rFonts w:ascii="Times New Roman" w:hAnsi="Times New Roman"/>
          <w:sz w:val="24"/>
        </w:rPr>
        <w:tab/>
        <w:t xml:space="preserve">to invest in a retrofit project, and amenable loan terms by which to repay that loan (note: this program component will be particularly important in the multifamily sector). </w:t>
      </w:r>
    </w:p>
    <w:p w:rsidR="00513B47" w:rsidRPr="00600E6F" w:rsidRDefault="00513B47" w:rsidP="003408F4">
      <w:pPr>
        <w:pStyle w:val="ListParagraph"/>
        <w:spacing w:after="0" w:line="240" w:lineRule="auto"/>
        <w:ind w:left="1440" w:hanging="360"/>
        <w:rPr>
          <w:rFonts w:ascii="Times New Roman" w:hAnsi="Times New Roman"/>
          <w:sz w:val="24"/>
        </w:rPr>
      </w:pPr>
    </w:p>
    <w:p w:rsidR="00513B47" w:rsidRPr="00600E6F" w:rsidRDefault="00513B47" w:rsidP="003408F4">
      <w:pPr>
        <w:spacing w:after="0" w:line="240" w:lineRule="auto"/>
        <w:ind w:left="1440" w:hanging="360"/>
        <w:contextualSpacing/>
        <w:rPr>
          <w:rFonts w:ascii="Times New Roman" w:hAnsi="Times New Roman"/>
          <w:sz w:val="24"/>
        </w:rPr>
      </w:pPr>
      <w:r w:rsidRPr="00600E6F">
        <w:rPr>
          <w:rFonts w:ascii="Times New Roman" w:hAnsi="Times New Roman"/>
          <w:sz w:val="24"/>
        </w:rPr>
        <w:t>5)  Continued stakeholder outreach to address barriers. (Barrier 1, 3, 4, 5, 6, 8, 10)</w:t>
      </w:r>
    </w:p>
    <w:p w:rsidR="00513B47" w:rsidRPr="00600E6F" w:rsidRDefault="00513B47" w:rsidP="003408F4">
      <w:pPr>
        <w:spacing w:after="0" w:line="240" w:lineRule="auto"/>
        <w:ind w:left="3240" w:hanging="1800"/>
        <w:contextualSpacing/>
        <w:rPr>
          <w:rFonts w:ascii="Times New Roman" w:hAnsi="Times New Roman"/>
          <w:sz w:val="24"/>
        </w:rPr>
      </w:pPr>
      <w:r w:rsidRPr="00600E6F">
        <w:rPr>
          <w:rFonts w:ascii="Times New Roman" w:hAnsi="Times New Roman"/>
          <w:i/>
          <w:sz w:val="24"/>
        </w:rPr>
        <w:t>Intended Results:</w:t>
      </w:r>
      <w:r w:rsidRPr="00600E6F">
        <w:rPr>
          <w:rFonts w:ascii="Times New Roman" w:hAnsi="Times New Roman"/>
          <w:sz w:val="24"/>
        </w:rPr>
        <w:t xml:space="preserve">  </w:t>
      </w:r>
      <w:r w:rsidRPr="00600E6F">
        <w:rPr>
          <w:rFonts w:ascii="Times New Roman" w:hAnsi="Times New Roman"/>
          <w:sz w:val="24"/>
        </w:rPr>
        <w:tab/>
        <w:t>Leverage resources outside the IOUs to address market needs</w:t>
      </w:r>
    </w:p>
    <w:p w:rsidR="00513B47" w:rsidRPr="00600E6F" w:rsidRDefault="00513B47" w:rsidP="003408F4">
      <w:pPr>
        <w:spacing w:after="0" w:line="240" w:lineRule="auto"/>
        <w:ind w:left="1440" w:hanging="360"/>
        <w:contextualSpacing/>
        <w:rPr>
          <w:rFonts w:ascii="Times New Roman" w:hAnsi="Times New Roman"/>
          <w:sz w:val="24"/>
        </w:rPr>
      </w:pPr>
    </w:p>
    <w:p w:rsidR="00513B47" w:rsidRPr="00600E6F" w:rsidRDefault="00513B47" w:rsidP="003408F4">
      <w:pPr>
        <w:spacing w:after="0" w:line="240" w:lineRule="auto"/>
        <w:ind w:left="1440" w:hanging="360"/>
        <w:contextualSpacing/>
        <w:rPr>
          <w:rFonts w:ascii="Times New Roman" w:hAnsi="Times New Roman"/>
          <w:sz w:val="24"/>
        </w:rPr>
      </w:pPr>
      <w:r w:rsidRPr="00600E6F">
        <w:rPr>
          <w:rFonts w:ascii="Times New Roman" w:hAnsi="Times New Roman"/>
          <w:sz w:val="24"/>
        </w:rPr>
        <w:t>6)  Continued partnerships with local and state government to address barriers. (Barrier 1, 2, 3, 4, 5, 6, 8, 9, 10)</w:t>
      </w:r>
    </w:p>
    <w:p w:rsidR="00513B47" w:rsidRPr="00600E6F" w:rsidRDefault="00513B47" w:rsidP="003408F4">
      <w:pPr>
        <w:spacing w:after="0" w:line="240" w:lineRule="auto"/>
        <w:ind w:left="3330" w:hanging="1980"/>
        <w:contextualSpacing/>
        <w:rPr>
          <w:rFonts w:ascii="Times New Roman" w:hAnsi="Times New Roman"/>
          <w:sz w:val="24"/>
        </w:rPr>
      </w:pPr>
      <w:r w:rsidRPr="00600E6F">
        <w:rPr>
          <w:rFonts w:ascii="Times New Roman" w:hAnsi="Times New Roman"/>
          <w:i/>
          <w:sz w:val="24"/>
        </w:rPr>
        <w:t>Intended Results:</w:t>
      </w:r>
      <w:r w:rsidRPr="00600E6F">
        <w:rPr>
          <w:rFonts w:ascii="Times New Roman" w:hAnsi="Times New Roman"/>
          <w:sz w:val="24"/>
        </w:rPr>
        <w:t xml:space="preserve">  </w:t>
      </w:r>
      <w:r w:rsidRPr="00600E6F">
        <w:rPr>
          <w:rFonts w:ascii="Times New Roman" w:hAnsi="Times New Roman"/>
          <w:sz w:val="24"/>
        </w:rPr>
        <w:tab/>
        <w:t>Leverage local government resources to engage communities and targeted population to participate in the program</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And for WHUP </w:t>
      </w:r>
      <w:r w:rsidRPr="00600E6F">
        <w:rPr>
          <w:rFonts w:ascii="Times New Roman" w:hAnsi="Times New Roman"/>
          <w:i/>
          <w:sz w:val="24"/>
        </w:rPr>
        <w:t>Multifamily</w:t>
      </w:r>
      <w:r w:rsidRPr="00600E6F">
        <w:rPr>
          <w:rFonts w:ascii="Times New Roman" w:hAnsi="Times New Roman"/>
          <w:sz w:val="24"/>
        </w:rPr>
        <w:t xml:space="preserve"> the barriers will be addressed by these actions: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800" w:hanging="360"/>
        <w:rPr>
          <w:rFonts w:ascii="Times New Roman" w:hAnsi="Times New Roman"/>
          <w:sz w:val="24"/>
        </w:rPr>
      </w:pPr>
      <w:r w:rsidRPr="00600E6F">
        <w:rPr>
          <w:rFonts w:ascii="Times New Roman" w:hAnsi="Times New Roman"/>
          <w:sz w:val="24"/>
        </w:rPr>
        <w:t>1)</w:t>
      </w:r>
      <w:r w:rsidRPr="00600E6F">
        <w:rPr>
          <w:rFonts w:ascii="Times New Roman" w:hAnsi="Times New Roman"/>
          <w:sz w:val="24"/>
        </w:rPr>
        <w:tab/>
        <w:t xml:space="preserve">To improve a property owner or manager’s energy efficiency knowledge, the </w:t>
      </w:r>
      <w:r w:rsidRPr="00600E6F">
        <w:rPr>
          <w:rFonts w:ascii="Times New Roman" w:hAnsi="Times New Roman"/>
          <w:i/>
          <w:sz w:val="24"/>
        </w:rPr>
        <w:t>Multifamily Path</w:t>
      </w:r>
      <w:r w:rsidRPr="00600E6F">
        <w:rPr>
          <w:rFonts w:ascii="Times New Roman" w:hAnsi="Times New Roman"/>
          <w:sz w:val="24"/>
        </w:rPr>
        <w:t xml:space="preserve"> would seek to leverage comprehensive investment grade building assessments to identify potential energy efficiency opportunities. (Barrier 1)</w:t>
      </w:r>
      <w:r w:rsidRPr="00600E6F">
        <w:rPr>
          <w:rFonts w:ascii="Times New Roman" w:hAnsi="Times New Roman"/>
          <w:sz w:val="24"/>
        </w:rPr>
        <w:br/>
        <w:t>2)</w:t>
      </w:r>
      <w:r w:rsidRPr="00600E6F">
        <w:rPr>
          <w:rFonts w:ascii="Times New Roman" w:hAnsi="Times New Roman"/>
          <w:sz w:val="24"/>
        </w:rPr>
        <w:tab/>
        <w:t xml:space="preserve">To address split incentives and cost of upgrades, the </w:t>
      </w:r>
      <w:r w:rsidRPr="00600E6F">
        <w:rPr>
          <w:rFonts w:ascii="Times New Roman" w:hAnsi="Times New Roman"/>
          <w:i/>
          <w:sz w:val="24"/>
        </w:rPr>
        <w:t>Multifamily Path</w:t>
      </w:r>
      <w:r w:rsidRPr="00600E6F">
        <w:rPr>
          <w:rFonts w:ascii="Times New Roman" w:hAnsi="Times New Roman"/>
          <w:sz w:val="24"/>
        </w:rPr>
        <w:t xml:space="preserve"> would integrate with the existing Energy Savings Assistance Program (“ESAP”) and the Multifamily Energy Efficiency Rebate (“MFEER”) Program. This would provide comprehensive services to the building, including “low cost” or “no cost” tenant measures in conjunction with the WHUP </w:t>
      </w:r>
      <w:r w:rsidRPr="00600E6F">
        <w:rPr>
          <w:rFonts w:ascii="Times New Roman" w:hAnsi="Times New Roman"/>
          <w:i/>
          <w:sz w:val="24"/>
        </w:rPr>
        <w:t>Multifamily Path</w:t>
      </w:r>
      <w:r w:rsidRPr="00600E6F">
        <w:rPr>
          <w:rFonts w:ascii="Times New Roman" w:hAnsi="Times New Roman"/>
          <w:sz w:val="24"/>
        </w:rPr>
        <w:t xml:space="preserve"> whole building incentives in order to maximize energy savings for the up</w:t>
      </w:r>
      <w:r w:rsidRPr="00600E6F">
        <w:rPr>
          <w:rFonts w:ascii="Cambria Math" w:hAnsi="Cambria Math"/>
          <w:sz w:val="24"/>
        </w:rPr>
        <w:t>‐</w:t>
      </w:r>
      <w:r w:rsidRPr="00600E6F">
        <w:rPr>
          <w:rFonts w:ascii="Times New Roman" w:hAnsi="Times New Roman"/>
          <w:sz w:val="24"/>
        </w:rPr>
        <w:t>front investment. (Barrier 2)</w:t>
      </w:r>
      <w:r w:rsidRPr="00600E6F">
        <w:rPr>
          <w:rFonts w:ascii="Times New Roman" w:hAnsi="Times New Roman"/>
          <w:sz w:val="24"/>
        </w:rPr>
        <w:br/>
        <w:t>3)</w:t>
      </w:r>
      <w:r w:rsidRPr="00600E6F">
        <w:rPr>
          <w:rFonts w:ascii="Times New Roman" w:hAnsi="Times New Roman"/>
          <w:sz w:val="24"/>
        </w:rPr>
        <w:tab/>
        <w:t>Incentives would assist property owners or managers with overcoming a wide array of market and financial barriers which may otherwise prevent energy efficiency upgrades (Barrier 1, 5)</w:t>
      </w:r>
      <w:r w:rsidRPr="00600E6F">
        <w:rPr>
          <w:rFonts w:ascii="Times New Roman" w:hAnsi="Times New Roman"/>
          <w:sz w:val="24"/>
        </w:rPr>
        <w:br/>
        <w:t>4)</w:t>
      </w:r>
      <w:r w:rsidRPr="00600E6F">
        <w:rPr>
          <w:rFonts w:ascii="Times New Roman" w:hAnsi="Times New Roman"/>
          <w:sz w:val="24"/>
        </w:rPr>
        <w:tab/>
        <w:t xml:space="preserve">Create a single point of contact that would assist the property owner or manager navigate through the incentive and retrofitting process. This approach would provide support in understanding the various program rules and assistance in determining eligibility. The property owner or manager would be guided through an easy and streamlined preliminary assessment to establish feasibility and estimate project cost for the </w:t>
      </w:r>
      <w:r w:rsidRPr="00600E6F">
        <w:rPr>
          <w:rFonts w:ascii="Times New Roman" w:hAnsi="Times New Roman"/>
          <w:i/>
          <w:sz w:val="24"/>
        </w:rPr>
        <w:t>Multifamily Path</w:t>
      </w:r>
      <w:r w:rsidRPr="00600E6F">
        <w:rPr>
          <w:rFonts w:ascii="Times New Roman" w:hAnsi="Times New Roman"/>
          <w:sz w:val="24"/>
        </w:rPr>
        <w:t>, with an eye toward leveraging all eligible programs. (Barrier 4)</w:t>
      </w:r>
      <w:r w:rsidRPr="00600E6F">
        <w:rPr>
          <w:rFonts w:ascii="Times New Roman" w:hAnsi="Times New Roman"/>
          <w:sz w:val="24"/>
        </w:rPr>
        <w:br/>
        <w:t xml:space="preserve">5)  </w:t>
      </w:r>
      <w:r w:rsidRPr="00600E6F">
        <w:rPr>
          <w:rFonts w:ascii="Times New Roman" w:hAnsi="Times New Roman"/>
          <w:sz w:val="24"/>
        </w:rPr>
        <w:tab/>
        <w:t xml:space="preserve">Target buildings planning on or undergoing renovation projects to limit customer time burden and lost rental income.  (Barrier 4, 5) </w:t>
      </w:r>
      <w:r w:rsidRPr="00600E6F">
        <w:rPr>
          <w:rFonts w:ascii="Times New Roman" w:hAnsi="Times New Roman"/>
          <w:sz w:val="24"/>
        </w:rPr>
        <w:br/>
        <w:t>6)</w:t>
      </w:r>
      <w:r w:rsidRPr="00600E6F">
        <w:rPr>
          <w:rFonts w:ascii="Times New Roman" w:hAnsi="Times New Roman"/>
          <w:sz w:val="24"/>
        </w:rPr>
        <w:tab/>
        <w:t>Multifamily sector is comprised of a wide diversity of properties which can be segmented by: 1.) rental rate (low – medium – or high; and/or 2.) size of the building and also size of the company that owns or manages the building. Defining the unique concerns and needs of building owners and managers by these variables of tenant socio-economic status and ownership/management structure will allow much more effective messaging and marketing communications. (Barrier 1, 2, 3, 4, 7)</w:t>
      </w:r>
      <w:r w:rsidRPr="00600E6F">
        <w:rPr>
          <w:rFonts w:ascii="Times New Roman" w:hAnsi="Times New Roman"/>
          <w:sz w:val="24"/>
        </w:rPr>
        <w:br/>
        <w:t xml:space="preserve">7) </w:t>
      </w:r>
      <w:r w:rsidRPr="00600E6F">
        <w:rPr>
          <w:rFonts w:ascii="Times New Roman" w:hAnsi="Times New Roman"/>
          <w:sz w:val="24"/>
        </w:rPr>
        <w:tab/>
        <w:t xml:space="preserve">On Bill Financing or Repayment program which could be focused on the tenant or the common property energy agendas. This program will provide </w:t>
      </w:r>
      <w:r w:rsidRPr="00600E6F">
        <w:rPr>
          <w:rFonts w:ascii="Times New Roman" w:hAnsi="Times New Roman"/>
          <w:sz w:val="24"/>
        </w:rPr>
        <w:lastRenderedPageBreak/>
        <w:t>access to capital to fund investments in energy efficiency upgrades for buildings at an attractive interest rate. (Barrier 2, 3, 7)</w:t>
      </w:r>
    </w:p>
    <w:p w:rsidR="00513B47" w:rsidRPr="00600E6F" w:rsidRDefault="00513B47" w:rsidP="003408F4">
      <w:pPr>
        <w:autoSpaceDE w:val="0"/>
        <w:autoSpaceDN w:val="0"/>
        <w:adjustRightInd w:val="0"/>
        <w:spacing w:after="0" w:line="240" w:lineRule="auto"/>
        <w:ind w:left="1800" w:hanging="360"/>
        <w:rPr>
          <w:rFonts w:ascii="Times New Roman" w:hAnsi="Times New Roman"/>
          <w:sz w:val="24"/>
        </w:rPr>
      </w:pPr>
    </w:p>
    <w:p w:rsidR="00513B47" w:rsidRPr="00600E6F" w:rsidRDefault="00513B47" w:rsidP="003408F4">
      <w:pPr>
        <w:pStyle w:val="Heading2"/>
        <w:keepNext w:val="0"/>
        <w:spacing w:before="0" w:after="0"/>
        <w:ind w:left="1080" w:hanging="360"/>
        <w:rPr>
          <w:rFonts w:ascii="Times New Roman" w:hAnsi="Times New Roman"/>
          <w:color w:val="000000"/>
          <w:sz w:val="24"/>
        </w:rPr>
      </w:pPr>
      <w:r w:rsidRPr="00600E6F">
        <w:rPr>
          <w:rFonts w:ascii="Times New Roman" w:hAnsi="Times New Roman"/>
          <w:color w:val="000000"/>
          <w:sz w:val="24"/>
        </w:rPr>
        <w:t xml:space="preserve">5)  </w:t>
      </w:r>
      <w:r w:rsidRPr="00600E6F">
        <w:rPr>
          <w:rFonts w:ascii="Times New Roman" w:hAnsi="Times New Roman"/>
          <w:color w:val="000000"/>
          <w:sz w:val="24"/>
        </w:rPr>
        <w:tab/>
        <w:t>A coherent program or “market” logic model</w:t>
      </w:r>
    </w:p>
    <w:p w:rsidR="00513B47" w:rsidRPr="00600E6F" w:rsidRDefault="00513B47" w:rsidP="003408F4">
      <w:pPr>
        <w:spacing w:after="0" w:line="240" w:lineRule="auto"/>
        <w:rPr>
          <w:rFonts w:ascii="Times New Roman" w:hAnsi="Times New Roman"/>
          <w:color w:val="000000"/>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WHUP is designed to use a market transformation framework to pull in new measures and push out the mature measures. The diagram below describes this iterative process.</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Whole House Program will be serving both homeowners and property owners/managers, with the intent to coordinate its program activities with the low-income program to meet special needs. Like the other market transformation programs, the Whole House program, will work with Emerging Technology (I), Plug Load &amp; Appliance, Residential HVAC Programs and other residential programs to leverage new and innovative technologies and applications, while pruning more mature technologies and applications from program offerings. These program interactions are described in the Whole House Program Key Support Activity Process Diagram below. These interaction and coordination decisions will be facilitated by IOUs' Decision Panel (A) as indicated in the logic model.  </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To reduce market barriers, the program’s activities are designed to “get the word” out about the benefits of comprehensive retrofits through both mass marketing (D) as well as ground-up individual outreach for neighborhoods and communities (C), by working with local governments and entities.  To help property owners understand their energy consumption profile (E), the participants will be encouraged to use a Energy Advisor survey (E) to gauge the overall consumption profile prior to making retrofit decisions, thus respecting the load order of implementation cost effectiveness, and to engage and motivate additional behavior-oriented energy efficiency and conservation actions.  To ease the financial burden of the project cost and investment, the program will make financing packages and information available to prospective participants (G).</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The program recognizes the importance of having a pool of qualified and competent contractors available to meet the market needs (J &amp; O).  The program offers BPI certification training as well as participating contractor ongoing training and mentoring to meet the needs of the workforce and program quality control requirements.  This increase in the quality and the quantity of the labor pool, will contribute to contractors’ performing projects, outside of the program, to meet deep energy retrofit needs, leading to non-participant spillover effects (R, S &amp; V).</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The expected outcome of this program includes increased and improved awareness, knowledge and attitude (AKA) of homeowners and apartment owners towards understanding the benefits of deep energy retrofits (P).  After realizing these benefits from program participation, the participant further enjoys other non-energy benefits such as improved comfort of the house and increased value of their properties.  The increased value in the property will become more pronounced as the state finalizes its home rating system, so the home purchasers will be aware of the inherent value of properties complete with deep energy reduction retrofits (U).  All of these benefits will help the </w:t>
      </w:r>
      <w:r w:rsidRPr="00600E6F">
        <w:rPr>
          <w:rFonts w:ascii="Times New Roman" w:hAnsi="Times New Roman"/>
          <w:sz w:val="24"/>
        </w:rPr>
        <w:lastRenderedPageBreak/>
        <w:t>program participants to continue property improvements outside of the program and outside of the program offerings, leading to spillover effects (T).  These participant and non-participant spillover effects will eventually change the overall composition of the housing stock at the market level, making housing and building code ratcheting possible for society (X &amp; Y).  These codes and standards changes will lead to further reduction of energy consumption at the market level leading to fulfilling the objectives of the California Long-Term energy and environmental policies (AA).</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For the benefit of readers, the associated Program Performance Metrics (PPMs) and appropriate Market Transformation Indicators (MTIs) are identified in this logic model.  Additional key program support activities are diagramed as a process diagram for further illustration.  The Whole House program will have the option to conduct additional pilots/trials to test technologies, applications or other programmatic design and marketing possibilities.  The learning from those activities is expected to contribute to the program innovation and further learning.</w:t>
      </w:r>
    </w:p>
    <w:p w:rsidR="00513B47" w:rsidRPr="00600E6F" w:rsidRDefault="00513B47" w:rsidP="003408F4">
      <w:pPr>
        <w:spacing w:after="0" w:line="240" w:lineRule="auto"/>
        <w:ind w:left="1080"/>
        <w:rPr>
          <w:rFonts w:ascii="Times New Roman" w:hAnsi="Times New Roman"/>
          <w:sz w:val="24"/>
        </w:rPr>
      </w:pPr>
    </w:p>
    <w:p w:rsidR="00513B47" w:rsidRPr="00600E6F" w:rsidRDefault="00CF710C" w:rsidP="00CF710C">
      <w:pPr>
        <w:spacing w:after="0" w:line="240" w:lineRule="auto"/>
        <w:ind w:left="-720" w:firstLine="720"/>
        <w:rPr>
          <w:rFonts w:ascii="Times New Roman" w:hAnsi="Times New Roman"/>
          <w:sz w:val="24"/>
        </w:rPr>
      </w:pPr>
      <w:r w:rsidRPr="00600E6F">
        <w:rPr>
          <w:rFonts w:ascii="Times New Roman" w:hAnsi="Times New Roman"/>
          <w:sz w:val="24"/>
        </w:rPr>
        <w:object w:dxaOrig="14877" w:dyaOrig="5816">
          <v:shape id="_x0000_i1030" type="#_x0000_t75" style="width:495.75pt;height:221.25pt" o:ole="">
            <v:imagedata r:id="rId45" o:title=""/>
          </v:shape>
          <o:OLEObject Type="Embed" ProgID="Visio.Drawing.11" ShapeID="_x0000_i1030" DrawAspect="Content" ObjectID="_1408270871" r:id="rId46"/>
        </w:objec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Within this context, a decision making body, the IOUs Decision Panel, is formed to manage and guide this process.   (Please refer to logic model &amp; activities below)</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3408F4">
      <w:pPr>
        <w:pStyle w:val="Heading2"/>
        <w:keepNext w:val="0"/>
        <w:spacing w:before="0" w:after="0"/>
        <w:ind w:left="1080" w:hanging="360"/>
        <w:rPr>
          <w:rFonts w:ascii="Times New Roman" w:hAnsi="Times New Roman"/>
          <w:color w:val="000000"/>
          <w:sz w:val="24"/>
        </w:rPr>
      </w:pPr>
      <w:r w:rsidRPr="00600E6F">
        <w:rPr>
          <w:rFonts w:ascii="Times New Roman" w:hAnsi="Times New Roman"/>
          <w:color w:val="000000"/>
          <w:sz w:val="24"/>
        </w:rPr>
        <w:t xml:space="preserve">6)  </w:t>
      </w:r>
      <w:r w:rsidRPr="00600E6F">
        <w:rPr>
          <w:rFonts w:ascii="Times New Roman" w:hAnsi="Times New Roman"/>
          <w:color w:val="000000"/>
          <w:sz w:val="24"/>
        </w:rPr>
        <w:tab/>
        <w:t>Appropriate evaluation plans, corresponding Market Transformation Indicators and Program Performance Metrics based on the program logic model</w:t>
      </w:r>
    </w:p>
    <w:p w:rsidR="00513B47" w:rsidRPr="00600E6F" w:rsidRDefault="00513B47" w:rsidP="00B331ED">
      <w:pPr>
        <w:spacing w:after="0" w:line="240" w:lineRule="auto"/>
        <w:ind w:left="1080"/>
        <w:rPr>
          <w:rFonts w:ascii="Times New Roman" w:hAnsi="Times New Roman"/>
          <w:sz w:val="24"/>
        </w:rPr>
      </w:pPr>
      <w:r w:rsidRPr="00600E6F">
        <w:rPr>
          <w:rFonts w:ascii="Times New Roman" w:hAnsi="Times New Roman"/>
          <w:sz w:val="24"/>
        </w:rPr>
        <w:t>Due to the need to comply with the Decision’s timeline for filing the 2013-2014 PIP, and our desire to comply with earlier Decisions that call for gathering stakeholder input in informing market transformation efforts, we suggest that a full market effects evaluation plan be developed during the formulation of the Joint EM&amp;V Plan as described in section “18.1. Evaluation Budget” in Decision R.09-11-014. Until then, we suggest the following approach:</w:t>
      </w:r>
    </w:p>
    <w:p w:rsidR="00513B47" w:rsidRDefault="00513B47" w:rsidP="00B331ED">
      <w:pPr>
        <w:spacing w:after="0" w:line="240" w:lineRule="auto"/>
        <w:ind w:left="1080"/>
        <w:rPr>
          <w:rFonts w:ascii="Times New Roman" w:hAnsi="Times New Roman"/>
          <w:sz w:val="24"/>
        </w:rPr>
      </w:pPr>
    </w:p>
    <w:p w:rsidR="00CF710C" w:rsidRPr="00600E6F" w:rsidRDefault="00CF710C" w:rsidP="00B331ED">
      <w:pPr>
        <w:spacing w:after="0" w:line="240" w:lineRule="auto"/>
        <w:ind w:left="1080"/>
        <w:rPr>
          <w:rFonts w:ascii="Times New Roman" w:hAnsi="Times New Roman"/>
          <w:sz w:val="24"/>
        </w:rPr>
      </w:pPr>
    </w:p>
    <w:p w:rsidR="00513B47" w:rsidRPr="00600E6F" w:rsidRDefault="00513B47" w:rsidP="00B331ED">
      <w:pPr>
        <w:spacing w:after="0" w:line="240" w:lineRule="auto"/>
        <w:ind w:left="1080"/>
        <w:rPr>
          <w:rFonts w:ascii="Times New Roman" w:hAnsi="Times New Roman"/>
          <w:sz w:val="24"/>
        </w:rPr>
      </w:pPr>
      <w:r w:rsidRPr="00600E6F">
        <w:rPr>
          <w:rFonts w:ascii="Times New Roman" w:hAnsi="Times New Roman"/>
          <w:b/>
          <w:sz w:val="24"/>
        </w:rPr>
        <w:lastRenderedPageBreak/>
        <w:t xml:space="preserve">Summative evaluation: </w:t>
      </w:r>
      <w:r w:rsidRPr="00600E6F">
        <w:rPr>
          <w:rFonts w:ascii="Times New Roman" w:hAnsi="Times New Roman"/>
          <w:sz w:val="24"/>
        </w:rPr>
        <w:t>Market Effects. The market transformation program’s theory and logic model will be used to guide the evaluation efforts. The scope of the market effects study should be defined by the MT program’s scope. The timeline for specific market effects that are to be evaluated should be defined by the MT program theory. Among other indicators, the program theory may specify changes in market characteristics that can be evaluated, such as 1) Spillover, 2) attitudes, awareness and knowledge, 3) reductions in specific market barrier, 4) current pricing and product availability, and 5) other market milestones. We will make the following distinction between program “spillover” and market effects: spillover is energy savings not directly tracked by the program, whereas market effects are broader and would include spillover as well as meaningful changes in the structure or functioning of the market.</w:t>
      </w:r>
    </w:p>
    <w:p w:rsidR="00513B47" w:rsidRPr="00600E6F" w:rsidRDefault="00513B47" w:rsidP="00B331ED">
      <w:pPr>
        <w:spacing w:after="0" w:line="240" w:lineRule="auto"/>
        <w:ind w:left="1080"/>
        <w:rPr>
          <w:rFonts w:ascii="Times New Roman" w:hAnsi="Times New Roman"/>
          <w:sz w:val="24"/>
        </w:rPr>
      </w:pPr>
    </w:p>
    <w:p w:rsidR="00513B47" w:rsidRPr="00600E6F" w:rsidRDefault="00513B47" w:rsidP="00B331ED">
      <w:pPr>
        <w:spacing w:after="0" w:line="240" w:lineRule="auto"/>
        <w:ind w:left="1080"/>
        <w:rPr>
          <w:rFonts w:ascii="Times New Roman" w:hAnsi="Times New Roman"/>
          <w:sz w:val="24"/>
        </w:rPr>
      </w:pPr>
      <w:r w:rsidRPr="00600E6F">
        <w:rPr>
          <w:rFonts w:ascii="Times New Roman" w:hAnsi="Times New Roman"/>
          <w:b/>
          <w:sz w:val="24"/>
        </w:rPr>
        <w:t xml:space="preserve">Formative evaluation: </w:t>
      </w:r>
      <w:r w:rsidRPr="00600E6F">
        <w:rPr>
          <w:rFonts w:ascii="Times New Roman" w:hAnsi="Times New Roman"/>
          <w:sz w:val="24"/>
        </w:rPr>
        <w:t xml:space="preserve">The formative evaluation of a market transformation program is typically performed at the intervention (i.e. program) level. The methods are the same as would be used in a program process evaluation, and would include interviews with program staff, participants and non-participants as well as an assessment of the program’s direct outputs. </w:t>
      </w:r>
    </w:p>
    <w:p w:rsidR="00513B47" w:rsidRPr="00600E6F" w:rsidRDefault="00513B47" w:rsidP="00B331ED">
      <w:pPr>
        <w:spacing w:after="0" w:line="240" w:lineRule="auto"/>
        <w:ind w:left="1080"/>
        <w:rPr>
          <w:rFonts w:ascii="Times New Roman" w:hAnsi="Times New Roman"/>
          <w:b/>
          <w:sz w:val="24"/>
        </w:rPr>
      </w:pPr>
    </w:p>
    <w:p w:rsidR="00513B47" w:rsidRPr="00600E6F" w:rsidRDefault="00513B47" w:rsidP="00B331ED">
      <w:pPr>
        <w:spacing w:after="0" w:line="240" w:lineRule="auto"/>
        <w:ind w:left="1080"/>
        <w:rPr>
          <w:rFonts w:ascii="Times New Roman" w:hAnsi="Times New Roman"/>
          <w:b/>
          <w:sz w:val="24"/>
        </w:rPr>
      </w:pPr>
      <w:r w:rsidRPr="00600E6F">
        <w:rPr>
          <w:rFonts w:ascii="Times New Roman" w:hAnsi="Times New Roman"/>
          <w:b/>
          <w:sz w:val="24"/>
        </w:rPr>
        <w:t xml:space="preserve">Program Performance Metrics: </w:t>
      </w:r>
    </w:p>
    <w:p w:rsidR="00513B47" w:rsidRPr="00600E6F" w:rsidRDefault="00513B47" w:rsidP="00B331ED">
      <w:pPr>
        <w:spacing w:after="0" w:line="240" w:lineRule="auto"/>
        <w:ind w:left="1080"/>
        <w:rPr>
          <w:rFonts w:ascii="Times New Roman" w:hAnsi="Times New Roman"/>
          <w:i/>
          <w:sz w:val="24"/>
        </w:rPr>
      </w:pPr>
      <w:r w:rsidRPr="00600E6F">
        <w:rPr>
          <w:rFonts w:ascii="Times New Roman" w:hAnsi="Times New Roman"/>
          <w:i/>
          <w:sz w:val="24"/>
        </w:rPr>
        <w:t>This information can be found in Table 3</w:t>
      </w:r>
      <w:r w:rsidRPr="00600E6F">
        <w:rPr>
          <w:rFonts w:ascii="Times New Roman" w:hAnsi="Times New Roman"/>
          <w:sz w:val="24"/>
        </w:rPr>
        <w:t xml:space="preserve"> </w:t>
      </w:r>
      <w:r w:rsidRPr="00600E6F">
        <w:rPr>
          <w:rFonts w:ascii="Times New Roman" w:hAnsi="Times New Roman"/>
          <w:i/>
          <w:sz w:val="24"/>
        </w:rPr>
        <w:t>PPM Information to be provided as an Excel Attachment to this PIP</w:t>
      </w:r>
    </w:p>
    <w:p w:rsidR="00513B47" w:rsidRPr="00600E6F" w:rsidRDefault="00513B47" w:rsidP="00B331ED">
      <w:pPr>
        <w:spacing w:after="0" w:line="240" w:lineRule="auto"/>
        <w:ind w:left="1080"/>
        <w:rPr>
          <w:rFonts w:ascii="Times New Roman" w:hAnsi="Times New Roman"/>
          <w:sz w:val="24"/>
        </w:rPr>
      </w:pPr>
    </w:p>
    <w:p w:rsidR="00513B47" w:rsidRPr="00600E6F" w:rsidRDefault="00513B47" w:rsidP="00B331ED">
      <w:pPr>
        <w:spacing w:after="0" w:line="240" w:lineRule="auto"/>
        <w:ind w:left="1080"/>
        <w:rPr>
          <w:rFonts w:ascii="Times New Roman" w:hAnsi="Times New Roman"/>
          <w:sz w:val="24"/>
        </w:rPr>
      </w:pPr>
      <w:r w:rsidRPr="00600E6F">
        <w:rPr>
          <w:rFonts w:ascii="Times New Roman" w:hAnsi="Times New Roman"/>
          <w:b/>
          <w:sz w:val="24"/>
        </w:rPr>
        <w:t>Market Transformation Indicators</w:t>
      </w:r>
      <w:r w:rsidRPr="00600E6F">
        <w:rPr>
          <w:rFonts w:ascii="Times New Roman" w:hAnsi="Times New Roman"/>
          <w:sz w:val="24"/>
        </w:rPr>
        <w:t>: DeepRetrofit-2 The number of households that elect to perform comprehensive energy upgrades.</w:t>
      </w:r>
    </w:p>
    <w:p w:rsidR="00513B47" w:rsidRPr="00600E6F" w:rsidRDefault="00513B47" w:rsidP="00B331ED">
      <w:pPr>
        <w:spacing w:after="0" w:line="240" w:lineRule="auto"/>
        <w:ind w:left="1080"/>
        <w:rPr>
          <w:rFonts w:ascii="Times New Roman" w:hAnsi="Times New Roman"/>
          <w:sz w:val="24"/>
        </w:rPr>
      </w:pPr>
      <w:r w:rsidRPr="00600E6F">
        <w:rPr>
          <w:rFonts w:ascii="Times New Roman" w:hAnsi="Times New Roman"/>
          <w:sz w:val="24"/>
        </w:rPr>
        <w:t>Market transformation indicator results shall be reported, as available, by Energy Division or the IOUs, depending upon who conducts the necessary market studies.  (Res. 4385, 12/2/10)</w:t>
      </w:r>
    </w:p>
    <w:p w:rsidR="00513B47" w:rsidRPr="00600E6F" w:rsidRDefault="00513B47" w:rsidP="00B331ED">
      <w:pPr>
        <w:autoSpaceDE w:val="0"/>
        <w:autoSpaceDN w:val="0"/>
        <w:adjustRightInd w:val="0"/>
        <w:spacing w:after="0" w:line="240" w:lineRule="auto"/>
        <w:ind w:left="1080"/>
        <w:rPr>
          <w:rFonts w:ascii="Times New Roman" w:hAnsi="Times New Roman"/>
          <w:b/>
          <w:sz w:val="24"/>
        </w:rPr>
      </w:pPr>
    </w:p>
    <w:p w:rsidR="00513B47" w:rsidRPr="00600E6F" w:rsidRDefault="00513B47" w:rsidP="00B331ED">
      <w:pPr>
        <w:autoSpaceDE w:val="0"/>
        <w:autoSpaceDN w:val="0"/>
        <w:adjustRightInd w:val="0"/>
        <w:spacing w:after="0" w:line="240" w:lineRule="auto"/>
        <w:ind w:left="1080"/>
        <w:rPr>
          <w:rFonts w:ascii="Times New Roman" w:hAnsi="Times New Roman"/>
          <w:color w:val="000000"/>
          <w:sz w:val="24"/>
        </w:rPr>
      </w:pPr>
      <w:r w:rsidRPr="00600E6F">
        <w:rPr>
          <w:rFonts w:ascii="Times New Roman" w:hAnsi="Times New Roman"/>
          <w:b/>
          <w:sz w:val="24"/>
        </w:rPr>
        <w:t>Attribution</w:t>
      </w:r>
      <w:r w:rsidR="00C32735">
        <w:rPr>
          <w:rFonts w:ascii="Times New Roman" w:hAnsi="Times New Roman"/>
          <w:b/>
          <w:sz w:val="24"/>
        </w:rPr>
        <w:t>:</w:t>
      </w:r>
      <w:r w:rsidRPr="00600E6F">
        <w:rPr>
          <w:rFonts w:ascii="Times New Roman" w:hAnsi="Times New Roman"/>
          <w:sz w:val="24"/>
        </w:rPr>
        <w:t xml:space="preserve"> Outside of California, most guidelines for evaluating market transformation acknowledge that it is very difficult to attribute market effects to any single program, and nearly impossible to partition out the respective contributions of several coordinated programs on market effects and market transformation. In California, the Framework (Sebold et al., 2001) emphasized that attribution of market effects to programs bears further research. Others (Rosenberg &amp; Hoefgen, 2009; Keating &amp; Prahl (MT Workshop, Nov 2011) suggest that declaring the program’s strategic intent through the market transformation initiative’s theory and logic model is key to establishing future claim on transformation effects. The methods proposed by Rosenberg &amp;</w:t>
      </w:r>
      <w:r w:rsidR="004E5A95">
        <w:rPr>
          <w:rFonts w:ascii="Times New Roman" w:hAnsi="Times New Roman"/>
          <w:sz w:val="24"/>
          <w:szCs w:val="24"/>
        </w:rPr>
        <w:t xml:space="preserve"> </w:t>
      </w:r>
      <w:r w:rsidRPr="00600E6F">
        <w:rPr>
          <w:rFonts w:ascii="Times New Roman" w:hAnsi="Times New Roman"/>
          <w:sz w:val="24"/>
        </w:rPr>
        <w:t xml:space="preserve">Hoefgen (2009) for attributing market effects to individual programs include a number of approaches, all of them qualitative: self-report of spillover and free ridership; cross-sectional comparisons with other geographic regions; structured expert judging; and case studies. But attribution using a “preponderance of evidence” approach would likely be expensive and still yield arguable results. Attribution by nature focuses on individual program efforts, and we believe the market transformation evaluation discourse should be focused on the overlapping synergy among all programs and influences in the market. We realize we all have a “Shared Mission” of meeting the CPUC’s very aggressive Strategic Plan goals. We do not wish to not invest resources in teasing apart which program entity contributed how much, but instead will plan to focus </w:t>
      </w:r>
      <w:r w:rsidRPr="00600E6F">
        <w:rPr>
          <w:rFonts w:ascii="Times New Roman" w:hAnsi="Times New Roman"/>
          <w:sz w:val="24"/>
        </w:rPr>
        <w:lastRenderedPageBreak/>
        <w:t>on whether all the market forces across the State of California have succeeded in transforming the market</w:t>
      </w:r>
      <w:r w:rsidRPr="00600E6F">
        <w:rPr>
          <w:rFonts w:ascii="Times New Roman" w:hAnsi="Times New Roman"/>
          <w:color w:val="000000"/>
          <w:sz w:val="24"/>
        </w:rPr>
        <w:t>.</w:t>
      </w:r>
    </w:p>
    <w:p w:rsidR="00513B47" w:rsidRPr="00600E6F" w:rsidRDefault="00513B47" w:rsidP="003408F4">
      <w:pPr>
        <w:autoSpaceDE w:val="0"/>
        <w:autoSpaceDN w:val="0"/>
        <w:adjustRightInd w:val="0"/>
        <w:spacing w:after="0" w:line="240" w:lineRule="auto"/>
        <w:ind w:left="1080"/>
        <w:rPr>
          <w:rFonts w:ascii="Times New Roman" w:hAnsi="Times New Roman"/>
          <w:color w:val="000000"/>
          <w:sz w:val="24"/>
        </w:rPr>
      </w:pPr>
    </w:p>
    <w:p w:rsidR="00513B47" w:rsidRPr="00600E6F" w:rsidRDefault="00513B47" w:rsidP="003408F4">
      <w:pPr>
        <w:autoSpaceDE w:val="0"/>
        <w:autoSpaceDN w:val="0"/>
        <w:adjustRightInd w:val="0"/>
        <w:spacing w:after="0" w:line="240" w:lineRule="auto"/>
        <w:ind w:left="1080"/>
        <w:rPr>
          <w:rFonts w:ascii="Times New Roman" w:hAnsi="Times New Roman"/>
          <w:color w:val="000000"/>
          <w:sz w:val="24"/>
        </w:rPr>
      </w:pPr>
    </w:p>
    <w:p w:rsidR="00513B47" w:rsidRPr="00600E6F" w:rsidRDefault="008D705C" w:rsidP="00CF710C">
      <w:pPr>
        <w:autoSpaceDE w:val="0"/>
        <w:autoSpaceDN w:val="0"/>
        <w:adjustRightInd w:val="0"/>
        <w:spacing w:after="0" w:line="240" w:lineRule="auto"/>
        <w:ind w:left="-720" w:firstLine="360"/>
        <w:rPr>
          <w:rFonts w:ascii="Times New Roman" w:hAnsi="Times New Roman"/>
          <w:color w:val="000000"/>
          <w:sz w:val="24"/>
        </w:rPr>
      </w:pPr>
      <w:r>
        <w:rPr>
          <w:rFonts w:ascii="Times New Roman" w:hAnsi="Times New Roman"/>
          <w:noProof/>
        </w:rPr>
        <w:drawing>
          <wp:inline distT="0" distB="0" distL="0" distR="0" wp14:anchorId="7D459D6E" wp14:editId="72B59306">
            <wp:extent cx="6598802" cy="4173869"/>
            <wp:effectExtent l="19050" t="0" r="49648" b="74281"/>
            <wp:docPr id="4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7" cstate="print"/>
                    <a:srcRect/>
                    <a:stretch>
                      <a:fillRect/>
                    </a:stretch>
                  </pic:blipFill>
                  <pic:spPr bwMode="auto">
                    <a:xfrm>
                      <a:off x="0" y="0"/>
                      <a:ext cx="6598802" cy="4173869"/>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spacing w:after="0" w:line="240" w:lineRule="auto"/>
        <w:ind w:left="-720"/>
        <w:rPr>
          <w:rFonts w:ascii="Times New Roman" w:hAnsi="Times New Roman"/>
          <w:sz w:val="24"/>
        </w:rPr>
      </w:pPr>
    </w:p>
    <w:p w:rsidR="00513B47" w:rsidRPr="00600E6F" w:rsidRDefault="008D705C" w:rsidP="00CF710C">
      <w:pPr>
        <w:spacing w:after="0" w:line="240" w:lineRule="auto"/>
        <w:ind w:left="-270"/>
        <w:rPr>
          <w:rFonts w:ascii="Times New Roman" w:hAnsi="Times New Roman"/>
          <w:sz w:val="24"/>
        </w:rPr>
      </w:pPr>
      <w:r>
        <w:rPr>
          <w:rFonts w:ascii="Times New Roman" w:hAnsi="Times New Roman"/>
          <w:noProof/>
        </w:rPr>
        <w:lastRenderedPageBreak/>
        <w:drawing>
          <wp:inline distT="0" distB="0" distL="0" distR="0" wp14:anchorId="3AD63601" wp14:editId="46E2A2B3">
            <wp:extent cx="6519183" cy="5165273"/>
            <wp:effectExtent l="76200" t="0" r="53067" b="73477"/>
            <wp:docPr id="4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8" cstate="print"/>
                    <a:srcRect/>
                    <a:stretch>
                      <a:fillRect/>
                    </a:stretch>
                  </pic:blipFill>
                  <pic:spPr bwMode="auto">
                    <a:xfrm>
                      <a:off x="0" y="0"/>
                      <a:ext cx="6519183" cy="5165273"/>
                    </a:xfrm>
                    <a:prstGeom prst="rect">
                      <a:avLst/>
                    </a:prstGeom>
                    <a:noFill/>
                    <a:ln w="9525">
                      <a:noFill/>
                      <a:miter lim="800000"/>
                      <a:headEnd/>
                      <a:tailEnd/>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145"/>
        </w:numPr>
        <w:spacing w:after="0" w:line="240" w:lineRule="auto"/>
        <w:rPr>
          <w:rFonts w:ascii="Times New Roman" w:hAnsi="Times New Roman"/>
          <w:sz w:val="24"/>
        </w:rPr>
      </w:pPr>
      <w:r w:rsidRPr="00600E6F">
        <w:rPr>
          <w:rFonts w:ascii="Times New Roman" w:hAnsi="Times New Roman"/>
          <w:b/>
          <w:sz w:val="24"/>
        </w:rPr>
        <w:t>Additional information as required by Commission decision or ruling or as needed:</w:t>
      </w:r>
      <w:r w:rsidRPr="00600E6F">
        <w:rPr>
          <w:rFonts w:ascii="Times New Roman" w:hAnsi="Times New Roman"/>
          <w:sz w:val="24"/>
        </w:rPr>
        <w:t xml:space="preserve">  Include here additional information as required by Commission decision or ruling (As applicable. Indicate decision or ruling and page numbers):</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B331ED">
      <w:pPr>
        <w:spacing w:after="0" w:line="240" w:lineRule="auto"/>
        <w:ind w:left="270"/>
        <w:rPr>
          <w:rFonts w:ascii="Times New Roman" w:hAnsi="Times New Roman"/>
          <w:b/>
          <w:sz w:val="24"/>
        </w:rPr>
      </w:pPr>
      <w:r w:rsidRPr="00600E6F">
        <w:rPr>
          <w:rFonts w:ascii="Times New Roman" w:hAnsi="Times New Roman"/>
          <w:b/>
          <w:sz w:val="24"/>
        </w:rPr>
        <w:t>IOU Streamlined Emergency Replacement Protocol and Streamlined High Performing Contractor Protocol</w:t>
      </w:r>
    </w:p>
    <w:p w:rsidR="00513B47" w:rsidRPr="00600E6F" w:rsidRDefault="00513B47" w:rsidP="00B331ED">
      <w:pPr>
        <w:spacing w:after="0" w:line="240" w:lineRule="auto"/>
        <w:ind w:left="270"/>
        <w:jc w:val="center"/>
        <w:rPr>
          <w:rFonts w:ascii="Times New Roman" w:hAnsi="Times New Roman"/>
          <w:b/>
          <w:sz w:val="24"/>
        </w:rPr>
      </w:pPr>
    </w:p>
    <w:p w:rsidR="00513B47" w:rsidRPr="00600E6F" w:rsidRDefault="00513B47" w:rsidP="00B331ED">
      <w:pPr>
        <w:spacing w:after="0" w:line="240" w:lineRule="auto"/>
        <w:ind w:left="360"/>
        <w:rPr>
          <w:rFonts w:ascii="Times New Roman" w:hAnsi="Times New Roman"/>
          <w:b/>
          <w:sz w:val="24"/>
        </w:rPr>
      </w:pPr>
      <w:r w:rsidRPr="00600E6F">
        <w:rPr>
          <w:rFonts w:ascii="Times New Roman" w:hAnsi="Times New Roman"/>
          <w:b/>
          <w:sz w:val="24"/>
        </w:rPr>
        <w:t>1.</w:t>
      </w:r>
      <w:r w:rsidRPr="00600E6F">
        <w:rPr>
          <w:rFonts w:ascii="Times New Roman" w:hAnsi="Times New Roman"/>
          <w:b/>
          <w:sz w:val="24"/>
        </w:rPr>
        <w:tab/>
        <w:t>SDG&amp;E</w:t>
      </w: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 xml:space="preserve">a. </w:t>
      </w:r>
      <w:r w:rsidRPr="00600E6F">
        <w:rPr>
          <w:rFonts w:ascii="Times New Roman" w:hAnsi="Times New Roman"/>
          <w:b/>
          <w:sz w:val="24"/>
        </w:rPr>
        <w:tab/>
        <w:t>Streamlined Emergency Replacement Protocol</w:t>
      </w: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ab/>
        <w:t>Per section 7 of SDG&amp;E’s QA/QC Quality Assurance and Quality Control Plan:</w:t>
      </w:r>
    </w:p>
    <w:p w:rsidR="00513B47" w:rsidRPr="00600E6F" w:rsidRDefault="00513B47" w:rsidP="003408F4">
      <w:pPr>
        <w:pStyle w:val="Heading1"/>
        <w:keepNext w:val="0"/>
        <w:ind w:left="1080" w:hanging="360"/>
        <w:jc w:val="left"/>
        <w:rPr>
          <w:b/>
          <w:color w:val="000000"/>
          <w:sz w:val="24"/>
        </w:rPr>
      </w:pPr>
      <w:r w:rsidRPr="00600E6F">
        <w:rPr>
          <w:color w:val="000000"/>
          <w:sz w:val="24"/>
        </w:rPr>
        <w:t>7.0</w:t>
      </w:r>
      <w:r w:rsidRPr="00600E6F">
        <w:rPr>
          <w:color w:val="000000"/>
          <w:sz w:val="24"/>
        </w:rPr>
        <w:tab/>
        <w:t>Emergency Replacement of Major Systems</w:t>
      </w:r>
    </w:p>
    <w:p w:rsidR="00513B47" w:rsidRPr="00600E6F" w:rsidRDefault="00513B47" w:rsidP="003408F4">
      <w:pPr>
        <w:pStyle w:val="Heading2"/>
        <w:keepNext w:val="0"/>
        <w:numPr>
          <w:ilvl w:val="1"/>
          <w:numId w:val="0"/>
        </w:numPr>
        <w:spacing w:before="0" w:after="0"/>
        <w:ind w:left="1980" w:hanging="900"/>
        <w:rPr>
          <w:rFonts w:ascii="Times New Roman" w:hAnsi="Times New Roman"/>
          <w:b w:val="0"/>
          <w:color w:val="000000"/>
          <w:sz w:val="24"/>
        </w:rPr>
      </w:pPr>
      <w:r w:rsidRPr="00600E6F">
        <w:rPr>
          <w:rFonts w:ascii="Times New Roman" w:hAnsi="Times New Roman"/>
          <w:b w:val="0"/>
          <w:color w:val="000000"/>
          <w:sz w:val="24"/>
        </w:rPr>
        <w:t>7.1</w:t>
      </w:r>
      <w:r w:rsidRPr="00600E6F">
        <w:rPr>
          <w:rFonts w:ascii="Times New Roman" w:hAnsi="Times New Roman"/>
          <w:b w:val="0"/>
          <w:color w:val="000000"/>
          <w:sz w:val="24"/>
        </w:rPr>
        <w:tab/>
        <w:t>It is recognized that there may be instances whereas immediate replacement of major systems is required due to health, safety and quality of life circumstances.  In the event the customer has immediate need for equipment replacement, the QA/QC process will not interfere with a customer’s ability to participate in the WHUP.</w:t>
      </w:r>
    </w:p>
    <w:p w:rsidR="00513B47" w:rsidRPr="00600E6F" w:rsidRDefault="00513B47" w:rsidP="003408F4">
      <w:pPr>
        <w:pStyle w:val="Heading3"/>
        <w:keepNext w:val="0"/>
        <w:numPr>
          <w:ilvl w:val="2"/>
          <w:numId w:val="0"/>
        </w:numPr>
        <w:spacing w:before="0" w:after="0"/>
        <w:ind w:left="1980" w:hanging="900"/>
        <w:rPr>
          <w:rFonts w:ascii="Times New Roman" w:hAnsi="Times New Roman"/>
          <w:b w:val="0"/>
          <w:color w:val="000000"/>
          <w:sz w:val="24"/>
        </w:rPr>
      </w:pPr>
      <w:r w:rsidRPr="00600E6F">
        <w:rPr>
          <w:rFonts w:ascii="Times New Roman" w:hAnsi="Times New Roman"/>
          <w:b w:val="0"/>
          <w:color w:val="000000"/>
          <w:sz w:val="24"/>
        </w:rPr>
        <w:lastRenderedPageBreak/>
        <w:t>7.1.1</w:t>
      </w:r>
      <w:r w:rsidRPr="00600E6F">
        <w:rPr>
          <w:rFonts w:ascii="Times New Roman" w:hAnsi="Times New Roman"/>
          <w:b w:val="0"/>
          <w:color w:val="000000"/>
          <w:sz w:val="24"/>
        </w:rPr>
        <w:tab/>
        <w:t>Major systems that qualify under this provision are identified as:</w:t>
      </w:r>
    </w:p>
    <w:p w:rsidR="00513B47" w:rsidRPr="00600E6F" w:rsidRDefault="00513B47" w:rsidP="003408F4">
      <w:pPr>
        <w:pStyle w:val="Lista1"/>
        <w:spacing w:line="240" w:lineRule="auto"/>
        <w:ind w:left="1980" w:firstLine="0"/>
        <w:rPr>
          <w:rFonts w:ascii="Times New Roman" w:hAnsi="Times New Roman"/>
        </w:rPr>
      </w:pPr>
      <w:r w:rsidRPr="00600E6F">
        <w:rPr>
          <w:rFonts w:ascii="Times New Roman" w:hAnsi="Times New Roman"/>
        </w:rPr>
        <w:t>a.</w:t>
      </w:r>
      <w:r w:rsidRPr="00600E6F">
        <w:rPr>
          <w:rFonts w:ascii="Times New Roman" w:hAnsi="Times New Roman"/>
        </w:rPr>
        <w:tab/>
        <w:t xml:space="preserve">   HVAC Systems or components</w:t>
      </w:r>
    </w:p>
    <w:p w:rsidR="00513B47" w:rsidRPr="00600E6F" w:rsidRDefault="00513B47" w:rsidP="003408F4">
      <w:pPr>
        <w:pStyle w:val="Lista1"/>
        <w:spacing w:line="240" w:lineRule="auto"/>
        <w:ind w:left="1980" w:firstLine="0"/>
        <w:rPr>
          <w:rFonts w:ascii="Times New Roman" w:hAnsi="Times New Roman"/>
        </w:rPr>
      </w:pPr>
      <w:r w:rsidRPr="00600E6F">
        <w:rPr>
          <w:rFonts w:ascii="Times New Roman" w:hAnsi="Times New Roman"/>
        </w:rPr>
        <w:t>b.   Hot water heater replacements</w:t>
      </w:r>
    </w:p>
    <w:p w:rsidR="00513B47" w:rsidRPr="00600E6F" w:rsidRDefault="00513B47" w:rsidP="003408F4">
      <w:pPr>
        <w:pStyle w:val="Heading3"/>
        <w:keepNext w:val="0"/>
        <w:numPr>
          <w:ilvl w:val="2"/>
          <w:numId w:val="0"/>
        </w:numPr>
        <w:spacing w:before="0" w:after="0"/>
        <w:ind w:left="1980" w:hanging="900"/>
        <w:rPr>
          <w:rFonts w:ascii="Times New Roman" w:hAnsi="Times New Roman"/>
          <w:b w:val="0"/>
          <w:color w:val="000000"/>
          <w:sz w:val="24"/>
        </w:rPr>
      </w:pPr>
      <w:r w:rsidRPr="00600E6F">
        <w:rPr>
          <w:rFonts w:ascii="Times New Roman" w:hAnsi="Times New Roman"/>
          <w:b w:val="0"/>
          <w:color w:val="000000"/>
          <w:sz w:val="24"/>
        </w:rPr>
        <w:t>7.1.2</w:t>
      </w:r>
      <w:r w:rsidRPr="00600E6F">
        <w:rPr>
          <w:rFonts w:ascii="Times New Roman" w:hAnsi="Times New Roman"/>
          <w:b w:val="0"/>
          <w:color w:val="000000"/>
          <w:sz w:val="24"/>
        </w:rPr>
        <w:tab/>
        <w:t xml:space="preserve">In the event that a contractor wishes to install a major system identified herein under the provisions of an emergency replacement, the contractor shall contact and notify the QA/QC vendor immediately of the customer’s emergency situation and to request accommodation under this provision.  The QA/QC provider will determine if the circumstances warrant this provision.  </w:t>
      </w:r>
    </w:p>
    <w:p w:rsidR="00513B47" w:rsidRPr="00600E6F" w:rsidRDefault="00513B47" w:rsidP="003408F4">
      <w:pPr>
        <w:pStyle w:val="Lista1"/>
        <w:spacing w:line="240" w:lineRule="auto"/>
        <w:ind w:left="2520" w:hanging="540"/>
        <w:rPr>
          <w:rFonts w:ascii="Times New Roman" w:hAnsi="Times New Roman"/>
        </w:rPr>
      </w:pPr>
      <w:r w:rsidRPr="00600E6F">
        <w:rPr>
          <w:rFonts w:ascii="Times New Roman" w:hAnsi="Times New Roman"/>
        </w:rPr>
        <w:t>a.</w:t>
      </w:r>
      <w:r w:rsidRPr="00600E6F">
        <w:rPr>
          <w:rFonts w:ascii="Times New Roman" w:hAnsi="Times New Roman"/>
        </w:rPr>
        <w:tab/>
        <w:t xml:space="preserve">The contractor will provide the QA/QC the customer contact information, make/model/serial numbers of existing equipment and date the replacement will be installed. </w:t>
      </w:r>
    </w:p>
    <w:p w:rsidR="00513B47" w:rsidRPr="00600E6F" w:rsidRDefault="00513B47" w:rsidP="003408F4">
      <w:pPr>
        <w:pStyle w:val="Lista1"/>
        <w:spacing w:line="240" w:lineRule="auto"/>
        <w:ind w:left="2520" w:hanging="540"/>
        <w:rPr>
          <w:rFonts w:ascii="Times New Roman" w:hAnsi="Times New Roman"/>
        </w:rPr>
      </w:pPr>
      <w:r w:rsidRPr="00600E6F">
        <w:rPr>
          <w:rFonts w:ascii="Times New Roman" w:hAnsi="Times New Roman"/>
        </w:rPr>
        <w:t>b.</w:t>
      </w:r>
      <w:r w:rsidRPr="00600E6F">
        <w:rPr>
          <w:rFonts w:ascii="Times New Roman" w:hAnsi="Times New Roman"/>
        </w:rPr>
        <w:tab/>
        <w:t xml:space="preserve">The QA/QC vendor may field-verify the equipment to be replaced. </w:t>
      </w:r>
    </w:p>
    <w:p w:rsidR="00513B47" w:rsidRPr="00600E6F" w:rsidRDefault="00513B47" w:rsidP="003408F4">
      <w:pPr>
        <w:pStyle w:val="Lista1"/>
        <w:spacing w:line="240" w:lineRule="auto"/>
        <w:ind w:left="2520" w:hanging="540"/>
        <w:rPr>
          <w:rFonts w:ascii="Times New Roman" w:hAnsi="Times New Roman"/>
        </w:rPr>
      </w:pPr>
      <w:r w:rsidRPr="00600E6F">
        <w:rPr>
          <w:rFonts w:ascii="Times New Roman" w:hAnsi="Times New Roman"/>
        </w:rPr>
        <w:t>c.</w:t>
      </w:r>
      <w:r w:rsidRPr="00600E6F">
        <w:rPr>
          <w:rFonts w:ascii="Times New Roman" w:hAnsi="Times New Roman"/>
        </w:rPr>
        <w:tab/>
        <w:t>The contractor can proceed with emergency work.</w:t>
      </w:r>
    </w:p>
    <w:p w:rsidR="00513B47" w:rsidRPr="00600E6F" w:rsidRDefault="00513B47" w:rsidP="003408F4">
      <w:pPr>
        <w:pStyle w:val="Lista1"/>
        <w:spacing w:line="240" w:lineRule="auto"/>
        <w:ind w:left="2520" w:hanging="540"/>
        <w:rPr>
          <w:rFonts w:ascii="Times New Roman" w:hAnsi="Times New Roman"/>
        </w:rPr>
      </w:pPr>
      <w:r w:rsidRPr="00600E6F">
        <w:rPr>
          <w:rFonts w:ascii="Times New Roman" w:hAnsi="Times New Roman"/>
        </w:rPr>
        <w:t>d.</w:t>
      </w:r>
      <w:r w:rsidRPr="00600E6F">
        <w:rPr>
          <w:rFonts w:ascii="Times New Roman" w:hAnsi="Times New Roman"/>
        </w:rPr>
        <w:tab/>
        <w:t>To include the emergency work as part of any WHUP project scope, contractors must follow all other procedures for participation in the WHUP program.</w:t>
      </w:r>
    </w:p>
    <w:p w:rsidR="00513B47" w:rsidRPr="00600E6F" w:rsidRDefault="00513B47" w:rsidP="003408F4">
      <w:pPr>
        <w:pStyle w:val="Lista1"/>
        <w:spacing w:line="240" w:lineRule="auto"/>
        <w:ind w:left="2520" w:hanging="540"/>
        <w:rPr>
          <w:rFonts w:ascii="Times New Roman" w:hAnsi="Times New Roman"/>
        </w:rPr>
      </w:pPr>
      <w:r w:rsidRPr="00600E6F">
        <w:rPr>
          <w:rFonts w:ascii="Times New Roman" w:hAnsi="Times New Roman"/>
        </w:rPr>
        <w:t>e.</w:t>
      </w:r>
      <w:r w:rsidRPr="00600E6F">
        <w:rPr>
          <w:rFonts w:ascii="Times New Roman" w:hAnsi="Times New Roman"/>
        </w:rPr>
        <w:tab/>
        <w:t>Any and all changes to the home prior to submitting a Pre-Retrofit Project Submittal Package shall be only for the immediate emergency need pre-approved by the QA/QC vendor and must be documented in the Pre-Retrofit Project Submittal Package.</w:t>
      </w:r>
    </w:p>
    <w:p w:rsidR="00513B47" w:rsidRPr="00600E6F" w:rsidRDefault="00513B47" w:rsidP="003408F4">
      <w:pPr>
        <w:pStyle w:val="Lista1"/>
        <w:spacing w:line="240" w:lineRule="auto"/>
        <w:ind w:left="2520" w:hanging="540"/>
        <w:rPr>
          <w:rFonts w:ascii="Times New Roman" w:hAnsi="Times New Roman"/>
        </w:rPr>
      </w:pPr>
      <w:r w:rsidRPr="00600E6F">
        <w:rPr>
          <w:rFonts w:ascii="Times New Roman" w:hAnsi="Times New Roman"/>
        </w:rPr>
        <w:t>f.</w:t>
      </w:r>
      <w:r w:rsidRPr="00600E6F">
        <w:rPr>
          <w:rFonts w:ascii="Times New Roman" w:hAnsi="Times New Roman"/>
        </w:rPr>
        <w:tab/>
        <w:t>All other project scope work outside of the approved emergency work must go through the standard QA/QC process as defined in this plan.</w:t>
      </w:r>
    </w:p>
    <w:p w:rsidR="00513B47" w:rsidRPr="00600E6F" w:rsidRDefault="00513B47" w:rsidP="003408F4">
      <w:pPr>
        <w:spacing w:after="0" w:line="240" w:lineRule="auto"/>
        <w:ind w:left="720" w:hanging="360"/>
        <w:rPr>
          <w:rFonts w:ascii="Times New Roman" w:hAnsi="Times New Roman"/>
          <w:b/>
          <w:sz w:val="24"/>
        </w:rPr>
      </w:pP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b.</w:t>
      </w:r>
      <w:r w:rsidRPr="00600E6F">
        <w:rPr>
          <w:rFonts w:ascii="Times New Roman" w:hAnsi="Times New Roman"/>
          <w:b/>
          <w:sz w:val="24"/>
        </w:rPr>
        <w:tab/>
        <w:t>Streamlined High Performing Contractor Protocol</w:t>
      </w:r>
    </w:p>
    <w:p w:rsidR="00513B47" w:rsidRPr="00600E6F" w:rsidRDefault="00513B47" w:rsidP="003408F4">
      <w:pPr>
        <w:spacing w:after="0" w:line="240" w:lineRule="auto"/>
        <w:ind w:left="720" w:hanging="360"/>
        <w:rPr>
          <w:rFonts w:ascii="Times New Roman" w:hAnsi="Times New Roman"/>
          <w:sz w:val="24"/>
        </w:rPr>
      </w:pPr>
      <w:r w:rsidRPr="00600E6F">
        <w:rPr>
          <w:rFonts w:ascii="Times New Roman" w:hAnsi="Times New Roman"/>
          <w:sz w:val="24"/>
        </w:rPr>
        <w:tab/>
        <w:t xml:space="preserve">Per SDG&amp;E’s Quality Assurance and Quality Control Plan, SDG&amp;E QA Review turnaround times are guaranteed to be 3 working days or less for both pre and post QA Review (desktop).  This time period is consistent with state contracting laws concerning consumer’s 72 hr. right to rescind.  </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Tier 3 contractors, meaning those contractors who have successfully completed a minimum of 30 projects are eligible for random QC Inspection sampling rate of 10% pre and 5% of post project submittals.</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In essence this means that high performing contractors with at least 30 projects will have 90% of their pre project submittals and 95% of post project submittals reviewed within 3 working days.</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360" w:hanging="360"/>
        <w:rPr>
          <w:rFonts w:ascii="Times New Roman" w:hAnsi="Times New Roman"/>
          <w:b/>
          <w:sz w:val="24"/>
        </w:rPr>
      </w:pPr>
      <w:r w:rsidRPr="00600E6F">
        <w:rPr>
          <w:rFonts w:ascii="Times New Roman" w:hAnsi="Times New Roman"/>
          <w:b/>
          <w:sz w:val="24"/>
        </w:rPr>
        <w:t>2.</w:t>
      </w:r>
      <w:r w:rsidRPr="00600E6F">
        <w:rPr>
          <w:rFonts w:ascii="Times New Roman" w:hAnsi="Times New Roman"/>
          <w:b/>
          <w:sz w:val="24"/>
        </w:rPr>
        <w:tab/>
      </w:r>
      <w:r w:rsidR="004E5A95">
        <w:rPr>
          <w:rFonts w:ascii="Times New Roman" w:hAnsi="Times New Roman"/>
          <w:b/>
          <w:sz w:val="24"/>
          <w:szCs w:val="24"/>
        </w:rPr>
        <w:t>SD</w:t>
      </w:r>
      <w:r w:rsidRPr="00D737C2">
        <w:rPr>
          <w:rFonts w:ascii="Times New Roman" w:hAnsi="Times New Roman"/>
          <w:b/>
          <w:sz w:val="24"/>
          <w:szCs w:val="24"/>
        </w:rPr>
        <w:t>G</w:t>
      </w:r>
      <w:r w:rsidRPr="00600E6F">
        <w:rPr>
          <w:rFonts w:ascii="Times New Roman" w:hAnsi="Times New Roman"/>
          <w:b/>
          <w:sz w:val="24"/>
        </w:rPr>
        <w:t>&amp;E</w:t>
      </w: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 xml:space="preserve">a. </w:t>
      </w:r>
      <w:r w:rsidRPr="00600E6F">
        <w:rPr>
          <w:rFonts w:ascii="Times New Roman" w:hAnsi="Times New Roman"/>
          <w:b/>
          <w:sz w:val="24"/>
        </w:rPr>
        <w:tab/>
        <w:t>Streamlined Emergency Replacement Protocol</w:t>
      </w:r>
    </w:p>
    <w:p w:rsidR="00513B47" w:rsidRPr="00600E6F" w:rsidRDefault="00513B47" w:rsidP="003408F4">
      <w:pPr>
        <w:spacing w:after="0" w:line="240" w:lineRule="auto"/>
        <w:ind w:left="720" w:right="-180"/>
        <w:rPr>
          <w:rFonts w:ascii="Times New Roman" w:hAnsi="Times New Roman"/>
          <w:color w:val="000000"/>
          <w:sz w:val="24"/>
        </w:rPr>
      </w:pPr>
      <w:r w:rsidRPr="00600E6F">
        <w:rPr>
          <w:rFonts w:ascii="Times New Roman" w:hAnsi="Times New Roman"/>
          <w:color w:val="000000"/>
          <w:sz w:val="24"/>
        </w:rPr>
        <w:t xml:space="preserve">The following process that is already in place in 2012 serves the purpose of both an emergency replacement protocol, as well as a Fast Track process for all participating contractors in good standing. </w:t>
      </w:r>
    </w:p>
    <w:p w:rsidR="00513B47" w:rsidRPr="00600E6F" w:rsidRDefault="00513B47" w:rsidP="003408F4">
      <w:pPr>
        <w:spacing w:after="0" w:line="240" w:lineRule="auto"/>
        <w:ind w:left="720" w:right="-180"/>
        <w:rPr>
          <w:rFonts w:ascii="Times New Roman" w:hAnsi="Times New Roman"/>
          <w:color w:val="000000"/>
          <w:sz w:val="24"/>
        </w:rPr>
      </w:pPr>
    </w:p>
    <w:p w:rsidR="00513B47" w:rsidRPr="00600E6F" w:rsidRDefault="00513B47" w:rsidP="003408F4">
      <w:pPr>
        <w:spacing w:after="0" w:line="240" w:lineRule="auto"/>
        <w:ind w:left="720" w:right="-180"/>
        <w:rPr>
          <w:rFonts w:ascii="Times New Roman" w:hAnsi="Times New Roman"/>
          <w:color w:val="000000"/>
          <w:sz w:val="24"/>
        </w:rPr>
      </w:pPr>
      <w:r w:rsidRPr="00600E6F">
        <w:rPr>
          <w:rFonts w:ascii="Times New Roman" w:hAnsi="Times New Roman"/>
          <w:color w:val="000000"/>
          <w:sz w:val="24"/>
        </w:rPr>
        <w:t xml:space="preserve">The general policy for all equipment replacements performed within the </w:t>
      </w:r>
      <w:r w:rsidR="004E5A95">
        <w:rPr>
          <w:rFonts w:ascii="Times New Roman" w:hAnsi="Times New Roman"/>
          <w:color w:val="000000"/>
          <w:sz w:val="24"/>
          <w:szCs w:val="24"/>
        </w:rPr>
        <w:t>SD</w:t>
      </w:r>
      <w:r w:rsidRPr="00D737C2">
        <w:rPr>
          <w:rFonts w:ascii="Times New Roman" w:hAnsi="Times New Roman"/>
          <w:color w:val="000000"/>
          <w:sz w:val="24"/>
          <w:szCs w:val="24"/>
        </w:rPr>
        <w:t>G</w:t>
      </w:r>
      <w:r w:rsidRPr="00600E6F">
        <w:rPr>
          <w:rFonts w:ascii="Times New Roman" w:hAnsi="Times New Roman"/>
          <w:color w:val="000000"/>
          <w:sz w:val="24"/>
        </w:rPr>
        <w:t xml:space="preserve">&amp;E program is that participating contractors and their subcontractors should wait for a Notice to Proceed to be issued before commencing work on a job for the program. However, in order to proceed with emergency replacements or expedited upgrades due to customer specific needs, </w:t>
      </w:r>
      <w:r w:rsidRPr="00600E6F">
        <w:rPr>
          <w:rFonts w:ascii="Times New Roman" w:hAnsi="Times New Roman"/>
          <w:color w:val="000000"/>
          <w:sz w:val="24"/>
        </w:rPr>
        <w:lastRenderedPageBreak/>
        <w:t xml:space="preserve">contractors may proceed within the guidelines of this Fast Track Process. In order to be eligible for this Process, participating contractors must be active and in good standing under the </w:t>
      </w:r>
      <w:r w:rsidR="004E5A95">
        <w:rPr>
          <w:rFonts w:ascii="Times New Roman" w:hAnsi="Times New Roman"/>
          <w:color w:val="000000"/>
          <w:sz w:val="24"/>
          <w:szCs w:val="24"/>
        </w:rPr>
        <w:t>SD</w:t>
      </w:r>
      <w:r w:rsidRPr="00D737C2">
        <w:rPr>
          <w:rFonts w:ascii="Times New Roman" w:hAnsi="Times New Roman"/>
          <w:color w:val="000000"/>
          <w:sz w:val="24"/>
          <w:szCs w:val="24"/>
        </w:rPr>
        <w:t>G</w:t>
      </w:r>
      <w:r w:rsidRPr="00600E6F">
        <w:rPr>
          <w:rFonts w:ascii="Times New Roman" w:hAnsi="Times New Roman"/>
          <w:color w:val="000000"/>
          <w:sz w:val="24"/>
        </w:rPr>
        <w:t xml:space="preserve">&amp;E program. </w:t>
      </w:r>
    </w:p>
    <w:p w:rsidR="00513B47" w:rsidRPr="00600E6F" w:rsidRDefault="00513B47" w:rsidP="003408F4">
      <w:pPr>
        <w:spacing w:after="0" w:line="240" w:lineRule="auto"/>
        <w:ind w:left="720" w:right="-180"/>
        <w:rPr>
          <w:rFonts w:ascii="Times New Roman" w:hAnsi="Times New Roman"/>
          <w:color w:val="1269A2"/>
          <w:sz w:val="24"/>
        </w:rPr>
      </w:pPr>
    </w:p>
    <w:p w:rsidR="00513B47" w:rsidRPr="00600E6F" w:rsidRDefault="00513B47" w:rsidP="003408F4">
      <w:pPr>
        <w:spacing w:after="0" w:line="240" w:lineRule="auto"/>
        <w:ind w:left="720" w:right="-180"/>
        <w:rPr>
          <w:rFonts w:ascii="Times New Roman" w:hAnsi="Times New Roman"/>
          <w:color w:val="000000"/>
          <w:sz w:val="24"/>
        </w:rPr>
      </w:pPr>
      <w:r w:rsidRPr="00600E6F">
        <w:rPr>
          <w:rFonts w:ascii="Times New Roman" w:hAnsi="Times New Roman"/>
          <w:color w:val="000000"/>
          <w:sz w:val="24"/>
        </w:rPr>
        <w:t>Upgrades may be started before the Notice to Proceed is issued if the participating contractor is confident that the job qualifies for the Program. Prior to adjusting or installing measures, the contractor must perform a comprehensive test-in, including combustion safety testing, to document the pre-existing conditions. The contractors should take pictures to document uncommon or unique situations.</w:t>
      </w:r>
    </w:p>
    <w:p w:rsidR="00513B47" w:rsidRPr="00600E6F" w:rsidRDefault="00513B47" w:rsidP="003408F4">
      <w:pPr>
        <w:spacing w:after="0" w:line="240" w:lineRule="auto"/>
        <w:ind w:left="720" w:right="-180"/>
        <w:rPr>
          <w:rFonts w:ascii="Times New Roman" w:hAnsi="Times New Roman"/>
          <w:color w:val="1269A2"/>
          <w:sz w:val="24"/>
        </w:rPr>
      </w:pPr>
      <w:r w:rsidRPr="00600E6F">
        <w:rPr>
          <w:rFonts w:ascii="Times New Roman" w:hAnsi="Times New Roman"/>
          <w:color w:val="000000"/>
          <w:sz w:val="24"/>
        </w:rPr>
        <w:t xml:space="preserve">Participating contractors that choose to perform work without the Notice to Proceed accept full liability that the rebate funds have not been reserved and that their customers may not be eligible. </w:t>
      </w:r>
    </w:p>
    <w:p w:rsidR="00513B47" w:rsidRPr="00600E6F" w:rsidRDefault="00513B47" w:rsidP="003408F4">
      <w:pPr>
        <w:spacing w:after="0" w:line="240" w:lineRule="auto"/>
        <w:ind w:left="720" w:right="-270"/>
        <w:rPr>
          <w:rFonts w:ascii="Times New Roman" w:hAnsi="Times New Roman"/>
          <w:b/>
          <w:color w:val="000000"/>
          <w:sz w:val="24"/>
        </w:rPr>
      </w:pPr>
    </w:p>
    <w:p w:rsidR="00513B47" w:rsidRPr="00600E6F" w:rsidRDefault="00513B47" w:rsidP="003408F4">
      <w:pPr>
        <w:spacing w:after="0" w:line="240" w:lineRule="auto"/>
        <w:ind w:left="720" w:right="-270"/>
        <w:rPr>
          <w:rFonts w:ascii="Times New Roman" w:hAnsi="Times New Roman"/>
          <w:color w:val="000000"/>
          <w:sz w:val="24"/>
        </w:rPr>
      </w:pPr>
      <w:r w:rsidRPr="00600E6F">
        <w:rPr>
          <w:rFonts w:ascii="Times New Roman" w:hAnsi="Times New Roman"/>
          <w:color w:val="000000"/>
          <w:sz w:val="24"/>
        </w:rPr>
        <w:t xml:space="preserve">In order to make the Fast Track Process work for participating contractors and their customers, the </w:t>
      </w:r>
      <w:r w:rsidR="004E5A95">
        <w:rPr>
          <w:rFonts w:ascii="Times New Roman" w:hAnsi="Times New Roman"/>
          <w:color w:val="000000"/>
          <w:sz w:val="24"/>
          <w:szCs w:val="24"/>
        </w:rPr>
        <w:t>SD</w:t>
      </w:r>
      <w:r w:rsidRPr="00D737C2">
        <w:rPr>
          <w:rFonts w:ascii="Times New Roman" w:hAnsi="Times New Roman"/>
          <w:color w:val="000000"/>
          <w:sz w:val="24"/>
          <w:szCs w:val="24"/>
        </w:rPr>
        <w:t>G</w:t>
      </w:r>
      <w:r w:rsidRPr="00600E6F">
        <w:rPr>
          <w:rFonts w:ascii="Times New Roman" w:hAnsi="Times New Roman"/>
          <w:color w:val="000000"/>
          <w:sz w:val="24"/>
        </w:rPr>
        <w:t xml:space="preserve">&amp;E program recommends that the contractors do the following: </w:t>
      </w:r>
    </w:p>
    <w:p w:rsidR="00513B47" w:rsidRPr="00600E6F" w:rsidRDefault="00513B47" w:rsidP="003408F4">
      <w:pPr>
        <w:spacing w:after="0" w:line="240" w:lineRule="auto"/>
        <w:ind w:left="720" w:right="-270"/>
        <w:rPr>
          <w:rFonts w:ascii="Times New Roman" w:hAnsi="Times New Roman"/>
          <w:color w:val="000000"/>
          <w:sz w:val="24"/>
        </w:rPr>
      </w:pPr>
    </w:p>
    <w:p w:rsidR="00513B47" w:rsidRPr="00600E6F" w:rsidRDefault="00513B47" w:rsidP="00C31CC0">
      <w:pPr>
        <w:pStyle w:val="ListParagraph"/>
        <w:numPr>
          <w:ilvl w:val="0"/>
          <w:numId w:val="133"/>
        </w:numPr>
        <w:spacing w:after="0" w:line="240" w:lineRule="auto"/>
        <w:ind w:left="1440" w:right="-270"/>
        <w:rPr>
          <w:rFonts w:ascii="Times New Roman" w:hAnsi="Times New Roman"/>
          <w:color w:val="000000"/>
          <w:sz w:val="24"/>
        </w:rPr>
      </w:pPr>
      <w:r w:rsidRPr="00600E6F">
        <w:rPr>
          <w:rFonts w:ascii="Times New Roman" w:hAnsi="Times New Roman"/>
          <w:color w:val="000000"/>
          <w:sz w:val="24"/>
        </w:rPr>
        <w:t xml:space="preserve">Ask for a copy of recent </w:t>
      </w:r>
      <w:r w:rsidR="004E5A95">
        <w:rPr>
          <w:rFonts w:ascii="Times New Roman" w:hAnsi="Times New Roman"/>
          <w:color w:val="000000"/>
          <w:sz w:val="24"/>
          <w:szCs w:val="24"/>
        </w:rPr>
        <w:t>SD</w:t>
      </w:r>
      <w:r w:rsidRPr="00D737C2">
        <w:rPr>
          <w:rFonts w:ascii="Times New Roman" w:hAnsi="Times New Roman"/>
          <w:color w:val="000000"/>
          <w:sz w:val="24"/>
          <w:szCs w:val="24"/>
        </w:rPr>
        <w:t>G</w:t>
      </w:r>
      <w:r w:rsidRPr="00600E6F">
        <w:rPr>
          <w:rFonts w:ascii="Times New Roman" w:hAnsi="Times New Roman"/>
          <w:color w:val="000000"/>
          <w:sz w:val="24"/>
        </w:rPr>
        <w:t xml:space="preserve">&amp;E bill to validate that the customer has an active account and have a clear understand the Program eligibility requirements </w:t>
      </w:r>
    </w:p>
    <w:p w:rsidR="00513B47" w:rsidRPr="00600E6F" w:rsidRDefault="00513B47" w:rsidP="00C31CC0">
      <w:pPr>
        <w:pStyle w:val="ListParagraph"/>
        <w:numPr>
          <w:ilvl w:val="0"/>
          <w:numId w:val="133"/>
        </w:numPr>
        <w:spacing w:after="0" w:line="240" w:lineRule="auto"/>
        <w:ind w:left="1440" w:right="-270"/>
        <w:rPr>
          <w:rFonts w:ascii="Times New Roman" w:hAnsi="Times New Roman"/>
          <w:color w:val="000000"/>
          <w:sz w:val="24"/>
        </w:rPr>
      </w:pPr>
      <w:r w:rsidRPr="00600E6F">
        <w:rPr>
          <w:rFonts w:ascii="Times New Roman" w:hAnsi="Times New Roman"/>
          <w:color w:val="000000"/>
          <w:sz w:val="24"/>
        </w:rPr>
        <w:t>Make sure to understand how to use and model homes in EnergyPro proficiently to reduce the chance of error in rebate calculation or delayed application processing</w:t>
      </w:r>
    </w:p>
    <w:p w:rsidR="00513B47" w:rsidRPr="00600E6F" w:rsidRDefault="00513B47" w:rsidP="00C31CC0">
      <w:pPr>
        <w:pStyle w:val="ListParagraph"/>
        <w:numPr>
          <w:ilvl w:val="0"/>
          <w:numId w:val="133"/>
        </w:numPr>
        <w:spacing w:after="0" w:line="240" w:lineRule="auto"/>
        <w:ind w:left="1440" w:right="-270"/>
        <w:rPr>
          <w:rFonts w:ascii="Times New Roman" w:hAnsi="Times New Roman"/>
          <w:color w:val="000000"/>
          <w:sz w:val="24"/>
        </w:rPr>
      </w:pPr>
      <w:r w:rsidRPr="00600E6F">
        <w:rPr>
          <w:rFonts w:ascii="Times New Roman" w:hAnsi="Times New Roman"/>
          <w:color w:val="000000"/>
          <w:sz w:val="24"/>
        </w:rPr>
        <w:t>If providing a rebate estimate, make it clear in the proposal that it is based on the un-validated energy model savings and may change after the quality control review process</w:t>
      </w:r>
    </w:p>
    <w:p w:rsidR="00513B47" w:rsidRPr="00600E6F" w:rsidRDefault="00513B47" w:rsidP="00C31CC0">
      <w:pPr>
        <w:pStyle w:val="ListParagraph"/>
        <w:numPr>
          <w:ilvl w:val="0"/>
          <w:numId w:val="133"/>
        </w:numPr>
        <w:spacing w:after="0" w:line="240" w:lineRule="auto"/>
        <w:ind w:left="1440" w:right="-270"/>
        <w:rPr>
          <w:rFonts w:ascii="Times New Roman" w:hAnsi="Times New Roman"/>
          <w:b/>
          <w:sz w:val="24"/>
          <w:u w:val="single"/>
        </w:rPr>
      </w:pPr>
      <w:r w:rsidRPr="00600E6F">
        <w:rPr>
          <w:rFonts w:ascii="Times New Roman" w:hAnsi="Times New Roman"/>
          <w:color w:val="000000"/>
          <w:sz w:val="24"/>
        </w:rPr>
        <w:t>Participate in the Process after completing at least 10 upgrades without desktop or field QA issues</w:t>
      </w:r>
    </w:p>
    <w:p w:rsidR="00513B47" w:rsidRPr="00600E6F" w:rsidRDefault="00513B47" w:rsidP="00C31CC0">
      <w:pPr>
        <w:pStyle w:val="ListParagraph"/>
        <w:numPr>
          <w:ilvl w:val="0"/>
          <w:numId w:val="133"/>
        </w:numPr>
        <w:spacing w:after="0" w:line="240" w:lineRule="auto"/>
        <w:ind w:left="1440" w:right="-270"/>
        <w:rPr>
          <w:rFonts w:ascii="Times New Roman" w:hAnsi="Times New Roman"/>
          <w:b/>
          <w:sz w:val="24"/>
          <w:u w:val="single"/>
        </w:rPr>
      </w:pPr>
      <w:r w:rsidRPr="00600E6F">
        <w:rPr>
          <w:rFonts w:ascii="Times New Roman" w:hAnsi="Times New Roman"/>
          <w:color w:val="000000"/>
          <w:sz w:val="24"/>
        </w:rPr>
        <w:t>Submit the application as soon as possible to ensure timely payment to the customer</w:t>
      </w:r>
    </w:p>
    <w:p w:rsidR="00513B47" w:rsidRPr="00600E6F" w:rsidRDefault="00513B47" w:rsidP="003408F4">
      <w:pPr>
        <w:pStyle w:val="ListParagraph"/>
        <w:spacing w:after="0" w:line="240" w:lineRule="auto"/>
        <w:ind w:left="1440" w:right="-270"/>
        <w:rPr>
          <w:rFonts w:ascii="Times New Roman" w:hAnsi="Times New Roman"/>
          <w:b/>
          <w:sz w:val="24"/>
          <w:u w:val="single"/>
        </w:rPr>
      </w:pPr>
    </w:p>
    <w:p w:rsidR="00513B47" w:rsidRPr="00600E6F" w:rsidRDefault="00513B47" w:rsidP="003408F4">
      <w:pPr>
        <w:spacing w:after="0" w:line="240" w:lineRule="auto"/>
        <w:ind w:left="360" w:hanging="360"/>
        <w:rPr>
          <w:rFonts w:ascii="Times New Roman" w:hAnsi="Times New Roman"/>
          <w:b/>
          <w:sz w:val="24"/>
        </w:rPr>
      </w:pPr>
      <w:r w:rsidRPr="00600E6F">
        <w:rPr>
          <w:rFonts w:ascii="Times New Roman" w:hAnsi="Times New Roman"/>
          <w:b/>
          <w:sz w:val="24"/>
        </w:rPr>
        <w:t>3.</w:t>
      </w:r>
      <w:r w:rsidRPr="00600E6F">
        <w:rPr>
          <w:rFonts w:ascii="Times New Roman" w:hAnsi="Times New Roman"/>
          <w:b/>
          <w:sz w:val="24"/>
        </w:rPr>
        <w:tab/>
        <w:t>SCE</w:t>
      </w: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 xml:space="preserve">a. </w:t>
      </w:r>
      <w:r w:rsidRPr="00600E6F">
        <w:rPr>
          <w:rFonts w:ascii="Times New Roman" w:hAnsi="Times New Roman"/>
          <w:b/>
          <w:sz w:val="24"/>
        </w:rPr>
        <w:tab/>
        <w:t>Streamlined Emergency Replacement Protocol</w:t>
      </w:r>
    </w:p>
    <w:p w:rsidR="00513B47" w:rsidRPr="00600E6F" w:rsidRDefault="00513B47" w:rsidP="003408F4">
      <w:pPr>
        <w:spacing w:after="0" w:line="240" w:lineRule="auto"/>
        <w:ind w:left="720"/>
        <w:outlineLvl w:val="0"/>
        <w:rPr>
          <w:rFonts w:ascii="Times New Roman" w:hAnsi="Times New Roman"/>
          <w:b/>
          <w:kern w:val="36"/>
          <w:sz w:val="24"/>
        </w:rPr>
      </w:pPr>
      <w:r w:rsidRPr="00600E6F">
        <w:rPr>
          <w:rFonts w:ascii="Times New Roman" w:hAnsi="Times New Roman"/>
          <w:b/>
          <w:kern w:val="36"/>
          <w:sz w:val="24"/>
        </w:rPr>
        <w:t>Southern California Edison &amp; Southern California Gas Emergency Equipment Replacement Policy for HVAC/DHW System</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Due to the climate of Southern California, during the first few months of summer and winter there is a rise in the volume of HVAC emergency replacements driven by homeowners re-engaging their HVAC systems after periods of non-use. Participating Contractors will be involved in these replacements and they have the opportunity to inform homeowners of the additional benefits of the Program. The Emergency Equipment Replacement Policy for HVAC/DHW Systems allows homeowners to take credit for energy savings from emergency equipment replacement provided </w:t>
      </w:r>
      <w:r w:rsidRPr="00600E6F">
        <w:rPr>
          <w:rFonts w:ascii="Times New Roman" w:hAnsi="Times New Roman"/>
          <w:b/>
          <w:sz w:val="24"/>
        </w:rPr>
        <w:t>all of the following conditions are met</w:t>
      </w:r>
      <w:r w:rsidRPr="00600E6F">
        <w:rPr>
          <w:rFonts w:ascii="Times New Roman" w:hAnsi="Times New Roman"/>
          <w:sz w:val="24"/>
        </w:rPr>
        <w:t>.</w:t>
      </w:r>
    </w:p>
    <w:p w:rsidR="004E5A95" w:rsidRPr="00D737C2" w:rsidRDefault="00513B47" w:rsidP="003408F4">
      <w:pPr>
        <w:spacing w:after="0" w:line="240" w:lineRule="auto"/>
        <w:rPr>
          <w:rFonts w:ascii="Times New Roman" w:hAnsi="Times New Roman"/>
          <w:sz w:val="24"/>
          <w:szCs w:val="24"/>
        </w:rPr>
      </w:pPr>
      <w:r w:rsidRPr="00600E6F">
        <w:rPr>
          <w:rFonts w:ascii="Times New Roman" w:hAnsi="Times New Roman"/>
          <w:sz w:val="24"/>
        </w:rPr>
        <w:t> </w:t>
      </w: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Eligibility</w:t>
      </w:r>
    </w:p>
    <w:p w:rsidR="00513B47" w:rsidRPr="00600E6F" w:rsidRDefault="00513B47" w:rsidP="00C31CC0">
      <w:pPr>
        <w:numPr>
          <w:ilvl w:val="0"/>
          <w:numId w:val="125"/>
        </w:numPr>
        <w:spacing w:after="0" w:line="240" w:lineRule="auto"/>
        <w:ind w:left="1080"/>
        <w:rPr>
          <w:rFonts w:ascii="Times New Roman" w:hAnsi="Times New Roman"/>
          <w:sz w:val="24"/>
        </w:rPr>
      </w:pPr>
      <w:r w:rsidRPr="00600E6F">
        <w:rPr>
          <w:rFonts w:ascii="Times New Roman" w:hAnsi="Times New Roman"/>
          <w:sz w:val="24"/>
        </w:rPr>
        <w:t xml:space="preserve">The homeowner meets all mandatory </w:t>
      </w:r>
      <w:r w:rsidRPr="00600E6F">
        <w:rPr>
          <w:rFonts w:ascii="Times New Roman" w:hAnsi="Times New Roman"/>
          <w:i/>
          <w:sz w:val="24"/>
        </w:rPr>
        <w:t>Advanced Path</w:t>
      </w:r>
      <w:r w:rsidRPr="00600E6F">
        <w:rPr>
          <w:rFonts w:ascii="Times New Roman" w:hAnsi="Times New Roman"/>
          <w:sz w:val="24"/>
        </w:rPr>
        <w:t xml:space="preserve"> program requirements as described in the Advanced Package Minimum Specifications and this Emergency Equipment Replacement Policy for HVAC/DHW Systems.</w:t>
      </w:r>
    </w:p>
    <w:p w:rsidR="00513B47" w:rsidRPr="00600E6F" w:rsidRDefault="00513B47" w:rsidP="00C31CC0">
      <w:pPr>
        <w:numPr>
          <w:ilvl w:val="0"/>
          <w:numId w:val="125"/>
        </w:numPr>
        <w:spacing w:after="0" w:line="240" w:lineRule="auto"/>
        <w:ind w:left="1080"/>
        <w:rPr>
          <w:rFonts w:ascii="Times New Roman" w:hAnsi="Times New Roman"/>
          <w:sz w:val="24"/>
        </w:rPr>
      </w:pPr>
      <w:r w:rsidRPr="00600E6F">
        <w:rPr>
          <w:rFonts w:ascii="Times New Roman" w:hAnsi="Times New Roman"/>
          <w:sz w:val="24"/>
        </w:rPr>
        <w:t>The space heating and/or domestic hot water system must have been 'red tagged' or deemed unsafe by the utility, service technician or building inspector; or the system has failed, cannot be repaired and must be replaced.</w:t>
      </w:r>
    </w:p>
    <w:p w:rsidR="00513B47" w:rsidRPr="00600E6F" w:rsidRDefault="00513B47" w:rsidP="00C31CC0">
      <w:pPr>
        <w:numPr>
          <w:ilvl w:val="0"/>
          <w:numId w:val="125"/>
        </w:numPr>
        <w:spacing w:after="0" w:line="240" w:lineRule="auto"/>
        <w:ind w:left="1080"/>
        <w:rPr>
          <w:rFonts w:ascii="Times New Roman" w:hAnsi="Times New Roman"/>
          <w:sz w:val="24"/>
        </w:rPr>
      </w:pPr>
      <w:r w:rsidRPr="00600E6F">
        <w:rPr>
          <w:rFonts w:ascii="Times New Roman" w:hAnsi="Times New Roman"/>
          <w:sz w:val="24"/>
        </w:rPr>
        <w:lastRenderedPageBreak/>
        <w:t>The contractor submits the completed Record of Emergency Equipment Replacement Form within the timelines indicated in the Notification/Authorization Requirements section.</w:t>
      </w:r>
    </w:p>
    <w:p w:rsidR="00513B47" w:rsidRPr="00600E6F" w:rsidRDefault="00513B47" w:rsidP="003408F4">
      <w:pPr>
        <w:spacing w:after="0" w:line="240" w:lineRule="auto"/>
        <w:ind w:left="720"/>
        <w:rPr>
          <w:rFonts w:ascii="Times New Roman" w:hAnsi="Times New Roman"/>
          <w:b/>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b/>
          <w:sz w:val="24"/>
        </w:rPr>
        <w:t>Note</w:t>
      </w:r>
      <w:r w:rsidRPr="00600E6F">
        <w:rPr>
          <w:rFonts w:ascii="Times New Roman" w:hAnsi="Times New Roman"/>
          <w:sz w:val="24"/>
        </w:rPr>
        <w:t>: In the event the customer/contractor fail to meet the timelines indicated the project runs the risk of not being able to include the energy savings from the installation of the new equipment in the energy simulation (Energy Pro) model.</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Notification/Authorization Requirements</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To submit notification and receive authorization to proceed for an eligible emergency equipment replacement, the following steps must be followed:</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outlineLvl w:val="3"/>
        <w:rPr>
          <w:rFonts w:ascii="Times New Roman" w:hAnsi="Times New Roman"/>
          <w:b/>
          <w:sz w:val="24"/>
        </w:rPr>
      </w:pPr>
      <w:r w:rsidRPr="00600E6F">
        <w:rPr>
          <w:rFonts w:ascii="Times New Roman" w:hAnsi="Times New Roman"/>
          <w:b/>
          <w:sz w:val="24"/>
        </w:rPr>
        <w:t>Step 1: Submit for Pre-Replacement Approval</w:t>
      </w:r>
    </w:p>
    <w:p w:rsidR="00513B47" w:rsidRPr="00600E6F" w:rsidRDefault="00513B47" w:rsidP="00C31CC0">
      <w:pPr>
        <w:numPr>
          <w:ilvl w:val="0"/>
          <w:numId w:val="126"/>
        </w:numPr>
        <w:spacing w:after="0" w:line="240" w:lineRule="auto"/>
        <w:ind w:left="1080"/>
        <w:rPr>
          <w:rFonts w:ascii="Times New Roman" w:hAnsi="Times New Roman"/>
          <w:sz w:val="24"/>
        </w:rPr>
      </w:pPr>
      <w:r w:rsidRPr="00600E6F">
        <w:rPr>
          <w:rFonts w:ascii="Times New Roman" w:hAnsi="Times New Roman"/>
          <w:sz w:val="24"/>
        </w:rPr>
        <w:t>The contractor is required to submit a Record of Emergency Equipment Replacement Form.</w:t>
      </w:r>
    </w:p>
    <w:p w:rsidR="00513B47" w:rsidRPr="00600E6F" w:rsidRDefault="00513B47" w:rsidP="00C31CC0">
      <w:pPr>
        <w:numPr>
          <w:ilvl w:val="0"/>
          <w:numId w:val="126"/>
        </w:numPr>
        <w:spacing w:after="0" w:line="240" w:lineRule="auto"/>
        <w:ind w:left="1080"/>
        <w:rPr>
          <w:rFonts w:ascii="Times New Roman" w:hAnsi="Times New Roman"/>
          <w:color w:val="000000"/>
          <w:sz w:val="24"/>
        </w:rPr>
      </w:pPr>
      <w:r w:rsidRPr="00600E6F">
        <w:rPr>
          <w:rFonts w:ascii="Times New Roman" w:hAnsi="Times New Roman"/>
          <w:sz w:val="24"/>
        </w:rPr>
        <w:t xml:space="preserve">The contractor is required to complete Sections 1 – 4 of the Record of Emergency Equipment Replacement Form, sign and date the customer/contractor signature section, provide detailed photographic evidence of the existing </w:t>
      </w:r>
      <w:r w:rsidR="008A0A65" w:rsidRPr="00600E6F">
        <w:rPr>
          <w:rFonts w:ascii="Times New Roman" w:hAnsi="Times New Roman"/>
          <w:sz w:val="24"/>
        </w:rPr>
        <w:t>equipment</w:t>
      </w:r>
      <w:r w:rsidRPr="00600E6F">
        <w:rPr>
          <w:rFonts w:ascii="Times New Roman" w:hAnsi="Times New Roman"/>
          <w:sz w:val="24"/>
        </w:rPr>
        <w:t xml:space="preserve"> installed in the residence (clearly showing the area around the existing unit) to include nameplate information (make, model, serial number, etc) and then provide a scanned copy in .PDF format to </w:t>
      </w:r>
      <w:hyperlink r:id="rId49" w:history="1">
        <w:r w:rsidRPr="00600E6F">
          <w:rPr>
            <w:rFonts w:ascii="Times New Roman" w:hAnsi="Times New Roman"/>
            <w:color w:val="000000"/>
            <w:sz w:val="24"/>
            <w:u w:val="single"/>
          </w:rPr>
          <w:t>EUCA_Processing@icfi.com</w:t>
        </w:r>
      </w:hyperlink>
      <w:r w:rsidRPr="00600E6F">
        <w:rPr>
          <w:rFonts w:ascii="Times New Roman" w:hAnsi="Times New Roman"/>
          <w:color w:val="000000"/>
          <w:sz w:val="24"/>
        </w:rPr>
        <w:t>.</w:t>
      </w:r>
    </w:p>
    <w:p w:rsidR="00513B47" w:rsidRPr="00600E6F" w:rsidRDefault="00513B47" w:rsidP="00C31CC0">
      <w:pPr>
        <w:numPr>
          <w:ilvl w:val="0"/>
          <w:numId w:val="126"/>
        </w:numPr>
        <w:spacing w:after="0" w:line="240" w:lineRule="auto"/>
        <w:ind w:left="1080"/>
        <w:rPr>
          <w:rFonts w:ascii="Times New Roman" w:hAnsi="Times New Roman"/>
          <w:sz w:val="24"/>
        </w:rPr>
      </w:pPr>
      <w:r w:rsidRPr="00600E6F">
        <w:rPr>
          <w:rFonts w:ascii="Times New Roman" w:hAnsi="Times New Roman"/>
          <w:sz w:val="24"/>
        </w:rPr>
        <w:t>Upon receipt of the completed form, ICF will provide written notification of Authorization to proceed via e-mail to the contractor within one business day (8-10 business hours).</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720"/>
        <w:outlineLvl w:val="3"/>
        <w:rPr>
          <w:rFonts w:ascii="Times New Roman" w:hAnsi="Times New Roman"/>
          <w:b/>
          <w:sz w:val="24"/>
        </w:rPr>
      </w:pPr>
      <w:r w:rsidRPr="00600E6F">
        <w:rPr>
          <w:rFonts w:ascii="Times New Roman" w:hAnsi="Times New Roman"/>
          <w:b/>
          <w:sz w:val="24"/>
        </w:rPr>
        <w:t>Step 2: Receive Authorization to Proceed</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Upon Authorization to proceed the contractor may commence installation of the new HVAC and/or DHW equipment.</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outlineLvl w:val="3"/>
        <w:rPr>
          <w:rFonts w:ascii="Times New Roman" w:hAnsi="Times New Roman"/>
          <w:b/>
          <w:sz w:val="24"/>
        </w:rPr>
      </w:pPr>
      <w:r w:rsidRPr="00600E6F">
        <w:rPr>
          <w:rFonts w:ascii="Times New Roman" w:hAnsi="Times New Roman"/>
          <w:b/>
          <w:sz w:val="24"/>
        </w:rPr>
        <w:t>Step 3: Complete Emergency Replacement and Submit Final Paperwork</w:t>
      </w:r>
    </w:p>
    <w:p w:rsidR="00513B47" w:rsidRPr="00600E6F" w:rsidRDefault="00513B47" w:rsidP="00C31CC0">
      <w:pPr>
        <w:numPr>
          <w:ilvl w:val="0"/>
          <w:numId w:val="127"/>
        </w:numPr>
        <w:spacing w:after="0" w:line="240" w:lineRule="auto"/>
        <w:ind w:left="1080"/>
        <w:rPr>
          <w:rFonts w:ascii="Times New Roman" w:hAnsi="Times New Roman"/>
          <w:sz w:val="24"/>
        </w:rPr>
      </w:pPr>
      <w:r w:rsidRPr="00600E6F">
        <w:rPr>
          <w:rFonts w:ascii="Times New Roman" w:hAnsi="Times New Roman"/>
          <w:sz w:val="24"/>
        </w:rPr>
        <w:t xml:space="preserve">Upon completion of the installation of the new equipment the contractor shall complete Section 5 of the Record of Emergency Equipment Replacement Form, sign and date the customer/contractor signature section, detailed installation invoice, and then provide a scanned copy in .PDF format to ICF </w:t>
      </w:r>
      <w:r w:rsidRPr="00600E6F">
        <w:rPr>
          <w:rFonts w:ascii="Times New Roman" w:hAnsi="Times New Roman"/>
          <w:color w:val="000000"/>
          <w:sz w:val="24"/>
        </w:rPr>
        <w:t>(</w:t>
      </w:r>
      <w:hyperlink r:id="rId50" w:history="1">
        <w:r w:rsidRPr="00600E6F">
          <w:rPr>
            <w:rFonts w:ascii="Times New Roman" w:hAnsi="Times New Roman"/>
            <w:color w:val="000000"/>
            <w:sz w:val="24"/>
            <w:u w:val="single"/>
          </w:rPr>
          <w:t>EUCA_Processing@icfi.com</w:t>
        </w:r>
      </w:hyperlink>
      <w:r w:rsidRPr="00600E6F">
        <w:rPr>
          <w:rFonts w:ascii="Times New Roman" w:hAnsi="Times New Roman"/>
          <w:color w:val="000000"/>
          <w:sz w:val="24"/>
        </w:rPr>
        <w:t>)</w:t>
      </w:r>
      <w:r w:rsidRPr="00600E6F">
        <w:rPr>
          <w:rFonts w:ascii="Times New Roman" w:hAnsi="Times New Roman"/>
          <w:sz w:val="24"/>
        </w:rPr>
        <w:t xml:space="preserve"> within five (5) business days of the new equipment installation. If measures installed exceed the scope of written authorization given, credit will not be given for those additional measures. If the paperwork is not received within those 5 business days, the final decision to allow the credit for the installed equipment will be at the sole discretion of Program Management and will not be able to be appealed.  </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 </w:t>
      </w:r>
    </w:p>
    <w:p w:rsidR="00513B47" w:rsidRPr="00600E6F" w:rsidRDefault="00513B47" w:rsidP="00C31CC0">
      <w:pPr>
        <w:numPr>
          <w:ilvl w:val="0"/>
          <w:numId w:val="127"/>
        </w:numPr>
        <w:spacing w:after="0" w:line="240" w:lineRule="auto"/>
        <w:ind w:left="1080"/>
        <w:rPr>
          <w:rFonts w:ascii="Times New Roman" w:hAnsi="Times New Roman"/>
          <w:sz w:val="24"/>
        </w:rPr>
      </w:pPr>
      <w:r w:rsidRPr="00600E6F">
        <w:rPr>
          <w:rFonts w:ascii="Times New Roman" w:hAnsi="Times New Roman"/>
          <w:sz w:val="24"/>
        </w:rPr>
        <w:t xml:space="preserve">The Incentive Reservation Form must be turned into the Program within 30 calendar days of Emergency Equipment Replacement Approval. Failure to do so will result in not receiving credit for installed equipment. </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While age, size and efficiency of the existing system are a factor, it shall not be the sole determining factor for selection of equipment replacement. Best practices dictate that any replacement of central heating or cooling systems require submittal of a Manual J load </w:t>
      </w:r>
      <w:r w:rsidRPr="00600E6F">
        <w:rPr>
          <w:rFonts w:ascii="Times New Roman" w:hAnsi="Times New Roman"/>
          <w:sz w:val="24"/>
        </w:rPr>
        <w:lastRenderedPageBreak/>
        <w:t>calculation and must take into account all existing and/or proposed energy efficiency measures that will significantly impact load and allow for correct equipment sizing.</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If HVAC re-ducting is required in this emergency, the pre-retrofit building simulation model will automatically use the default vintage default tables for total duct leakage. This percentage is not able to be contested, should an appeal situation arise.</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Mandatory Documentation for Emergency Space Heating Equipment Replacement</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contractor shall provide information about the existing equipment being removed utilizing the Record of Emergency Equipment Replacement Form. At a minimum, the information collected regarding the existing space heating equipment shall include the following:</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Contractor’s business name, address and phone number</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Date of removal</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Reason for replacement (operational failure; health and safety)</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Manufacturer's name and model number of space heating equipment</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Rated efficiency, output, input from the nameplate</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Fuel type (natural gas, electric)</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Type of system (forced air, hydronic/radiant or combo)</w:t>
      </w:r>
    </w:p>
    <w:p w:rsidR="00513B47" w:rsidRPr="00600E6F" w:rsidRDefault="00513B47" w:rsidP="00C31CC0">
      <w:pPr>
        <w:pStyle w:val="ListParagraph"/>
        <w:numPr>
          <w:ilvl w:val="0"/>
          <w:numId w:val="135"/>
        </w:numPr>
        <w:spacing w:after="0" w:line="240" w:lineRule="auto"/>
        <w:rPr>
          <w:rFonts w:ascii="Times New Roman" w:hAnsi="Times New Roman"/>
          <w:sz w:val="24"/>
        </w:rPr>
      </w:pPr>
      <w:r w:rsidRPr="00600E6F">
        <w:rPr>
          <w:rFonts w:ascii="Times New Roman" w:hAnsi="Times New Roman"/>
          <w:sz w:val="24"/>
        </w:rPr>
        <w:t>Type of venting (e.g. chimney, side vent, barometric damper)</w:t>
      </w:r>
    </w:p>
    <w:p w:rsidR="00513B47" w:rsidRPr="00600E6F" w:rsidRDefault="00513B47" w:rsidP="00C31CC0">
      <w:pPr>
        <w:numPr>
          <w:ilvl w:val="0"/>
          <w:numId w:val="128"/>
        </w:numPr>
        <w:spacing w:after="0" w:line="240" w:lineRule="auto"/>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existing space heating equipment must be replaced with equipment meeting the Advanced Package Minimum Specifications. New gas-fired furnaces must have an Annual Fuel Utilization Efficiency (AFUE) of 92% or greater to qualify under the Emergency Replacement Policy for HVAC Equipment.</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contractor shall provide a copy of the invoice for the new space heating equipment and the Record of Emergency Equipment Replacement Form to their dedicated account manager within 5 business days of written authorization to proceed with the new equipment installation. At a minimum, the invoice for the new space heating equipment shall include the following:</w:t>
      </w:r>
    </w:p>
    <w:p w:rsidR="00513B47" w:rsidRPr="00600E6F" w:rsidRDefault="00513B47" w:rsidP="00C31CC0">
      <w:pPr>
        <w:numPr>
          <w:ilvl w:val="0"/>
          <w:numId w:val="129"/>
        </w:numPr>
        <w:spacing w:after="0" w:line="240" w:lineRule="auto"/>
        <w:rPr>
          <w:rFonts w:ascii="Times New Roman" w:hAnsi="Times New Roman"/>
          <w:sz w:val="24"/>
        </w:rPr>
      </w:pP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Contractor’s business name, address and phone number</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Date of installation</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Manufacturer's name, model and serial number of new space heating equipment</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Rated efficiency, output, input from the nameplate</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Fuel type (natural gas, electric)</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Type of system (forced air, hydronic/radiant or combo)</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Type of venting (e.g. chimney, side vent, barometric damper)</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While replacing the space heating equipment, this may be an opportunity to also replace the central air conditioner with a higher efficiency model. The existing equipment must be replaced with equipment meeting the requirements listed in the Advanced Package Minimum Specifications.  Contractor will need to supply the following information about both the new and existing air conditioning unit:</w:t>
      </w:r>
    </w:p>
    <w:p w:rsidR="00513B47" w:rsidRPr="00600E6F" w:rsidRDefault="00513B47" w:rsidP="00C31CC0">
      <w:pPr>
        <w:numPr>
          <w:ilvl w:val="0"/>
          <w:numId w:val="130"/>
        </w:numPr>
        <w:spacing w:after="0" w:line="240" w:lineRule="auto"/>
        <w:rPr>
          <w:rFonts w:ascii="Times New Roman" w:hAnsi="Times New Roman"/>
          <w:sz w:val="24"/>
        </w:rPr>
      </w:pP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lastRenderedPageBreak/>
        <w:t>Contractor’s business name, address and phone number</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Date of installation</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Reason for replacement (operational failure; health and safety; Other, please explain)</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Manufacturer's name and model number of cooling equipment</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Type of system (central air, heat pump )</w:t>
      </w:r>
    </w:p>
    <w:p w:rsidR="00513B47" w:rsidRPr="00600E6F" w:rsidRDefault="00513B47" w:rsidP="00C31CC0">
      <w:pPr>
        <w:pStyle w:val="ListParagraph"/>
        <w:numPr>
          <w:ilvl w:val="0"/>
          <w:numId w:val="136"/>
        </w:numPr>
        <w:spacing w:after="0" w:line="240" w:lineRule="auto"/>
        <w:rPr>
          <w:rFonts w:ascii="Times New Roman" w:hAnsi="Times New Roman"/>
          <w:sz w:val="24"/>
        </w:rPr>
      </w:pPr>
      <w:r w:rsidRPr="00600E6F">
        <w:rPr>
          <w:rFonts w:ascii="Times New Roman" w:hAnsi="Times New Roman"/>
          <w:sz w:val="24"/>
        </w:rPr>
        <w:t>Rated efficiency (SEER, HSPF),unit size, and cooling output from the nameplate</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Mandatory Documentation for Domestic Hot Water Equipment Replacement</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existing domestic hot water system must be replaced with equipment meeting Advanced Package Minimum Specifications. In addition, new domestic hot water heaters must have an Energy Factor (EF) of 0.62 or greater, and new domestic tankless hot water heaters must have an Energy Factor (EF) of 0.82 or greater to qualify under the Emergency Equipment Replacement Policy.</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contractor shall provide a copy of the invoice for the new domestic hot water equipment and the Record of Emergency Equipment Replacement Form to their dedicated account manager within 5 business days of written authorization to proceed with the new equipment installation. At a minimum, the invoice for the new domestic hot water equipment shall include the following:</w:t>
      </w:r>
    </w:p>
    <w:p w:rsidR="00513B47" w:rsidRPr="00600E6F" w:rsidRDefault="00513B47" w:rsidP="00C31CC0">
      <w:pPr>
        <w:numPr>
          <w:ilvl w:val="0"/>
          <w:numId w:val="131"/>
        </w:numPr>
        <w:spacing w:after="0" w:line="240" w:lineRule="auto"/>
        <w:rPr>
          <w:rFonts w:ascii="Times New Roman" w:hAnsi="Times New Roman"/>
          <w:sz w:val="24"/>
        </w:rPr>
      </w:pPr>
    </w:p>
    <w:p w:rsidR="00513B47" w:rsidRPr="00600E6F" w:rsidRDefault="00513B47" w:rsidP="00C31CC0">
      <w:pPr>
        <w:numPr>
          <w:ilvl w:val="0"/>
          <w:numId w:val="137"/>
        </w:numPr>
        <w:spacing w:after="0" w:line="240" w:lineRule="auto"/>
        <w:ind w:left="1080"/>
        <w:rPr>
          <w:rFonts w:ascii="Times New Roman" w:hAnsi="Times New Roman"/>
          <w:sz w:val="24"/>
        </w:rPr>
      </w:pPr>
      <w:r w:rsidRPr="00600E6F">
        <w:rPr>
          <w:rFonts w:ascii="Times New Roman" w:hAnsi="Times New Roman"/>
          <w:sz w:val="24"/>
        </w:rPr>
        <w:t>Manufacturer's name and model number of domestic hot water equipment</w:t>
      </w:r>
    </w:p>
    <w:p w:rsidR="00513B47" w:rsidRPr="00600E6F" w:rsidRDefault="00513B47" w:rsidP="00C31CC0">
      <w:pPr>
        <w:numPr>
          <w:ilvl w:val="0"/>
          <w:numId w:val="137"/>
        </w:numPr>
        <w:spacing w:after="0" w:line="240" w:lineRule="auto"/>
        <w:ind w:left="1080"/>
        <w:rPr>
          <w:rFonts w:ascii="Times New Roman" w:hAnsi="Times New Roman"/>
          <w:sz w:val="24"/>
        </w:rPr>
      </w:pPr>
      <w:r w:rsidRPr="00600E6F">
        <w:rPr>
          <w:rFonts w:ascii="Times New Roman" w:hAnsi="Times New Roman"/>
          <w:sz w:val="24"/>
        </w:rPr>
        <w:t>Type of system (gas, electric )</w:t>
      </w:r>
    </w:p>
    <w:p w:rsidR="00513B47" w:rsidRPr="00600E6F" w:rsidRDefault="00513B47" w:rsidP="00C31CC0">
      <w:pPr>
        <w:numPr>
          <w:ilvl w:val="0"/>
          <w:numId w:val="137"/>
        </w:numPr>
        <w:spacing w:after="0" w:line="240" w:lineRule="auto"/>
        <w:ind w:left="1080"/>
        <w:rPr>
          <w:rFonts w:ascii="Times New Roman" w:hAnsi="Times New Roman"/>
          <w:sz w:val="24"/>
        </w:rPr>
      </w:pPr>
      <w:r w:rsidRPr="00600E6F">
        <w:rPr>
          <w:rFonts w:ascii="Times New Roman" w:hAnsi="Times New Roman"/>
          <w:sz w:val="24"/>
        </w:rPr>
        <w:t>Rated efficiency (energy factor)</w:t>
      </w:r>
    </w:p>
    <w:p w:rsidR="00513B47" w:rsidRPr="00600E6F" w:rsidRDefault="00513B47" w:rsidP="00C31CC0">
      <w:pPr>
        <w:numPr>
          <w:ilvl w:val="0"/>
          <w:numId w:val="137"/>
        </w:numPr>
        <w:spacing w:after="0" w:line="240" w:lineRule="auto"/>
        <w:ind w:left="1080"/>
        <w:rPr>
          <w:rFonts w:ascii="Times New Roman" w:hAnsi="Times New Roman"/>
          <w:sz w:val="24"/>
        </w:rPr>
      </w:pPr>
      <w:r w:rsidRPr="00600E6F">
        <w:rPr>
          <w:rFonts w:ascii="Times New Roman" w:hAnsi="Times New Roman"/>
          <w:sz w:val="24"/>
        </w:rPr>
        <w:t>Unit size (gallons)</w:t>
      </w:r>
    </w:p>
    <w:p w:rsidR="00513B47" w:rsidRPr="00600E6F" w:rsidRDefault="00513B47" w:rsidP="00C31CC0">
      <w:pPr>
        <w:numPr>
          <w:ilvl w:val="0"/>
          <w:numId w:val="137"/>
        </w:numPr>
        <w:spacing w:after="0" w:line="240" w:lineRule="auto"/>
        <w:ind w:left="1080"/>
        <w:rPr>
          <w:rFonts w:ascii="Times New Roman" w:hAnsi="Times New Roman"/>
          <w:sz w:val="24"/>
        </w:rPr>
      </w:pPr>
      <w:r w:rsidRPr="00600E6F">
        <w:rPr>
          <w:rFonts w:ascii="Times New Roman" w:hAnsi="Times New Roman"/>
          <w:sz w:val="24"/>
        </w:rPr>
        <w:t>Input from the nameplate (Btu’s)</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Mandatory Requirements for Emergency Equipment Replacement Approval</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Once administrative approval and written authorization to proceed is granted, the contractor may immediately install the individual measures if the following conditions are met:</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132"/>
        </w:numPr>
        <w:tabs>
          <w:tab w:val="clear" w:pos="720"/>
        </w:tabs>
        <w:spacing w:after="0" w:line="240" w:lineRule="auto"/>
        <w:ind w:left="1080"/>
        <w:rPr>
          <w:rFonts w:ascii="Times New Roman" w:hAnsi="Times New Roman"/>
          <w:sz w:val="24"/>
        </w:rPr>
      </w:pPr>
      <w:r w:rsidRPr="00600E6F">
        <w:rPr>
          <w:rFonts w:ascii="Times New Roman" w:hAnsi="Times New Roman"/>
          <w:sz w:val="24"/>
        </w:rPr>
        <w:t>Provide photographic evidence of the existing system installed in the residence clearly showing the area around the existing unit and detailed pictures of the existing equipment to include nameplate information (make, model, serial number, etc.).</w:t>
      </w:r>
    </w:p>
    <w:p w:rsidR="00513B47" w:rsidRPr="00600E6F" w:rsidRDefault="00513B47" w:rsidP="003408F4">
      <w:pPr>
        <w:spacing w:after="0" w:line="240" w:lineRule="auto"/>
        <w:ind w:left="1080"/>
        <w:rPr>
          <w:rFonts w:ascii="Times New Roman" w:hAnsi="Times New Roman"/>
          <w:sz w:val="24"/>
        </w:rPr>
      </w:pPr>
    </w:p>
    <w:p w:rsidR="00513B47" w:rsidRPr="00600E6F" w:rsidRDefault="00513B47" w:rsidP="00C31CC0">
      <w:pPr>
        <w:numPr>
          <w:ilvl w:val="0"/>
          <w:numId w:val="132"/>
        </w:numPr>
        <w:spacing w:after="0" w:line="240" w:lineRule="auto"/>
        <w:ind w:left="1080"/>
        <w:rPr>
          <w:rFonts w:ascii="Times New Roman" w:hAnsi="Times New Roman"/>
          <w:sz w:val="24"/>
        </w:rPr>
      </w:pPr>
      <w:r w:rsidRPr="00600E6F">
        <w:rPr>
          <w:rFonts w:ascii="Times New Roman" w:hAnsi="Times New Roman"/>
          <w:sz w:val="24"/>
        </w:rPr>
        <w:t>The contractor shall provide a copy of the Invoice for the new space heating and/or cooling equipment and the completed Record of Emergency Equipment Replacement Form to their dedicated account manager within 5 business days of the installation of the new equipment (if applicable).</w:t>
      </w:r>
    </w:p>
    <w:p w:rsidR="00513B47" w:rsidRPr="00600E6F" w:rsidRDefault="00513B47" w:rsidP="00C31CC0">
      <w:pPr>
        <w:numPr>
          <w:ilvl w:val="0"/>
          <w:numId w:val="132"/>
        </w:numPr>
        <w:spacing w:after="0" w:line="240" w:lineRule="auto"/>
        <w:ind w:left="1080"/>
        <w:rPr>
          <w:rFonts w:ascii="Times New Roman" w:hAnsi="Times New Roman"/>
          <w:sz w:val="24"/>
        </w:rPr>
      </w:pPr>
      <w:r w:rsidRPr="00600E6F">
        <w:rPr>
          <w:rFonts w:ascii="Times New Roman" w:hAnsi="Times New Roman"/>
          <w:sz w:val="24"/>
        </w:rPr>
        <w:t>The contractor shall provide a copy of the Invoice for the new domestic hot water equipment and the Record of Emergency Equipment Replacement Form to their dedicated account manager within 5 business days of the installation of the new equipment (if applicable).</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In the event the customer/contractor fail to meet the timelines indicated the project runs the risk of not being able to include the energy savings from the installation of the new equipment in the energy simulation (Energy Pro) model.</w:t>
      </w:r>
    </w:p>
    <w:p w:rsidR="00513B47" w:rsidRPr="00600E6F" w:rsidRDefault="00513B47" w:rsidP="003408F4">
      <w:pPr>
        <w:spacing w:after="0" w:line="240" w:lineRule="auto"/>
        <w:ind w:left="720" w:hanging="360"/>
        <w:rPr>
          <w:rFonts w:ascii="Times New Roman" w:hAnsi="Times New Roman"/>
          <w:b/>
          <w:sz w:val="24"/>
        </w:rPr>
      </w:pP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lastRenderedPageBreak/>
        <w:t>b.</w:t>
      </w:r>
      <w:r w:rsidRPr="00600E6F">
        <w:rPr>
          <w:rFonts w:ascii="Times New Roman" w:hAnsi="Times New Roman"/>
          <w:b/>
          <w:sz w:val="24"/>
        </w:rPr>
        <w:tab/>
        <w:t>Streamlined High Performing Contractor Protocol</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Contractors who have completed 10 Basic or 10 Advanced projects and have completed all of their field mentoring and online learning center modules with a passing score can be eligible for their projects to be sampled instead of being selected for 100% pre and post on-site inspection.  </w:t>
      </w:r>
    </w:p>
    <w:p w:rsidR="00513B47" w:rsidRPr="00600E6F" w:rsidRDefault="00513B47" w:rsidP="003408F4">
      <w:pPr>
        <w:spacing w:after="0" w:line="240" w:lineRule="auto"/>
        <w:ind w:left="720" w:hanging="360"/>
        <w:rPr>
          <w:rFonts w:ascii="Times New Roman" w:hAnsi="Times New Roman"/>
          <w:sz w:val="24"/>
        </w:rPr>
      </w:pPr>
    </w:p>
    <w:p w:rsidR="00513B47" w:rsidRPr="00600E6F" w:rsidRDefault="00513B47" w:rsidP="003408F4">
      <w:pPr>
        <w:spacing w:after="0" w:line="240" w:lineRule="auto"/>
        <w:ind w:left="360" w:hanging="360"/>
        <w:rPr>
          <w:rFonts w:ascii="Times New Roman" w:hAnsi="Times New Roman"/>
          <w:b/>
          <w:sz w:val="24"/>
        </w:rPr>
      </w:pPr>
      <w:r w:rsidRPr="00600E6F">
        <w:rPr>
          <w:rFonts w:ascii="Times New Roman" w:hAnsi="Times New Roman"/>
          <w:b/>
          <w:sz w:val="24"/>
        </w:rPr>
        <w:t>4.</w:t>
      </w:r>
      <w:r w:rsidRPr="00600E6F">
        <w:rPr>
          <w:rFonts w:ascii="Times New Roman" w:hAnsi="Times New Roman"/>
          <w:b/>
          <w:sz w:val="24"/>
        </w:rPr>
        <w:tab/>
        <w:t>SoCalGas</w:t>
      </w: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 xml:space="preserve">a. </w:t>
      </w:r>
      <w:r w:rsidRPr="00600E6F">
        <w:rPr>
          <w:rFonts w:ascii="Times New Roman" w:hAnsi="Times New Roman"/>
          <w:b/>
          <w:sz w:val="24"/>
        </w:rPr>
        <w:tab/>
        <w:t>Streamlined Emergency Replacement Protocol</w:t>
      </w:r>
    </w:p>
    <w:p w:rsidR="00513B47" w:rsidRPr="00600E6F" w:rsidRDefault="00513B47" w:rsidP="003408F4">
      <w:pPr>
        <w:spacing w:after="0" w:line="240" w:lineRule="auto"/>
        <w:ind w:left="720"/>
        <w:outlineLvl w:val="0"/>
        <w:rPr>
          <w:rFonts w:ascii="Times New Roman" w:hAnsi="Times New Roman"/>
          <w:b/>
          <w:kern w:val="36"/>
          <w:sz w:val="24"/>
        </w:rPr>
      </w:pPr>
      <w:r w:rsidRPr="00600E6F">
        <w:rPr>
          <w:rFonts w:ascii="Times New Roman" w:hAnsi="Times New Roman"/>
          <w:b/>
          <w:kern w:val="36"/>
          <w:sz w:val="24"/>
        </w:rPr>
        <w:t>Southern California Gas Emergency Equipment Replacement Policy for HVAC/DHW System</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Due to the climate of Southern California, during the first few months of summer and winter there is a rise in the volume of HVAC emergency replacements driven by homeowners re-engaging their HVAC systems after periods of non-use. Participating Contractors will be involved in these replacements and they have the opportunity to inform homeowners of the additional benefits of the Program. The Emergency Equipment Replacement Policy for HVAC/DHW Systems allows homeowners to take credit for energy savings from emergency equipment replacement provided </w:t>
      </w:r>
      <w:r w:rsidRPr="00600E6F">
        <w:rPr>
          <w:rFonts w:ascii="Times New Roman" w:hAnsi="Times New Roman"/>
          <w:b/>
          <w:sz w:val="24"/>
        </w:rPr>
        <w:t>all of the following conditions are met</w:t>
      </w:r>
      <w:r w:rsidRPr="00600E6F">
        <w:rPr>
          <w:rFonts w:ascii="Times New Roman" w:hAnsi="Times New Roman"/>
          <w:sz w:val="24"/>
        </w:rPr>
        <w:t>.</w:t>
      </w:r>
    </w:p>
    <w:p w:rsidR="00513B47" w:rsidRPr="00600E6F" w:rsidRDefault="00513B47" w:rsidP="003408F4">
      <w:pPr>
        <w:spacing w:after="0" w:line="240" w:lineRule="auto"/>
        <w:ind w:left="720"/>
        <w:outlineLvl w:val="1"/>
        <w:rPr>
          <w:rFonts w:ascii="Times New Roman" w:hAnsi="Times New Roman"/>
          <w:b/>
          <w:color w:val="000000"/>
          <w:sz w:val="24"/>
        </w:rPr>
      </w:pP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Eligibility</w:t>
      </w:r>
    </w:p>
    <w:p w:rsidR="00513B47" w:rsidRPr="00600E6F" w:rsidRDefault="00513B47" w:rsidP="00C31CC0">
      <w:pPr>
        <w:numPr>
          <w:ilvl w:val="0"/>
          <w:numId w:val="138"/>
        </w:numPr>
        <w:tabs>
          <w:tab w:val="clear" w:pos="720"/>
          <w:tab w:val="num" w:pos="1080"/>
        </w:tabs>
        <w:spacing w:after="0" w:line="240" w:lineRule="auto"/>
        <w:ind w:left="1080"/>
        <w:rPr>
          <w:rFonts w:ascii="Times New Roman" w:hAnsi="Times New Roman"/>
          <w:sz w:val="24"/>
        </w:rPr>
        <w:pPrChange w:id="12" w:author="cerobins" w:date="2012-09-04T13:35:00Z">
          <w:pPr>
            <w:numPr>
              <w:numId w:val="138"/>
            </w:numPr>
            <w:spacing w:after="0" w:line="240" w:lineRule="auto"/>
            <w:ind w:left="1080" w:hanging="360"/>
          </w:pPr>
        </w:pPrChange>
      </w:pPr>
      <w:r w:rsidRPr="00600E6F">
        <w:rPr>
          <w:rFonts w:ascii="Times New Roman" w:hAnsi="Times New Roman"/>
          <w:sz w:val="24"/>
        </w:rPr>
        <w:t xml:space="preserve">The homeowner meets all mandatory </w:t>
      </w:r>
      <w:r w:rsidRPr="00600E6F">
        <w:rPr>
          <w:rFonts w:ascii="Times New Roman" w:hAnsi="Times New Roman"/>
          <w:i/>
          <w:sz w:val="24"/>
        </w:rPr>
        <w:t>Advanced Path</w:t>
      </w:r>
      <w:r w:rsidRPr="00600E6F">
        <w:rPr>
          <w:rFonts w:ascii="Times New Roman" w:hAnsi="Times New Roman"/>
          <w:sz w:val="24"/>
        </w:rPr>
        <w:t xml:space="preserve"> program requirements as described in the Advanced Package Minimum Specifications and this Emergency Equipment Replacement Policy for HVAC/DHW Systems.</w:t>
      </w:r>
    </w:p>
    <w:p w:rsidR="00513B47" w:rsidRPr="00600E6F" w:rsidRDefault="00513B47" w:rsidP="00C31CC0">
      <w:pPr>
        <w:numPr>
          <w:ilvl w:val="0"/>
          <w:numId w:val="138"/>
        </w:numPr>
        <w:spacing w:after="0" w:line="240" w:lineRule="auto"/>
        <w:ind w:left="1080"/>
        <w:rPr>
          <w:rFonts w:ascii="Times New Roman" w:hAnsi="Times New Roman"/>
          <w:sz w:val="24"/>
        </w:rPr>
      </w:pPr>
      <w:r w:rsidRPr="00600E6F">
        <w:rPr>
          <w:rFonts w:ascii="Times New Roman" w:hAnsi="Times New Roman"/>
          <w:sz w:val="24"/>
        </w:rPr>
        <w:t>The space heating and/or domestic hot water system must have been 'red tagged' or deemed unsafe by the utility, service technician or building inspector; or the system has failed, cannot be repaired and must be replaced.</w:t>
      </w:r>
    </w:p>
    <w:p w:rsidR="00513B47" w:rsidRPr="00600E6F" w:rsidRDefault="00513B47" w:rsidP="00C31CC0">
      <w:pPr>
        <w:numPr>
          <w:ilvl w:val="0"/>
          <w:numId w:val="138"/>
        </w:numPr>
        <w:spacing w:after="0" w:line="240" w:lineRule="auto"/>
        <w:ind w:left="1080"/>
        <w:rPr>
          <w:rFonts w:ascii="Times New Roman" w:hAnsi="Times New Roman"/>
          <w:sz w:val="24"/>
        </w:rPr>
      </w:pPr>
      <w:r w:rsidRPr="00600E6F">
        <w:rPr>
          <w:rFonts w:ascii="Times New Roman" w:hAnsi="Times New Roman"/>
          <w:sz w:val="24"/>
        </w:rPr>
        <w:t>The contractor submits the completed Record of Emergency Equipment Replacement Form within the timelines indicated in the Notification/Authorization Requirements section.</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b/>
          <w:sz w:val="24"/>
        </w:rPr>
        <w:t>Note</w:t>
      </w:r>
      <w:r w:rsidRPr="00600E6F">
        <w:rPr>
          <w:rFonts w:ascii="Times New Roman" w:hAnsi="Times New Roman"/>
          <w:sz w:val="24"/>
        </w:rPr>
        <w:t>: In the event the customer/contractor fail to meet the timelines indicated the project runs the risk of not being able to include the energy savings from the installation of the new equipment in the energy simulation (Energy Pro) model.</w:t>
      </w:r>
    </w:p>
    <w:p w:rsidR="001C4DFE" w:rsidRPr="00600E6F" w:rsidRDefault="001C4DFE" w:rsidP="003408F4">
      <w:pPr>
        <w:spacing w:after="0" w:line="240" w:lineRule="auto"/>
        <w:ind w:firstLine="720"/>
        <w:outlineLvl w:val="1"/>
        <w:rPr>
          <w:rFonts w:ascii="Times New Roman" w:hAnsi="Times New Roman"/>
          <w:b/>
          <w:color w:val="000000"/>
          <w:sz w:val="24"/>
        </w:rPr>
      </w:pPr>
    </w:p>
    <w:p w:rsidR="00513B47" w:rsidRPr="00600E6F" w:rsidRDefault="00513B47" w:rsidP="003408F4">
      <w:pPr>
        <w:spacing w:after="0" w:line="240" w:lineRule="auto"/>
        <w:ind w:firstLine="720"/>
        <w:outlineLvl w:val="1"/>
        <w:rPr>
          <w:rFonts w:ascii="Times New Roman" w:hAnsi="Times New Roman"/>
          <w:b/>
          <w:color w:val="000000"/>
          <w:sz w:val="24"/>
        </w:rPr>
      </w:pPr>
      <w:r w:rsidRPr="00600E6F">
        <w:rPr>
          <w:rFonts w:ascii="Times New Roman" w:hAnsi="Times New Roman"/>
          <w:b/>
          <w:color w:val="000000"/>
          <w:sz w:val="24"/>
        </w:rPr>
        <w:t>Notification/Authorization Requirements</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To submit notification and receive authorization to proceed for an eligible emergency equipment replacement, the following steps must be followed:</w:t>
      </w:r>
    </w:p>
    <w:p w:rsidR="00513B47" w:rsidRPr="00600E6F" w:rsidRDefault="00513B47" w:rsidP="003408F4">
      <w:pPr>
        <w:spacing w:after="0" w:line="240" w:lineRule="auto"/>
        <w:ind w:left="720"/>
        <w:outlineLvl w:val="3"/>
        <w:rPr>
          <w:rFonts w:ascii="Times New Roman" w:hAnsi="Times New Roman"/>
          <w:b/>
          <w:sz w:val="24"/>
        </w:rPr>
      </w:pPr>
    </w:p>
    <w:p w:rsidR="00513B47" w:rsidRPr="00600E6F" w:rsidRDefault="00513B47" w:rsidP="003408F4">
      <w:pPr>
        <w:spacing w:after="0" w:line="240" w:lineRule="auto"/>
        <w:ind w:left="720"/>
        <w:outlineLvl w:val="3"/>
        <w:rPr>
          <w:rFonts w:ascii="Times New Roman" w:hAnsi="Times New Roman"/>
          <w:b/>
          <w:sz w:val="24"/>
        </w:rPr>
      </w:pPr>
      <w:r w:rsidRPr="00600E6F">
        <w:rPr>
          <w:rFonts w:ascii="Times New Roman" w:hAnsi="Times New Roman"/>
          <w:b/>
          <w:sz w:val="24"/>
        </w:rPr>
        <w:t>Step 1: Submit for Pre-Replacement Approval</w:t>
      </w:r>
    </w:p>
    <w:p w:rsidR="00513B47" w:rsidRPr="00600E6F" w:rsidRDefault="00513B47" w:rsidP="00C31CC0">
      <w:pPr>
        <w:numPr>
          <w:ilvl w:val="0"/>
          <w:numId w:val="139"/>
        </w:numPr>
        <w:tabs>
          <w:tab w:val="clear" w:pos="720"/>
        </w:tabs>
        <w:spacing w:after="0" w:line="240" w:lineRule="auto"/>
        <w:ind w:left="1080"/>
        <w:rPr>
          <w:rFonts w:ascii="Times New Roman" w:hAnsi="Times New Roman"/>
          <w:sz w:val="24"/>
        </w:rPr>
      </w:pPr>
      <w:r w:rsidRPr="00600E6F">
        <w:rPr>
          <w:rFonts w:ascii="Times New Roman" w:hAnsi="Times New Roman"/>
          <w:sz w:val="24"/>
        </w:rPr>
        <w:t>The contractor is required to submit a Record of Emergency Equipment Replacement Form.</w:t>
      </w:r>
    </w:p>
    <w:p w:rsidR="00513B47" w:rsidRPr="00600E6F" w:rsidRDefault="00513B47" w:rsidP="00C31CC0">
      <w:pPr>
        <w:numPr>
          <w:ilvl w:val="0"/>
          <w:numId w:val="139"/>
        </w:numPr>
        <w:spacing w:after="0" w:line="240" w:lineRule="auto"/>
        <w:ind w:left="1080"/>
        <w:rPr>
          <w:rFonts w:ascii="Times New Roman" w:hAnsi="Times New Roman"/>
          <w:color w:val="000000"/>
          <w:sz w:val="24"/>
        </w:rPr>
      </w:pPr>
      <w:r w:rsidRPr="00600E6F">
        <w:rPr>
          <w:rFonts w:ascii="Times New Roman" w:hAnsi="Times New Roman"/>
          <w:sz w:val="24"/>
        </w:rPr>
        <w:t xml:space="preserve">The contractor is required to complete Sections 1 – 4 of the Record of Emergency Equipment Replacement Form, sign and date the customer/contractor signature section, provide detailed photographic evidence of the existing </w:t>
      </w:r>
      <w:r w:rsidR="008A0A65" w:rsidRPr="00600E6F">
        <w:rPr>
          <w:rFonts w:ascii="Times New Roman" w:hAnsi="Times New Roman"/>
          <w:sz w:val="24"/>
        </w:rPr>
        <w:t>equipment</w:t>
      </w:r>
      <w:r w:rsidRPr="00600E6F">
        <w:rPr>
          <w:rFonts w:ascii="Times New Roman" w:hAnsi="Times New Roman"/>
          <w:sz w:val="24"/>
        </w:rPr>
        <w:t xml:space="preserve"> installed in the residence (clearly showing the area around the existing unit) to include nameplate information (make, model, serial number, etc) and then provide a scanned copy in .PDF format to </w:t>
      </w:r>
      <w:hyperlink r:id="rId51" w:history="1">
        <w:r w:rsidRPr="00600E6F">
          <w:rPr>
            <w:rFonts w:ascii="Times New Roman" w:hAnsi="Times New Roman"/>
            <w:color w:val="000000"/>
            <w:sz w:val="24"/>
            <w:u w:val="single"/>
          </w:rPr>
          <w:t>EUCA_Processing@icfi.com</w:t>
        </w:r>
      </w:hyperlink>
      <w:r w:rsidRPr="00600E6F">
        <w:rPr>
          <w:rFonts w:ascii="Times New Roman" w:hAnsi="Times New Roman"/>
          <w:color w:val="000000"/>
          <w:sz w:val="24"/>
        </w:rPr>
        <w:t>.</w:t>
      </w:r>
    </w:p>
    <w:p w:rsidR="00513B47" w:rsidRPr="00600E6F" w:rsidRDefault="00513B47" w:rsidP="00C31CC0">
      <w:pPr>
        <w:numPr>
          <w:ilvl w:val="0"/>
          <w:numId w:val="139"/>
        </w:numPr>
        <w:spacing w:after="0" w:line="240" w:lineRule="auto"/>
        <w:ind w:left="1080"/>
        <w:rPr>
          <w:rFonts w:ascii="Times New Roman" w:hAnsi="Times New Roman"/>
          <w:sz w:val="24"/>
        </w:rPr>
      </w:pPr>
      <w:r w:rsidRPr="00600E6F">
        <w:rPr>
          <w:rFonts w:ascii="Times New Roman" w:hAnsi="Times New Roman"/>
          <w:sz w:val="24"/>
        </w:rPr>
        <w:lastRenderedPageBreak/>
        <w:t>Upon receipt of the completed form, ICF will provide written notification of Authorization to proceed via e-mail to the contractor within one business day (8-10 business hours).</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ind w:left="720"/>
        <w:outlineLvl w:val="3"/>
        <w:rPr>
          <w:rFonts w:ascii="Times New Roman" w:hAnsi="Times New Roman"/>
          <w:b/>
          <w:sz w:val="24"/>
        </w:rPr>
      </w:pPr>
      <w:r w:rsidRPr="00600E6F">
        <w:rPr>
          <w:rFonts w:ascii="Times New Roman" w:hAnsi="Times New Roman"/>
          <w:b/>
          <w:sz w:val="24"/>
        </w:rPr>
        <w:t>Step 2: Receive Authorization to Proceed</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Upon Authorization to proceed the contractor may commence installation of the new HVAC and/or DHW equipment.</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outlineLvl w:val="3"/>
        <w:rPr>
          <w:rFonts w:ascii="Times New Roman" w:hAnsi="Times New Roman"/>
          <w:b/>
          <w:sz w:val="24"/>
        </w:rPr>
      </w:pPr>
      <w:r w:rsidRPr="00600E6F">
        <w:rPr>
          <w:rFonts w:ascii="Times New Roman" w:hAnsi="Times New Roman"/>
          <w:b/>
          <w:sz w:val="24"/>
        </w:rPr>
        <w:t>Step 3: Complete Emergency Replacement and Submit Final Paperwork</w:t>
      </w:r>
    </w:p>
    <w:p w:rsidR="00513B47" w:rsidRPr="00600E6F" w:rsidRDefault="00513B47" w:rsidP="00C31CC0">
      <w:pPr>
        <w:numPr>
          <w:ilvl w:val="0"/>
          <w:numId w:val="140"/>
        </w:numPr>
        <w:tabs>
          <w:tab w:val="clear" w:pos="720"/>
          <w:tab w:val="num" w:pos="1080"/>
        </w:tabs>
        <w:spacing w:after="0" w:line="240" w:lineRule="auto"/>
        <w:ind w:left="1080"/>
        <w:rPr>
          <w:rFonts w:ascii="Times New Roman" w:hAnsi="Times New Roman"/>
          <w:sz w:val="24"/>
        </w:rPr>
        <w:pPrChange w:id="13" w:author="cerobins" w:date="2012-09-04T13:35:00Z">
          <w:pPr>
            <w:numPr>
              <w:numId w:val="140"/>
            </w:numPr>
            <w:spacing w:after="0" w:line="240" w:lineRule="auto"/>
            <w:ind w:left="1080" w:hanging="360"/>
          </w:pPr>
        </w:pPrChange>
      </w:pPr>
      <w:r w:rsidRPr="00600E6F">
        <w:rPr>
          <w:rFonts w:ascii="Times New Roman" w:hAnsi="Times New Roman"/>
          <w:sz w:val="24"/>
        </w:rPr>
        <w:t xml:space="preserve">Upon completion of the installation of the new equipment the contractor shall complete Section 5 of the Record of Emergency Equipment Replacement Form, sign and date the customer/contractor signature section, detailed installation invoice, and then provide a scanned copy in .PDF format to ICF </w:t>
      </w:r>
      <w:r w:rsidRPr="00600E6F">
        <w:rPr>
          <w:rFonts w:ascii="Times New Roman" w:hAnsi="Times New Roman"/>
          <w:color w:val="000000"/>
          <w:sz w:val="24"/>
        </w:rPr>
        <w:t>(</w:t>
      </w:r>
      <w:r w:rsidR="00C67FEC" w:rsidRPr="00600E6F">
        <w:rPr>
          <w:rFonts w:ascii="Times New Roman" w:hAnsi="Times New Roman"/>
        </w:rPr>
        <w:fldChar w:fldCharType="begin"/>
      </w:r>
      <w:r w:rsidR="00C67FEC" w:rsidRPr="00600E6F">
        <w:rPr>
          <w:rFonts w:ascii="Times New Roman" w:hAnsi="Times New Roman"/>
        </w:rPr>
        <w:instrText xml:space="preserve"> HYPERLINK "mailto:EUCA_Processing@icfi.com" </w:instrText>
      </w:r>
      <w:r w:rsidR="00C67FEC" w:rsidRPr="00600E6F">
        <w:rPr>
          <w:rFonts w:ascii="Times New Roman" w:hAnsi="Times New Roman"/>
        </w:rPr>
        <w:fldChar w:fldCharType="separate"/>
      </w:r>
      <w:r w:rsidRPr="00600E6F">
        <w:rPr>
          <w:rFonts w:ascii="Times New Roman" w:hAnsi="Times New Roman"/>
          <w:color w:val="000000"/>
          <w:sz w:val="24"/>
          <w:u w:val="single"/>
        </w:rPr>
        <w:t>EUCA_Processing@icfi.com</w:t>
      </w:r>
      <w:r w:rsidR="00C67FEC" w:rsidRPr="00600E6F">
        <w:rPr>
          <w:rFonts w:ascii="Times New Roman" w:hAnsi="Times New Roman"/>
          <w:color w:val="000000"/>
          <w:sz w:val="24"/>
          <w:u w:val="single"/>
        </w:rPr>
        <w:fldChar w:fldCharType="end"/>
      </w:r>
      <w:r w:rsidRPr="00600E6F">
        <w:rPr>
          <w:rFonts w:ascii="Times New Roman" w:hAnsi="Times New Roman"/>
          <w:color w:val="000000"/>
          <w:sz w:val="24"/>
        </w:rPr>
        <w:t>)</w:t>
      </w:r>
      <w:r w:rsidRPr="00600E6F">
        <w:rPr>
          <w:rFonts w:ascii="Times New Roman" w:hAnsi="Times New Roman"/>
          <w:sz w:val="24"/>
        </w:rPr>
        <w:t xml:space="preserve"> within five (5) business days of the new equipment installation. If measures installed exceed the scope of written authorization given, credit will not be given for those additional measures. If the paperwork is not received within those 5 business days, the final decision to allow the credit for the installed equipment will be at the sole discretion of Program Management and will not be able to be appealed.  </w:t>
      </w:r>
    </w:p>
    <w:p w:rsidR="00513B47" w:rsidRPr="00600E6F" w:rsidRDefault="00513B47" w:rsidP="003408F4">
      <w:pPr>
        <w:spacing w:after="0" w:line="240" w:lineRule="auto"/>
        <w:ind w:left="1080"/>
        <w:rPr>
          <w:rFonts w:ascii="Times New Roman" w:hAnsi="Times New Roman"/>
          <w:sz w:val="24"/>
        </w:rPr>
      </w:pPr>
      <w:r w:rsidRPr="00600E6F">
        <w:rPr>
          <w:rFonts w:ascii="Times New Roman" w:hAnsi="Times New Roman"/>
          <w:sz w:val="24"/>
        </w:rPr>
        <w:t xml:space="preserve"> </w:t>
      </w:r>
    </w:p>
    <w:p w:rsidR="00513B47" w:rsidRPr="00600E6F" w:rsidRDefault="00513B47" w:rsidP="00C31CC0">
      <w:pPr>
        <w:numPr>
          <w:ilvl w:val="0"/>
          <w:numId w:val="140"/>
        </w:numPr>
        <w:spacing w:after="0" w:line="240" w:lineRule="auto"/>
        <w:ind w:left="1080"/>
        <w:rPr>
          <w:rFonts w:ascii="Times New Roman" w:hAnsi="Times New Roman"/>
          <w:sz w:val="24"/>
        </w:rPr>
      </w:pPr>
      <w:r w:rsidRPr="00600E6F">
        <w:rPr>
          <w:rFonts w:ascii="Times New Roman" w:hAnsi="Times New Roman"/>
          <w:sz w:val="24"/>
        </w:rPr>
        <w:t xml:space="preserve">The Incentive Reservation Form must be turned into the Program within 30 calendar days of Emergency Equipment Replacement Approval. Failure to do so will result in not receiving credit for installed equipment. </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While age, size and efficiency of the existing system are a factor, it shall not be the sole determining factor for selection of equipment replacement. Best practices dictate that any replacement of central heating or cooling systems require submittal of a Manual J load calculation and must take into account all existing and/or proposed energy efficiency measures that will significantly impact load and allow for correct equipment sizing.</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If HVAC re-ducting is required in this emergency, the pre-retrofit building simulation model will automatically use the default vintage default tables for total duct leakage. This percentage is not able to be contested, should an appeal situation arise.</w:t>
      </w:r>
    </w:p>
    <w:p w:rsidR="00513B47" w:rsidRDefault="00513B47" w:rsidP="003408F4">
      <w:pPr>
        <w:spacing w:after="0" w:line="240" w:lineRule="auto"/>
        <w:ind w:left="720"/>
        <w:outlineLvl w:val="1"/>
        <w:rPr>
          <w:rFonts w:ascii="Times New Roman" w:hAnsi="Times New Roman"/>
          <w:b/>
          <w:color w:val="000000"/>
          <w:sz w:val="24"/>
        </w:rPr>
      </w:pP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Mandatory Documentation for Emergency Space Heating Equipment Replacement</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contractor shall provide information about the existing equipment being removed utilizing the Record of Emergency Equipment Replacement Form. At a minimum, the information collected regarding the existing space heating equipment shall include the following:</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Contractor’s business name, address and phone number</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Date of removal</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Reason for replacement (operational failure; health and safety)</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Manufacturer's name and model number of space heating equipment</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Rated efficiency, output, input from the nameplate</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Fuel type (natural gas, electric)</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Type of system (forced air, hydronic/radiant or combo)</w:t>
      </w:r>
    </w:p>
    <w:p w:rsidR="00513B47" w:rsidRPr="00600E6F" w:rsidRDefault="00513B47" w:rsidP="00C31CC0">
      <w:pPr>
        <w:pStyle w:val="ListParagraph"/>
        <w:numPr>
          <w:ilvl w:val="0"/>
          <w:numId w:val="141"/>
        </w:numPr>
        <w:spacing w:after="0" w:line="240" w:lineRule="auto"/>
        <w:rPr>
          <w:rFonts w:ascii="Times New Roman" w:hAnsi="Times New Roman"/>
          <w:sz w:val="24"/>
        </w:rPr>
      </w:pPr>
      <w:r w:rsidRPr="00600E6F">
        <w:rPr>
          <w:rFonts w:ascii="Times New Roman" w:hAnsi="Times New Roman"/>
          <w:sz w:val="24"/>
        </w:rPr>
        <w:t>Type of venting (e.g. chimney, side vent, barometric damper)</w:t>
      </w:r>
    </w:p>
    <w:p w:rsidR="00513B47" w:rsidRPr="00600E6F" w:rsidRDefault="00513B47" w:rsidP="00C31CC0">
      <w:pPr>
        <w:numPr>
          <w:ilvl w:val="0"/>
          <w:numId w:val="128"/>
        </w:numPr>
        <w:spacing w:after="0" w:line="240" w:lineRule="auto"/>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existing space heating equipment must be replaced with equipment meeting the Advanced Package Minimum Specifications. New gas-fired furnaces must have an Annual Fuel Utilization Efficiency (AFUE) of 92% or greater to qualify under the Emergency Replacement Policy for HVAC Equipment.</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contractor shall provide a copy of the invoice for the new space heating equipment and the Record of Emergency Equipment Replacement Form to their dedicated account manager within 5 business days of written authorization to proceed with the new equipment installation. At a minimum, the invoice for the new space heating equipment shall include the following: </w:t>
      </w:r>
    </w:p>
    <w:p w:rsidR="00513B47" w:rsidRPr="00600E6F" w:rsidRDefault="00513B47" w:rsidP="00C31CC0">
      <w:pPr>
        <w:numPr>
          <w:ilvl w:val="0"/>
          <w:numId w:val="129"/>
        </w:numPr>
        <w:spacing w:after="0" w:line="240" w:lineRule="auto"/>
        <w:rPr>
          <w:rFonts w:ascii="Times New Roman" w:hAnsi="Times New Roman"/>
          <w:sz w:val="24"/>
        </w:rPr>
      </w:pP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Contractor’s business name, address and phone number</w:t>
      </w: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Date of installation</w:t>
      </w: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Manufacturer's name, model and serial number of new space heating equipment</w:t>
      </w: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Rated efficiency, output, input from the nameplate</w:t>
      </w: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Fuel type (natural gas, electric)</w:t>
      </w: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Type of system (forced air, hydronic/radiant or combo)</w:t>
      </w:r>
    </w:p>
    <w:p w:rsidR="00513B47" w:rsidRPr="00600E6F" w:rsidRDefault="00513B47" w:rsidP="00C31CC0">
      <w:pPr>
        <w:pStyle w:val="ListParagraph"/>
        <w:numPr>
          <w:ilvl w:val="0"/>
          <w:numId w:val="142"/>
        </w:numPr>
        <w:spacing w:after="0" w:line="240" w:lineRule="auto"/>
        <w:rPr>
          <w:rFonts w:ascii="Times New Roman" w:hAnsi="Times New Roman"/>
          <w:sz w:val="24"/>
        </w:rPr>
      </w:pPr>
      <w:r w:rsidRPr="00600E6F">
        <w:rPr>
          <w:rFonts w:ascii="Times New Roman" w:hAnsi="Times New Roman"/>
          <w:sz w:val="24"/>
        </w:rPr>
        <w:t>Type of venting (e.g. chimney, side vent, barometric damper)</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While replacing the space heating equipment, this may be an opportunity to also replace the central air conditioner with a higher efficiency model. The existing equipment must be replaced with equipment meeting the requirements listed in the Advanced Package Minimum Specifications.  Contractor will need to supply the following information about both the new and existing air conditioning unit:</w:t>
      </w:r>
    </w:p>
    <w:p w:rsidR="00513B47" w:rsidRPr="00600E6F" w:rsidRDefault="00513B47" w:rsidP="00C31CC0">
      <w:pPr>
        <w:numPr>
          <w:ilvl w:val="0"/>
          <w:numId w:val="130"/>
        </w:numPr>
        <w:spacing w:after="0" w:line="240" w:lineRule="auto"/>
        <w:rPr>
          <w:rFonts w:ascii="Times New Roman" w:hAnsi="Times New Roman"/>
          <w:sz w:val="24"/>
        </w:rPr>
      </w:pP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Contractor’s business name, address and phone number</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Date of installation</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Reason for replacement (operational failure; health and safety; Other, please explain)</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Manufacturer's name and model number of cooling equipment</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Type of system (central air, heat pump )</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Rated efficiency (SEER, HSPF),unit size, and cooling output from the nameplate</w:t>
      </w:r>
    </w:p>
    <w:p w:rsidR="00513B47" w:rsidRPr="00600E6F" w:rsidRDefault="00513B47" w:rsidP="003408F4">
      <w:pPr>
        <w:spacing w:after="0" w:line="240" w:lineRule="auto"/>
        <w:ind w:left="720"/>
        <w:outlineLvl w:val="1"/>
        <w:rPr>
          <w:rFonts w:ascii="Times New Roman" w:hAnsi="Times New Roman"/>
          <w:b/>
          <w:color w:val="000000"/>
          <w:sz w:val="24"/>
        </w:rPr>
      </w:pPr>
      <w:r w:rsidRPr="00600E6F">
        <w:rPr>
          <w:rFonts w:ascii="Times New Roman" w:hAnsi="Times New Roman"/>
          <w:b/>
          <w:color w:val="000000"/>
          <w:sz w:val="24"/>
        </w:rPr>
        <w:t>Mandatory Documentation for Domestic Hot Water Equipment Replacement</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existing domestic hot water system must be replaced with equipment meeting Advanced Package Minimum Specifications. In addition, new domestic hot water heaters must have an Energy Factor (EF) of 0.62 or greater, and new domestic tankless hot water heaters must have an Energy Factor (EF) of 0.82 or greater to qualify under the Emergency Equipment Replacement Policy.</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The contractor shall provide a copy of the invoice for the new domestic hot water equipment and the Record of Emergency Equipment Replacement Form to their dedicated account manager within 5 business days of written authorization to proceed with the new equipment installation. At a minimum, the invoice for the new domestic hot water equipment shall include the following:</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Manufacturer's name and model number of domestic hot water equipment</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Type of system (gas, electric )</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lastRenderedPageBreak/>
        <w:t>Rated efficiency (energy factor)</w:t>
      </w:r>
    </w:p>
    <w:p w:rsidR="00513B47" w:rsidRPr="00600E6F"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Unit size (gallons)</w:t>
      </w:r>
    </w:p>
    <w:p w:rsidR="00513B47" w:rsidRDefault="00513B47" w:rsidP="00C31CC0">
      <w:pPr>
        <w:pStyle w:val="ListParagraph"/>
        <w:numPr>
          <w:ilvl w:val="0"/>
          <w:numId w:val="143"/>
        </w:numPr>
        <w:spacing w:after="0" w:line="240" w:lineRule="auto"/>
        <w:ind w:left="1080"/>
        <w:rPr>
          <w:rFonts w:ascii="Times New Roman" w:hAnsi="Times New Roman"/>
          <w:sz w:val="24"/>
        </w:rPr>
      </w:pPr>
      <w:r w:rsidRPr="00600E6F">
        <w:rPr>
          <w:rFonts w:ascii="Times New Roman" w:hAnsi="Times New Roman"/>
          <w:sz w:val="24"/>
        </w:rPr>
        <w:t>Input from the nameplate (Btu’s)</w:t>
      </w:r>
    </w:p>
    <w:p w:rsidR="00CF710C" w:rsidRPr="00600E6F" w:rsidRDefault="00CF710C" w:rsidP="00CF710C">
      <w:pPr>
        <w:pStyle w:val="ListParagraph"/>
        <w:spacing w:after="0" w:line="240" w:lineRule="auto"/>
        <w:ind w:left="1080"/>
        <w:rPr>
          <w:rFonts w:ascii="Times New Roman" w:hAnsi="Times New Roman"/>
          <w:sz w:val="24"/>
        </w:rPr>
      </w:pPr>
    </w:p>
    <w:p w:rsidR="00513B47" w:rsidRPr="00600E6F" w:rsidRDefault="00513B47" w:rsidP="003408F4">
      <w:pPr>
        <w:spacing w:after="0" w:line="240" w:lineRule="auto"/>
        <w:ind w:firstLine="720"/>
        <w:rPr>
          <w:rFonts w:ascii="Times New Roman" w:hAnsi="Times New Roman"/>
          <w:b/>
          <w:color w:val="000000"/>
          <w:sz w:val="24"/>
        </w:rPr>
      </w:pPr>
      <w:r w:rsidRPr="00600E6F">
        <w:rPr>
          <w:rFonts w:ascii="Times New Roman" w:hAnsi="Times New Roman"/>
          <w:sz w:val="24"/>
        </w:rPr>
        <w:t> </w:t>
      </w:r>
      <w:r w:rsidRPr="00600E6F">
        <w:rPr>
          <w:rFonts w:ascii="Times New Roman" w:hAnsi="Times New Roman"/>
          <w:b/>
          <w:color w:val="000000"/>
          <w:sz w:val="24"/>
        </w:rPr>
        <w:t>Mandatory Requirements for Emergency Equipment Replacement Approval</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Once administrative approval and written authorization to proceed is granted, the contractor may immediately install the individual measures if the following conditions are met:</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C31CC0">
      <w:pPr>
        <w:numPr>
          <w:ilvl w:val="0"/>
          <w:numId w:val="144"/>
        </w:numPr>
        <w:tabs>
          <w:tab w:val="clear" w:pos="720"/>
          <w:tab w:val="num" w:pos="1080"/>
        </w:tabs>
        <w:spacing w:after="0" w:line="240" w:lineRule="auto"/>
        <w:ind w:left="1080"/>
        <w:rPr>
          <w:rFonts w:ascii="Times New Roman" w:hAnsi="Times New Roman"/>
          <w:sz w:val="24"/>
        </w:rPr>
      </w:pPr>
      <w:r w:rsidRPr="00600E6F">
        <w:rPr>
          <w:rFonts w:ascii="Times New Roman" w:hAnsi="Times New Roman"/>
          <w:sz w:val="24"/>
        </w:rPr>
        <w:t>Provide photographic evidence of the existing system installed in the residence clearly showing the area around the existing unit and detailed pictures of the existing equipment to include nameplate information (make, model, serial number, etc.).</w:t>
      </w:r>
    </w:p>
    <w:p w:rsidR="00513B47" w:rsidRPr="00600E6F" w:rsidRDefault="00513B47" w:rsidP="00C31CC0">
      <w:pPr>
        <w:numPr>
          <w:ilvl w:val="0"/>
          <w:numId w:val="144"/>
        </w:numPr>
        <w:spacing w:after="0" w:line="240" w:lineRule="auto"/>
        <w:ind w:left="1080"/>
        <w:rPr>
          <w:rFonts w:ascii="Times New Roman" w:hAnsi="Times New Roman"/>
          <w:sz w:val="24"/>
        </w:rPr>
      </w:pPr>
      <w:r w:rsidRPr="00600E6F">
        <w:rPr>
          <w:rFonts w:ascii="Times New Roman" w:hAnsi="Times New Roman"/>
          <w:sz w:val="24"/>
        </w:rPr>
        <w:t>The contractor shall provide a copy of the Invoice for the new space heating and/or cooling equipment and the completed Record of Emergency Equipment Replacement Form to their dedicated account manager within 5 business days of the installation of the new equipment (if applicable).</w:t>
      </w:r>
    </w:p>
    <w:p w:rsidR="00513B47" w:rsidRPr="00600E6F" w:rsidRDefault="00513B47" w:rsidP="00C31CC0">
      <w:pPr>
        <w:numPr>
          <w:ilvl w:val="0"/>
          <w:numId w:val="144"/>
        </w:numPr>
        <w:spacing w:after="0" w:line="240" w:lineRule="auto"/>
        <w:ind w:left="1080"/>
        <w:rPr>
          <w:rFonts w:ascii="Times New Roman" w:hAnsi="Times New Roman"/>
          <w:sz w:val="24"/>
        </w:rPr>
      </w:pPr>
      <w:r w:rsidRPr="00600E6F">
        <w:rPr>
          <w:rFonts w:ascii="Times New Roman" w:hAnsi="Times New Roman"/>
          <w:sz w:val="24"/>
        </w:rPr>
        <w:t>The contractor shall provide a copy of the Invoice for the new domestic hot water equipment and the Record of Emergency Equipment Replacement Form to their dedicated account manager within 5 business days of the installation of the new equipment (if applicable).</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In the event the customer/contractor fail to meet the timelines indicated the project runs the risk of not being able to include the energy savings from the installation of the new equipment in the energy simulation (Energy Pro) model.</w:t>
      </w:r>
    </w:p>
    <w:p w:rsidR="00513B47" w:rsidRPr="00600E6F" w:rsidRDefault="00513B47" w:rsidP="003408F4">
      <w:pPr>
        <w:spacing w:after="0" w:line="240" w:lineRule="auto"/>
        <w:ind w:left="720" w:hanging="360"/>
        <w:rPr>
          <w:rFonts w:ascii="Times New Roman" w:hAnsi="Times New Roman"/>
          <w:b/>
          <w:sz w:val="24"/>
        </w:rPr>
      </w:pPr>
    </w:p>
    <w:p w:rsidR="00513B47" w:rsidRPr="00600E6F" w:rsidRDefault="00513B47" w:rsidP="003408F4">
      <w:pPr>
        <w:spacing w:after="0" w:line="240" w:lineRule="auto"/>
        <w:ind w:left="720" w:hanging="360"/>
        <w:rPr>
          <w:rFonts w:ascii="Times New Roman" w:hAnsi="Times New Roman"/>
          <w:b/>
          <w:sz w:val="24"/>
        </w:rPr>
      </w:pPr>
      <w:r w:rsidRPr="00600E6F">
        <w:rPr>
          <w:rFonts w:ascii="Times New Roman" w:hAnsi="Times New Roman"/>
          <w:b/>
          <w:sz w:val="24"/>
        </w:rPr>
        <w:t>b.</w:t>
      </w:r>
      <w:r w:rsidRPr="00600E6F">
        <w:rPr>
          <w:rFonts w:ascii="Times New Roman" w:hAnsi="Times New Roman"/>
          <w:b/>
          <w:sz w:val="24"/>
        </w:rPr>
        <w:tab/>
        <w:t>Streamlined High Performing Contractor Protocol</w:t>
      </w: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SoCalGas follows the Home Performance with ENERGY STAR® guidelines for QA/QC protocols.  Since the implementation of the SoCalGas EUC Program, SoCalGas has established an adjustable onsite inspection rate for contractors based on job experience and performance.</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sz w:val="24"/>
        </w:rPr>
        <w:t>SoCalGas conducts onsite inspections, at set inspection rates, of the work of all participating contractors.  This inspection rate is reduced as the contractor gains experience in the program and as onsite inspections show the contractor is performing at a satisfactory level per program requirements.  See chart below</w:t>
      </w:r>
    </w:p>
    <w:p w:rsidR="00513B47" w:rsidRPr="00600E6F" w:rsidRDefault="00513B47" w:rsidP="003408F4">
      <w:pPr>
        <w:spacing w:after="0" w:line="240" w:lineRule="auto"/>
        <w:ind w:left="360"/>
        <w:rPr>
          <w:rFonts w:ascii="Times New Roman" w:hAnsi="Times New Roman"/>
          <w:sz w:val="24"/>
        </w:rPr>
      </w:pPr>
    </w:p>
    <w:p w:rsidR="00513B47" w:rsidRPr="00600E6F" w:rsidRDefault="00513B47" w:rsidP="00C31CC0">
      <w:pPr>
        <w:pStyle w:val="ListParagraph"/>
        <w:numPr>
          <w:ilvl w:val="1"/>
          <w:numId w:val="48"/>
        </w:numPr>
        <w:spacing w:after="0" w:line="240" w:lineRule="auto"/>
        <w:ind w:left="1440"/>
        <w:contextualSpacing w:val="0"/>
        <w:rPr>
          <w:rFonts w:ascii="Times New Roman" w:hAnsi="Times New Roman"/>
          <w:sz w:val="24"/>
        </w:rPr>
      </w:pPr>
      <w:r w:rsidRPr="00600E6F">
        <w:rPr>
          <w:rFonts w:ascii="Times New Roman" w:hAnsi="Times New Roman"/>
          <w:sz w:val="24"/>
        </w:rPr>
        <w:t>Tier 1Contractor- 60% onsite inspection of first five project</w:t>
      </w:r>
    </w:p>
    <w:p w:rsidR="00513B47" w:rsidRPr="00600E6F" w:rsidRDefault="00513B47" w:rsidP="00C31CC0">
      <w:pPr>
        <w:pStyle w:val="ListParagraph"/>
        <w:numPr>
          <w:ilvl w:val="1"/>
          <w:numId w:val="48"/>
        </w:numPr>
        <w:spacing w:after="0" w:line="240" w:lineRule="auto"/>
        <w:ind w:left="1440"/>
        <w:contextualSpacing w:val="0"/>
        <w:rPr>
          <w:rFonts w:ascii="Times New Roman" w:hAnsi="Times New Roman"/>
          <w:sz w:val="24"/>
        </w:rPr>
      </w:pPr>
      <w:r w:rsidRPr="00600E6F">
        <w:rPr>
          <w:rFonts w:ascii="Times New Roman" w:hAnsi="Times New Roman"/>
          <w:sz w:val="24"/>
        </w:rPr>
        <w:t xml:space="preserve">Tier 2 Contractor- </w:t>
      </w:r>
      <w:r w:rsidRPr="00600E6F">
        <w:rPr>
          <w:rFonts w:ascii="Times New Roman" w:hAnsi="Times New Roman"/>
          <w:color w:val="000000"/>
          <w:sz w:val="24"/>
        </w:rPr>
        <w:t xml:space="preserve">27%  </w:t>
      </w:r>
      <w:r w:rsidRPr="00600E6F">
        <w:rPr>
          <w:rFonts w:ascii="Times New Roman" w:hAnsi="Times New Roman"/>
          <w:sz w:val="24"/>
        </w:rPr>
        <w:t xml:space="preserve">onsite inspection </w:t>
      </w:r>
      <w:r w:rsidRPr="00600E6F">
        <w:rPr>
          <w:rFonts w:ascii="Times New Roman" w:hAnsi="Times New Roman"/>
          <w:color w:val="000000"/>
          <w:sz w:val="24"/>
        </w:rPr>
        <w:t xml:space="preserve">of next 15 projects </w:t>
      </w:r>
    </w:p>
    <w:p w:rsidR="00513B47" w:rsidRPr="00600E6F" w:rsidRDefault="00513B47" w:rsidP="00C31CC0">
      <w:pPr>
        <w:pStyle w:val="ListParagraph"/>
        <w:numPr>
          <w:ilvl w:val="1"/>
          <w:numId w:val="48"/>
        </w:numPr>
        <w:spacing w:after="0" w:line="240" w:lineRule="auto"/>
        <w:ind w:left="1440"/>
        <w:contextualSpacing w:val="0"/>
        <w:rPr>
          <w:rFonts w:ascii="Times New Roman" w:hAnsi="Times New Roman"/>
          <w:sz w:val="24"/>
        </w:rPr>
      </w:pPr>
      <w:r w:rsidRPr="00600E6F">
        <w:rPr>
          <w:rFonts w:ascii="Times New Roman" w:hAnsi="Times New Roman"/>
          <w:sz w:val="24"/>
        </w:rPr>
        <w:t xml:space="preserve">Tier 3 Contractor- </w:t>
      </w:r>
      <w:r w:rsidRPr="00600E6F">
        <w:rPr>
          <w:rFonts w:ascii="Times New Roman" w:hAnsi="Times New Roman"/>
          <w:color w:val="000000"/>
          <w:sz w:val="24"/>
        </w:rPr>
        <w:t xml:space="preserve">5% </w:t>
      </w:r>
      <w:r w:rsidRPr="00600E6F">
        <w:rPr>
          <w:rFonts w:ascii="Times New Roman" w:hAnsi="Times New Roman"/>
          <w:sz w:val="24"/>
        </w:rPr>
        <w:t xml:space="preserve">onsite inspection </w:t>
      </w:r>
      <w:r w:rsidRPr="00600E6F">
        <w:rPr>
          <w:rFonts w:ascii="Times New Roman" w:hAnsi="Times New Roman"/>
          <w:color w:val="000000"/>
          <w:sz w:val="24"/>
        </w:rPr>
        <w:t xml:space="preserve">after 20th project </w:t>
      </w:r>
    </w:p>
    <w:p w:rsidR="00513B47" w:rsidRDefault="00513B47"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Default="00CF710C" w:rsidP="003408F4">
      <w:pPr>
        <w:spacing w:after="0" w:line="240" w:lineRule="auto"/>
        <w:rPr>
          <w:rFonts w:ascii="Times New Roman" w:hAnsi="Times New Roman"/>
          <w:sz w:val="24"/>
        </w:rPr>
      </w:pPr>
    </w:p>
    <w:p w:rsidR="00CF710C" w:rsidRPr="00600E6F" w:rsidRDefault="00CF710C" w:rsidP="003408F4">
      <w:pPr>
        <w:spacing w:after="0" w:line="240" w:lineRule="auto"/>
        <w:rPr>
          <w:rFonts w:ascii="Times New Roman" w:hAnsi="Times New Roman"/>
          <w:sz w:val="24"/>
        </w:rPr>
      </w:pPr>
    </w:p>
    <w:p w:rsidR="00513B47" w:rsidRPr="00600E6F" w:rsidRDefault="00513B47" w:rsidP="003408F4">
      <w:pPr>
        <w:spacing w:after="0" w:line="240" w:lineRule="auto"/>
        <w:jc w:val="center"/>
        <w:rPr>
          <w:rFonts w:ascii="Times New Roman" w:hAnsi="Times New Roman"/>
          <w:b/>
          <w:sz w:val="24"/>
        </w:rPr>
      </w:pPr>
      <w:r w:rsidRPr="00600E6F">
        <w:rPr>
          <w:rFonts w:ascii="Times New Roman" w:hAnsi="Times New Roman"/>
          <w:b/>
          <w:sz w:val="24"/>
        </w:rPr>
        <w:lastRenderedPageBreak/>
        <w:t>ATTACHMENT 1</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b/>
          <w:sz w:val="24"/>
        </w:rPr>
      </w:pPr>
      <w:r w:rsidRPr="00600E6F">
        <w:rPr>
          <w:rFonts w:ascii="Times New Roman" w:hAnsi="Times New Roman"/>
          <w:b/>
          <w:sz w:val="24"/>
        </w:rPr>
        <w:t>Program Non-Energy Objectives</w:t>
      </w:r>
    </w:p>
    <w:p w:rsidR="00513B47" w:rsidRPr="00600E6F" w:rsidRDefault="00513B47" w:rsidP="003408F4">
      <w:pPr>
        <w:spacing w:after="0" w:line="240" w:lineRule="auto"/>
        <w:rPr>
          <w:rFonts w:ascii="Times New Roman" w:hAnsi="Times New Roman"/>
          <w:sz w:val="24"/>
        </w:rPr>
      </w:pPr>
    </w:p>
    <w:p w:rsidR="00513B47" w:rsidRPr="00600E6F" w:rsidRDefault="00513B47" w:rsidP="00B331ED">
      <w:pPr>
        <w:spacing w:after="0" w:line="240" w:lineRule="auto"/>
        <w:rPr>
          <w:rFonts w:ascii="Times New Roman" w:hAnsi="Times New Roman"/>
          <w:sz w:val="24"/>
        </w:rPr>
      </w:pPr>
      <w:r w:rsidRPr="00600E6F">
        <w:rPr>
          <w:rFonts w:ascii="Times New Roman" w:hAnsi="Times New Roman"/>
          <w:sz w:val="24"/>
        </w:rPr>
        <w:t>Table 3 provides targets per approved PPM’s for single family homes.  Additional PPM’s for multifamily may be developed as program develops.</w:t>
      </w:r>
    </w:p>
    <w:p w:rsidR="00513B47" w:rsidRPr="00600E6F" w:rsidRDefault="00513B47" w:rsidP="003408F4">
      <w:pPr>
        <w:pStyle w:val="ListParagraph"/>
        <w:spacing w:after="0" w:line="240" w:lineRule="auto"/>
        <w:rPr>
          <w:rFonts w:ascii="Times New Roman" w:hAnsi="Times New Roman"/>
          <w:sz w:val="24"/>
        </w:rPr>
      </w:pPr>
    </w:p>
    <w:p w:rsidR="00513B47" w:rsidRPr="00600E6F" w:rsidRDefault="00513B47" w:rsidP="00B331ED">
      <w:pPr>
        <w:spacing w:after="0" w:line="240" w:lineRule="auto"/>
        <w:rPr>
          <w:rFonts w:ascii="Times New Roman" w:hAnsi="Times New Roman"/>
          <w:sz w:val="24"/>
        </w:rPr>
      </w:pPr>
      <w:r w:rsidRPr="00600E6F">
        <w:rPr>
          <w:rFonts w:ascii="Times New Roman" w:hAnsi="Times New Roman"/>
          <w:b/>
          <w:sz w:val="24"/>
        </w:rPr>
        <w:t>Table 3</w:t>
      </w:r>
      <w:r w:rsidR="004E5A95">
        <w:rPr>
          <w:rFonts w:ascii="Times New Roman" w:hAnsi="Times New Roman"/>
          <w:b/>
          <w:sz w:val="24"/>
          <w:szCs w:val="24"/>
        </w:rPr>
        <w:t>:</w:t>
      </w:r>
      <w:r w:rsidRPr="00600E6F">
        <w:rPr>
          <w:rFonts w:ascii="Times New Roman" w:hAnsi="Times New Roman"/>
          <w:b/>
          <w:sz w:val="24"/>
        </w:rPr>
        <w:t xml:space="preserve"> </w:t>
      </w:r>
      <w:r w:rsidRPr="00600E6F">
        <w:rPr>
          <w:rFonts w:ascii="Times New Roman" w:hAnsi="Times New Roman"/>
          <w:sz w:val="24"/>
        </w:rPr>
        <w:t>Quantitative Program Targets (PPMs)</w:t>
      </w:r>
    </w:p>
    <w:p w:rsidR="00513B47" w:rsidRPr="00600E6F" w:rsidRDefault="00513B47" w:rsidP="00B331ED">
      <w:pPr>
        <w:spacing w:after="0" w:line="240" w:lineRule="auto"/>
        <w:rPr>
          <w:rFonts w:ascii="Times New Roman" w:hAnsi="Times New Roman"/>
          <w:i/>
          <w:sz w:val="24"/>
        </w:rPr>
      </w:pPr>
      <w:r w:rsidRPr="00600E6F">
        <w:rPr>
          <w:rFonts w:ascii="Times New Roman" w:hAnsi="Times New Roman"/>
          <w:i/>
          <w:sz w:val="24"/>
        </w:rPr>
        <w:t>[Table 3 to be provided as an Excel Attachment to this PIP]</w:t>
      </w:r>
    </w:p>
    <w:p w:rsidR="00513B47" w:rsidRPr="00600E6F" w:rsidRDefault="00513B47" w:rsidP="003408F4">
      <w:pPr>
        <w:spacing w:after="0" w:line="240" w:lineRule="auto"/>
        <w:jc w:val="center"/>
        <w:rPr>
          <w:rFonts w:ascii="Times New Roman" w:hAnsi="Times New Roman"/>
          <w:sz w:val="24"/>
        </w:rPr>
      </w:pPr>
    </w:p>
    <w:p w:rsidR="00513B47" w:rsidRPr="00600E6F" w:rsidRDefault="00513B47" w:rsidP="003408F4">
      <w:pPr>
        <w:spacing w:after="0" w:line="240" w:lineRule="auto"/>
        <w:jc w:val="center"/>
        <w:rPr>
          <w:rFonts w:ascii="Times New Roman" w:hAnsi="Times New Roman"/>
          <w:b/>
          <w:sz w:val="24"/>
        </w:rPr>
      </w:pPr>
    </w:p>
    <w:p w:rsidR="008D705C" w:rsidRDefault="00513B47" w:rsidP="008D705C">
      <w:pPr>
        <w:spacing w:line="240" w:lineRule="auto"/>
        <w:ind w:left="630" w:hanging="360"/>
        <w:contextualSpacing/>
        <w:rPr>
          <w:b/>
          <w:color w:val="000000" w:themeColor="text1"/>
          <w:sz w:val="24"/>
          <w:szCs w:val="24"/>
        </w:rPr>
      </w:pPr>
      <w:r w:rsidRPr="00600E6F">
        <w:rPr>
          <w:rFonts w:ascii="Times New Roman" w:hAnsi="Times New Roman"/>
          <w:b/>
          <w:sz w:val="24"/>
        </w:rPr>
        <w:br w:type="page"/>
      </w:r>
      <w:r w:rsidR="008D705C" w:rsidRPr="003646B0">
        <w:rPr>
          <w:b/>
          <w:color w:val="000000" w:themeColor="text1"/>
          <w:sz w:val="24"/>
          <w:szCs w:val="24"/>
        </w:rPr>
        <w:lastRenderedPageBreak/>
        <w:t>14)</w:t>
      </w:r>
      <w:r w:rsidR="008D705C" w:rsidRPr="003646B0">
        <w:rPr>
          <w:b/>
          <w:color w:val="000000" w:themeColor="text1"/>
          <w:sz w:val="24"/>
          <w:szCs w:val="24"/>
        </w:rPr>
        <w:tab/>
        <w:t xml:space="preserve">Additional SDG&amp;E </w:t>
      </w:r>
      <w:r w:rsidR="008D705C" w:rsidRPr="003646B0">
        <w:rPr>
          <w:b/>
          <w:i/>
          <w:color w:val="000000" w:themeColor="text1"/>
          <w:sz w:val="24"/>
          <w:szCs w:val="24"/>
        </w:rPr>
        <w:t>Multifamily Path</w:t>
      </w:r>
      <w:r w:rsidR="008D705C" w:rsidRPr="003646B0">
        <w:rPr>
          <w:b/>
          <w:color w:val="000000" w:themeColor="text1"/>
          <w:sz w:val="24"/>
          <w:szCs w:val="24"/>
        </w:rPr>
        <w:t xml:space="preserve"> Information</w:t>
      </w:r>
    </w:p>
    <w:p w:rsidR="008D705C" w:rsidRDefault="008D705C" w:rsidP="008D705C">
      <w:pPr>
        <w:spacing w:line="240" w:lineRule="auto"/>
        <w:ind w:left="630" w:hanging="360"/>
        <w:contextualSpacing/>
        <w:rPr>
          <w:b/>
          <w:color w:val="000000" w:themeColor="text1"/>
          <w:sz w:val="24"/>
          <w:szCs w:val="24"/>
        </w:rPr>
      </w:pPr>
    </w:p>
    <w:p w:rsidR="008D705C" w:rsidRPr="003646B0" w:rsidRDefault="008D705C" w:rsidP="008D705C">
      <w:pPr>
        <w:spacing w:line="240" w:lineRule="auto"/>
        <w:ind w:left="630" w:hanging="360"/>
        <w:contextualSpacing/>
        <w:rPr>
          <w:b/>
          <w:color w:val="000000" w:themeColor="text1"/>
          <w:sz w:val="24"/>
          <w:szCs w:val="24"/>
        </w:rPr>
      </w:pPr>
      <w:r>
        <w:rPr>
          <w:b/>
          <w:color w:val="000000" w:themeColor="text1"/>
          <w:sz w:val="24"/>
          <w:szCs w:val="24"/>
        </w:rPr>
        <w:tab/>
        <w:t>1.  Budget and Savings</w:t>
      </w:r>
    </w:p>
    <w:p w:rsidR="008D705C" w:rsidRDefault="008D705C" w:rsidP="008D705C">
      <w:pPr>
        <w:spacing w:line="240" w:lineRule="auto"/>
        <w:ind w:left="630" w:hanging="360"/>
        <w:contextualSpacing/>
        <w:rPr>
          <w:color w:val="000000" w:themeColor="text1"/>
          <w:sz w:val="24"/>
          <w:szCs w:val="24"/>
        </w:rPr>
      </w:pPr>
    </w:p>
    <w:p w:rsidR="008D705C" w:rsidRPr="003646B0" w:rsidRDefault="008D705C" w:rsidP="008D705C">
      <w:pPr>
        <w:spacing w:line="240" w:lineRule="auto"/>
        <w:ind w:left="630"/>
        <w:contextualSpacing/>
        <w:rPr>
          <w:color w:val="000000" w:themeColor="text1"/>
          <w:sz w:val="24"/>
          <w:szCs w:val="24"/>
        </w:rPr>
      </w:pPr>
      <w:r w:rsidRPr="003646B0">
        <w:rPr>
          <w:color w:val="000000" w:themeColor="text1"/>
          <w:sz w:val="24"/>
          <w:szCs w:val="24"/>
        </w:rPr>
        <w:t xml:space="preserve">The WHUP Multifamily Path budget and savings estimates are considered </w:t>
      </w:r>
      <w:r>
        <w:rPr>
          <w:color w:val="000000" w:themeColor="text1"/>
          <w:sz w:val="24"/>
          <w:szCs w:val="24"/>
        </w:rPr>
        <w:t xml:space="preserve">part of the overall </w:t>
      </w:r>
      <w:r w:rsidRPr="003646B0">
        <w:rPr>
          <w:color w:val="000000" w:themeColor="text1"/>
          <w:sz w:val="24"/>
          <w:szCs w:val="24"/>
        </w:rPr>
        <w:t xml:space="preserve">WHUP budget and savings goals.  The Multifamily Path was not filed as its own program, but filed as one component of a whole building performance program that also includes two single family paths.  Actual expenses and impacts will depend upon customer uptake in the three paths and many expenses will be shared and leveraged with the single family paths in order to streamline and reduce administrative and implementation costs.  </w:t>
      </w:r>
    </w:p>
    <w:p w:rsidR="008D705C" w:rsidRPr="003646B0" w:rsidRDefault="008D705C" w:rsidP="008D705C">
      <w:pPr>
        <w:spacing w:line="240" w:lineRule="auto"/>
        <w:ind w:left="1260"/>
        <w:contextualSpacing/>
        <w:rPr>
          <w:color w:val="000000" w:themeColor="text1"/>
          <w:sz w:val="24"/>
          <w:szCs w:val="24"/>
        </w:rPr>
      </w:pPr>
    </w:p>
    <w:p w:rsidR="008D705C" w:rsidRDefault="008D705C" w:rsidP="008D705C">
      <w:pPr>
        <w:autoSpaceDE w:val="0"/>
        <w:autoSpaceDN w:val="0"/>
        <w:adjustRightInd w:val="0"/>
        <w:spacing w:before="1" w:after="0" w:line="240" w:lineRule="auto"/>
        <w:ind w:left="630" w:right="-20"/>
        <w:rPr>
          <w:color w:val="000000" w:themeColor="text1"/>
          <w:sz w:val="24"/>
          <w:szCs w:val="24"/>
        </w:rPr>
      </w:pPr>
      <w:r>
        <w:rPr>
          <w:color w:val="000000" w:themeColor="text1"/>
          <w:sz w:val="24"/>
          <w:szCs w:val="24"/>
        </w:rPr>
        <w:t>Given</w:t>
      </w:r>
      <w:r w:rsidRPr="003646B0">
        <w:rPr>
          <w:color w:val="000000" w:themeColor="text1"/>
          <w:sz w:val="24"/>
          <w:szCs w:val="24"/>
        </w:rPr>
        <w:t xml:space="preserve"> the shared and leveraged </w:t>
      </w:r>
      <w:r>
        <w:rPr>
          <w:color w:val="000000" w:themeColor="text1"/>
          <w:sz w:val="24"/>
          <w:szCs w:val="24"/>
        </w:rPr>
        <w:t>single family</w:t>
      </w:r>
      <w:r w:rsidRPr="003646B0">
        <w:rPr>
          <w:color w:val="000000" w:themeColor="text1"/>
          <w:sz w:val="24"/>
          <w:szCs w:val="24"/>
        </w:rPr>
        <w:t xml:space="preserve"> and </w:t>
      </w:r>
      <w:r>
        <w:rPr>
          <w:color w:val="000000" w:themeColor="text1"/>
          <w:sz w:val="24"/>
          <w:szCs w:val="24"/>
        </w:rPr>
        <w:t>multifamily</w:t>
      </w:r>
      <w:r w:rsidRPr="003646B0">
        <w:rPr>
          <w:color w:val="000000" w:themeColor="text1"/>
          <w:sz w:val="24"/>
          <w:szCs w:val="24"/>
        </w:rPr>
        <w:t xml:space="preserve"> components, the </w:t>
      </w:r>
      <w:r w:rsidRPr="003646B0">
        <w:rPr>
          <w:i/>
          <w:color w:val="000000" w:themeColor="text1"/>
          <w:sz w:val="24"/>
          <w:szCs w:val="24"/>
        </w:rPr>
        <w:t>Multifamily Path</w:t>
      </w:r>
      <w:r w:rsidRPr="003646B0">
        <w:rPr>
          <w:color w:val="000000" w:themeColor="text1"/>
          <w:sz w:val="24"/>
          <w:szCs w:val="24"/>
        </w:rPr>
        <w:t xml:space="preserve"> proportion is estimated to be approximately 25% of the proposed WHUP budget serving an estimated 2,800 dwelling units with estimated impacts of approximately 1,800,000 kwh and 72,000 therms</w:t>
      </w:r>
    </w:p>
    <w:p w:rsidR="008D705C" w:rsidRDefault="008D705C" w:rsidP="008D705C">
      <w:pPr>
        <w:autoSpaceDE w:val="0"/>
        <w:autoSpaceDN w:val="0"/>
        <w:adjustRightInd w:val="0"/>
        <w:spacing w:before="1" w:after="0" w:line="240" w:lineRule="auto"/>
        <w:ind w:left="630" w:right="-20"/>
        <w:rPr>
          <w:color w:val="000000" w:themeColor="text1"/>
          <w:sz w:val="24"/>
          <w:szCs w:val="24"/>
        </w:rPr>
      </w:pPr>
    </w:p>
    <w:p w:rsidR="008D705C" w:rsidRDefault="008D705C" w:rsidP="008D705C">
      <w:pPr>
        <w:autoSpaceDE w:val="0"/>
        <w:autoSpaceDN w:val="0"/>
        <w:adjustRightInd w:val="0"/>
        <w:spacing w:after="0" w:line="240" w:lineRule="auto"/>
        <w:ind w:left="630"/>
        <w:rPr>
          <w:rFonts w:ascii="Calibri,Bold" w:hAnsi="Calibri,Bold" w:cs="Calibri,Bold"/>
          <w:b/>
          <w:bCs/>
          <w:color w:val="000000"/>
          <w:sz w:val="19"/>
          <w:szCs w:val="19"/>
        </w:rPr>
      </w:pPr>
      <w:r w:rsidRPr="00252CBA">
        <w:rPr>
          <w:b/>
          <w:color w:val="000000" w:themeColor="text1"/>
          <w:sz w:val="24"/>
          <w:szCs w:val="24"/>
        </w:rPr>
        <w:t xml:space="preserve">2.  </w:t>
      </w:r>
      <w:r>
        <w:rPr>
          <w:rFonts w:ascii="Calibri,Bold" w:hAnsi="Calibri,Bold" w:cs="Calibri,Bold"/>
          <w:b/>
          <w:bCs/>
          <w:color w:val="000000"/>
          <w:sz w:val="19"/>
          <w:szCs w:val="19"/>
        </w:rPr>
        <w:t>Incentives</w:t>
      </w:r>
    </w:p>
    <w:p w:rsidR="008D705C" w:rsidRDefault="008D705C" w:rsidP="008D705C">
      <w:pPr>
        <w:autoSpaceDE w:val="0"/>
        <w:autoSpaceDN w:val="0"/>
        <w:adjustRightInd w:val="0"/>
        <w:spacing w:after="0" w:line="240" w:lineRule="auto"/>
        <w:ind w:left="630"/>
        <w:rPr>
          <w:rFonts w:ascii="Calibri,Bold" w:hAnsi="Calibri,Bold" w:cs="Calibri,Bold"/>
          <w:sz w:val="19"/>
          <w:szCs w:val="19"/>
        </w:rPr>
      </w:pPr>
    </w:p>
    <w:p w:rsidR="008D705C" w:rsidRPr="00252CBA" w:rsidRDefault="008D705C" w:rsidP="008D705C">
      <w:pPr>
        <w:autoSpaceDE w:val="0"/>
        <w:autoSpaceDN w:val="0"/>
        <w:adjustRightInd w:val="0"/>
        <w:spacing w:after="0" w:line="240" w:lineRule="auto"/>
        <w:ind w:left="630"/>
        <w:rPr>
          <w:rFonts w:cs="Calibri"/>
          <w:sz w:val="24"/>
          <w:szCs w:val="24"/>
        </w:rPr>
      </w:pPr>
      <w:r w:rsidRPr="00252CBA">
        <w:rPr>
          <w:rFonts w:cs="Calibri"/>
          <w:sz w:val="24"/>
          <w:szCs w:val="24"/>
        </w:rPr>
        <w:t>Incentives will be offered on a tiered structure consistent with single family whole house</w:t>
      </w:r>
    </w:p>
    <w:p w:rsidR="008D705C" w:rsidRPr="00252CBA" w:rsidRDefault="008D705C" w:rsidP="008D705C">
      <w:pPr>
        <w:autoSpaceDE w:val="0"/>
        <w:autoSpaceDN w:val="0"/>
        <w:adjustRightInd w:val="0"/>
        <w:spacing w:after="0" w:line="240" w:lineRule="auto"/>
        <w:ind w:left="630"/>
        <w:rPr>
          <w:rFonts w:cs="Calibri"/>
          <w:sz w:val="24"/>
          <w:szCs w:val="24"/>
        </w:rPr>
      </w:pPr>
      <w:r w:rsidRPr="00252CBA">
        <w:rPr>
          <w:rFonts w:cs="Calibri"/>
          <w:sz w:val="24"/>
          <w:szCs w:val="24"/>
        </w:rPr>
        <w:t>performance incentives, paid on a per unit basis, based upon total building energy saved. An</w:t>
      </w:r>
      <w:r>
        <w:rPr>
          <w:rFonts w:cs="Calibri"/>
          <w:sz w:val="24"/>
          <w:szCs w:val="24"/>
        </w:rPr>
        <w:t xml:space="preserve"> </w:t>
      </w:r>
      <w:r w:rsidRPr="00252CBA">
        <w:rPr>
          <w:rFonts w:cs="Calibri"/>
          <w:sz w:val="24"/>
          <w:szCs w:val="24"/>
        </w:rPr>
        <w:t>additional $100 per unit has been included to provide some offset for the high cost of rating a</w:t>
      </w:r>
      <w:r>
        <w:rPr>
          <w:rFonts w:cs="Calibri"/>
          <w:sz w:val="24"/>
          <w:szCs w:val="24"/>
        </w:rPr>
        <w:t xml:space="preserve"> </w:t>
      </w:r>
      <w:r w:rsidRPr="00252CBA">
        <w:rPr>
          <w:rFonts w:cs="Calibri"/>
          <w:sz w:val="24"/>
          <w:szCs w:val="24"/>
        </w:rPr>
        <w:t>multifamily building and the combustion safety testing requirement. However, no incentives</w:t>
      </w:r>
      <w:r>
        <w:rPr>
          <w:rFonts w:cs="Calibri"/>
          <w:sz w:val="24"/>
          <w:szCs w:val="24"/>
        </w:rPr>
        <w:t xml:space="preserve"> </w:t>
      </w:r>
      <w:r w:rsidRPr="00252CBA">
        <w:rPr>
          <w:rFonts w:cs="Calibri"/>
          <w:sz w:val="24"/>
          <w:szCs w:val="24"/>
        </w:rPr>
        <w:t>will be paid for just building ratings or combustion safety testing. Incentives are paid based</w:t>
      </w:r>
      <w:r>
        <w:rPr>
          <w:rFonts w:cs="Calibri"/>
          <w:sz w:val="24"/>
          <w:szCs w:val="24"/>
        </w:rPr>
        <w:t xml:space="preserve"> </w:t>
      </w:r>
      <w:r w:rsidRPr="00252CBA">
        <w:rPr>
          <w:rFonts w:cs="Calibri"/>
          <w:sz w:val="24"/>
          <w:szCs w:val="24"/>
        </w:rPr>
        <w:t>upon successful completion of a whole building performance project, in accordance with</w:t>
      </w:r>
      <w:r>
        <w:rPr>
          <w:rFonts w:cs="Calibri"/>
          <w:sz w:val="24"/>
          <w:szCs w:val="24"/>
        </w:rPr>
        <w:t xml:space="preserve"> </w:t>
      </w:r>
      <w:r w:rsidRPr="00252CBA">
        <w:rPr>
          <w:rFonts w:cs="Calibri"/>
          <w:sz w:val="24"/>
          <w:szCs w:val="24"/>
        </w:rPr>
        <w:t>program requirements, that meet the site energy savings as described below. Incentives will</w:t>
      </w:r>
      <w:r>
        <w:rPr>
          <w:rFonts w:cs="Calibri"/>
          <w:sz w:val="24"/>
          <w:szCs w:val="24"/>
        </w:rPr>
        <w:t xml:space="preserve"> </w:t>
      </w:r>
      <w:r w:rsidRPr="00252CBA">
        <w:rPr>
          <w:rFonts w:cs="Calibri"/>
          <w:sz w:val="24"/>
          <w:szCs w:val="24"/>
        </w:rPr>
        <w:t>be paid to building owners only and cannot be designated to be paid to third parties. The</w:t>
      </w:r>
      <w:r>
        <w:rPr>
          <w:rFonts w:cs="Calibri"/>
          <w:sz w:val="24"/>
          <w:szCs w:val="24"/>
        </w:rPr>
        <w:t xml:space="preserve"> </w:t>
      </w:r>
      <w:r w:rsidRPr="00252CBA">
        <w:rPr>
          <w:rFonts w:cs="Calibri"/>
          <w:sz w:val="24"/>
          <w:szCs w:val="24"/>
        </w:rPr>
        <w:t>following are the proposed incentive tiers:</w:t>
      </w:r>
    </w:p>
    <w:p w:rsidR="008D705C" w:rsidRDefault="008D705C" w:rsidP="008D705C">
      <w:pPr>
        <w:autoSpaceDE w:val="0"/>
        <w:autoSpaceDN w:val="0"/>
        <w:adjustRightInd w:val="0"/>
        <w:spacing w:after="0" w:line="240" w:lineRule="auto"/>
        <w:ind w:left="630"/>
        <w:rPr>
          <w:rFonts w:cs="Calibri"/>
          <w:sz w:val="19"/>
          <w:szCs w:val="19"/>
        </w:rPr>
      </w:pPr>
    </w:p>
    <w:tbl>
      <w:tblPr>
        <w:tblW w:w="6045" w:type="dxa"/>
        <w:tblInd w:w="1965" w:type="dxa"/>
        <w:tblCellMar>
          <w:left w:w="0" w:type="dxa"/>
          <w:right w:w="0" w:type="dxa"/>
        </w:tblCellMar>
        <w:tblLook w:val="00A0" w:firstRow="1" w:lastRow="0" w:firstColumn="1" w:lastColumn="0" w:noHBand="0" w:noVBand="0"/>
      </w:tblPr>
      <w:tblGrid>
        <w:gridCol w:w="3382"/>
        <w:gridCol w:w="2663"/>
      </w:tblGrid>
      <w:tr w:rsidR="008D705C" w:rsidRPr="0012205E" w:rsidTr="001F3228">
        <w:trPr>
          <w:trHeight w:val="205"/>
        </w:trPr>
        <w:tc>
          <w:tcPr>
            <w:tcW w:w="3382"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8D705C" w:rsidRPr="0012205E" w:rsidRDefault="008D705C" w:rsidP="001F3228">
            <w:pPr>
              <w:pStyle w:val="NormalWeb"/>
              <w:jc w:val="center"/>
              <w:textAlignment w:val="baseline"/>
              <w:rPr>
                <w:rFonts w:ascii="Arial" w:hAnsi="Arial" w:cs="Arial"/>
              </w:rPr>
            </w:pPr>
            <w:r w:rsidRPr="0012205E">
              <w:rPr>
                <w:rFonts w:ascii="Interstate-RegularCondensed" w:hAnsi="Interstate-RegularCondensed" w:cs="Arial"/>
                <w:b/>
                <w:bCs/>
                <w:color w:val="000000"/>
                <w:kern w:val="24"/>
              </w:rPr>
              <w:t>Site Energy Savings</w:t>
            </w:r>
          </w:p>
        </w:tc>
        <w:tc>
          <w:tcPr>
            <w:tcW w:w="2663"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tcPr>
          <w:p w:rsidR="008D705C" w:rsidRPr="0012205E" w:rsidRDefault="008D705C" w:rsidP="001F3228">
            <w:pPr>
              <w:pStyle w:val="NormalWeb"/>
              <w:jc w:val="center"/>
              <w:textAlignment w:val="baseline"/>
              <w:rPr>
                <w:rFonts w:ascii="Arial" w:hAnsi="Arial" w:cs="Arial"/>
              </w:rPr>
            </w:pPr>
            <w:r w:rsidRPr="0012205E">
              <w:rPr>
                <w:rFonts w:ascii="Interstate-RegularCondensed" w:hAnsi="Interstate-RegularCondensed" w:cs="Arial"/>
                <w:b/>
                <w:bCs/>
                <w:color w:val="000000"/>
                <w:kern w:val="24"/>
              </w:rPr>
              <w:t>Incentive/unit</w:t>
            </w:r>
          </w:p>
        </w:tc>
      </w:tr>
      <w:tr w:rsidR="008D705C" w:rsidRPr="0012205E" w:rsidTr="001F3228">
        <w:trPr>
          <w:trHeight w:val="206"/>
        </w:trPr>
        <w:tc>
          <w:tcPr>
            <w:tcW w:w="3382"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10%</w:t>
            </w:r>
          </w:p>
        </w:tc>
        <w:tc>
          <w:tcPr>
            <w:tcW w:w="2663"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$550</w:t>
            </w:r>
          </w:p>
        </w:tc>
      </w:tr>
      <w:tr w:rsidR="008D705C" w:rsidRPr="0012205E" w:rsidTr="001F3228">
        <w:trPr>
          <w:trHeight w:val="206"/>
        </w:trPr>
        <w:tc>
          <w:tcPr>
            <w:tcW w:w="338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15%</w:t>
            </w:r>
          </w:p>
        </w:tc>
        <w:tc>
          <w:tcPr>
            <w:tcW w:w="266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$625</w:t>
            </w:r>
          </w:p>
        </w:tc>
      </w:tr>
      <w:tr w:rsidR="008D705C" w:rsidRPr="0012205E" w:rsidTr="001F3228">
        <w:trPr>
          <w:trHeight w:val="205"/>
        </w:trPr>
        <w:tc>
          <w:tcPr>
            <w:tcW w:w="338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20%</w:t>
            </w:r>
          </w:p>
        </w:tc>
        <w:tc>
          <w:tcPr>
            <w:tcW w:w="266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$800</w:t>
            </w:r>
          </w:p>
        </w:tc>
      </w:tr>
      <w:tr w:rsidR="008D705C" w:rsidRPr="0012205E" w:rsidTr="001F3228">
        <w:trPr>
          <w:trHeight w:val="206"/>
        </w:trPr>
        <w:tc>
          <w:tcPr>
            <w:tcW w:w="338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25%</w:t>
            </w:r>
          </w:p>
        </w:tc>
        <w:tc>
          <w:tcPr>
            <w:tcW w:w="266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$1,000</w:t>
            </w:r>
          </w:p>
        </w:tc>
      </w:tr>
      <w:tr w:rsidR="008D705C" w:rsidRPr="0012205E" w:rsidTr="001F3228">
        <w:trPr>
          <w:trHeight w:val="205"/>
        </w:trPr>
        <w:tc>
          <w:tcPr>
            <w:tcW w:w="338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30%</w:t>
            </w:r>
          </w:p>
        </w:tc>
        <w:tc>
          <w:tcPr>
            <w:tcW w:w="266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$1,200</w:t>
            </w:r>
          </w:p>
        </w:tc>
      </w:tr>
      <w:tr w:rsidR="008D705C" w:rsidRPr="0012205E" w:rsidTr="001F3228">
        <w:trPr>
          <w:trHeight w:val="206"/>
        </w:trPr>
        <w:tc>
          <w:tcPr>
            <w:tcW w:w="3382"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35%</w:t>
            </w:r>
          </w:p>
        </w:tc>
        <w:tc>
          <w:tcPr>
            <w:tcW w:w="2663"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$1,350</w:t>
            </w:r>
          </w:p>
        </w:tc>
      </w:tr>
      <w:tr w:rsidR="008D705C" w:rsidRPr="0012205E" w:rsidTr="001F3228">
        <w:trPr>
          <w:trHeight w:val="206"/>
        </w:trPr>
        <w:tc>
          <w:tcPr>
            <w:tcW w:w="3382"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40%</w:t>
            </w:r>
          </w:p>
        </w:tc>
        <w:tc>
          <w:tcPr>
            <w:tcW w:w="2663"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D705C" w:rsidRPr="0012205E" w:rsidRDefault="008D705C" w:rsidP="001F3228">
            <w:pPr>
              <w:pStyle w:val="NormalWeb"/>
              <w:ind w:left="1260"/>
              <w:textAlignment w:val="baseline"/>
              <w:rPr>
                <w:rFonts w:ascii="Arial" w:hAnsi="Arial" w:cs="Arial"/>
              </w:rPr>
            </w:pPr>
            <w:r w:rsidRPr="0012205E">
              <w:rPr>
                <w:rFonts w:ascii="Interstate-RegularCondensed" w:hAnsi="Interstate-RegularCondensed" w:cs="Arial"/>
                <w:color w:val="000000"/>
                <w:kern w:val="24"/>
              </w:rPr>
              <w:t>$1,500</w:t>
            </w:r>
          </w:p>
        </w:tc>
      </w:tr>
    </w:tbl>
    <w:p w:rsidR="008D705C" w:rsidRDefault="008D705C" w:rsidP="00C31CC0">
      <w:pPr>
        <w:spacing w:after="0" w:line="240" w:lineRule="auto"/>
        <w:ind w:left="720"/>
        <w:rPr>
          <w:rFonts w:ascii="Times New Roman" w:hAnsi="Times New Roman"/>
          <w:b/>
          <w:sz w:val="24"/>
          <w:szCs w:val="24"/>
        </w:rPr>
      </w:pPr>
    </w:p>
    <w:p w:rsidR="008D705C" w:rsidRDefault="008D705C" w:rsidP="00C31CC0">
      <w:pPr>
        <w:spacing w:after="0" w:line="240" w:lineRule="auto"/>
        <w:ind w:left="720"/>
        <w:rPr>
          <w:rFonts w:ascii="Times New Roman" w:hAnsi="Times New Roman"/>
          <w:b/>
          <w:sz w:val="24"/>
          <w:szCs w:val="24"/>
        </w:rPr>
      </w:pPr>
    </w:p>
    <w:p w:rsidR="008D705C" w:rsidRDefault="008D705C" w:rsidP="00C31CC0">
      <w:pPr>
        <w:spacing w:after="0" w:line="240" w:lineRule="auto"/>
        <w:ind w:left="720"/>
        <w:rPr>
          <w:rFonts w:ascii="Times New Roman" w:hAnsi="Times New Roman"/>
          <w:b/>
          <w:sz w:val="24"/>
          <w:szCs w:val="24"/>
        </w:rPr>
      </w:pPr>
    </w:p>
    <w:p w:rsidR="008D705C" w:rsidRDefault="008D705C" w:rsidP="00C31CC0">
      <w:pPr>
        <w:spacing w:after="0" w:line="240" w:lineRule="auto"/>
        <w:ind w:left="720"/>
        <w:rPr>
          <w:rFonts w:ascii="Times New Roman" w:hAnsi="Times New Roman"/>
          <w:b/>
          <w:sz w:val="24"/>
          <w:szCs w:val="24"/>
        </w:rPr>
      </w:pPr>
    </w:p>
    <w:p w:rsidR="008D705C" w:rsidRPr="008D705C" w:rsidRDefault="008D705C" w:rsidP="00C31CC0">
      <w:pPr>
        <w:spacing w:after="0" w:line="240" w:lineRule="auto"/>
        <w:ind w:left="720"/>
        <w:rPr>
          <w:rFonts w:ascii="Times New Roman" w:hAnsi="Times New Roman"/>
          <w:b/>
          <w:sz w:val="24"/>
          <w:szCs w:val="24"/>
        </w:rPr>
      </w:pPr>
    </w:p>
    <w:p w:rsidR="00513B47" w:rsidRPr="00600E6F" w:rsidRDefault="009876B7" w:rsidP="00C31CC0">
      <w:pPr>
        <w:numPr>
          <w:ilvl w:val="5"/>
          <w:numId w:val="119"/>
        </w:numPr>
        <w:spacing w:after="0" w:line="240" w:lineRule="auto"/>
        <w:ind w:left="720" w:hanging="720"/>
        <w:rPr>
          <w:rFonts w:ascii="Times New Roman" w:hAnsi="Times New Roman"/>
          <w:b/>
          <w:sz w:val="24"/>
          <w:szCs w:val="24"/>
        </w:rPr>
      </w:pPr>
      <w:r>
        <w:rPr>
          <w:rFonts w:ascii="Times New Roman" w:hAnsi="Times New Roman"/>
          <w:b/>
          <w:sz w:val="24"/>
        </w:rPr>
        <w:lastRenderedPageBreak/>
        <w:t xml:space="preserve">Program Name: </w:t>
      </w:r>
      <w:r w:rsidR="00513B47" w:rsidRPr="00600E6F">
        <w:rPr>
          <w:rFonts w:ascii="Times New Roman" w:hAnsi="Times New Roman"/>
          <w:sz w:val="24"/>
          <w:szCs w:val="24"/>
        </w:rPr>
        <w:t>Residential HVAC Subprogram</w:t>
      </w:r>
    </w:p>
    <w:p w:rsidR="00513B47" w:rsidRPr="009876B7" w:rsidRDefault="00513B47" w:rsidP="003408F4">
      <w:pPr>
        <w:pStyle w:val="Heading20"/>
        <w:ind w:firstLine="0"/>
      </w:pPr>
      <w:r w:rsidRPr="00600E6F">
        <w:t>Residential Quality Maintenance and Residential Quality Installation will be a program promoted externally to customers and contractors as the AC Quality Care Program. The HVAC Industry Task Force is named the Western HVAC Performance Alliance.</w:t>
      </w:r>
    </w:p>
    <w:p w:rsidR="009876B7" w:rsidRPr="00600E6F" w:rsidRDefault="009876B7" w:rsidP="003408F4">
      <w:pPr>
        <w:pStyle w:val="Heading20"/>
        <w:ind w:firstLine="0"/>
      </w:pPr>
    </w:p>
    <w:p w:rsidR="009876B7" w:rsidRPr="009876B7" w:rsidRDefault="009876B7" w:rsidP="00C32735">
      <w:pPr>
        <w:pStyle w:val="Heading10"/>
      </w:pPr>
      <w:r w:rsidRPr="009876B7">
        <w:t>2)</w:t>
      </w:r>
      <w:r w:rsidRPr="009876B7">
        <w:tab/>
        <w:t xml:space="preserve">Program Description </w:t>
      </w:r>
    </w:p>
    <w:p w:rsidR="00513B47" w:rsidRPr="00600E6F" w:rsidRDefault="00C32735" w:rsidP="00C32735">
      <w:pPr>
        <w:pStyle w:val="Heading20"/>
      </w:pPr>
      <w:r>
        <w:tab/>
      </w:r>
      <w:r w:rsidR="00513B47" w:rsidRPr="00600E6F">
        <w:t>The Residential HVAC Program is a Statewide program that will continue the transformation process of California’s HVAC market to ensure that:</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HVAC technology, equipment, installation, and maintenance are of the highest quality;</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Quality installation and maintenance practices are easily recognized and requested by customers;</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The HVAC value chain is educated and understands their involvement with energy efficiency and peak load reduction; and</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 xml:space="preserve">The above changes lead to sustained profitability for HVAC trade allies as the business model for installing and maintaining heating and cooling systems changes from a commodity-based to a value-added service business. </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The IOUs propose building towards this vision for HVAC by implementing a comprehensive set of downstream and midstream strategies that builds on existing program, education, and marketing efforts and leverages relationships within the HVAC industry to transform the market towards a sustainable, quality driven market.  Through this Statewide HVAC Program and a Statewide HVAC Industry Leadership Task Force (Western HVAC Performance Alliance), we will gain a better understanding of the market response to our programs, as well as the behavioral implications of the various market participants, and then actively revise/update strategies and programs accordingly, as guided by the California Long-term Energy Efficiency Strategic Plan (Strategic Plan).     </w:t>
      </w:r>
    </w:p>
    <w:p w:rsidR="00513B47" w:rsidRPr="00600E6F" w:rsidRDefault="00513B47" w:rsidP="003408F4">
      <w:pPr>
        <w:autoSpaceDE w:val="0"/>
        <w:autoSpaceDN w:val="0"/>
        <w:adjustRightInd w:val="0"/>
        <w:spacing w:after="0" w:line="240" w:lineRule="auto"/>
        <w:ind w:left="720"/>
        <w:rPr>
          <w:rFonts w:ascii="Times New Roman" w:hAnsi="Times New Roman"/>
          <w:sz w:val="24"/>
        </w:rPr>
      </w:pPr>
    </w:p>
    <w:p w:rsidR="00513B47" w:rsidRPr="00600E6F" w:rsidRDefault="00513B47" w:rsidP="003408F4">
      <w:pPr>
        <w:autoSpaceDE w:val="0"/>
        <w:autoSpaceDN w:val="0"/>
        <w:adjustRightInd w:val="0"/>
        <w:spacing w:after="0" w:line="240" w:lineRule="auto"/>
        <w:ind w:left="720"/>
        <w:rPr>
          <w:rFonts w:ascii="Times New Roman" w:hAnsi="Times New Roman"/>
          <w:sz w:val="24"/>
        </w:rPr>
      </w:pPr>
      <w:r w:rsidRPr="00600E6F">
        <w:rPr>
          <w:rFonts w:ascii="Times New Roman" w:hAnsi="Times New Roman"/>
          <w:sz w:val="24"/>
        </w:rPr>
        <w:t xml:space="preserve">The IOUs cross-sector collaborative activities and information-sharing tools that have been developed through the 2010-2012 Statewide HVAC programs will be discontinued.  These programs were distributed in the Residential, Commercial, WE&amp;T and Emerging Technologies Statewide programs.  The Quality Maintenance, Quality Installation Development, and HVAC Core (Western HVAC Performance Alliance) programs will be implemented under this Residential HVAC Subprogram. </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Market transformation and direct energy savings and demand reductions will be achieved through a series of sub-programs that are described in detail and summarized below:</w:t>
      </w:r>
    </w:p>
    <w:p w:rsidR="004E5A95" w:rsidRPr="00D737C2" w:rsidRDefault="004E5A95" w:rsidP="003408F4">
      <w:pPr>
        <w:autoSpaceDE w:val="0"/>
        <w:autoSpaceDN w:val="0"/>
        <w:adjustRightInd w:val="0"/>
        <w:spacing w:after="0" w:line="240" w:lineRule="auto"/>
        <w:ind w:left="720"/>
        <w:rPr>
          <w:rFonts w:ascii="Times New Roman" w:hAnsi="Times New Roman"/>
          <w:sz w:val="24"/>
          <w:szCs w:val="24"/>
        </w:rPr>
      </w:pPr>
    </w:p>
    <w:p w:rsidR="00513B47" w:rsidRPr="00600E6F" w:rsidRDefault="00513B47" w:rsidP="003408F4">
      <w:pPr>
        <w:autoSpaceDE w:val="0"/>
        <w:autoSpaceDN w:val="0"/>
        <w:adjustRightInd w:val="0"/>
        <w:spacing w:after="0" w:line="240" w:lineRule="auto"/>
        <w:ind w:left="720"/>
        <w:outlineLvl w:val="0"/>
        <w:rPr>
          <w:rFonts w:ascii="Times New Roman" w:hAnsi="Times New Roman"/>
          <w:b/>
          <w:color w:val="000000"/>
          <w:sz w:val="24"/>
        </w:rPr>
      </w:pPr>
      <w:r w:rsidRPr="00600E6F">
        <w:rPr>
          <w:rFonts w:ascii="Times New Roman" w:hAnsi="Times New Roman"/>
          <w:b/>
          <w:color w:val="000000"/>
          <w:sz w:val="24"/>
        </w:rPr>
        <w:t>Residential HVAC Quality Maintenance</w:t>
      </w:r>
    </w:p>
    <w:p w:rsidR="00513B47" w:rsidRPr="00600E6F" w:rsidRDefault="00513B47" w:rsidP="003408F4">
      <w:pPr>
        <w:autoSpaceDE w:val="0"/>
        <w:autoSpaceDN w:val="0"/>
        <w:adjustRightInd w:val="0"/>
        <w:spacing w:after="0" w:line="240" w:lineRule="auto"/>
        <w:ind w:left="720"/>
        <w:rPr>
          <w:rFonts w:ascii="Times New Roman" w:hAnsi="Times New Roman"/>
          <w:sz w:val="24"/>
        </w:rPr>
      </w:pPr>
      <w:r w:rsidRPr="00600E6F">
        <w:rPr>
          <w:rFonts w:ascii="Times New Roman" w:hAnsi="Times New Roman"/>
          <w:color w:val="000000"/>
          <w:sz w:val="24"/>
        </w:rPr>
        <w:t>Residential HVAC Quality Maintenance program represents one of the more creative aspects of the HVAC “Big Bold Energy Efficiency Strategy.”  It is based on the assumption that there are energy and demand savings achievable through the regular application of quality maintenance (QM) procedures applied to existing residential HVAC equipment. This   program intends to (1) quantify those potential savings and (2) develop and implement a residential maintenance program.  This program will be focused on comprehensive, continuously improving O&amp;M activities that capture energy savings and provide a high value to the end-user thus driving the intense level of market transformation of the HVAC industry envisioned by the Strategic Plan.</w:t>
      </w:r>
    </w:p>
    <w:p w:rsidR="00513B47" w:rsidRPr="00600E6F" w:rsidRDefault="00513B47" w:rsidP="003408F4">
      <w:pPr>
        <w:autoSpaceDE w:val="0"/>
        <w:autoSpaceDN w:val="0"/>
        <w:adjustRightInd w:val="0"/>
        <w:spacing w:after="0" w:line="240" w:lineRule="auto"/>
        <w:ind w:left="720"/>
        <w:outlineLvl w:val="0"/>
        <w:rPr>
          <w:rFonts w:ascii="Times New Roman" w:hAnsi="Times New Roman"/>
          <w:sz w:val="24"/>
        </w:rPr>
      </w:pPr>
    </w:p>
    <w:p w:rsidR="00513B47" w:rsidRPr="00600E6F" w:rsidRDefault="00513B47" w:rsidP="003408F4">
      <w:pPr>
        <w:autoSpaceDE w:val="0"/>
        <w:autoSpaceDN w:val="0"/>
        <w:adjustRightInd w:val="0"/>
        <w:spacing w:after="0" w:line="240" w:lineRule="auto"/>
        <w:ind w:left="720"/>
        <w:outlineLvl w:val="0"/>
        <w:rPr>
          <w:rFonts w:ascii="Times New Roman" w:hAnsi="Times New Roman"/>
          <w:b/>
          <w:sz w:val="24"/>
        </w:rPr>
      </w:pPr>
      <w:r w:rsidRPr="00600E6F">
        <w:rPr>
          <w:rFonts w:ascii="Times New Roman" w:hAnsi="Times New Roman"/>
          <w:b/>
          <w:sz w:val="24"/>
        </w:rPr>
        <w:t>Residential HVAC Quality Installation Development</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sz w:val="24"/>
        </w:rPr>
        <w:t xml:space="preserve">Residential Quality Installation Development </w:t>
      </w:r>
      <w:r w:rsidRPr="00600E6F">
        <w:rPr>
          <w:rFonts w:ascii="Times New Roman" w:hAnsi="Times New Roman"/>
          <w:color w:val="000000"/>
          <w:sz w:val="24"/>
        </w:rPr>
        <w:t xml:space="preserve">is applicable to quality installation (QI) of split or packaged HVAC systems, with a rated capacity up to 65,000 BTU/H.   </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 xml:space="preserve">This Residential sub-program element </w:t>
      </w:r>
      <w:r w:rsidRPr="00600E6F">
        <w:rPr>
          <w:rFonts w:ascii="Times New Roman" w:hAnsi="Times New Roman"/>
          <w:sz w:val="24"/>
        </w:rPr>
        <w:t>is</w:t>
      </w:r>
      <w:r w:rsidRPr="00600E6F">
        <w:rPr>
          <w:rFonts w:ascii="Times New Roman" w:hAnsi="Times New Roman"/>
          <w:color w:val="000000"/>
          <w:sz w:val="24"/>
        </w:rPr>
        <w:t xml:space="preserve"> based on the assumption that energy and demand savings are achievable through the application of QI in accordance with appropriate industry standards (e.g., ACCA, SMACNA and ASHRAE) applied to new HVAC equipment.  </w:t>
      </w:r>
    </w:p>
    <w:p w:rsidR="00513B47" w:rsidRPr="00600E6F" w:rsidRDefault="00513B47" w:rsidP="003408F4">
      <w:pPr>
        <w:autoSpaceDE w:val="0"/>
        <w:autoSpaceDN w:val="0"/>
        <w:adjustRightInd w:val="0"/>
        <w:spacing w:after="0" w:line="240" w:lineRule="auto"/>
        <w:ind w:left="720"/>
        <w:outlineLvl w:val="0"/>
        <w:rPr>
          <w:rFonts w:ascii="Times New Roman" w:hAnsi="Times New Roman"/>
          <w:color w:val="000000"/>
          <w:sz w:val="24"/>
        </w:rPr>
      </w:pPr>
    </w:p>
    <w:p w:rsidR="00513B47" w:rsidRPr="00600E6F" w:rsidRDefault="00513B47" w:rsidP="003408F4">
      <w:pPr>
        <w:autoSpaceDE w:val="0"/>
        <w:autoSpaceDN w:val="0"/>
        <w:adjustRightInd w:val="0"/>
        <w:spacing w:after="0" w:line="240" w:lineRule="auto"/>
        <w:ind w:left="720"/>
        <w:outlineLvl w:val="0"/>
        <w:rPr>
          <w:rFonts w:ascii="Times New Roman" w:hAnsi="Times New Roman"/>
          <w:color w:val="000000"/>
          <w:sz w:val="24"/>
        </w:rPr>
      </w:pPr>
      <w:r w:rsidRPr="00600E6F">
        <w:rPr>
          <w:rFonts w:ascii="Times New Roman" w:hAnsi="Times New Roman"/>
          <w:color w:val="000000"/>
          <w:sz w:val="24"/>
        </w:rPr>
        <w:t>This sub-program intends to:</w:t>
      </w:r>
    </w:p>
    <w:p w:rsidR="00513B47" w:rsidRPr="00600E6F" w:rsidRDefault="00513B47" w:rsidP="00C31CC0">
      <w:pPr>
        <w:numPr>
          <w:ilvl w:val="0"/>
          <w:numId w:val="102"/>
        </w:numPr>
        <w:autoSpaceDE w:val="0"/>
        <w:autoSpaceDN w:val="0"/>
        <w:adjustRightInd w:val="0"/>
        <w:spacing w:after="0" w:line="240" w:lineRule="auto"/>
        <w:rPr>
          <w:rFonts w:ascii="Times New Roman" w:hAnsi="Times New Roman"/>
          <w:sz w:val="24"/>
        </w:rPr>
      </w:pPr>
      <w:r w:rsidRPr="00600E6F">
        <w:rPr>
          <w:rFonts w:ascii="Times New Roman" w:hAnsi="Times New Roman"/>
          <w:color w:val="000000"/>
          <w:sz w:val="24"/>
        </w:rPr>
        <w:t>Collaborate with EM&amp;V efforts to quantify those potential savings;</w:t>
      </w:r>
    </w:p>
    <w:p w:rsidR="00513B47" w:rsidRPr="00600E6F" w:rsidRDefault="00513B47" w:rsidP="00C31CC0">
      <w:pPr>
        <w:numPr>
          <w:ilvl w:val="0"/>
          <w:numId w:val="102"/>
        </w:numPr>
        <w:autoSpaceDE w:val="0"/>
        <w:autoSpaceDN w:val="0"/>
        <w:adjustRightInd w:val="0"/>
        <w:spacing w:after="0" w:line="240" w:lineRule="auto"/>
        <w:rPr>
          <w:rFonts w:ascii="Times New Roman" w:hAnsi="Times New Roman"/>
          <w:sz w:val="24"/>
        </w:rPr>
      </w:pPr>
      <w:r w:rsidRPr="00600E6F">
        <w:rPr>
          <w:rFonts w:ascii="Times New Roman" w:hAnsi="Times New Roman"/>
          <w:color w:val="000000"/>
          <w:sz w:val="24"/>
        </w:rPr>
        <w:t>Develop and implement a sub-program focused on comprehensive, continuously improving installation activities that capture those savings and provide a high return on investment to the end-user, thus driving the intense level of market transformation of the HVAC industry envisioned by the Strategic Plan;</w:t>
      </w:r>
    </w:p>
    <w:p w:rsidR="00513B47" w:rsidRPr="00600E6F" w:rsidRDefault="00513B47" w:rsidP="00C31CC0">
      <w:pPr>
        <w:numPr>
          <w:ilvl w:val="0"/>
          <w:numId w:val="102"/>
        </w:numPr>
        <w:autoSpaceDE w:val="0"/>
        <w:autoSpaceDN w:val="0"/>
        <w:adjustRightInd w:val="0"/>
        <w:spacing w:after="0" w:line="240" w:lineRule="auto"/>
        <w:rPr>
          <w:rFonts w:ascii="Times New Roman" w:hAnsi="Times New Roman"/>
          <w:sz w:val="24"/>
        </w:rPr>
      </w:pPr>
      <w:r w:rsidRPr="00600E6F">
        <w:rPr>
          <w:rFonts w:ascii="Times New Roman" w:hAnsi="Times New Roman"/>
          <w:color w:val="000000"/>
          <w:sz w:val="24"/>
        </w:rPr>
        <w:t xml:space="preserve">IOU’s will continue to development in 2013.   The sub-program will be developed in collaboration through stakeholder input from the HVAC industry.  </w:t>
      </w:r>
      <w:r w:rsidRPr="00600E6F">
        <w:rPr>
          <w:rFonts w:ascii="Times New Roman" w:hAnsi="Times New Roman"/>
          <w:sz w:val="24"/>
        </w:rPr>
        <w:t xml:space="preserve"> </w:t>
      </w:r>
    </w:p>
    <w:p w:rsidR="00513B47" w:rsidRPr="00600E6F" w:rsidRDefault="00513B47" w:rsidP="003408F4">
      <w:pPr>
        <w:autoSpaceDE w:val="0"/>
        <w:autoSpaceDN w:val="0"/>
        <w:adjustRightInd w:val="0"/>
        <w:spacing w:after="0" w:line="240" w:lineRule="auto"/>
        <w:ind w:left="720"/>
        <w:rPr>
          <w:rFonts w:ascii="Times New Roman" w:hAnsi="Times New Roman"/>
          <w:sz w:val="24"/>
        </w:rPr>
      </w:pPr>
    </w:p>
    <w:p w:rsidR="00513B47" w:rsidRPr="00600E6F" w:rsidRDefault="00513B47" w:rsidP="003408F4">
      <w:pPr>
        <w:autoSpaceDE w:val="0"/>
        <w:autoSpaceDN w:val="0"/>
        <w:adjustRightInd w:val="0"/>
        <w:spacing w:after="0" w:line="240" w:lineRule="auto"/>
        <w:ind w:left="720"/>
        <w:rPr>
          <w:rFonts w:ascii="Times New Roman" w:hAnsi="Times New Roman"/>
          <w:sz w:val="24"/>
        </w:rPr>
      </w:pPr>
      <w:r w:rsidRPr="00600E6F">
        <w:rPr>
          <w:rFonts w:ascii="Times New Roman" w:hAnsi="Times New Roman"/>
          <w:sz w:val="24"/>
        </w:rPr>
        <w:t xml:space="preserve">For SDG&amp;E the Quality Maintenance and Quality Installation program may be implemented by a third party through a competitive bid process for the purpose of soliciting innovative ideas and proposals for improved portfolio performance. </w:t>
      </w:r>
    </w:p>
    <w:p w:rsidR="00513B47" w:rsidRPr="00600E6F" w:rsidRDefault="00513B47" w:rsidP="003408F4">
      <w:pPr>
        <w:autoSpaceDE w:val="0"/>
        <w:autoSpaceDN w:val="0"/>
        <w:adjustRightInd w:val="0"/>
        <w:spacing w:after="0" w:line="240" w:lineRule="auto"/>
        <w:ind w:left="720"/>
        <w:rPr>
          <w:rFonts w:ascii="Times New Roman" w:hAnsi="Times New Roman"/>
          <w:sz w:val="24"/>
        </w:rPr>
      </w:pPr>
    </w:p>
    <w:p w:rsidR="00513B47" w:rsidRPr="00600E6F" w:rsidRDefault="00513B47" w:rsidP="00C31CC0">
      <w:pPr>
        <w:pStyle w:val="Heading20"/>
        <w:numPr>
          <w:ilvl w:val="0"/>
          <w:numId w:val="100"/>
        </w:numPr>
        <w:rPr>
          <w:u w:val="single"/>
        </w:rPr>
      </w:pPr>
      <w:r w:rsidRPr="00600E6F">
        <w:rPr>
          <w:u w:val="single"/>
        </w:rPr>
        <w:t>List of Measures</w:t>
      </w:r>
    </w:p>
    <w:p w:rsidR="00513B47" w:rsidRPr="00600E6F" w:rsidRDefault="00513B47" w:rsidP="003408F4">
      <w:pPr>
        <w:pStyle w:val="Heading20"/>
        <w:ind w:firstLine="0"/>
      </w:pPr>
      <w:r w:rsidRPr="00600E6F">
        <w:t xml:space="preserve">To achieve the market transformation desired by the Strategic Plan, a variety of appropriate financial and non-financial incentives is required to influence specific market actions.  Incentives will be targeted to services including Quality Maintenance and Quality Installation Development. </w:t>
      </w:r>
    </w:p>
    <w:p w:rsidR="00513B47" w:rsidRPr="00600E6F" w:rsidRDefault="00513B47" w:rsidP="003408F4">
      <w:pPr>
        <w:autoSpaceDE w:val="0"/>
        <w:autoSpaceDN w:val="0"/>
        <w:adjustRightInd w:val="0"/>
        <w:spacing w:after="0" w:line="240" w:lineRule="auto"/>
        <w:rPr>
          <w:rFonts w:ascii="Times New Roman" w:hAnsi="Times New Roman"/>
          <w:sz w:val="24"/>
        </w:rPr>
      </w:pPr>
    </w:p>
    <w:p w:rsidR="00513B47" w:rsidRPr="00600E6F" w:rsidRDefault="00513B47" w:rsidP="003408F4">
      <w:pPr>
        <w:autoSpaceDE w:val="0"/>
        <w:autoSpaceDN w:val="0"/>
        <w:adjustRightInd w:val="0"/>
        <w:spacing w:after="0" w:line="240" w:lineRule="auto"/>
        <w:ind w:left="720"/>
        <w:outlineLvl w:val="0"/>
        <w:rPr>
          <w:rFonts w:ascii="Times New Roman" w:hAnsi="Times New Roman"/>
          <w:b/>
          <w:color w:val="000000"/>
          <w:sz w:val="24"/>
        </w:rPr>
      </w:pPr>
      <w:r w:rsidRPr="00600E6F">
        <w:rPr>
          <w:rFonts w:ascii="Times New Roman" w:hAnsi="Times New Roman"/>
          <w:b/>
          <w:color w:val="000000"/>
          <w:sz w:val="24"/>
        </w:rPr>
        <w:t>Residential HVAC Quality Maintenance</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sz w:val="24"/>
        </w:rPr>
        <w:t xml:space="preserve">In support of both the market transformation and the energy resource savings goals of the program, rebates are available for specific measures. The intention of these rebates is to help offset the extra cost of providing a higher quality comprehensive service performed in accordance with the ACCA 4 industry standard for Quality Maintenance. </w:t>
      </w:r>
    </w:p>
    <w:p w:rsidR="00513B47" w:rsidRPr="00600E6F" w:rsidRDefault="00513B47" w:rsidP="003408F4">
      <w:pPr>
        <w:autoSpaceDE w:val="0"/>
        <w:autoSpaceDN w:val="0"/>
        <w:adjustRightInd w:val="0"/>
        <w:spacing w:after="0" w:line="240" w:lineRule="auto"/>
        <w:ind w:left="720"/>
        <w:outlineLvl w:val="0"/>
        <w:rPr>
          <w:rFonts w:ascii="Times New Roman" w:hAnsi="Times New Roman"/>
          <w:sz w:val="24"/>
        </w:rPr>
      </w:pPr>
      <w:r w:rsidRPr="00600E6F">
        <w:rPr>
          <w:rFonts w:ascii="Times New Roman" w:hAnsi="Times New Roman"/>
          <w:color w:val="000000"/>
          <w:sz w:val="24"/>
        </w:rPr>
        <w:t xml:space="preserve">Additionally, in coordination with the Emerging Technologies Program, the Residential HVAC QM program will continue to consider higher initial incentives for any HVAC emerging technologies that may be newly introduced to the market place via this program. Once the new products have taken hold in the market place, such incentives would be adjusted to reflect market conditions. </w:t>
      </w:r>
      <w:r w:rsidRPr="00600E6F">
        <w:rPr>
          <w:rFonts w:ascii="Times New Roman" w:hAnsi="Times New Roman"/>
          <w:sz w:val="24"/>
        </w:rPr>
        <w:t>The current set of measures is as follows:</w:t>
      </w:r>
    </w:p>
    <w:p w:rsidR="00513B47" w:rsidRDefault="00513B47" w:rsidP="003408F4">
      <w:pPr>
        <w:autoSpaceDE w:val="0"/>
        <w:autoSpaceDN w:val="0"/>
        <w:adjustRightInd w:val="0"/>
        <w:spacing w:after="0" w:line="240" w:lineRule="auto"/>
        <w:ind w:left="720"/>
        <w:outlineLvl w:val="0"/>
        <w:rPr>
          <w:rFonts w:ascii="Times New Roman" w:hAnsi="Times New Roman"/>
          <w:sz w:val="24"/>
        </w:rPr>
      </w:pPr>
    </w:p>
    <w:p w:rsidR="00CF710C" w:rsidRDefault="00CF710C" w:rsidP="003408F4">
      <w:pPr>
        <w:autoSpaceDE w:val="0"/>
        <w:autoSpaceDN w:val="0"/>
        <w:adjustRightInd w:val="0"/>
        <w:spacing w:after="0" w:line="240" w:lineRule="auto"/>
        <w:ind w:left="720"/>
        <w:outlineLvl w:val="0"/>
        <w:rPr>
          <w:rFonts w:ascii="Times New Roman" w:hAnsi="Times New Roman"/>
          <w:sz w:val="24"/>
        </w:rPr>
      </w:pPr>
    </w:p>
    <w:p w:rsidR="00CF710C" w:rsidRDefault="00CF710C" w:rsidP="003408F4">
      <w:pPr>
        <w:autoSpaceDE w:val="0"/>
        <w:autoSpaceDN w:val="0"/>
        <w:adjustRightInd w:val="0"/>
        <w:spacing w:after="0" w:line="240" w:lineRule="auto"/>
        <w:ind w:left="720"/>
        <w:outlineLvl w:val="0"/>
        <w:rPr>
          <w:rFonts w:ascii="Times New Roman" w:hAnsi="Times New Roman"/>
          <w:sz w:val="24"/>
        </w:rPr>
      </w:pPr>
    </w:p>
    <w:p w:rsidR="00CF710C" w:rsidRDefault="00CF710C" w:rsidP="003408F4">
      <w:pPr>
        <w:autoSpaceDE w:val="0"/>
        <w:autoSpaceDN w:val="0"/>
        <w:adjustRightInd w:val="0"/>
        <w:spacing w:after="0" w:line="240" w:lineRule="auto"/>
        <w:ind w:left="720"/>
        <w:outlineLvl w:val="0"/>
        <w:rPr>
          <w:rFonts w:ascii="Times New Roman" w:hAnsi="Times New Roman"/>
          <w:sz w:val="24"/>
        </w:rPr>
      </w:pPr>
    </w:p>
    <w:p w:rsidR="00CF710C" w:rsidRDefault="00CF710C" w:rsidP="003408F4">
      <w:pPr>
        <w:autoSpaceDE w:val="0"/>
        <w:autoSpaceDN w:val="0"/>
        <w:adjustRightInd w:val="0"/>
        <w:spacing w:after="0" w:line="240" w:lineRule="auto"/>
        <w:ind w:left="720"/>
        <w:outlineLvl w:val="0"/>
        <w:rPr>
          <w:rFonts w:ascii="Times New Roman" w:hAnsi="Times New Roman"/>
          <w:sz w:val="24"/>
        </w:rPr>
      </w:pPr>
    </w:p>
    <w:p w:rsidR="00C32735" w:rsidRDefault="00C32735" w:rsidP="003408F4">
      <w:pPr>
        <w:autoSpaceDE w:val="0"/>
        <w:autoSpaceDN w:val="0"/>
        <w:adjustRightInd w:val="0"/>
        <w:spacing w:after="0" w:line="240" w:lineRule="auto"/>
        <w:ind w:left="720"/>
        <w:outlineLvl w:val="0"/>
        <w:rPr>
          <w:rFonts w:ascii="Times New Roman" w:hAnsi="Times New Roman"/>
          <w:sz w:val="24"/>
        </w:rPr>
      </w:pPr>
    </w:p>
    <w:p w:rsidR="00C32735" w:rsidRDefault="00C32735" w:rsidP="003408F4">
      <w:pPr>
        <w:autoSpaceDE w:val="0"/>
        <w:autoSpaceDN w:val="0"/>
        <w:adjustRightInd w:val="0"/>
        <w:spacing w:after="0" w:line="240" w:lineRule="auto"/>
        <w:ind w:left="720"/>
        <w:outlineLvl w:val="0"/>
        <w:rPr>
          <w:rFonts w:ascii="Times New Roman" w:hAnsi="Times New Roman"/>
          <w:sz w:val="24"/>
        </w:rPr>
      </w:pPr>
    </w:p>
    <w:p w:rsidR="00CF710C" w:rsidRDefault="00CF710C" w:rsidP="003408F4">
      <w:pPr>
        <w:autoSpaceDE w:val="0"/>
        <w:autoSpaceDN w:val="0"/>
        <w:adjustRightInd w:val="0"/>
        <w:spacing w:after="0" w:line="240" w:lineRule="auto"/>
        <w:ind w:left="720"/>
        <w:outlineLvl w:val="0"/>
        <w:rPr>
          <w:rFonts w:ascii="Times New Roman" w:hAnsi="Times New Roman"/>
          <w:sz w:val="24"/>
        </w:rPr>
      </w:pPr>
    </w:p>
    <w:p w:rsidR="00CF710C" w:rsidRDefault="00CF710C" w:rsidP="003408F4">
      <w:pPr>
        <w:autoSpaceDE w:val="0"/>
        <w:autoSpaceDN w:val="0"/>
        <w:adjustRightInd w:val="0"/>
        <w:spacing w:after="0" w:line="240" w:lineRule="auto"/>
        <w:ind w:left="720"/>
        <w:outlineLvl w:val="0"/>
        <w:rPr>
          <w:rFonts w:ascii="Times New Roman" w:hAnsi="Times New Roman"/>
          <w:sz w:val="24"/>
        </w:rPr>
      </w:pPr>
    </w:p>
    <w:p w:rsidR="00CF710C" w:rsidRPr="00600E6F" w:rsidRDefault="00CF710C" w:rsidP="003408F4">
      <w:pPr>
        <w:autoSpaceDE w:val="0"/>
        <w:autoSpaceDN w:val="0"/>
        <w:adjustRightInd w:val="0"/>
        <w:spacing w:after="0" w:line="240" w:lineRule="auto"/>
        <w:ind w:left="720"/>
        <w:outlineLvl w:val="0"/>
        <w:rPr>
          <w:rFonts w:ascii="Times New Roman" w:hAnsi="Times New Roman"/>
          <w:sz w:val="24"/>
        </w:rPr>
      </w:pPr>
    </w:p>
    <w:p w:rsidR="00513B47" w:rsidRPr="00600E6F" w:rsidRDefault="00513B47" w:rsidP="003408F4">
      <w:pPr>
        <w:autoSpaceDE w:val="0"/>
        <w:autoSpaceDN w:val="0"/>
        <w:adjustRightInd w:val="0"/>
        <w:spacing w:after="0" w:line="240" w:lineRule="auto"/>
        <w:ind w:left="720"/>
        <w:outlineLvl w:val="0"/>
        <w:rPr>
          <w:rFonts w:ascii="Times New Roman" w:hAnsi="Times New Roman"/>
          <w:b/>
          <w:sz w:val="24"/>
        </w:rPr>
      </w:pPr>
      <w:r w:rsidRPr="00600E6F">
        <w:rPr>
          <w:rFonts w:ascii="Times New Roman" w:hAnsi="Times New Roman"/>
          <w:b/>
          <w:sz w:val="24"/>
        </w:rPr>
        <w:lastRenderedPageBreak/>
        <w:t>Table A – List of Residential Quality Maintenance Measures</w:t>
      </w:r>
    </w:p>
    <w:tbl>
      <w:tblPr>
        <w:tblW w:w="9720" w:type="dxa"/>
        <w:tblInd w:w="-72" w:type="dxa"/>
        <w:tblLook w:val="00A0" w:firstRow="1" w:lastRow="0" w:firstColumn="1" w:lastColumn="0" w:noHBand="0" w:noVBand="0"/>
      </w:tblPr>
      <w:tblGrid>
        <w:gridCol w:w="2070"/>
        <w:gridCol w:w="2430"/>
        <w:gridCol w:w="3815"/>
        <w:gridCol w:w="1405"/>
      </w:tblGrid>
      <w:tr w:rsidR="00513B47" w:rsidRPr="0080458A" w:rsidTr="008A0A65">
        <w:trPr>
          <w:trHeight w:val="300"/>
        </w:trPr>
        <w:tc>
          <w:tcPr>
            <w:tcW w:w="2070" w:type="dxa"/>
            <w:tcBorders>
              <w:top w:val="single" w:sz="4" w:space="0" w:color="auto"/>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b/>
                <w:color w:val="000000"/>
                <w:sz w:val="20"/>
              </w:rPr>
            </w:pPr>
            <w:r w:rsidRPr="00600E6F">
              <w:rPr>
                <w:rFonts w:ascii="Times New Roman" w:hAnsi="Times New Roman"/>
                <w:b/>
                <w:color w:val="000000"/>
                <w:sz w:val="20"/>
              </w:rPr>
              <w:t>Measure</w:t>
            </w:r>
          </w:p>
        </w:tc>
        <w:tc>
          <w:tcPr>
            <w:tcW w:w="2430" w:type="dxa"/>
            <w:tcBorders>
              <w:top w:val="single" w:sz="4" w:space="0" w:color="auto"/>
              <w:left w:val="nil"/>
              <w:bottom w:val="single" w:sz="4" w:space="0" w:color="auto"/>
              <w:right w:val="single" w:sz="4" w:space="0" w:color="auto"/>
            </w:tcBorders>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Prerequisite</w:t>
            </w:r>
          </w:p>
        </w:tc>
        <w:tc>
          <w:tcPr>
            <w:tcW w:w="3815" w:type="dxa"/>
            <w:tcBorders>
              <w:top w:val="single" w:sz="4" w:space="0" w:color="auto"/>
              <w:left w:val="nil"/>
              <w:bottom w:val="single" w:sz="4" w:space="0" w:color="auto"/>
              <w:right w:val="single" w:sz="4" w:space="0" w:color="auto"/>
            </w:tcBorders>
          </w:tcPr>
          <w:p w:rsidR="00513B47" w:rsidRPr="00600E6F" w:rsidRDefault="00513B47" w:rsidP="003408F4">
            <w:pPr>
              <w:spacing w:after="0" w:line="240" w:lineRule="auto"/>
              <w:jc w:val="center"/>
              <w:rPr>
                <w:rFonts w:ascii="Times New Roman" w:hAnsi="Times New Roman"/>
                <w:b/>
                <w:color w:val="000000"/>
                <w:sz w:val="20"/>
              </w:rPr>
            </w:pPr>
            <w:r w:rsidRPr="00600E6F">
              <w:rPr>
                <w:rFonts w:ascii="Times New Roman" w:hAnsi="Times New Roman"/>
                <w:b/>
                <w:color w:val="000000"/>
                <w:sz w:val="20"/>
              </w:rPr>
              <w:t>Measure Requirements</w:t>
            </w:r>
          </w:p>
        </w:tc>
        <w:tc>
          <w:tcPr>
            <w:tcW w:w="1405" w:type="dxa"/>
            <w:tcBorders>
              <w:top w:val="single" w:sz="4" w:space="0" w:color="auto"/>
              <w:left w:val="nil"/>
              <w:bottom w:val="single" w:sz="4" w:space="0" w:color="auto"/>
              <w:right w:val="single" w:sz="4" w:space="0" w:color="auto"/>
            </w:tcBorders>
            <w:noWrap/>
            <w:vAlign w:val="bottom"/>
          </w:tcPr>
          <w:p w:rsidR="00513B47" w:rsidRPr="00600E6F" w:rsidRDefault="00513B47" w:rsidP="003408F4">
            <w:pPr>
              <w:spacing w:after="0" w:line="240" w:lineRule="auto"/>
              <w:jc w:val="right"/>
              <w:rPr>
                <w:rFonts w:ascii="Times New Roman" w:hAnsi="Times New Roman"/>
                <w:b/>
                <w:sz w:val="20"/>
              </w:rPr>
            </w:pPr>
            <w:r w:rsidRPr="00600E6F">
              <w:rPr>
                <w:rFonts w:ascii="Times New Roman" w:hAnsi="Times New Roman"/>
                <w:b/>
                <w:sz w:val="20"/>
              </w:rPr>
              <w:t>Range</w:t>
            </w:r>
          </w:p>
        </w:tc>
      </w:tr>
      <w:tr w:rsidR="00513B47" w:rsidRPr="0080458A" w:rsidTr="008A0A65">
        <w:trPr>
          <w:trHeight w:val="810"/>
        </w:trPr>
        <w:tc>
          <w:tcPr>
            <w:tcW w:w="2070"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b/>
                <w:color w:val="000000"/>
                <w:sz w:val="20"/>
              </w:rPr>
            </w:pPr>
            <w:r w:rsidRPr="00600E6F">
              <w:rPr>
                <w:rFonts w:ascii="Times New Roman" w:hAnsi="Times New Roman"/>
                <w:b/>
                <w:color w:val="000000"/>
                <w:sz w:val="20"/>
              </w:rPr>
              <w:t>QM-Standard Basic Assessment</w:t>
            </w:r>
          </w:p>
        </w:tc>
        <w:tc>
          <w:tcPr>
            <w:tcW w:w="2430"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No prerequisite measures.</w:t>
            </w: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Must cover all the steps included in the Assessment Process, including a conversation with customer about their goals and concerns.</w:t>
            </w:r>
          </w:p>
        </w:tc>
        <w:tc>
          <w:tcPr>
            <w:tcW w:w="1405"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jc w:val="right"/>
              <w:rPr>
                <w:rFonts w:ascii="Times New Roman" w:hAnsi="Times New Roman"/>
                <w:b/>
                <w:color w:val="000000"/>
                <w:sz w:val="20"/>
              </w:rPr>
            </w:pPr>
            <w:r w:rsidRPr="00600E6F">
              <w:rPr>
                <w:rFonts w:ascii="Times New Roman" w:hAnsi="Times New Roman"/>
                <w:b/>
                <w:color w:val="000000"/>
                <w:sz w:val="20"/>
              </w:rPr>
              <w:t xml:space="preserve">$         50.00 </w:t>
            </w:r>
          </w:p>
        </w:tc>
      </w:tr>
      <w:tr w:rsidR="00513B47" w:rsidRPr="0080458A" w:rsidTr="008A0A65">
        <w:trPr>
          <w:trHeight w:val="1020"/>
        </w:trPr>
        <w:tc>
          <w:tcPr>
            <w:tcW w:w="207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c>
          <w:tcPr>
            <w:tcW w:w="2430"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All measures must be performed by a participating contractor’s qualified technician.</w:t>
            </w: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Must include a report with a written estimate for work required to meet standard.</w:t>
            </w:r>
          </w:p>
        </w:tc>
        <w:tc>
          <w:tcPr>
            <w:tcW w:w="1405"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r>
      <w:tr w:rsidR="00513B47" w:rsidRPr="0080458A" w:rsidTr="008A0A65">
        <w:trPr>
          <w:trHeight w:val="765"/>
        </w:trPr>
        <w:tc>
          <w:tcPr>
            <w:tcW w:w="2070" w:type="dxa"/>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b/>
                <w:color w:val="000000"/>
                <w:sz w:val="20"/>
              </w:rPr>
            </w:pPr>
            <w:r w:rsidRPr="00600E6F">
              <w:rPr>
                <w:rFonts w:ascii="Times New Roman" w:hAnsi="Times New Roman"/>
                <w:b/>
                <w:color w:val="000000"/>
                <w:sz w:val="20"/>
              </w:rPr>
              <w:t>Advanced Air Flow Correction</w:t>
            </w:r>
          </w:p>
        </w:tc>
        <w:tc>
          <w:tcPr>
            <w:tcW w:w="2430"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Completion of the Assessment</w:t>
            </w: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xml:space="preserve"> Must address any deficiencies in air flow per the standards identified in the Assessment process.</w:t>
            </w:r>
          </w:p>
        </w:tc>
        <w:tc>
          <w:tcPr>
            <w:tcW w:w="1405" w:type="dxa"/>
            <w:tcBorders>
              <w:top w:val="nil"/>
              <w:left w:val="nil"/>
              <w:bottom w:val="single" w:sz="4" w:space="0" w:color="auto"/>
              <w:right w:val="single" w:sz="4" w:space="0" w:color="auto"/>
            </w:tcBorders>
          </w:tcPr>
          <w:p w:rsidR="00513B47" w:rsidRPr="00600E6F" w:rsidRDefault="00513B47" w:rsidP="003408F4">
            <w:pPr>
              <w:spacing w:after="0" w:line="240" w:lineRule="auto"/>
              <w:jc w:val="right"/>
              <w:rPr>
                <w:rFonts w:ascii="Times New Roman" w:hAnsi="Times New Roman"/>
                <w:b/>
                <w:color w:val="000000"/>
                <w:sz w:val="20"/>
              </w:rPr>
            </w:pPr>
            <w:r w:rsidRPr="00600E6F">
              <w:rPr>
                <w:rFonts w:ascii="Times New Roman" w:hAnsi="Times New Roman"/>
                <w:b/>
                <w:color w:val="000000"/>
                <w:sz w:val="20"/>
              </w:rPr>
              <w:t xml:space="preserve"> $      250.00 </w:t>
            </w:r>
          </w:p>
        </w:tc>
      </w:tr>
      <w:tr w:rsidR="00513B47" w:rsidRPr="0080458A" w:rsidTr="008A0A65">
        <w:trPr>
          <w:trHeight w:val="300"/>
        </w:trPr>
        <w:tc>
          <w:tcPr>
            <w:tcW w:w="2070"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b/>
                <w:color w:val="000000"/>
                <w:sz w:val="20"/>
              </w:rPr>
            </w:pPr>
            <w:r w:rsidRPr="00600E6F">
              <w:rPr>
                <w:rFonts w:ascii="Times New Roman" w:hAnsi="Times New Roman"/>
                <w:b/>
                <w:color w:val="000000"/>
                <w:sz w:val="20"/>
              </w:rPr>
              <w:t>Blower Motor Retrofit</w:t>
            </w:r>
          </w:p>
        </w:tc>
        <w:tc>
          <w:tcPr>
            <w:tcW w:w="2430"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Completion of the Assessment</w:t>
            </w:r>
          </w:p>
        </w:tc>
        <w:tc>
          <w:tcPr>
            <w:tcW w:w="3815"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xml:space="preserve">The installed motor model must be a direct drive, permanent magnet, and constant speed motor. </w:t>
            </w:r>
          </w:p>
        </w:tc>
        <w:tc>
          <w:tcPr>
            <w:tcW w:w="1405"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jc w:val="right"/>
              <w:rPr>
                <w:rFonts w:ascii="Times New Roman" w:hAnsi="Times New Roman"/>
                <w:b/>
                <w:color w:val="000000"/>
                <w:sz w:val="20"/>
              </w:rPr>
            </w:pPr>
            <w:r w:rsidRPr="00600E6F">
              <w:rPr>
                <w:rFonts w:ascii="Times New Roman" w:hAnsi="Times New Roman"/>
                <w:b/>
                <w:color w:val="000000"/>
                <w:sz w:val="20"/>
              </w:rPr>
              <w:t xml:space="preserve"> $      150.00 </w:t>
            </w:r>
          </w:p>
        </w:tc>
      </w:tr>
      <w:tr w:rsidR="00513B47" w:rsidRPr="0080458A" w:rsidTr="008A0A65">
        <w:trPr>
          <w:trHeight w:val="495"/>
        </w:trPr>
        <w:tc>
          <w:tcPr>
            <w:tcW w:w="207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c>
          <w:tcPr>
            <w:tcW w:w="243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color w:val="000000"/>
                <w:sz w:val="20"/>
              </w:rPr>
            </w:pPr>
          </w:p>
        </w:tc>
        <w:tc>
          <w:tcPr>
            <w:tcW w:w="3815"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color w:val="000000"/>
                <w:sz w:val="20"/>
              </w:rPr>
            </w:pPr>
          </w:p>
        </w:tc>
        <w:tc>
          <w:tcPr>
            <w:tcW w:w="1405"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r>
      <w:tr w:rsidR="00513B47" w:rsidRPr="0080458A" w:rsidTr="008A0A65">
        <w:trPr>
          <w:trHeight w:val="765"/>
        </w:trPr>
        <w:tc>
          <w:tcPr>
            <w:tcW w:w="2070"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b/>
                <w:color w:val="000000"/>
                <w:sz w:val="20"/>
              </w:rPr>
            </w:pPr>
            <w:r w:rsidRPr="00600E6F">
              <w:rPr>
                <w:rFonts w:ascii="Times New Roman" w:hAnsi="Times New Roman"/>
                <w:b/>
                <w:color w:val="000000"/>
                <w:sz w:val="20"/>
              </w:rPr>
              <w:t>Refrigerant System Service</w:t>
            </w:r>
          </w:p>
        </w:tc>
        <w:tc>
          <w:tcPr>
            <w:tcW w:w="2430"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xml:space="preserve"> Completion of the Assessment and Air Flow Correction</w:t>
            </w: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 xml:space="preserve"> Work must meet the protocols covered in training and is expected to be incorporated into a software tool.</w:t>
            </w:r>
          </w:p>
        </w:tc>
        <w:tc>
          <w:tcPr>
            <w:tcW w:w="1405" w:type="dxa"/>
            <w:vMerge w:val="restart"/>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jc w:val="right"/>
              <w:rPr>
                <w:rFonts w:ascii="Times New Roman" w:hAnsi="Times New Roman"/>
                <w:b/>
                <w:color w:val="000000"/>
                <w:sz w:val="20"/>
              </w:rPr>
            </w:pPr>
            <w:r w:rsidRPr="00600E6F">
              <w:rPr>
                <w:rFonts w:ascii="Times New Roman" w:hAnsi="Times New Roman"/>
                <w:b/>
                <w:color w:val="000000"/>
                <w:sz w:val="20"/>
              </w:rPr>
              <w:t xml:space="preserve">$50 to $100 </w:t>
            </w:r>
          </w:p>
        </w:tc>
      </w:tr>
      <w:tr w:rsidR="00513B47" w:rsidRPr="0080458A" w:rsidTr="008A0A65">
        <w:trPr>
          <w:trHeight w:val="510"/>
        </w:trPr>
        <w:tc>
          <w:tcPr>
            <w:tcW w:w="207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c>
          <w:tcPr>
            <w:tcW w:w="243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color w:val="000000"/>
                <w:sz w:val="20"/>
              </w:rPr>
            </w:pP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Must be done when weather conditions will support accurate results.</w:t>
            </w:r>
          </w:p>
        </w:tc>
        <w:tc>
          <w:tcPr>
            <w:tcW w:w="1405"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r>
      <w:tr w:rsidR="00513B47" w:rsidRPr="0080458A" w:rsidTr="008A0A65">
        <w:trPr>
          <w:trHeight w:val="1020"/>
        </w:trPr>
        <w:tc>
          <w:tcPr>
            <w:tcW w:w="207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c>
          <w:tcPr>
            <w:tcW w:w="2430"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color w:val="000000"/>
                <w:sz w:val="20"/>
              </w:rPr>
            </w:pP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Must be done within eight months of completion of Air Flow Correction work (the delay is allow time for proper weather conditions to resume).</w:t>
            </w:r>
          </w:p>
        </w:tc>
        <w:tc>
          <w:tcPr>
            <w:tcW w:w="1405" w:type="dxa"/>
            <w:vMerge/>
            <w:tcBorders>
              <w:top w:val="nil"/>
              <w:left w:val="single" w:sz="4" w:space="0" w:color="auto"/>
              <w:bottom w:val="single" w:sz="4" w:space="0" w:color="auto"/>
              <w:right w:val="single" w:sz="4" w:space="0" w:color="auto"/>
            </w:tcBorders>
            <w:vAlign w:val="center"/>
          </w:tcPr>
          <w:p w:rsidR="00513B47" w:rsidRPr="00600E6F" w:rsidRDefault="00513B47" w:rsidP="003408F4">
            <w:pPr>
              <w:spacing w:after="0" w:line="240" w:lineRule="auto"/>
              <w:rPr>
                <w:rFonts w:ascii="Times New Roman" w:hAnsi="Times New Roman"/>
                <w:b/>
                <w:color w:val="000000"/>
                <w:sz w:val="20"/>
              </w:rPr>
            </w:pPr>
          </w:p>
        </w:tc>
      </w:tr>
      <w:tr w:rsidR="00513B47" w:rsidRPr="0080458A" w:rsidTr="008A0A65">
        <w:trPr>
          <w:trHeight w:val="1530"/>
        </w:trPr>
        <w:tc>
          <w:tcPr>
            <w:tcW w:w="2070" w:type="dxa"/>
            <w:tcBorders>
              <w:top w:val="nil"/>
              <w:left w:val="single" w:sz="4" w:space="0" w:color="auto"/>
              <w:bottom w:val="single" w:sz="4" w:space="0" w:color="auto"/>
              <w:right w:val="single" w:sz="4" w:space="0" w:color="auto"/>
            </w:tcBorders>
          </w:tcPr>
          <w:p w:rsidR="00513B47" w:rsidRPr="00600E6F" w:rsidRDefault="00513B47" w:rsidP="003408F4">
            <w:pPr>
              <w:spacing w:after="0" w:line="240" w:lineRule="auto"/>
              <w:rPr>
                <w:rFonts w:ascii="Times New Roman" w:hAnsi="Times New Roman"/>
                <w:b/>
                <w:color w:val="000000"/>
                <w:sz w:val="20"/>
              </w:rPr>
            </w:pPr>
            <w:r w:rsidRPr="00600E6F">
              <w:rPr>
                <w:rFonts w:ascii="Times New Roman" w:hAnsi="Times New Roman"/>
                <w:b/>
                <w:color w:val="000000"/>
                <w:sz w:val="20"/>
              </w:rPr>
              <w:t>QM-Standard Preventive Maintenance Agreement</w:t>
            </w:r>
          </w:p>
        </w:tc>
        <w:tc>
          <w:tcPr>
            <w:tcW w:w="2430"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Completion of the Assessment</w:t>
            </w:r>
            <w:r w:rsidRPr="00600E6F" w:rsidDel="00EC0B75">
              <w:rPr>
                <w:rFonts w:ascii="Times New Roman" w:hAnsi="Times New Roman"/>
                <w:color w:val="000000"/>
                <w:sz w:val="20"/>
              </w:rPr>
              <w:t xml:space="preserve"> </w:t>
            </w:r>
            <w:r w:rsidRPr="00600E6F">
              <w:rPr>
                <w:rFonts w:ascii="Times New Roman" w:hAnsi="Times New Roman"/>
                <w:color w:val="000000"/>
                <w:sz w:val="20"/>
              </w:rPr>
              <w:br/>
              <w:t>•   Completion of either Air Flow Correction or Blower Motor Retrofit</w:t>
            </w:r>
          </w:p>
        </w:tc>
        <w:tc>
          <w:tcPr>
            <w:tcW w:w="3815" w:type="dxa"/>
            <w:tcBorders>
              <w:top w:val="nil"/>
              <w:left w:val="nil"/>
              <w:bottom w:val="single" w:sz="4" w:space="0" w:color="auto"/>
              <w:right w:val="single" w:sz="4" w:space="0" w:color="auto"/>
            </w:tcBorders>
          </w:tcPr>
          <w:p w:rsidR="00513B47" w:rsidRPr="00600E6F" w:rsidRDefault="00513B47" w:rsidP="003408F4">
            <w:pPr>
              <w:spacing w:after="0" w:line="240" w:lineRule="auto"/>
              <w:rPr>
                <w:rFonts w:ascii="Times New Roman" w:hAnsi="Times New Roman"/>
                <w:color w:val="000000"/>
                <w:sz w:val="20"/>
              </w:rPr>
            </w:pPr>
            <w:r w:rsidRPr="00600E6F">
              <w:rPr>
                <w:rFonts w:ascii="Times New Roman" w:hAnsi="Times New Roman"/>
                <w:color w:val="000000"/>
                <w:sz w:val="20"/>
              </w:rPr>
              <w:t>The optional standard service agreement must include the provided Service Agreement QM Addendum.</w:t>
            </w:r>
            <w:r w:rsidRPr="00600E6F">
              <w:rPr>
                <w:rFonts w:ascii="Times New Roman" w:hAnsi="Times New Roman"/>
                <w:color w:val="000000"/>
                <w:sz w:val="20"/>
              </w:rPr>
              <w:br/>
              <w:t>·   The optional agreement must cover at least one year of service with two seasonal visits.</w:t>
            </w:r>
          </w:p>
        </w:tc>
        <w:tc>
          <w:tcPr>
            <w:tcW w:w="1405" w:type="dxa"/>
            <w:tcBorders>
              <w:top w:val="nil"/>
              <w:left w:val="nil"/>
              <w:bottom w:val="single" w:sz="4" w:space="0" w:color="auto"/>
              <w:right w:val="single" w:sz="4" w:space="0" w:color="auto"/>
            </w:tcBorders>
          </w:tcPr>
          <w:p w:rsidR="00513B47" w:rsidRPr="00600E6F" w:rsidRDefault="00513B47" w:rsidP="003408F4">
            <w:pPr>
              <w:spacing w:after="0" w:line="240" w:lineRule="auto"/>
              <w:jc w:val="right"/>
              <w:rPr>
                <w:rFonts w:ascii="Times New Roman" w:hAnsi="Times New Roman"/>
                <w:b/>
                <w:color w:val="000000"/>
                <w:sz w:val="20"/>
              </w:rPr>
            </w:pPr>
            <w:r w:rsidRPr="00600E6F">
              <w:rPr>
                <w:rFonts w:ascii="Times New Roman" w:hAnsi="Times New Roman"/>
                <w:b/>
                <w:color w:val="000000"/>
                <w:sz w:val="20"/>
              </w:rPr>
              <w:t xml:space="preserve"> $        50.00 </w:t>
            </w:r>
          </w:p>
        </w:tc>
      </w:tr>
    </w:tbl>
    <w:p w:rsidR="00513B47" w:rsidRPr="00600E6F" w:rsidRDefault="00513B47" w:rsidP="003408F4">
      <w:pPr>
        <w:autoSpaceDE w:val="0"/>
        <w:autoSpaceDN w:val="0"/>
        <w:adjustRightInd w:val="0"/>
        <w:spacing w:after="0" w:line="240" w:lineRule="auto"/>
        <w:rPr>
          <w:rFonts w:ascii="Times New Roman" w:hAnsi="Times New Roman"/>
          <w:sz w:val="24"/>
        </w:rPr>
      </w:pPr>
    </w:p>
    <w:p w:rsidR="00513B47" w:rsidRPr="00600E6F" w:rsidRDefault="00513B47" w:rsidP="003408F4">
      <w:pPr>
        <w:pStyle w:val="ListParagraph"/>
        <w:spacing w:after="0" w:line="240" w:lineRule="auto"/>
        <w:outlineLvl w:val="0"/>
        <w:rPr>
          <w:rFonts w:ascii="Times New Roman" w:hAnsi="Times New Roman"/>
        </w:rPr>
      </w:pPr>
      <w:r w:rsidRPr="00600E6F">
        <w:rPr>
          <w:rFonts w:ascii="Times New Roman" w:hAnsi="Times New Roman"/>
          <w:b/>
          <w:sz w:val="24"/>
        </w:rPr>
        <w:t>Residential HVAC Quality Installation Development</w:t>
      </w:r>
    </w:p>
    <w:p w:rsidR="00513B47" w:rsidRPr="00600E6F" w:rsidRDefault="00513B47" w:rsidP="003408F4">
      <w:pPr>
        <w:pStyle w:val="ListParagraph"/>
        <w:rPr>
          <w:rFonts w:ascii="Times New Roman" w:hAnsi="Times New Roman"/>
          <w:color w:val="000000"/>
          <w:sz w:val="24"/>
        </w:rPr>
      </w:pPr>
      <w:r w:rsidRPr="00600E6F">
        <w:rPr>
          <w:rFonts w:ascii="Times New Roman" w:hAnsi="Times New Roman"/>
          <w:sz w:val="24"/>
        </w:rPr>
        <w:t>At this point, providing a list of measures and incentive levels is premature, as a valid quality installation based sub-program must be well planned and vetted through the Western HVAC Performance Alliance (WHPA). This sub-program will be designed during 2012 and 2013 for the 2013-2014 program cycle and therefore will not be providing incentives, at least not initially.</w:t>
      </w:r>
    </w:p>
    <w:p w:rsidR="00513B47" w:rsidRPr="00600E6F" w:rsidRDefault="00513B47" w:rsidP="003408F4">
      <w:pPr>
        <w:pStyle w:val="Heading20"/>
        <w:ind w:left="1440"/>
      </w:pPr>
      <w:r w:rsidRPr="00600E6F">
        <w:t>c)</w:t>
      </w:r>
      <w:r w:rsidRPr="00600E6F">
        <w:tab/>
      </w:r>
      <w:r w:rsidRPr="00600E6F">
        <w:rPr>
          <w:u w:val="single"/>
        </w:rPr>
        <w:t>List Non-incentive Customer Services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p>
    <w:p w:rsidR="00513B47" w:rsidRPr="00600E6F" w:rsidRDefault="00513B47" w:rsidP="003408F4">
      <w:pPr>
        <w:autoSpaceDE w:val="0"/>
        <w:autoSpaceDN w:val="0"/>
        <w:adjustRightInd w:val="0"/>
        <w:spacing w:after="0" w:line="240" w:lineRule="auto"/>
        <w:ind w:left="1440"/>
        <w:outlineLvl w:val="0"/>
        <w:rPr>
          <w:rFonts w:ascii="Times New Roman" w:hAnsi="Times New Roman"/>
          <w:b/>
          <w:color w:val="000000"/>
          <w:sz w:val="24"/>
        </w:rPr>
      </w:pPr>
      <w:r w:rsidRPr="00600E6F">
        <w:rPr>
          <w:rFonts w:ascii="Times New Roman" w:hAnsi="Times New Roman"/>
          <w:b/>
          <w:color w:val="000000"/>
          <w:sz w:val="24"/>
        </w:rPr>
        <w:t>Residential HVAC Quality Maintenance</w:t>
      </w:r>
    </w:p>
    <w:p w:rsidR="00513B47" w:rsidRPr="00600E6F" w:rsidRDefault="00513B47" w:rsidP="00C31CC0">
      <w:pPr>
        <w:numPr>
          <w:ilvl w:val="0"/>
          <w:numId w:val="97"/>
        </w:numPr>
        <w:spacing w:after="0" w:line="240" w:lineRule="auto"/>
        <w:ind w:left="1800"/>
        <w:rPr>
          <w:rFonts w:ascii="Times New Roman" w:hAnsi="Times New Roman"/>
          <w:sz w:val="24"/>
        </w:rPr>
      </w:pPr>
      <w:r w:rsidRPr="00600E6F">
        <w:rPr>
          <w:rFonts w:ascii="Times New Roman" w:hAnsi="Times New Roman"/>
          <w:sz w:val="24"/>
        </w:rPr>
        <w:t>Education of the market on the value of selecting high-efficiency systems.</w:t>
      </w:r>
    </w:p>
    <w:p w:rsidR="00513B47" w:rsidRPr="00600E6F" w:rsidRDefault="00513B47" w:rsidP="00C31CC0">
      <w:pPr>
        <w:numPr>
          <w:ilvl w:val="0"/>
          <w:numId w:val="97"/>
        </w:numPr>
        <w:spacing w:after="0" w:line="240" w:lineRule="auto"/>
        <w:ind w:left="1800"/>
        <w:rPr>
          <w:rFonts w:ascii="Times New Roman" w:hAnsi="Times New Roman"/>
          <w:sz w:val="24"/>
        </w:rPr>
      </w:pPr>
      <w:r w:rsidRPr="00600E6F">
        <w:rPr>
          <w:rFonts w:ascii="Times New Roman" w:hAnsi="Times New Roman"/>
          <w:sz w:val="24"/>
        </w:rPr>
        <w:t>Reports for customers of estimated energy savings, cost savings and carbon reductions for their HVAC systems treated under the program.</w:t>
      </w:r>
    </w:p>
    <w:p w:rsidR="00513B47" w:rsidRPr="00600E6F" w:rsidRDefault="00513B47" w:rsidP="00C31CC0">
      <w:pPr>
        <w:numPr>
          <w:ilvl w:val="0"/>
          <w:numId w:val="97"/>
        </w:numPr>
        <w:spacing w:after="0" w:line="240" w:lineRule="auto"/>
        <w:ind w:left="1800"/>
        <w:rPr>
          <w:rFonts w:ascii="Times New Roman" w:hAnsi="Times New Roman"/>
          <w:sz w:val="24"/>
        </w:rPr>
      </w:pPr>
      <w:r w:rsidRPr="00600E6F">
        <w:rPr>
          <w:rFonts w:ascii="Times New Roman" w:hAnsi="Times New Roman"/>
          <w:sz w:val="24"/>
        </w:rPr>
        <w:t>Training for contractors on HVAC industry standards, sales and marketing of the value of those standards, and their implementation in the field.</w:t>
      </w:r>
    </w:p>
    <w:p w:rsidR="00513B47" w:rsidRPr="00600E6F" w:rsidRDefault="00513B47" w:rsidP="00C31CC0">
      <w:pPr>
        <w:numPr>
          <w:ilvl w:val="0"/>
          <w:numId w:val="97"/>
        </w:numPr>
        <w:spacing w:after="0" w:line="240" w:lineRule="auto"/>
        <w:ind w:left="1800"/>
        <w:rPr>
          <w:rFonts w:ascii="Times New Roman" w:hAnsi="Times New Roman"/>
          <w:sz w:val="24"/>
        </w:rPr>
      </w:pPr>
      <w:r w:rsidRPr="00600E6F">
        <w:rPr>
          <w:rFonts w:ascii="Times New Roman" w:hAnsi="Times New Roman"/>
          <w:sz w:val="24"/>
        </w:rPr>
        <w:lastRenderedPageBreak/>
        <w:t>Education for customers on how HVAC industry standards can help them compare bids of contractor services and select those with high-road skills.</w:t>
      </w:r>
    </w:p>
    <w:p w:rsidR="00513B47" w:rsidRPr="00600E6F" w:rsidRDefault="00513B47" w:rsidP="00C31CC0">
      <w:pPr>
        <w:numPr>
          <w:ilvl w:val="0"/>
          <w:numId w:val="97"/>
        </w:numPr>
        <w:spacing w:after="0" w:line="240" w:lineRule="auto"/>
        <w:ind w:left="1800"/>
        <w:rPr>
          <w:rFonts w:ascii="Times New Roman" w:hAnsi="Times New Roman"/>
          <w:sz w:val="24"/>
        </w:rPr>
      </w:pPr>
      <w:r w:rsidRPr="00600E6F">
        <w:rPr>
          <w:rFonts w:ascii="Times New Roman" w:hAnsi="Times New Roman"/>
          <w:sz w:val="24"/>
        </w:rPr>
        <w:t>Customer education about the benefits of establishing a long-term trust relationship with a qualified contractor, which can lead to future energy and cost savings, such as from better planning for future HVAC system replacements and the quality installation of those systems when replaced.</w:t>
      </w:r>
    </w:p>
    <w:p w:rsidR="00513B47" w:rsidRPr="00600E6F" w:rsidRDefault="00513B47" w:rsidP="00C31CC0">
      <w:pPr>
        <w:numPr>
          <w:ilvl w:val="0"/>
          <w:numId w:val="97"/>
        </w:numPr>
        <w:spacing w:after="0" w:line="240" w:lineRule="auto"/>
        <w:ind w:left="1800"/>
        <w:rPr>
          <w:rFonts w:ascii="Times New Roman" w:hAnsi="Times New Roman"/>
          <w:sz w:val="24"/>
        </w:rPr>
      </w:pPr>
      <w:r w:rsidRPr="00600E6F">
        <w:rPr>
          <w:rFonts w:ascii="Times New Roman" w:hAnsi="Times New Roman"/>
          <w:sz w:val="24"/>
        </w:rPr>
        <w:t>Improved comfort and indoor air quality for customers.</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p>
    <w:p w:rsidR="00513B47" w:rsidRPr="00600E6F" w:rsidRDefault="00513B47" w:rsidP="003408F4">
      <w:pPr>
        <w:pStyle w:val="ListParagraph"/>
        <w:spacing w:after="0" w:line="240" w:lineRule="auto"/>
        <w:ind w:firstLine="720"/>
        <w:outlineLvl w:val="0"/>
        <w:rPr>
          <w:rFonts w:ascii="Times New Roman" w:hAnsi="Times New Roman"/>
          <w:b/>
          <w:sz w:val="24"/>
        </w:rPr>
      </w:pPr>
      <w:r w:rsidRPr="00600E6F">
        <w:rPr>
          <w:rFonts w:ascii="Times New Roman" w:hAnsi="Times New Roman"/>
          <w:b/>
          <w:sz w:val="24"/>
        </w:rPr>
        <w:t>Residential HVAC Quality Installation Development</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This sub-program development process will be performed with HVAC industry involvement to ensure that:</w:t>
      </w:r>
    </w:p>
    <w:p w:rsidR="00513B47" w:rsidRPr="00600E6F" w:rsidRDefault="00513B47" w:rsidP="003408F4">
      <w:pPr>
        <w:autoSpaceDE w:val="0"/>
        <w:autoSpaceDN w:val="0"/>
        <w:adjustRightInd w:val="0"/>
        <w:spacing w:after="0" w:line="240" w:lineRule="auto"/>
        <w:ind w:left="1440"/>
        <w:rPr>
          <w:rFonts w:ascii="Times New Roman" w:hAnsi="Times New Roman"/>
          <w:sz w:val="24"/>
        </w:rPr>
      </w:pPr>
    </w:p>
    <w:p w:rsidR="00513B47" w:rsidRPr="00600E6F" w:rsidRDefault="00513B47" w:rsidP="00C31CC0">
      <w:pPr>
        <w:numPr>
          <w:ilvl w:val="0"/>
          <w:numId w:val="96"/>
        </w:numPr>
        <w:tabs>
          <w:tab w:val="clear" w:pos="720"/>
          <w:tab w:val="num" w:pos="360"/>
        </w:tabs>
        <w:autoSpaceDE w:val="0"/>
        <w:autoSpaceDN w:val="0"/>
        <w:adjustRightInd w:val="0"/>
        <w:spacing w:after="0" w:line="240" w:lineRule="auto"/>
        <w:ind w:left="2160"/>
        <w:rPr>
          <w:rFonts w:ascii="Times New Roman" w:hAnsi="Times New Roman"/>
          <w:color w:val="000000"/>
          <w:sz w:val="24"/>
        </w:rPr>
      </w:pPr>
      <w:r w:rsidRPr="00600E6F">
        <w:rPr>
          <w:rFonts w:ascii="Times New Roman" w:hAnsi="Times New Roman"/>
          <w:color w:val="000000"/>
          <w:sz w:val="24"/>
        </w:rPr>
        <w:t>The measures eventually included in the program can be reasonably assured to save energy and lower peak demand;</w:t>
      </w:r>
    </w:p>
    <w:p w:rsidR="00513B47" w:rsidRPr="00600E6F" w:rsidRDefault="00513B47" w:rsidP="00C31CC0">
      <w:pPr>
        <w:numPr>
          <w:ilvl w:val="0"/>
          <w:numId w:val="96"/>
        </w:numPr>
        <w:tabs>
          <w:tab w:val="clear" w:pos="720"/>
          <w:tab w:val="num" w:pos="360"/>
        </w:tabs>
        <w:autoSpaceDE w:val="0"/>
        <w:autoSpaceDN w:val="0"/>
        <w:adjustRightInd w:val="0"/>
        <w:spacing w:after="0" w:line="240" w:lineRule="auto"/>
        <w:ind w:left="2160"/>
        <w:rPr>
          <w:rFonts w:ascii="Times New Roman" w:hAnsi="Times New Roman"/>
          <w:color w:val="000000"/>
          <w:sz w:val="24"/>
        </w:rPr>
      </w:pPr>
      <w:r w:rsidRPr="00600E6F">
        <w:rPr>
          <w:rFonts w:ascii="Times New Roman" w:hAnsi="Times New Roman"/>
          <w:color w:val="000000"/>
          <w:sz w:val="24"/>
        </w:rPr>
        <w:t>A clear value proposition can be demonstrated so that contractors will see the path for a profitable business opportunity based on QI and customers will understand the benefits of equipment maintained at a higher level of quality;</w:t>
      </w:r>
    </w:p>
    <w:p w:rsidR="00513B47" w:rsidRPr="00600E6F" w:rsidRDefault="00513B47" w:rsidP="00C31CC0">
      <w:pPr>
        <w:numPr>
          <w:ilvl w:val="0"/>
          <w:numId w:val="96"/>
        </w:numPr>
        <w:tabs>
          <w:tab w:val="clear" w:pos="720"/>
          <w:tab w:val="num" w:pos="360"/>
        </w:tabs>
        <w:autoSpaceDE w:val="0"/>
        <w:autoSpaceDN w:val="0"/>
        <w:adjustRightInd w:val="0"/>
        <w:spacing w:after="0" w:line="240" w:lineRule="auto"/>
        <w:ind w:left="2160"/>
        <w:rPr>
          <w:rFonts w:ascii="Times New Roman" w:hAnsi="Times New Roman"/>
          <w:color w:val="000000"/>
          <w:sz w:val="24"/>
        </w:rPr>
      </w:pPr>
      <w:r w:rsidRPr="00600E6F">
        <w:rPr>
          <w:rFonts w:ascii="Times New Roman" w:hAnsi="Times New Roman"/>
          <w:color w:val="000000"/>
          <w:sz w:val="24"/>
        </w:rPr>
        <w:t xml:space="preserve">An effective training program will be put in place to ensure that technicians can properly implement QI services; </w:t>
      </w:r>
    </w:p>
    <w:p w:rsidR="00513B47" w:rsidRPr="00600E6F" w:rsidRDefault="00513B47" w:rsidP="00C31CC0">
      <w:pPr>
        <w:numPr>
          <w:ilvl w:val="0"/>
          <w:numId w:val="96"/>
        </w:numPr>
        <w:tabs>
          <w:tab w:val="clear" w:pos="720"/>
          <w:tab w:val="num" w:pos="360"/>
        </w:tabs>
        <w:autoSpaceDE w:val="0"/>
        <w:autoSpaceDN w:val="0"/>
        <w:adjustRightInd w:val="0"/>
        <w:spacing w:after="0" w:line="240" w:lineRule="auto"/>
        <w:ind w:left="2160"/>
        <w:rPr>
          <w:rFonts w:ascii="Times New Roman" w:hAnsi="Times New Roman"/>
          <w:color w:val="000000"/>
          <w:sz w:val="24"/>
        </w:rPr>
      </w:pPr>
      <w:r w:rsidRPr="00600E6F">
        <w:rPr>
          <w:rFonts w:ascii="Times New Roman" w:hAnsi="Times New Roman"/>
          <w:color w:val="000000"/>
          <w:sz w:val="24"/>
        </w:rPr>
        <w:t xml:space="preserve">The processes employed will document that work performed in the field meets minimum program quality control standards and can be validated.  </w:t>
      </w:r>
    </w:p>
    <w:p w:rsidR="00513B47" w:rsidRPr="00600E6F" w:rsidRDefault="00513B47" w:rsidP="00C31CC0">
      <w:pPr>
        <w:numPr>
          <w:ilvl w:val="0"/>
          <w:numId w:val="96"/>
        </w:numPr>
        <w:tabs>
          <w:tab w:val="clear" w:pos="720"/>
          <w:tab w:val="num" w:pos="360"/>
        </w:tabs>
        <w:autoSpaceDE w:val="0"/>
        <w:autoSpaceDN w:val="0"/>
        <w:adjustRightInd w:val="0"/>
        <w:spacing w:after="0" w:line="240" w:lineRule="auto"/>
        <w:ind w:left="2160"/>
        <w:rPr>
          <w:rFonts w:ascii="Times New Roman" w:hAnsi="Times New Roman"/>
          <w:color w:val="000000"/>
          <w:sz w:val="24"/>
        </w:rPr>
      </w:pPr>
      <w:r w:rsidRPr="00600E6F">
        <w:rPr>
          <w:rFonts w:ascii="Times New Roman" w:hAnsi="Times New Roman"/>
          <w:color w:val="000000"/>
          <w:sz w:val="24"/>
        </w:rPr>
        <w:t>The initial QI efforts will focus on uncovering the root causes, rectifying design and implementation shortcomings, determine realistic energy savings estimates, and then launch program incentives.</w:t>
      </w:r>
    </w:p>
    <w:p w:rsidR="00513B47" w:rsidRPr="00600E6F" w:rsidRDefault="00513B47" w:rsidP="003408F4">
      <w:pPr>
        <w:autoSpaceDE w:val="0"/>
        <w:autoSpaceDN w:val="0"/>
        <w:adjustRightInd w:val="0"/>
        <w:spacing w:after="0" w:line="240" w:lineRule="auto"/>
        <w:ind w:left="1080"/>
        <w:rPr>
          <w:rFonts w:ascii="Times New Roman" w:hAnsi="Times New Roman"/>
          <w:color w:val="000000"/>
          <w:sz w:val="24"/>
        </w:rPr>
      </w:pPr>
    </w:p>
    <w:p w:rsidR="00513B47" w:rsidRPr="00600E6F" w:rsidRDefault="00513B47" w:rsidP="003408F4">
      <w:pPr>
        <w:spacing w:after="0" w:line="240" w:lineRule="auto"/>
        <w:ind w:left="1440"/>
        <w:outlineLvl w:val="0"/>
        <w:rPr>
          <w:rFonts w:ascii="Times New Roman" w:hAnsi="Times New Roman"/>
          <w:sz w:val="24"/>
        </w:rPr>
      </w:pPr>
      <w:r w:rsidRPr="00600E6F">
        <w:rPr>
          <w:rFonts w:ascii="Times New Roman" w:hAnsi="Times New Roman"/>
          <w:sz w:val="24"/>
        </w:rPr>
        <w:t>The following non-incentive services will be offered through this sub-program:</w:t>
      </w:r>
    </w:p>
    <w:p w:rsidR="00513B47" w:rsidRPr="00600E6F" w:rsidRDefault="00513B47" w:rsidP="003408F4">
      <w:pPr>
        <w:spacing w:after="0" w:line="240" w:lineRule="auto"/>
        <w:ind w:left="1440"/>
        <w:outlineLvl w:val="0"/>
        <w:rPr>
          <w:rFonts w:ascii="Times New Roman" w:hAnsi="Times New Roman"/>
          <w:sz w:val="24"/>
        </w:rPr>
      </w:pPr>
    </w:p>
    <w:p w:rsidR="00513B47" w:rsidRPr="00600E6F" w:rsidRDefault="00513B47" w:rsidP="00C31CC0">
      <w:pPr>
        <w:numPr>
          <w:ilvl w:val="0"/>
          <w:numId w:val="98"/>
        </w:numPr>
        <w:tabs>
          <w:tab w:val="clear" w:pos="1440"/>
          <w:tab w:val="num" w:pos="360"/>
        </w:tabs>
        <w:autoSpaceDE w:val="0"/>
        <w:autoSpaceDN w:val="0"/>
        <w:adjustRightInd w:val="0"/>
        <w:spacing w:after="0" w:line="240" w:lineRule="auto"/>
        <w:ind w:left="2160"/>
        <w:rPr>
          <w:rFonts w:ascii="Times New Roman" w:hAnsi="Times New Roman"/>
          <w:sz w:val="24"/>
        </w:rPr>
      </w:pPr>
      <w:r w:rsidRPr="00600E6F">
        <w:rPr>
          <w:rFonts w:ascii="Times New Roman" w:hAnsi="Times New Roman"/>
          <w:sz w:val="24"/>
        </w:rPr>
        <w:t xml:space="preserve">Active enrollment and promotion of qualified contractors  </w:t>
      </w:r>
    </w:p>
    <w:p w:rsidR="00513B47" w:rsidRPr="00600E6F" w:rsidRDefault="00513B47" w:rsidP="00C31CC0">
      <w:pPr>
        <w:numPr>
          <w:ilvl w:val="0"/>
          <w:numId w:val="98"/>
        </w:numPr>
        <w:tabs>
          <w:tab w:val="clear" w:pos="1440"/>
          <w:tab w:val="num" w:pos="360"/>
        </w:tabs>
        <w:autoSpaceDE w:val="0"/>
        <w:autoSpaceDN w:val="0"/>
        <w:adjustRightInd w:val="0"/>
        <w:spacing w:after="0" w:line="240" w:lineRule="auto"/>
        <w:ind w:left="2160"/>
        <w:rPr>
          <w:rFonts w:ascii="Times New Roman" w:hAnsi="Times New Roman"/>
          <w:sz w:val="24"/>
        </w:rPr>
      </w:pPr>
      <w:r w:rsidRPr="00600E6F">
        <w:rPr>
          <w:rFonts w:ascii="Times New Roman" w:hAnsi="Times New Roman"/>
          <w:sz w:val="24"/>
        </w:rPr>
        <w:t>IOU promotion of QI through the Whole-Home Upgrade subprogram and other customer marketing.</w:t>
      </w:r>
    </w:p>
    <w:p w:rsidR="00513B47" w:rsidRPr="00600E6F" w:rsidRDefault="00513B47" w:rsidP="00C31CC0">
      <w:pPr>
        <w:numPr>
          <w:ilvl w:val="0"/>
          <w:numId w:val="98"/>
        </w:numPr>
        <w:tabs>
          <w:tab w:val="clear" w:pos="1440"/>
          <w:tab w:val="num" w:pos="360"/>
        </w:tabs>
        <w:autoSpaceDE w:val="0"/>
        <w:autoSpaceDN w:val="0"/>
        <w:adjustRightInd w:val="0"/>
        <w:spacing w:after="0" w:line="240" w:lineRule="auto"/>
        <w:ind w:left="2160"/>
        <w:rPr>
          <w:rFonts w:ascii="Times New Roman" w:hAnsi="Times New Roman"/>
          <w:sz w:val="24"/>
        </w:rPr>
      </w:pPr>
      <w:r w:rsidRPr="00600E6F">
        <w:rPr>
          <w:rFonts w:ascii="Times New Roman" w:hAnsi="Times New Roman"/>
          <w:sz w:val="24"/>
        </w:rPr>
        <w:t xml:space="preserve">Contractor training on quality installation practices, selling and marketing QI, service management of QI, etc. </w:t>
      </w:r>
    </w:p>
    <w:p w:rsidR="00513B47" w:rsidRPr="00600E6F" w:rsidRDefault="00513B47" w:rsidP="00C31CC0">
      <w:pPr>
        <w:numPr>
          <w:ilvl w:val="0"/>
          <w:numId w:val="98"/>
        </w:numPr>
        <w:tabs>
          <w:tab w:val="clear" w:pos="1440"/>
          <w:tab w:val="num" w:pos="360"/>
        </w:tabs>
        <w:autoSpaceDE w:val="0"/>
        <w:autoSpaceDN w:val="0"/>
        <w:adjustRightInd w:val="0"/>
        <w:spacing w:after="0" w:line="240" w:lineRule="auto"/>
        <w:ind w:left="2160"/>
        <w:rPr>
          <w:rFonts w:ascii="Times New Roman" w:hAnsi="Times New Roman"/>
          <w:sz w:val="24"/>
        </w:rPr>
      </w:pPr>
      <w:r w:rsidRPr="00600E6F">
        <w:rPr>
          <w:rFonts w:ascii="Times New Roman" w:hAnsi="Times New Roman"/>
          <w:sz w:val="24"/>
        </w:rPr>
        <w:t>If incentives are offered for energy savings and the measures are cost effective, the program will comply with Senate Bill 454 on HVAC permit acquisitions with the work completed by a licensed contractor.</w:t>
      </w:r>
    </w:p>
    <w:p w:rsidR="00513B47" w:rsidRPr="00600E6F" w:rsidRDefault="00513B47" w:rsidP="00C31CC0">
      <w:pPr>
        <w:numPr>
          <w:ilvl w:val="0"/>
          <w:numId w:val="98"/>
        </w:numPr>
        <w:tabs>
          <w:tab w:val="clear" w:pos="1440"/>
          <w:tab w:val="num" w:pos="360"/>
        </w:tabs>
        <w:autoSpaceDE w:val="0"/>
        <w:autoSpaceDN w:val="0"/>
        <w:adjustRightInd w:val="0"/>
        <w:spacing w:after="0" w:line="240" w:lineRule="auto"/>
        <w:ind w:left="2160"/>
        <w:rPr>
          <w:rFonts w:ascii="Times New Roman" w:hAnsi="Times New Roman"/>
          <w:sz w:val="24"/>
        </w:rPr>
      </w:pPr>
      <w:r w:rsidRPr="00600E6F">
        <w:rPr>
          <w:rFonts w:ascii="Times New Roman" w:hAnsi="Times New Roman"/>
          <w:sz w:val="24"/>
        </w:rPr>
        <w:t>The program will retain appropriate combustion safety testing and other procedures to ensure customer safety.</w:t>
      </w:r>
    </w:p>
    <w:p w:rsidR="00513B47" w:rsidRPr="00600E6F" w:rsidRDefault="00513B47" w:rsidP="003408F4">
      <w:pPr>
        <w:autoSpaceDE w:val="0"/>
        <w:autoSpaceDN w:val="0"/>
        <w:adjustRightInd w:val="0"/>
        <w:spacing w:after="0" w:line="240" w:lineRule="auto"/>
        <w:ind w:left="2160"/>
        <w:rPr>
          <w:rFonts w:ascii="Times New Roman" w:hAnsi="Times New Roman"/>
          <w:sz w:val="24"/>
        </w:rPr>
      </w:pPr>
    </w:p>
    <w:p w:rsidR="00513B47" w:rsidRPr="00600E6F" w:rsidRDefault="00513B47" w:rsidP="003408F4">
      <w:pPr>
        <w:autoSpaceDE w:val="0"/>
        <w:autoSpaceDN w:val="0"/>
        <w:adjustRightInd w:val="0"/>
        <w:spacing w:after="0" w:line="240" w:lineRule="auto"/>
        <w:ind w:left="720" w:firstLine="360"/>
        <w:rPr>
          <w:rFonts w:ascii="Times New Roman" w:hAnsi="Times New Roman"/>
          <w:b/>
          <w:color w:val="000000"/>
          <w:sz w:val="24"/>
        </w:rPr>
      </w:pPr>
      <w:r w:rsidRPr="00600E6F">
        <w:rPr>
          <w:rFonts w:ascii="Times New Roman" w:hAnsi="Times New Roman"/>
          <w:b/>
          <w:color w:val="000000"/>
          <w:sz w:val="24"/>
        </w:rPr>
        <w:t>Western HVAC Performance Alliance Activities</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The program will be active in a number of additional non-resource activities.  These activities are required to ensure that the HVAC industry is fully involved in the development and implementation of the many tactics required to address the short and long-term goals of the Strategic Plan. One such non-resource activity is an Western HVAC Performance Alliance that will be initially chartered and funded by the IOUs.  The Western HVAC Performance Alliance is necessary to keep the industry engaged in the Strategic Plan process and to provide guidance and support for the implementation </w:t>
      </w:r>
      <w:r w:rsidRPr="00600E6F">
        <w:rPr>
          <w:rFonts w:ascii="Times New Roman" w:hAnsi="Times New Roman"/>
          <w:sz w:val="24"/>
        </w:rPr>
        <w:lastRenderedPageBreak/>
        <w:t xml:space="preserve">of the various tactics required to transform the industry. Mindful that HVAC industry organizations are not traditionally structured or staffed, and have not traditionally allocated enough resources to achieve the level of involvement envisioned by the Strategic Plan, the HVAC Convener’s Report concluded that: </w:t>
      </w:r>
      <w:r w:rsidRPr="00600E6F">
        <w:rPr>
          <w:rFonts w:ascii="Times New Roman" w:hAnsi="Times New Roman"/>
          <w:i/>
          <w:sz w:val="24"/>
        </w:rPr>
        <w:t>“The agencies and utilities should work together to ensure the working group is adequately funded to meet its responsibilities.”</w:t>
      </w:r>
      <w:r w:rsidRPr="00600E6F">
        <w:rPr>
          <w:rStyle w:val="FootnoteReference"/>
          <w:rFonts w:ascii="Times New Roman" w:hAnsi="Times New Roman"/>
          <w:i/>
          <w:sz w:val="24"/>
        </w:rPr>
        <w:footnoteReference w:id="41"/>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It is envisioned that this </w:t>
      </w:r>
      <w:r w:rsidRPr="00600E6F">
        <w:rPr>
          <w:rFonts w:ascii="Times New Roman" w:hAnsi="Times New Roman"/>
          <w:color w:val="000000"/>
          <w:sz w:val="24"/>
        </w:rPr>
        <w:t xml:space="preserve">Western HVAC Performance Alliance </w:t>
      </w:r>
      <w:r w:rsidRPr="00600E6F">
        <w:rPr>
          <w:rFonts w:ascii="Times New Roman" w:hAnsi="Times New Roman"/>
          <w:sz w:val="24"/>
        </w:rPr>
        <w:t xml:space="preserve">will involve high-level HVAC industry stakeholders, such as manufacturers, distributors, contractors, associations, organized labor and influential end-user customers—to coordinate industry sponsorship of and participation in HVAC strategies. Membership should also include other key players, including the CPUC, the California Energy Commission (CEC), utilities, building owners/managers, university researchers, consumers, and the Federal Government.  The </w:t>
      </w:r>
      <w:r w:rsidRPr="00600E6F">
        <w:rPr>
          <w:rFonts w:ascii="Times New Roman" w:hAnsi="Times New Roman"/>
          <w:color w:val="000000"/>
          <w:sz w:val="24"/>
        </w:rPr>
        <w:t xml:space="preserve">Western HVAC Performance Alliance </w:t>
      </w:r>
      <w:r w:rsidRPr="00600E6F">
        <w:rPr>
          <w:rFonts w:ascii="Times New Roman" w:hAnsi="Times New Roman"/>
          <w:sz w:val="24"/>
        </w:rPr>
        <w:t>will be charged with establishing and prioritizing a substantial IOU-funded response (recognizing the roles of other appropriate organizations including CEC, the publicly-owned utilities, and local governments) to the activities described in the suite of IOU-proposed HVAC Programs — both utility administered programs and third-party administered programs which focus on HVAC efficiency — resulting in a structured roadmap with specific actions, schedules, and the technical and financial resources identified to initiate near-term, mid-term and long-term issue resolution.</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color w:val="000000"/>
          <w:sz w:val="24"/>
        </w:rPr>
        <w:t xml:space="preserve">Western HVAC Performance Alliance </w:t>
      </w:r>
      <w:r w:rsidRPr="00600E6F">
        <w:rPr>
          <w:rFonts w:ascii="Times New Roman" w:hAnsi="Times New Roman"/>
          <w:sz w:val="24"/>
        </w:rPr>
        <w:t>will provide the necessary guidance to both California and the western U.S. so that the many issues required to transform the industry can be prioritized and facilitated by the IOUs and the WCEC (as described in the HVAC Technologies and System Diagnostics Advocacy sub-program).</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r w:rsidRPr="00600E6F">
        <w:rPr>
          <w:rFonts w:ascii="Times New Roman" w:hAnsi="Times New Roman"/>
          <w:sz w:val="24"/>
        </w:rPr>
        <w:t xml:space="preserve">Some of the actions of the </w:t>
      </w:r>
      <w:r w:rsidRPr="00600E6F">
        <w:rPr>
          <w:rFonts w:ascii="Times New Roman" w:hAnsi="Times New Roman"/>
          <w:color w:val="000000"/>
          <w:sz w:val="24"/>
        </w:rPr>
        <w:t xml:space="preserve">Western HVAC Performance Alliance </w:t>
      </w:r>
      <w:r w:rsidRPr="00600E6F">
        <w:rPr>
          <w:rFonts w:ascii="Times New Roman" w:hAnsi="Times New Roman"/>
          <w:sz w:val="24"/>
        </w:rPr>
        <w:t>may include:</w:t>
      </w:r>
    </w:p>
    <w:p w:rsidR="00513B47" w:rsidRPr="00600E6F" w:rsidRDefault="00513B47" w:rsidP="003408F4">
      <w:pPr>
        <w:autoSpaceDE w:val="0"/>
        <w:autoSpaceDN w:val="0"/>
        <w:adjustRightInd w:val="0"/>
        <w:spacing w:after="0" w:line="240" w:lineRule="auto"/>
        <w:ind w:left="1080"/>
        <w:rPr>
          <w:rFonts w:ascii="Times New Roman" w:hAnsi="Times New Roman"/>
          <w:sz w:val="24"/>
        </w:rPr>
      </w:pPr>
    </w:p>
    <w:p w:rsidR="00513B47" w:rsidRPr="00600E6F" w:rsidRDefault="00513B47" w:rsidP="00C31CC0">
      <w:pPr>
        <w:numPr>
          <w:ilvl w:val="0"/>
          <w:numId w:val="101"/>
        </w:numPr>
        <w:tabs>
          <w:tab w:val="clear" w:pos="720"/>
          <w:tab w:val="num" w:pos="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Recommending guidelines that would make it possible for IOUs to directly contract with existing HVAC industry institutions (e.g., associations, societies, conference hosts, and the trade press) through a rigorous Request For Quotation (RFQ) or similar processes to implement specific aspects of IOU-administered energy efficiency programs.</w:t>
      </w:r>
    </w:p>
    <w:p w:rsidR="00513B47" w:rsidRPr="00600E6F" w:rsidRDefault="00513B47" w:rsidP="00C31CC0">
      <w:pPr>
        <w:numPr>
          <w:ilvl w:val="0"/>
          <w:numId w:val="101"/>
        </w:numPr>
        <w:tabs>
          <w:tab w:val="clear" w:pos="72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Making recommendations for standards and qualification guidelines for trainers and educators who receive funding from the IOUs.</w:t>
      </w:r>
    </w:p>
    <w:p w:rsidR="00513B47" w:rsidRPr="00600E6F" w:rsidRDefault="00513B47" w:rsidP="00C31CC0">
      <w:pPr>
        <w:numPr>
          <w:ilvl w:val="0"/>
          <w:numId w:val="101"/>
        </w:numPr>
        <w:tabs>
          <w:tab w:val="clear" w:pos="72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Update the “HVAC Action Plan” that prioritizes specific actions required to address the Strategic Plan.</w:t>
      </w:r>
    </w:p>
    <w:p w:rsidR="00513B47" w:rsidRPr="00600E6F" w:rsidRDefault="00513B47" w:rsidP="00C31CC0">
      <w:pPr>
        <w:numPr>
          <w:ilvl w:val="0"/>
          <w:numId w:val="101"/>
        </w:numPr>
        <w:tabs>
          <w:tab w:val="clear" w:pos="72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Formally reaching out to utilities in neighboring states, including Arizona, Colorado, Nevada, New Mexico, and Utah, and energy organizations in the Pacific Northwest, to involve them in the overall planning and implementation processes.</w:t>
      </w:r>
    </w:p>
    <w:p w:rsidR="00513B47" w:rsidRPr="00600E6F" w:rsidRDefault="00513B47" w:rsidP="00C31CC0">
      <w:pPr>
        <w:numPr>
          <w:ilvl w:val="3"/>
          <w:numId w:val="101"/>
        </w:numPr>
        <w:tabs>
          <w:tab w:val="clear" w:pos="288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 xml:space="preserve">Identifying for inclusion in the HVAC Action Plan other HVAC technical work underway through the existing IOU programs, CEC/EPIC-BERG, LBNL, HVAC industry vendors, and others inside and outside California. Much of this work is </w:t>
      </w:r>
      <w:r w:rsidRPr="00600E6F">
        <w:rPr>
          <w:rFonts w:ascii="Times New Roman" w:hAnsi="Times New Roman"/>
          <w:sz w:val="24"/>
        </w:rPr>
        <w:lastRenderedPageBreak/>
        <w:t>continuing in a fragmented way. A cohesive planned and prioritized framework and action is needed.</w:t>
      </w:r>
    </w:p>
    <w:p w:rsidR="00513B47" w:rsidRPr="00600E6F" w:rsidRDefault="00513B47" w:rsidP="00C31CC0">
      <w:pPr>
        <w:numPr>
          <w:ilvl w:val="3"/>
          <w:numId w:val="101"/>
        </w:numPr>
        <w:tabs>
          <w:tab w:val="clear" w:pos="288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 xml:space="preserve">Channeling appropriate HVAC work through the existing IOU program framework, on a fully-planned basis, not on an </w:t>
      </w:r>
      <w:r w:rsidRPr="00600E6F">
        <w:rPr>
          <w:rFonts w:ascii="Times New Roman" w:hAnsi="Times New Roman"/>
          <w:i/>
          <w:sz w:val="24"/>
        </w:rPr>
        <w:t>ad hoc</w:t>
      </w:r>
      <w:r w:rsidRPr="00600E6F">
        <w:rPr>
          <w:rFonts w:ascii="Times New Roman" w:hAnsi="Times New Roman"/>
          <w:sz w:val="24"/>
        </w:rPr>
        <w:t xml:space="preserve"> basis.</w:t>
      </w:r>
    </w:p>
    <w:p w:rsidR="00513B47" w:rsidRPr="00600E6F" w:rsidRDefault="00513B47" w:rsidP="00C31CC0">
      <w:pPr>
        <w:numPr>
          <w:ilvl w:val="3"/>
          <w:numId w:val="101"/>
        </w:numPr>
        <w:tabs>
          <w:tab w:val="clear" w:pos="288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Integrating all efforts as appropriate with the current and out year work plans of the WCEC.</w:t>
      </w:r>
    </w:p>
    <w:p w:rsidR="00513B47" w:rsidRPr="00600E6F" w:rsidRDefault="00513B47" w:rsidP="00C31CC0">
      <w:pPr>
        <w:numPr>
          <w:ilvl w:val="3"/>
          <w:numId w:val="101"/>
        </w:numPr>
        <w:tabs>
          <w:tab w:val="clear" w:pos="288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Integrating the suite of demand response/demand side management (DR/DSM) options that are already considered in utility DR/DSM programs as well as additional solutions that are emerging for residential and small commercial markets.</w:t>
      </w:r>
    </w:p>
    <w:p w:rsidR="00513B47" w:rsidRPr="00600E6F" w:rsidRDefault="00513B47" w:rsidP="00C31CC0">
      <w:pPr>
        <w:numPr>
          <w:ilvl w:val="3"/>
          <w:numId w:val="101"/>
        </w:numPr>
        <w:tabs>
          <w:tab w:val="clear" w:pos="2880"/>
          <w:tab w:val="num" w:pos="1440"/>
        </w:tabs>
        <w:autoSpaceDE w:val="0"/>
        <w:autoSpaceDN w:val="0"/>
        <w:adjustRightInd w:val="0"/>
        <w:spacing w:after="0" w:line="240" w:lineRule="auto"/>
        <w:ind w:left="1440"/>
        <w:rPr>
          <w:rFonts w:ascii="Times New Roman" w:hAnsi="Times New Roman"/>
          <w:sz w:val="24"/>
        </w:rPr>
      </w:pPr>
      <w:r w:rsidRPr="00600E6F">
        <w:rPr>
          <w:rFonts w:ascii="Times New Roman" w:hAnsi="Times New Roman"/>
          <w:sz w:val="24"/>
        </w:rPr>
        <w:t>Create a sustainable governance of the Western HVAC Performance Alliance to assist in meeting the deliverables of the CLTEESP and HVAC Action Plan.</w:t>
      </w:r>
    </w:p>
    <w:p w:rsidR="00513B47" w:rsidRPr="00600E6F" w:rsidRDefault="00513B47" w:rsidP="003408F4">
      <w:pPr>
        <w:spacing w:after="0" w:line="240" w:lineRule="auto"/>
        <w:rPr>
          <w:rFonts w:ascii="Times New Roman" w:hAnsi="Times New Roman"/>
          <w:sz w:val="24"/>
        </w:rPr>
      </w:pPr>
    </w:p>
    <w:p w:rsidR="00513B47" w:rsidRPr="00D737C2" w:rsidRDefault="00513B47" w:rsidP="00C32735">
      <w:pPr>
        <w:pStyle w:val="Heading10"/>
      </w:pPr>
      <w:r w:rsidRPr="00D737C2">
        <w:t>5)</w:t>
      </w:r>
      <w:r w:rsidRPr="00D737C2">
        <w:tab/>
        <w:t xml:space="preserve">Program Rationale and Expected Outcome </w:t>
      </w:r>
    </w:p>
    <w:p w:rsidR="00513B47" w:rsidRPr="00600E6F" w:rsidRDefault="00513B47" w:rsidP="003408F4">
      <w:pPr>
        <w:spacing w:after="0" w:line="240" w:lineRule="auto"/>
        <w:ind w:left="2160"/>
        <w:rPr>
          <w:rFonts w:ascii="Times New Roman" w:hAnsi="Times New Roman"/>
          <w:sz w:val="24"/>
        </w:rPr>
      </w:pPr>
    </w:p>
    <w:p w:rsidR="00513B47" w:rsidRPr="00600E6F" w:rsidRDefault="00513B47" w:rsidP="003408F4">
      <w:pPr>
        <w:pStyle w:val="Heading20"/>
        <w:ind w:left="360" w:firstLine="0"/>
        <w:outlineLvl w:val="0"/>
        <w:rPr>
          <w:b/>
        </w:rPr>
      </w:pPr>
      <w:r w:rsidRPr="00600E6F">
        <w:rPr>
          <w:b/>
        </w:rPr>
        <w:t>a)</w:t>
      </w:r>
      <w:r w:rsidRPr="00600E6F">
        <w:rPr>
          <w:b/>
        </w:rPr>
        <w:tab/>
      </w:r>
      <w:r w:rsidRPr="00600E6F">
        <w:rPr>
          <w:b/>
          <w:u w:val="single"/>
        </w:rPr>
        <w:t>Quantitative Baseline and Market Transformation Information</w:t>
      </w:r>
    </w:p>
    <w:p w:rsidR="00513B47" w:rsidRPr="00600E6F" w:rsidRDefault="00513B47" w:rsidP="003408F4">
      <w:pPr>
        <w:autoSpaceDE w:val="0"/>
        <w:autoSpaceDN w:val="0"/>
        <w:adjustRightInd w:val="0"/>
        <w:spacing w:after="0" w:line="240" w:lineRule="auto"/>
        <w:ind w:left="360"/>
        <w:rPr>
          <w:rFonts w:ascii="Times New Roman" w:hAnsi="Times New Roman"/>
          <w:color w:val="000000"/>
          <w:sz w:val="24"/>
        </w:rPr>
      </w:pPr>
      <w:r w:rsidRPr="00600E6F">
        <w:rPr>
          <w:rFonts w:ascii="Times New Roman" w:hAnsi="Times New Roman"/>
          <w:color w:val="000000"/>
          <w:sz w:val="24"/>
        </w:rPr>
        <w:t>On December 2, 2010, the Commission issued Resolution E-4385, approving Program Performance Metrics (PPMs) for Pacific Gas and Electric Company, Southern California Edison Company, Southern California Gas Company and San Diego Gas and Electric Company for 2010-2012 statewide energy efficiency programs and subprograms.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513B47" w:rsidRPr="00600E6F" w:rsidRDefault="00513B47" w:rsidP="003408F4">
      <w:pPr>
        <w:autoSpaceDE w:val="0"/>
        <w:autoSpaceDN w:val="0"/>
        <w:adjustRightInd w:val="0"/>
        <w:spacing w:after="0" w:line="240" w:lineRule="auto"/>
        <w:ind w:left="360"/>
        <w:rPr>
          <w:rFonts w:ascii="Times New Roman" w:hAnsi="Times New Roman"/>
          <w:color w:val="000000"/>
          <w:sz w:val="24"/>
        </w:rPr>
      </w:pPr>
    </w:p>
    <w:p w:rsidR="00513B47" w:rsidRPr="00600E6F" w:rsidRDefault="00513B47" w:rsidP="003408F4">
      <w:pPr>
        <w:spacing w:after="0" w:line="240" w:lineRule="auto"/>
        <w:ind w:left="360"/>
        <w:rPr>
          <w:rFonts w:ascii="Times New Roman" w:hAnsi="Times New Roman"/>
          <w:sz w:val="24"/>
        </w:rPr>
      </w:pPr>
      <w:r w:rsidRPr="00600E6F">
        <w:rPr>
          <w:rFonts w:ascii="Times New Roman" w:hAnsi="Times New Roman"/>
          <w:color w:val="000000"/>
          <w:sz w:val="24"/>
        </w:rPr>
        <w:t>Below are the approved PPMs and metric types for the Quality Maintenance Program (Resolution E-4385, Appendix A, pp 35-36):</w:t>
      </w:r>
    </w:p>
    <w:p w:rsidR="00513B47" w:rsidRPr="00600E6F" w:rsidRDefault="00513B47" w:rsidP="003408F4">
      <w:pPr>
        <w:spacing w:after="0" w:line="240" w:lineRule="auto"/>
        <w:ind w:left="360"/>
        <w:outlineLvl w:val="0"/>
        <w:rPr>
          <w:rFonts w:ascii="Times New Roman" w:hAnsi="Times New Roman"/>
          <w:b/>
          <w:sz w:val="24"/>
        </w:rPr>
      </w:pPr>
    </w:p>
    <w:p w:rsidR="00513B47" w:rsidRPr="00600E6F" w:rsidRDefault="00513B47" w:rsidP="003408F4">
      <w:pPr>
        <w:spacing w:after="0" w:line="240" w:lineRule="auto"/>
        <w:ind w:left="360"/>
        <w:outlineLvl w:val="0"/>
        <w:rPr>
          <w:rFonts w:ascii="Times New Roman" w:hAnsi="Times New Roman"/>
          <w:color w:val="000000"/>
          <w:sz w:val="24"/>
        </w:rPr>
      </w:pPr>
      <w:r w:rsidRPr="00600E6F">
        <w:rPr>
          <w:rFonts w:ascii="Times New Roman" w:hAnsi="Times New Roman"/>
          <w:b/>
          <w:sz w:val="24"/>
        </w:rPr>
        <w:t>Table 3</w:t>
      </w:r>
      <w:r w:rsidRPr="00600E6F">
        <w:rPr>
          <w:rFonts w:ascii="Times New Roman" w:hAnsi="Times New Roman"/>
          <w:sz w:val="24"/>
        </w:rPr>
        <w:t xml:space="preserve"> – </w:t>
      </w:r>
      <w:r w:rsidRPr="00600E6F">
        <w:rPr>
          <w:rFonts w:ascii="Times New Roman" w:hAnsi="Times New Roman"/>
          <w:color w:val="000000"/>
          <w:sz w:val="24"/>
        </w:rPr>
        <w:t>Residential HVAC Quality Maintenance</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7372"/>
        <w:gridCol w:w="993"/>
      </w:tblGrid>
      <w:tr w:rsidR="00513B47" w:rsidRPr="00F50F8B" w:rsidTr="00600E6F">
        <w:trPr>
          <w:trHeight w:val="512"/>
        </w:trPr>
        <w:tc>
          <w:tcPr>
            <w:tcW w:w="1805" w:type="dxa"/>
          </w:tcPr>
          <w:p w:rsidR="00513B47" w:rsidRPr="00600E6F" w:rsidRDefault="00513B47" w:rsidP="003408F4">
            <w:pPr>
              <w:tabs>
                <w:tab w:val="center" w:pos="794"/>
              </w:tabs>
              <w:spacing w:after="0" w:line="240" w:lineRule="auto"/>
              <w:rPr>
                <w:rFonts w:ascii="Times New Roman" w:hAnsi="Times New Roman"/>
                <w:b/>
                <w:sz w:val="24"/>
              </w:rPr>
            </w:pPr>
            <w:r w:rsidRPr="00600E6F">
              <w:rPr>
                <w:rFonts w:ascii="Times New Roman" w:hAnsi="Times New Roman"/>
                <w:b/>
                <w:sz w:val="24"/>
              </w:rPr>
              <w:tab/>
              <w:t>Program</w:t>
            </w:r>
          </w:p>
        </w:tc>
        <w:tc>
          <w:tcPr>
            <w:tcW w:w="7372" w:type="dxa"/>
          </w:tcPr>
          <w:p w:rsidR="00513B47" w:rsidRPr="00600E6F" w:rsidRDefault="00513B47" w:rsidP="003408F4">
            <w:pPr>
              <w:spacing w:after="0" w:line="240" w:lineRule="auto"/>
              <w:jc w:val="center"/>
              <w:rPr>
                <w:rFonts w:ascii="Times New Roman" w:hAnsi="Times New Roman"/>
                <w:b/>
                <w:sz w:val="24"/>
              </w:rPr>
            </w:pPr>
            <w:r w:rsidRPr="00600E6F">
              <w:rPr>
                <w:rFonts w:ascii="Times New Roman" w:hAnsi="Times New Roman"/>
                <w:b/>
                <w:sz w:val="24"/>
              </w:rPr>
              <w:t>Metric</w:t>
            </w:r>
          </w:p>
        </w:tc>
        <w:tc>
          <w:tcPr>
            <w:tcW w:w="993" w:type="dxa"/>
          </w:tcPr>
          <w:p w:rsidR="00513B47" w:rsidRPr="00600E6F" w:rsidRDefault="00513B47" w:rsidP="003408F4">
            <w:pPr>
              <w:spacing w:after="0" w:line="240" w:lineRule="auto"/>
              <w:jc w:val="center"/>
              <w:rPr>
                <w:rFonts w:ascii="Times New Roman" w:hAnsi="Times New Roman"/>
                <w:b/>
                <w:sz w:val="24"/>
              </w:rPr>
            </w:pPr>
            <w:r w:rsidRPr="00600E6F">
              <w:rPr>
                <w:rFonts w:ascii="Times New Roman" w:hAnsi="Times New Roman"/>
                <w:b/>
                <w:sz w:val="24"/>
              </w:rPr>
              <w:t>Metric Type</w:t>
            </w:r>
          </w:p>
        </w:tc>
      </w:tr>
      <w:tr w:rsidR="00513B47" w:rsidRPr="00F50F8B" w:rsidTr="00600E6F">
        <w:trPr>
          <w:trHeight w:val="1025"/>
        </w:trPr>
        <w:tc>
          <w:tcPr>
            <w:tcW w:w="1805" w:type="dxa"/>
          </w:tcPr>
          <w:p w:rsidR="00513B47" w:rsidRPr="00600E6F" w:rsidRDefault="00513B47" w:rsidP="003408F4">
            <w:pPr>
              <w:spacing w:after="0" w:line="240" w:lineRule="auto"/>
              <w:rPr>
                <w:rFonts w:ascii="Times New Roman" w:hAnsi="Times New Roman"/>
                <w:b/>
                <w:i/>
                <w:sz w:val="24"/>
              </w:rPr>
            </w:pPr>
            <w:r w:rsidRPr="00600E6F">
              <w:rPr>
                <w:rFonts w:ascii="Times New Roman" w:hAnsi="Times New Roman"/>
                <w:b/>
                <w:i/>
                <w:sz w:val="24"/>
              </w:rPr>
              <w:t>Residential</w:t>
            </w:r>
          </w:p>
          <w:p w:rsidR="00513B47" w:rsidRPr="00600E6F" w:rsidRDefault="00513B47" w:rsidP="003408F4">
            <w:pPr>
              <w:spacing w:after="0" w:line="240" w:lineRule="auto"/>
              <w:rPr>
                <w:rFonts w:ascii="Times New Roman" w:hAnsi="Times New Roman"/>
                <w:b/>
                <w:i/>
                <w:sz w:val="24"/>
              </w:rPr>
            </w:pPr>
            <w:r w:rsidRPr="00600E6F">
              <w:rPr>
                <w:rFonts w:ascii="Times New Roman" w:hAnsi="Times New Roman"/>
                <w:b/>
                <w:i/>
                <w:sz w:val="24"/>
              </w:rPr>
              <w:t xml:space="preserve">Quality Maintenance </w:t>
            </w:r>
          </w:p>
        </w:tc>
        <w:tc>
          <w:tcPr>
            <w:tcW w:w="7372" w:type="dxa"/>
          </w:tcPr>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1. Measured progress towards specific milestones provided in the project GANTT chart indicating the development/finalization of this IOU program based on Quality Maintenance standards.</w:t>
            </w:r>
          </w:p>
        </w:tc>
        <w:tc>
          <w:tcPr>
            <w:tcW w:w="993" w:type="dxa"/>
          </w:tcPr>
          <w:p w:rsidR="00513B47" w:rsidRPr="00600E6F" w:rsidRDefault="00513B47" w:rsidP="003408F4">
            <w:pPr>
              <w:spacing w:after="0" w:line="240" w:lineRule="auto"/>
              <w:jc w:val="center"/>
              <w:rPr>
                <w:rFonts w:ascii="Times New Roman" w:hAnsi="Times New Roman"/>
                <w:sz w:val="24"/>
              </w:rPr>
            </w:pPr>
            <w:r w:rsidRPr="00600E6F">
              <w:rPr>
                <w:rFonts w:ascii="Times New Roman" w:hAnsi="Times New Roman"/>
                <w:sz w:val="24"/>
              </w:rPr>
              <w:t>2a</w:t>
            </w:r>
          </w:p>
        </w:tc>
      </w:tr>
    </w:tbl>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Residential HVAC Quality Installation Development</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7372"/>
        <w:gridCol w:w="993"/>
      </w:tblGrid>
      <w:tr w:rsidR="00513B47" w:rsidRPr="00F50F8B" w:rsidTr="003425E2">
        <w:tc>
          <w:tcPr>
            <w:tcW w:w="1800" w:type="dxa"/>
          </w:tcPr>
          <w:p w:rsidR="00513B47" w:rsidRPr="00600E6F" w:rsidRDefault="00513B47" w:rsidP="003408F4">
            <w:pPr>
              <w:spacing w:after="0" w:line="240" w:lineRule="auto"/>
              <w:jc w:val="center"/>
              <w:rPr>
                <w:rFonts w:ascii="Times New Roman" w:hAnsi="Times New Roman"/>
                <w:b/>
                <w:sz w:val="24"/>
              </w:rPr>
            </w:pPr>
            <w:r w:rsidRPr="00600E6F">
              <w:rPr>
                <w:rFonts w:ascii="Times New Roman" w:hAnsi="Times New Roman"/>
                <w:b/>
                <w:sz w:val="24"/>
              </w:rPr>
              <w:t>Program</w:t>
            </w:r>
          </w:p>
        </w:tc>
        <w:tc>
          <w:tcPr>
            <w:tcW w:w="7350" w:type="dxa"/>
          </w:tcPr>
          <w:p w:rsidR="00513B47" w:rsidRPr="00600E6F" w:rsidRDefault="00513B47" w:rsidP="003408F4">
            <w:pPr>
              <w:spacing w:after="0" w:line="240" w:lineRule="auto"/>
              <w:jc w:val="center"/>
              <w:rPr>
                <w:rFonts w:ascii="Times New Roman" w:hAnsi="Times New Roman"/>
                <w:b/>
                <w:sz w:val="24"/>
              </w:rPr>
            </w:pPr>
            <w:r w:rsidRPr="00600E6F">
              <w:rPr>
                <w:rFonts w:ascii="Times New Roman" w:hAnsi="Times New Roman"/>
                <w:b/>
                <w:sz w:val="24"/>
              </w:rPr>
              <w:t>Metric</w:t>
            </w:r>
          </w:p>
        </w:tc>
        <w:tc>
          <w:tcPr>
            <w:tcW w:w="990" w:type="dxa"/>
          </w:tcPr>
          <w:p w:rsidR="00513B47" w:rsidRPr="00600E6F" w:rsidRDefault="00513B47" w:rsidP="003408F4">
            <w:pPr>
              <w:spacing w:after="0" w:line="240" w:lineRule="auto"/>
              <w:jc w:val="center"/>
              <w:rPr>
                <w:rFonts w:ascii="Times New Roman" w:hAnsi="Times New Roman"/>
                <w:b/>
                <w:sz w:val="24"/>
              </w:rPr>
            </w:pPr>
            <w:r w:rsidRPr="00600E6F">
              <w:rPr>
                <w:rFonts w:ascii="Times New Roman" w:hAnsi="Times New Roman"/>
                <w:b/>
                <w:sz w:val="24"/>
              </w:rPr>
              <w:t>Metric Type</w:t>
            </w:r>
          </w:p>
        </w:tc>
      </w:tr>
      <w:tr w:rsidR="00513B47" w:rsidRPr="00F50F8B" w:rsidTr="003425E2">
        <w:tc>
          <w:tcPr>
            <w:tcW w:w="1800" w:type="dxa"/>
          </w:tcPr>
          <w:p w:rsidR="00513B47" w:rsidRPr="00600E6F" w:rsidRDefault="00513B47" w:rsidP="003408F4">
            <w:pPr>
              <w:spacing w:after="0" w:line="240" w:lineRule="auto"/>
              <w:rPr>
                <w:rFonts w:ascii="Times New Roman" w:hAnsi="Times New Roman"/>
                <w:b/>
                <w:i/>
                <w:sz w:val="24"/>
              </w:rPr>
            </w:pPr>
            <w:r w:rsidRPr="00600E6F">
              <w:rPr>
                <w:rFonts w:ascii="Times New Roman" w:hAnsi="Times New Roman"/>
                <w:b/>
                <w:i/>
                <w:sz w:val="24"/>
              </w:rPr>
              <w:t>Residential   Quality Installation Development</w:t>
            </w:r>
          </w:p>
        </w:tc>
        <w:tc>
          <w:tcPr>
            <w:tcW w:w="7350" w:type="dxa"/>
          </w:tcPr>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1. Percentage of HVAC contracting companies that are participating in statewide residential QI program as a share of the targeted market*</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”Target market” defined as C20 licensed HVAC contracting companies in CA.</w:t>
            </w:r>
          </w:p>
        </w:tc>
        <w:tc>
          <w:tcPr>
            <w:tcW w:w="990" w:type="dxa"/>
          </w:tcPr>
          <w:p w:rsidR="00513B47" w:rsidRPr="00600E6F" w:rsidRDefault="00513B47" w:rsidP="003408F4">
            <w:pPr>
              <w:spacing w:after="0" w:line="240" w:lineRule="auto"/>
              <w:jc w:val="center"/>
              <w:rPr>
                <w:rFonts w:ascii="Times New Roman" w:hAnsi="Times New Roman"/>
                <w:sz w:val="24"/>
              </w:rPr>
            </w:pPr>
            <w:r w:rsidRPr="00600E6F">
              <w:rPr>
                <w:rFonts w:ascii="Times New Roman" w:hAnsi="Times New Roman"/>
                <w:sz w:val="24"/>
              </w:rPr>
              <w:t>2a</w:t>
            </w:r>
          </w:p>
        </w:tc>
      </w:tr>
    </w:tbl>
    <w:p w:rsidR="00513B47" w:rsidRDefault="00513B47" w:rsidP="003408F4">
      <w:pPr>
        <w:spacing w:after="0" w:line="240" w:lineRule="auto"/>
        <w:ind w:left="2520"/>
        <w:rPr>
          <w:rFonts w:ascii="Times New Roman" w:hAnsi="Times New Roman"/>
          <w:sz w:val="24"/>
          <w:szCs w:val="24"/>
        </w:rPr>
      </w:pPr>
    </w:p>
    <w:p w:rsidR="00CF710C" w:rsidRDefault="00CF710C" w:rsidP="003408F4">
      <w:pPr>
        <w:spacing w:after="0" w:line="240" w:lineRule="auto"/>
        <w:ind w:left="2520"/>
        <w:rPr>
          <w:rFonts w:ascii="Times New Roman" w:hAnsi="Times New Roman"/>
          <w:sz w:val="24"/>
          <w:szCs w:val="24"/>
        </w:rPr>
      </w:pPr>
    </w:p>
    <w:p w:rsidR="00CF710C" w:rsidRDefault="00CF710C" w:rsidP="003408F4">
      <w:pPr>
        <w:spacing w:after="0" w:line="240" w:lineRule="auto"/>
        <w:ind w:left="2520"/>
        <w:rPr>
          <w:rFonts w:ascii="Times New Roman" w:hAnsi="Times New Roman"/>
          <w:sz w:val="24"/>
          <w:szCs w:val="24"/>
        </w:rPr>
      </w:pPr>
    </w:p>
    <w:p w:rsidR="00CF710C" w:rsidRDefault="00CF710C" w:rsidP="003408F4">
      <w:pPr>
        <w:spacing w:after="0" w:line="240" w:lineRule="auto"/>
        <w:ind w:left="2520"/>
        <w:rPr>
          <w:rFonts w:ascii="Times New Roman" w:hAnsi="Times New Roman"/>
          <w:sz w:val="24"/>
          <w:szCs w:val="24"/>
        </w:rPr>
      </w:pPr>
    </w:p>
    <w:p w:rsidR="00513B47" w:rsidRPr="00600E6F" w:rsidRDefault="00513B47" w:rsidP="003408F4">
      <w:pPr>
        <w:spacing w:after="0" w:line="240" w:lineRule="auto"/>
        <w:ind w:left="2520"/>
        <w:rPr>
          <w:rFonts w:ascii="Times New Roman" w:hAnsi="Times New Roman"/>
          <w:sz w:val="24"/>
        </w:rPr>
      </w:pPr>
    </w:p>
    <w:p w:rsidR="00513B47" w:rsidRPr="00600E6F" w:rsidRDefault="00513B47" w:rsidP="00C31CC0">
      <w:pPr>
        <w:pStyle w:val="Heading20"/>
        <w:numPr>
          <w:ilvl w:val="0"/>
          <w:numId w:val="110"/>
        </w:numPr>
        <w:tabs>
          <w:tab w:val="clear" w:pos="1440"/>
          <w:tab w:val="num" w:pos="360"/>
        </w:tabs>
        <w:ind w:left="360" w:hanging="360"/>
        <w:outlineLvl w:val="0"/>
        <w:rPr>
          <w:b/>
          <w:u w:val="single"/>
        </w:rPr>
      </w:pPr>
      <w:r w:rsidRPr="00600E6F">
        <w:rPr>
          <w:b/>
        </w:rPr>
        <w:lastRenderedPageBreak/>
        <w:t xml:space="preserve"> </w:t>
      </w:r>
      <w:r w:rsidRPr="00600E6F">
        <w:rPr>
          <w:b/>
          <w:u w:val="single"/>
        </w:rPr>
        <w:t>Market Transformation Information</w:t>
      </w:r>
    </w:p>
    <w:p w:rsidR="00513B47" w:rsidRPr="00600E6F" w:rsidRDefault="00F71814" w:rsidP="00600E6F">
      <w:pPr>
        <w:rPr>
          <w:rFonts w:ascii="Times New Roman" w:hAnsi="Times New Roman"/>
          <w:sz w:val="24"/>
        </w:rPr>
      </w:pPr>
      <w:r w:rsidRPr="0024788C">
        <w:rPr>
          <w:rFonts w:ascii="Times New Roman" w:hAnsi="Times New Roman"/>
          <w:sz w:val="24"/>
          <w:szCs w:val="24"/>
        </w:rPr>
        <w:t xml:space="preserve">Per </w:t>
      </w:r>
      <w:r w:rsidR="00513B47" w:rsidRPr="00600E6F">
        <w:rPr>
          <w:rFonts w:ascii="Times New Roman" w:hAnsi="Times New Roman"/>
          <w:sz w:val="24"/>
        </w:rPr>
        <w:t>Resolution E-4385</w:t>
      </w:r>
      <w:r w:rsidRPr="0024788C">
        <w:rPr>
          <w:rFonts w:ascii="Times New Roman" w:hAnsi="Times New Roman"/>
          <w:sz w:val="24"/>
          <w:szCs w:val="24"/>
        </w:rPr>
        <w:t>,</w:t>
      </w:r>
      <w:r w:rsidR="00513B47" w:rsidRPr="00600E6F">
        <w:rPr>
          <w:rFonts w:ascii="Times New Roman" w:hAnsi="Times New Roman"/>
          <w:sz w:val="24"/>
        </w:rPr>
        <w:t xml:space="preserve"> a </w:t>
      </w:r>
      <w:r w:rsidRPr="0024788C">
        <w:rPr>
          <w:rFonts w:ascii="Times New Roman" w:hAnsi="Times New Roman"/>
          <w:sz w:val="24"/>
          <w:szCs w:val="24"/>
        </w:rPr>
        <w:t>subset</w:t>
      </w:r>
      <w:r w:rsidR="00513B47" w:rsidRPr="00600E6F">
        <w:rPr>
          <w:rFonts w:ascii="Times New Roman" w:hAnsi="Times New Roman"/>
          <w:sz w:val="24"/>
        </w:rPr>
        <w:t xml:space="preserve"> of market transformation indicators (MTIs) for statewide energy efficiency programs and subprograms</w:t>
      </w:r>
      <w:r w:rsidRPr="0024788C">
        <w:rPr>
          <w:rFonts w:ascii="Times New Roman" w:hAnsi="Times New Roman"/>
          <w:sz w:val="24"/>
          <w:szCs w:val="24"/>
        </w:rPr>
        <w:t xml:space="preserve"> were </w:t>
      </w:r>
      <w:r w:rsidR="00513B47" w:rsidRPr="00600E6F">
        <w:rPr>
          <w:rFonts w:ascii="Times New Roman" w:hAnsi="Times New Roman"/>
          <w:sz w:val="24"/>
        </w:rPr>
        <w:t xml:space="preserve">presented at a public workshop </w:t>
      </w:r>
      <w:r w:rsidRPr="0024788C">
        <w:rPr>
          <w:rFonts w:ascii="Times New Roman" w:hAnsi="Times New Roman"/>
          <w:sz w:val="24"/>
          <w:szCs w:val="24"/>
        </w:rPr>
        <w:t xml:space="preserve">on November 7, 2011, </w:t>
      </w:r>
      <w:r w:rsidR="00513B47" w:rsidRPr="00600E6F">
        <w:rPr>
          <w:rFonts w:ascii="Times New Roman" w:hAnsi="Times New Roman"/>
          <w:sz w:val="24"/>
        </w:rPr>
        <w:t>to allow for public comments and discussion before being finalized.</w:t>
      </w:r>
      <w:r w:rsidRPr="0024788C">
        <w:rPr>
          <w:rFonts w:ascii="Times New Roman" w:hAnsi="Times New Roman"/>
          <w:sz w:val="24"/>
          <w:szCs w:val="24"/>
        </w:rPr>
        <w:t>  Per</w:t>
      </w:r>
      <w:r w:rsidR="00513B47" w:rsidRPr="00600E6F">
        <w:rPr>
          <w:rFonts w:ascii="Times New Roman" w:hAnsi="Times New Roman"/>
          <w:sz w:val="24"/>
        </w:rPr>
        <w:t xml:space="preserve"> Energy Division </w:t>
      </w:r>
      <w:r w:rsidRPr="0024788C">
        <w:rPr>
          <w:rFonts w:ascii="Times New Roman" w:hAnsi="Times New Roman"/>
          <w:sz w:val="24"/>
          <w:szCs w:val="24"/>
        </w:rPr>
        <w:t>Guidance on June 19, 2012, the MTIs to be found in A</w:t>
      </w:r>
      <w:r w:rsidR="00561D1D">
        <w:rPr>
          <w:rFonts w:ascii="Times New Roman" w:hAnsi="Times New Roman"/>
          <w:sz w:val="24"/>
          <w:szCs w:val="24"/>
        </w:rPr>
        <w:t>ppendix</w:t>
      </w:r>
      <w:r w:rsidRPr="0024788C">
        <w:rPr>
          <w:rFonts w:ascii="Times New Roman" w:hAnsi="Times New Roman"/>
          <w:sz w:val="24"/>
          <w:szCs w:val="24"/>
        </w:rPr>
        <w:t xml:space="preserve"> “H” are approved</w:t>
      </w:r>
      <w:r w:rsidR="00513B47" w:rsidRPr="00600E6F">
        <w:rPr>
          <w:rFonts w:ascii="Times New Roman" w:hAnsi="Times New Roman"/>
          <w:sz w:val="24"/>
        </w:rPr>
        <w:t xml:space="preserve"> for </w:t>
      </w:r>
      <w:r w:rsidRPr="0024788C">
        <w:rPr>
          <w:rFonts w:ascii="Times New Roman" w:hAnsi="Times New Roman"/>
          <w:sz w:val="24"/>
          <w:szCs w:val="24"/>
        </w:rPr>
        <w:t>this sub-program</w:t>
      </w:r>
      <w:r w:rsidR="00513B47" w:rsidRPr="00600E6F">
        <w:rPr>
          <w:rFonts w:ascii="Times New Roman" w:hAnsi="Times New Roman"/>
          <w:sz w:val="24"/>
        </w:rPr>
        <w:t xml:space="preserve"> as </w:t>
      </w:r>
      <w:r w:rsidRPr="0024788C">
        <w:rPr>
          <w:rFonts w:ascii="Times New Roman" w:hAnsi="Times New Roman"/>
          <w:sz w:val="24"/>
          <w:szCs w:val="24"/>
        </w:rPr>
        <w:t xml:space="preserve">applicable. </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Market Transformation metrics should neither be used for short-term analyses nor for specific program analyses; rather, should focus on broad market segments.  Market transformation is embraced as an ideal end state resulting from the collective efforts of the energy efficiency field, but differing understandings of both the MT process and the successful end state have not yet converged. The CPUC defines the end state of MT as “Long-lasting sustainable changes in the structure or functioning of a market achieved by reducing barriers to the adoption of energy efficiency measures to the point where further publicly-funded intervention is no longer appropriate in that specific market.”</w:t>
      </w:r>
      <w:r w:rsidRPr="00600E6F">
        <w:rPr>
          <w:rStyle w:val="FootnoteReference"/>
          <w:rFonts w:ascii="Times New Roman" w:hAnsi="Times New Roman"/>
          <w:sz w:val="24"/>
        </w:rPr>
        <w:footnoteReference w:id="42"/>
      </w:r>
      <w:r w:rsidRPr="00600E6F">
        <w:rPr>
          <w:rFonts w:ascii="Times New Roman" w:hAnsi="Times New Roman"/>
          <w:sz w:val="24"/>
        </w:rPr>
        <w:t xml:space="preserve"> The Strategic Plan recognizes that process of transformation is harder to define than its end state, and that new programs are needed to support the continuous transformation of markets around successive generations of new technologies</w:t>
      </w:r>
      <w:r w:rsidRPr="00600E6F">
        <w:rPr>
          <w:rStyle w:val="FootnoteReference"/>
          <w:rFonts w:ascii="Times New Roman" w:hAnsi="Times New Roman"/>
          <w:sz w:val="24"/>
        </w:rPr>
        <w:footnoteReference w:id="43"/>
      </w:r>
      <w:r w:rsidRPr="00600E6F">
        <w:rPr>
          <w:rFonts w:ascii="Times New Roman" w:hAnsi="Times New Roman"/>
          <w:sz w:val="24"/>
        </w:rPr>
        <w:t xml:space="preserve">.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Market transformation programs differ from resource acquisition programs on 1) objectives, 2) geographical and 3) temporal dimensions, 4) baselines, 5) performance metrics, 6) program delivery mechanisms, 7) target populations, 8) attribution of causal relationships, and 9) market structures</w:t>
      </w:r>
      <w:r w:rsidRPr="00600E6F">
        <w:rPr>
          <w:rStyle w:val="FootnoteReference"/>
          <w:rFonts w:ascii="Times New Roman" w:hAnsi="Times New Roman"/>
          <w:sz w:val="24"/>
        </w:rPr>
        <w:footnoteReference w:id="44"/>
      </w:r>
      <w:r w:rsidRPr="00600E6F">
        <w:rPr>
          <w:rFonts w:ascii="Times New Roman" w:hAnsi="Times New Roman"/>
          <w:sz w:val="24"/>
        </w:rPr>
        <w:t>. Markets are social institutions</w:t>
      </w:r>
      <w:r w:rsidRPr="00600E6F">
        <w:rPr>
          <w:rStyle w:val="FootnoteReference"/>
          <w:rFonts w:ascii="Times New Roman" w:hAnsi="Times New Roman"/>
          <w:sz w:val="24"/>
        </w:rPr>
        <w:footnoteReference w:id="45"/>
      </w:r>
      <w:r w:rsidRPr="00600E6F">
        <w:rPr>
          <w:rFonts w:ascii="Times New Roman" w:hAnsi="Times New Roman"/>
          <w:sz w:val="24"/>
        </w:rPr>
        <w:t>, and transformation requires the coordinated effort of many stakeholders at the national level, directed to not immediate energy savings but rather to intermediary steps such as changing behavior, attitudes, and market supply chains</w:t>
      </w:r>
      <w:r w:rsidRPr="00600E6F">
        <w:rPr>
          <w:rStyle w:val="FootnoteReference"/>
          <w:rFonts w:ascii="Times New Roman" w:hAnsi="Times New Roman"/>
          <w:sz w:val="24"/>
        </w:rPr>
        <w:footnoteReference w:id="46"/>
      </w:r>
      <w:r w:rsidRPr="00600E6F">
        <w:rPr>
          <w:rFonts w:ascii="Times New Roman" w:hAnsi="Times New Roman"/>
          <w:sz w:val="24"/>
        </w:rPr>
        <w:t xml:space="preserve"> as well as changes to codes and standards. Resource acquisition programs rely upon the use of financial incentives, but concerns have been raised that these incentives distort true market price signals and may directly counter market transformation progress</w:t>
      </w:r>
      <w:r w:rsidRPr="00600E6F">
        <w:rPr>
          <w:rStyle w:val="FootnoteReference"/>
          <w:rFonts w:ascii="Times New Roman" w:hAnsi="Times New Roman"/>
          <w:sz w:val="24"/>
        </w:rPr>
        <w:footnoteReference w:id="47"/>
      </w:r>
      <w:r w:rsidRPr="00600E6F">
        <w:rPr>
          <w:rFonts w:ascii="Times New Roman" w:hAnsi="Times New Roman"/>
          <w:sz w:val="24"/>
        </w:rPr>
        <w:t>. According to York</w:t>
      </w:r>
      <w:r w:rsidRPr="00600E6F">
        <w:rPr>
          <w:rStyle w:val="FootnoteReference"/>
          <w:rFonts w:ascii="Times New Roman" w:hAnsi="Times New Roman"/>
          <w:sz w:val="24"/>
        </w:rPr>
        <w:footnoteReference w:id="48"/>
      </w:r>
      <w:r w:rsidRPr="00600E6F">
        <w:rPr>
          <w:rFonts w:ascii="Times New Roman" w:hAnsi="Times New Roman"/>
          <w:sz w:val="24"/>
        </w:rPr>
        <w:t>, “Market transformation is not likely to be achieved without significant, permanent increases in energy prices. From an economic perspective, there are 3 ways to achieve market transformation: (1) fundamental changes in behavior, (2) provide proper price signals, and (3) permanent subsidy.”</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xml:space="preserve">The question of what constitutes successful transformation is controversial because of a Catch-22: Market transformation is deemed successful when the changed market is self-sustaining, but that </w:t>
      </w:r>
      <w:r w:rsidRPr="00600E6F">
        <w:rPr>
          <w:rFonts w:ascii="Times New Roman" w:hAnsi="Times New Roman"/>
          <w:sz w:val="24"/>
        </w:rPr>
        <w:lastRenderedPageBreak/>
        <w:t>determination cannot be made until after program interventions are ended. Often, however, the need for immediate energy and demand savings or immediate carbon-emissions reductions will mean that program interventions may need to continue, which would interfere with the evaluation of whether MT is self-sustaining. Market transformation success has also been defined in terms of higher sales of efficient measures than would have otherwise occurred against a baseline absent of program interventions. The real world, however, provides no such control condition. Evaluators must estimate these baselines from quantitative factors such as past market sales that may be sparse and/or inaccurate - particularly for new products. Evaluations must also defer to expert judgments on what these baselines may have been as well as on the degree of successful market transformation</w:t>
      </w:r>
      <w:r w:rsidRPr="00600E6F">
        <w:rPr>
          <w:rStyle w:val="FootnoteReference"/>
          <w:rFonts w:ascii="Times New Roman" w:hAnsi="Times New Roman"/>
          <w:sz w:val="24"/>
        </w:rPr>
        <w:footnoteReference w:id="49"/>
      </w:r>
      <w:r w:rsidRPr="00600E6F">
        <w:rPr>
          <w:rFonts w:ascii="Times New Roman" w:hAnsi="Times New Roman"/>
          <w:sz w:val="24"/>
        </w:rPr>
        <w:t>. Due to the subjective nature of these judgments, it is imperative that baselines as well as milestone MT targets be determined and agreed upon through collaborative discussion by all stakeholders, and these targets may need periodic revision as deemed necessary by changing context.</w:t>
      </w:r>
    </w:p>
    <w:p w:rsidR="00513B47" w:rsidRPr="00600E6F" w:rsidRDefault="00513B47" w:rsidP="003408F4">
      <w:pPr>
        <w:spacing w:after="0" w:line="240" w:lineRule="auto"/>
        <w:rPr>
          <w:rFonts w:ascii="Times New Roman" w:hAnsi="Times New Roman"/>
          <w:sz w:val="24"/>
        </w:rPr>
      </w:pPr>
    </w:p>
    <w:p w:rsidR="00513B47" w:rsidRDefault="00513B47" w:rsidP="003408F4">
      <w:pPr>
        <w:spacing w:after="0" w:line="240" w:lineRule="auto"/>
        <w:rPr>
          <w:rFonts w:ascii="Times New Roman" w:hAnsi="Times New Roman"/>
          <w:sz w:val="24"/>
        </w:rPr>
      </w:pPr>
      <w:r w:rsidRPr="00600E6F">
        <w:rPr>
          <w:rFonts w:ascii="Times New Roman" w:hAnsi="Times New Roman"/>
          <w:sz w:val="24"/>
        </w:rPr>
        <w:t>Market transformation draws heavily upon diffusion of innovation theory</w:t>
      </w:r>
      <w:r w:rsidRPr="00600E6F">
        <w:rPr>
          <w:rStyle w:val="FootnoteReference"/>
          <w:rFonts w:ascii="Times New Roman" w:hAnsi="Times New Roman"/>
          <w:sz w:val="24"/>
        </w:rPr>
        <w:footnoteReference w:id="50"/>
      </w:r>
      <w:r w:rsidRPr="00600E6F">
        <w:rPr>
          <w:rFonts w:ascii="Times New Roman" w:hAnsi="Times New Roman"/>
          <w:sz w:val="24"/>
        </w:rPr>
        <w:t>, with the state of a market usually characterized by adoption rate plotted against time on the well-known S-shaped diffusion curve.  In practice, however, the diffusion curve of products may span decades</w:t>
      </w:r>
      <w:r w:rsidRPr="00600E6F">
        <w:rPr>
          <w:rStyle w:val="FootnoteReference"/>
          <w:rFonts w:ascii="Times New Roman" w:hAnsi="Times New Roman"/>
          <w:sz w:val="24"/>
        </w:rPr>
        <w:footnoteReference w:id="51"/>
      </w:r>
      <w:r w:rsidRPr="00600E6F">
        <w:rPr>
          <w:rFonts w:ascii="Times New Roman" w:hAnsi="Times New Roman"/>
          <w:sz w:val="24"/>
        </w:rPr>
        <w:t>. Market share tracking studies conducted 3, 5 or even 10 years after the start of an MT program may reveal only small market transformation effects</w:t>
      </w:r>
      <w:r w:rsidRPr="00600E6F">
        <w:rPr>
          <w:rStyle w:val="FootnoteReference"/>
          <w:rFonts w:ascii="Times New Roman" w:hAnsi="Times New Roman"/>
          <w:sz w:val="24"/>
        </w:rPr>
        <w:footnoteReference w:id="52"/>
      </w:r>
      <w:r w:rsidRPr="00600E6F">
        <w:rPr>
          <w:rFonts w:ascii="Times New Roman" w:hAnsi="Times New Roman"/>
          <w:sz w:val="24"/>
        </w:rPr>
        <w:t>. The ability to make causal connections between these market transformation effects and any particular program’s activities fades with time, as markets continually change and other influences come into play.</w:t>
      </w:r>
    </w:p>
    <w:p w:rsidR="00CF710C" w:rsidRPr="00600E6F" w:rsidRDefault="00CF710C"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These challenges mentioned above are in reference to programs that were specifically designed to achieve market transformation; and these challenges are only compounded for programs that were primarily designed to achieve energy and demand savings. However, since the inception of market transformation programs almost two decades ago, many lessons have been learned about what the characteristics of successful MT programs are. First and foremost, they need to be designed specifically to address market transformation. “The main reason that (most) programs do not accomplish lasting market effects is because they are not designed specifically to address this goal (often because of regulatory policy directions given to program designers.)”</w:t>
      </w:r>
      <w:r w:rsidRPr="00600E6F">
        <w:rPr>
          <w:rStyle w:val="FootnoteReference"/>
          <w:rFonts w:ascii="Times New Roman" w:hAnsi="Times New Roman"/>
          <w:sz w:val="24"/>
        </w:rPr>
        <w:footnoteReference w:id="53"/>
      </w:r>
      <w:r w:rsidRPr="00600E6F">
        <w:rPr>
          <w:rFonts w:ascii="Times New Roman" w:hAnsi="Times New Roman"/>
          <w:sz w:val="24"/>
        </w:rPr>
        <w:t xml:space="preserve"> The Strategic Plan recognizes that regulatory policies are not yet in place to support the success of market transformation efforts</w:t>
      </w:r>
      <w:r w:rsidRPr="00600E6F">
        <w:rPr>
          <w:rStyle w:val="FootnoteReference"/>
          <w:rFonts w:ascii="Times New Roman" w:hAnsi="Times New Roman"/>
          <w:sz w:val="24"/>
        </w:rPr>
        <w:footnoteReference w:id="54"/>
      </w:r>
      <w:r w:rsidRPr="00600E6F">
        <w:rPr>
          <w:rFonts w:ascii="Times New Roman" w:hAnsi="Times New Roman"/>
          <w:sz w:val="24"/>
        </w:rPr>
        <w:t xml:space="preserve">, but also reflects the CPUC’s directive to design energy efficiency programs that can lay the groundwork for either market transformation success or for codes and standards changes.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 xml:space="preserve">Above all else, the hallmark of a successful market transformation program is in the coordination of efforts across many stakeholders. The most successful MT programs have involved multiple </w:t>
      </w:r>
      <w:r w:rsidRPr="00600E6F">
        <w:rPr>
          <w:rFonts w:ascii="Times New Roman" w:hAnsi="Times New Roman"/>
          <w:sz w:val="24"/>
        </w:rPr>
        <w:lastRenderedPageBreak/>
        <w:t>organizations, providing overlapping market interventions</w:t>
      </w:r>
      <w:r w:rsidRPr="00600E6F">
        <w:rPr>
          <w:rStyle w:val="FootnoteReference"/>
          <w:rFonts w:ascii="Times New Roman" w:hAnsi="Times New Roman"/>
          <w:sz w:val="24"/>
        </w:rPr>
        <w:footnoteReference w:id="55"/>
      </w:r>
      <w:r w:rsidRPr="00600E6F">
        <w:rPr>
          <w:rFonts w:ascii="Times New Roman" w:hAnsi="Times New Roman"/>
          <w:sz w:val="24"/>
        </w:rPr>
        <w:t>. The Strategic Plan calls for coordination and collaboration throughout, and in that spirit the utilities look forward to working with the CPUC and all stakeholders to help achieve market transformation while meeting all the immediate energy, demand, and environmental needs. Drawing upon lessons learned from past MT efforts, the Energy Center of Wisconsin’s guide for MT program developers</w:t>
      </w:r>
      <w:r w:rsidRPr="00600E6F">
        <w:rPr>
          <w:rStyle w:val="FootnoteReference"/>
          <w:rFonts w:ascii="Times New Roman" w:hAnsi="Times New Roman"/>
          <w:sz w:val="24"/>
        </w:rPr>
        <w:footnoteReference w:id="56"/>
      </w:r>
      <w:r w:rsidRPr="00600E6F">
        <w:rPr>
          <w:rFonts w:ascii="Times New Roman" w:hAnsi="Times New Roman"/>
          <w:sz w:val="24"/>
        </w:rPr>
        <w:t xml:space="preserve"> suggests that the first step is not to set end-point definitions, progress metrics or goals. Rather, the first steps include forming a collaborative of key participants. As the Strategic Plan suggests, these may include municipal utilities, local governments, industry and business leaders, and consumers. Then, with the collective expertise of the collaborative, we can define markets, characterize markets, measure baselines with better access to historical data, and define objectives, design strategies and tactics, implement and then evaluate programs. The collaborative will also provide insights that will set our collective expectations for the size of market effects we can expect, relative to the amount of resources we can devote to MT. No one organization in the collaborative will have all the requisite information and expertise for this huge effort. This truly needs to be a collaborative approach from the start. </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Historically, the nonresidential retrofit programs have had very low uptake rates on high-efficiency HVAC systems.  Consequently, a first step towards market transformation is to do what it takes to achieve a high level of program participation, thereby increasing market share of high-efficiency equipment sales and quality installations.  An initial increase in market share allows for increased levels of customer, installer, and distributor/manufacturer knowledge and interest in these systems, which should make further increases easier. In addition, tracking the ratio of certified HVAC technicians in the field, over time, can provide a gauge of the likelihood for quality installations and maintenance.</w:t>
      </w:r>
    </w:p>
    <w:p w:rsidR="00513B47" w:rsidRPr="00600E6F" w:rsidRDefault="00513B47" w:rsidP="003408F4">
      <w:pPr>
        <w:pStyle w:val="Heading20"/>
        <w:ind w:left="0" w:firstLine="0"/>
      </w:pPr>
    </w:p>
    <w:p w:rsidR="00513B47" w:rsidRPr="00600E6F" w:rsidRDefault="00513B47" w:rsidP="00922329">
      <w:pPr>
        <w:pStyle w:val="Heading20"/>
        <w:tabs>
          <w:tab w:val="clear" w:pos="720"/>
          <w:tab w:val="num" w:pos="360"/>
        </w:tabs>
        <w:ind w:left="0" w:firstLine="0"/>
        <w:rPr>
          <w:b/>
        </w:rPr>
      </w:pPr>
      <w:r w:rsidRPr="00600E6F">
        <w:rPr>
          <w:b/>
        </w:rPr>
        <w:t>c)</w:t>
      </w:r>
      <w:r w:rsidRPr="00600E6F">
        <w:rPr>
          <w:b/>
        </w:rPr>
        <w:tab/>
      </w:r>
      <w:r w:rsidRPr="00600E6F">
        <w:rPr>
          <w:b/>
          <w:u w:val="single"/>
        </w:rPr>
        <w:t>Program Design to Overcome Barriers</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pStyle w:val="ListParagraph"/>
        <w:spacing w:after="0" w:line="240" w:lineRule="auto"/>
        <w:ind w:left="0"/>
        <w:rPr>
          <w:rFonts w:ascii="Times New Roman" w:hAnsi="Times New Roman"/>
          <w:b/>
          <w:sz w:val="24"/>
        </w:rPr>
      </w:pPr>
      <w:r w:rsidRPr="00600E6F">
        <w:rPr>
          <w:rFonts w:ascii="Times New Roman" w:hAnsi="Times New Roman"/>
          <w:b/>
          <w:color w:val="000000"/>
          <w:sz w:val="24"/>
        </w:rPr>
        <w:t xml:space="preserve">Residential HVAC Quality Maintenance and </w:t>
      </w:r>
      <w:r w:rsidRPr="00600E6F">
        <w:rPr>
          <w:rFonts w:ascii="Times New Roman" w:hAnsi="Times New Roman"/>
          <w:b/>
          <w:sz w:val="24"/>
        </w:rPr>
        <w:t>Residential HVAC Quality Installation Development</w:t>
      </w:r>
    </w:p>
    <w:p w:rsidR="00513B47" w:rsidRPr="00600E6F" w:rsidRDefault="00513B47" w:rsidP="003408F4">
      <w:pPr>
        <w:spacing w:after="0" w:line="240" w:lineRule="auto"/>
        <w:outlineLvl w:val="0"/>
        <w:rPr>
          <w:rFonts w:ascii="Times New Roman" w:hAnsi="Times New Roman"/>
          <w:sz w:val="24"/>
        </w:rPr>
      </w:pPr>
    </w:p>
    <w:p w:rsidR="00513B47" w:rsidRPr="00600E6F" w:rsidRDefault="00513B47" w:rsidP="003408F4">
      <w:pPr>
        <w:spacing w:after="0" w:line="240" w:lineRule="auto"/>
        <w:outlineLvl w:val="0"/>
        <w:rPr>
          <w:rFonts w:ascii="Times New Roman" w:hAnsi="Times New Roman"/>
          <w:sz w:val="24"/>
        </w:rPr>
      </w:pPr>
      <w:r w:rsidRPr="00600E6F">
        <w:rPr>
          <w:rFonts w:ascii="Times New Roman" w:hAnsi="Times New Roman"/>
          <w:sz w:val="24"/>
        </w:rPr>
        <w:t>The program addresses the following barriers:</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Recent data available from AHRI indicates that as a result of the 2006 increase in federal residential equipment efficiency standards, which increased equipment costs significantly, unitary equipment sales have dropped while repairs to existing systems (low efficiency compressor replacement) have increased nationwide by more than 25 percent and window unit sales have increased by a similar amount. A similar trend occurred in 2002 when ENERGY STAR® increased its qualifying efficiency level to Seasonal Energy Efficiency Rating (SEER) 13.  Prior to the change, ENERGY STAR® Central Air Conditioner (CAC) sales had an average market share of 33 percent</w:t>
      </w:r>
      <w:r w:rsidRPr="00600E6F">
        <w:rPr>
          <w:rStyle w:val="FootnoteReference"/>
          <w:rFonts w:ascii="Times New Roman" w:hAnsi="Times New Roman"/>
          <w:sz w:val="24"/>
        </w:rPr>
        <w:footnoteReference w:id="57"/>
      </w:r>
      <w:r w:rsidRPr="00600E6F">
        <w:rPr>
          <w:rFonts w:ascii="Times New Roman" w:hAnsi="Times New Roman"/>
          <w:sz w:val="24"/>
        </w:rPr>
        <w:t xml:space="preserve">.  After the change, the average market share of ENERGY STAR® units fell to 7 percent. Additionally, recent studies indicate that 30 to 50 percent of existing systems have not been installed properly.  </w:t>
      </w:r>
      <w:r w:rsidRPr="00600E6F">
        <w:rPr>
          <w:rFonts w:ascii="Times New Roman" w:hAnsi="Times New Roman"/>
          <w:sz w:val="24"/>
        </w:rPr>
        <w:lastRenderedPageBreak/>
        <w:t>Further, Title 24 compliance rates for replacement systems are approximately 10 percent</w:t>
      </w:r>
      <w:r w:rsidRPr="00600E6F">
        <w:rPr>
          <w:rStyle w:val="FootnoteReference"/>
          <w:rFonts w:ascii="Times New Roman" w:hAnsi="Times New Roman"/>
          <w:sz w:val="24"/>
        </w:rPr>
        <w:footnoteReference w:id="58"/>
      </w:r>
      <w:r w:rsidRPr="00600E6F">
        <w:rPr>
          <w:rFonts w:ascii="Times New Roman" w:hAnsi="Times New Roman"/>
          <w:sz w:val="24"/>
        </w:rPr>
        <w:t>.  The net effect of this market failure is a 20 to 30 percent increase in space energy use</w:t>
      </w:r>
      <w:r w:rsidRPr="00600E6F">
        <w:rPr>
          <w:rStyle w:val="FootnoteReference"/>
          <w:rFonts w:ascii="Times New Roman" w:hAnsi="Times New Roman"/>
          <w:sz w:val="24"/>
        </w:rPr>
        <w:footnoteReference w:id="59"/>
      </w:r>
      <w:r w:rsidRPr="00600E6F">
        <w:rPr>
          <w:rFonts w:ascii="Times New Roman" w:hAnsi="Times New Roman"/>
          <w:sz w:val="24"/>
        </w:rPr>
        <w:t>.</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spacing w:after="0" w:line="240" w:lineRule="auto"/>
        <w:ind w:left="630" w:hanging="630"/>
        <w:rPr>
          <w:rFonts w:ascii="Times New Roman" w:hAnsi="Times New Roman"/>
          <w:sz w:val="24"/>
        </w:rPr>
      </w:pPr>
      <w:r w:rsidRPr="00600E6F">
        <w:rPr>
          <w:rFonts w:ascii="Times New Roman" w:hAnsi="Times New Roman"/>
          <w:sz w:val="24"/>
        </w:rPr>
        <w:t xml:space="preserve">Lack of awareness:  By demonstrating the energy efficiency benefits of QI/QM, the benefits of QI/QM will be better understood by program participants. It is our goal to discover the evidence, and expected return on investment, that customers will require to authorize payment for these measures (and those premium measures that prove to outperform the QI/QM ANSI standards) when subsidies are removed.  </w:t>
      </w:r>
    </w:p>
    <w:p w:rsidR="00513B47" w:rsidRPr="00600E6F" w:rsidRDefault="00513B47" w:rsidP="00600E6F">
      <w:pPr>
        <w:spacing w:after="0" w:line="240" w:lineRule="auto"/>
        <w:ind w:left="630" w:hanging="630"/>
        <w:rPr>
          <w:rFonts w:ascii="Times New Roman" w:hAnsi="Times New Roman"/>
          <w:sz w:val="24"/>
        </w:rPr>
      </w:pPr>
    </w:p>
    <w:p w:rsidR="00513B47" w:rsidRPr="00600E6F" w:rsidRDefault="00513B47" w:rsidP="00C31CC0">
      <w:pPr>
        <w:numPr>
          <w:ilvl w:val="0"/>
          <w:numId w:val="99"/>
        </w:numPr>
        <w:spacing w:after="0" w:line="240" w:lineRule="auto"/>
        <w:ind w:left="630" w:hanging="630"/>
        <w:rPr>
          <w:rFonts w:ascii="Times New Roman" w:hAnsi="Times New Roman"/>
          <w:sz w:val="24"/>
        </w:rPr>
      </w:pPr>
      <w:r w:rsidRPr="00600E6F">
        <w:rPr>
          <w:rFonts w:ascii="Times New Roman" w:hAnsi="Times New Roman"/>
          <w:sz w:val="24"/>
        </w:rPr>
        <w:t xml:space="preserve">Performance uncertainties:  Much research has been conducted on the energy savings achievable through HVAC system maintenance measures such as RCA and Duct Sealing, but despite all this research many performance uncertainties still exist. The implementation of this program with an increasing set of customers and the corresponding EM&amp;V efforts shall be coordinated through the HVAC EM&amp;V Project Coordination Group (PCG). </w:t>
      </w:r>
    </w:p>
    <w:p w:rsidR="00513B47" w:rsidRPr="00600E6F" w:rsidRDefault="00513B47" w:rsidP="00600E6F">
      <w:pPr>
        <w:spacing w:after="0" w:line="240" w:lineRule="auto"/>
        <w:ind w:left="630" w:hanging="630"/>
        <w:rPr>
          <w:rFonts w:ascii="Times New Roman" w:hAnsi="Times New Roman"/>
          <w:sz w:val="24"/>
        </w:rPr>
      </w:pPr>
    </w:p>
    <w:p w:rsidR="00513B47" w:rsidRPr="00600E6F" w:rsidRDefault="00513B47" w:rsidP="00C31CC0">
      <w:pPr>
        <w:numPr>
          <w:ilvl w:val="0"/>
          <w:numId w:val="99"/>
        </w:numPr>
        <w:spacing w:after="0" w:line="240" w:lineRule="auto"/>
        <w:ind w:left="630" w:hanging="630"/>
        <w:rPr>
          <w:rFonts w:ascii="Times New Roman" w:hAnsi="Times New Roman"/>
          <w:sz w:val="24"/>
        </w:rPr>
      </w:pPr>
      <w:r w:rsidRPr="00600E6F">
        <w:rPr>
          <w:rFonts w:ascii="Times New Roman" w:hAnsi="Times New Roman"/>
          <w:sz w:val="24"/>
        </w:rPr>
        <w:t>Asymmetric Information:  Delivering QI/QM training opportunities through existing industry channels (e.g., distributors, trade associations) will provide a higher level of credibility for QI/QM training rather than offering exclusively through IOUs.</w:t>
      </w:r>
    </w:p>
    <w:p w:rsidR="00513B47" w:rsidRPr="00600E6F" w:rsidRDefault="00513B47" w:rsidP="00600E6F">
      <w:pPr>
        <w:spacing w:after="0" w:line="240" w:lineRule="auto"/>
        <w:ind w:left="630" w:hanging="630"/>
        <w:rPr>
          <w:rFonts w:ascii="Times New Roman" w:hAnsi="Times New Roman"/>
          <w:sz w:val="24"/>
        </w:rPr>
      </w:pPr>
    </w:p>
    <w:p w:rsidR="00513B47" w:rsidRPr="00600E6F" w:rsidRDefault="00513B47" w:rsidP="00C31CC0">
      <w:pPr>
        <w:numPr>
          <w:ilvl w:val="0"/>
          <w:numId w:val="99"/>
        </w:numPr>
        <w:spacing w:after="0" w:line="240" w:lineRule="auto"/>
        <w:ind w:left="630" w:hanging="630"/>
        <w:rPr>
          <w:rFonts w:ascii="Times New Roman" w:hAnsi="Times New Roman"/>
          <w:sz w:val="24"/>
        </w:rPr>
      </w:pPr>
      <w:r w:rsidRPr="00600E6F">
        <w:rPr>
          <w:rFonts w:ascii="Times New Roman" w:hAnsi="Times New Roman"/>
          <w:sz w:val="24"/>
        </w:rPr>
        <w:t>Bounded rationality:  It is logical to assume that the HVAC industry would want to deliver quality service; however, market dynamics have not supported such logic as the industry has largely become commoditized and low price/low quality typically wins out.  The program supports HVAC contractors that perform quality work.  This helps to build momentum towards market transformation.</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tabs>
          <w:tab w:val="left" w:pos="630"/>
        </w:tabs>
        <w:spacing w:after="0" w:line="240" w:lineRule="auto"/>
        <w:ind w:left="630" w:hanging="630"/>
        <w:rPr>
          <w:rFonts w:ascii="Times New Roman" w:hAnsi="Times New Roman"/>
          <w:sz w:val="24"/>
        </w:rPr>
      </w:pPr>
      <w:r w:rsidRPr="00600E6F">
        <w:rPr>
          <w:rFonts w:ascii="Times New Roman" w:hAnsi="Times New Roman"/>
          <w:sz w:val="24"/>
        </w:rPr>
        <w:t>Hidden costs: By promoting the concepts and value of quality maintenance at the time of system installation, the customer is assured that the energy efficiency performance benefits of their new system will continue throughout the life of their system.</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Organizational customs:  The HVAC industry has largely become commoditized into an industry driven by low costs and quality, where quality is assumed but not understood or valued by the customer.  This is a result, in part, by contractors having minimal success in communicating the value of QI/QM to consumers and consumers not understanding the linkages between comfort and energy use.  The HVAC QI/QM Program demonstrates the value proposition of a high quality contracting business and educating consumers on the energy benefits of QI/QM.</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Product cost:  Substantial incentives for equipment and QI will offset a substantial percentage of product costs.  Customers will be encouraged to participate in the program and use one of the qualified program contractors to install their new HVAC system.</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Lack of awareness:  Focused marketing and training on QI and code compliance for consumers, contractors, and building inspectors</w:t>
      </w:r>
      <w:r w:rsidRPr="00600E6F">
        <w:rPr>
          <w:rStyle w:val="FootnoteReference"/>
          <w:rFonts w:ascii="Times New Roman" w:hAnsi="Times New Roman"/>
          <w:sz w:val="24"/>
        </w:rPr>
        <w:footnoteReference w:id="60"/>
      </w:r>
      <w:r w:rsidRPr="00600E6F">
        <w:rPr>
          <w:rFonts w:ascii="Times New Roman" w:hAnsi="Times New Roman"/>
          <w:sz w:val="24"/>
        </w:rPr>
        <w:t xml:space="preserve"> will ensure that the importance of </w:t>
      </w:r>
      <w:r w:rsidRPr="00600E6F">
        <w:rPr>
          <w:rFonts w:ascii="Times New Roman" w:hAnsi="Times New Roman"/>
          <w:sz w:val="24"/>
        </w:rPr>
        <w:lastRenderedPageBreak/>
        <w:t>complying with Title 24 will be better understood by program participants.  Additionally, requiring demonstrated code compliance (e.g., CF-6R) in order to qualify for program rebates will further reinforce the importance of permitted installations.</w:t>
      </w:r>
      <w:r w:rsidRPr="00600E6F">
        <w:rPr>
          <w:rFonts w:ascii="Times New Roman" w:hAnsi="Times New Roman"/>
          <w:sz w:val="24"/>
        </w:rPr>
        <w:br/>
      </w: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Information or search costs:  Active support of qualified program contractors and listing them on IOU websites will increase consumer confidence in having a reliable source of quality contractors.  Moreover, satisfied customers will recommend these contractors to friends and neighbors and thus create additional momentum for using contractors with a reputation for high-quality work.</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 xml:space="preserve">Transaction costs:  Potential for streamlined incentive application processes that require the same information required for Title 24 compliance (e.g., CF-6R) will reduce the difficulty of participating in the program and complying with permit requirements.  Furthermore, the high incentive levels offered by the program will reduce the likelihood that customers will choose not to participate in the QI activity. </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Hidden costs:  Promoting the concepts of QI at the time of system installation will increase the likelihood that customers will understand the energy efficiency performance benefits resulting from maintenance, and will continue such periodic maintenance over the life of their system.</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Additionally, several other issues could potentially influence sub-program design, including:</w:t>
      </w:r>
      <w:r w:rsidRPr="00600E6F">
        <w:rPr>
          <w:rFonts w:ascii="Times New Roman" w:hAnsi="Times New Roman"/>
          <w:sz w:val="24"/>
        </w:rPr>
        <w:br/>
      </w: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Other organizations have established processes and procedures for QI. These processes should be evaluated to determine how well they perform in comparison to minimum QI standards.</w:t>
      </w:r>
    </w:p>
    <w:p w:rsidR="00513B47" w:rsidRPr="00600E6F" w:rsidRDefault="00513B47" w:rsidP="00C31CC0">
      <w:pPr>
        <w:numPr>
          <w:ilvl w:val="0"/>
          <w:numId w:val="99"/>
        </w:numPr>
        <w:spacing w:after="0" w:line="240" w:lineRule="auto"/>
        <w:ind w:left="0" w:firstLine="0"/>
        <w:rPr>
          <w:rFonts w:ascii="Times New Roman" w:hAnsi="Times New Roman"/>
          <w:sz w:val="24"/>
        </w:rPr>
      </w:pPr>
      <w:r w:rsidRPr="00600E6F">
        <w:rPr>
          <w:rFonts w:ascii="Times New Roman" w:hAnsi="Times New Roman"/>
          <w:sz w:val="24"/>
        </w:rPr>
        <w:t>Lack of industry consensus on QI standards and technical protocols</w:t>
      </w:r>
    </w:p>
    <w:p w:rsidR="00513B47" w:rsidRPr="00600E6F" w:rsidRDefault="00513B47" w:rsidP="00C31CC0">
      <w:pPr>
        <w:numPr>
          <w:ilvl w:val="0"/>
          <w:numId w:val="99"/>
        </w:numPr>
        <w:spacing w:after="0" w:line="240" w:lineRule="auto"/>
        <w:ind w:left="0" w:firstLine="0"/>
        <w:rPr>
          <w:rFonts w:ascii="Times New Roman" w:hAnsi="Times New Roman"/>
          <w:sz w:val="24"/>
        </w:rPr>
      </w:pPr>
      <w:r w:rsidRPr="00600E6F">
        <w:rPr>
          <w:rFonts w:ascii="Times New Roman" w:hAnsi="Times New Roman"/>
          <w:sz w:val="24"/>
        </w:rPr>
        <w:t>Overcoming market barriers to exceeding Title 24 Standards</w:t>
      </w:r>
    </w:p>
    <w:p w:rsidR="00513B47" w:rsidRPr="00600E6F" w:rsidRDefault="00513B47" w:rsidP="00C31CC0">
      <w:pPr>
        <w:numPr>
          <w:ilvl w:val="0"/>
          <w:numId w:val="99"/>
        </w:numPr>
        <w:spacing w:after="0" w:line="240" w:lineRule="auto"/>
        <w:ind w:left="0" w:firstLine="0"/>
        <w:rPr>
          <w:rFonts w:ascii="Times New Roman" w:hAnsi="Times New Roman"/>
          <w:sz w:val="24"/>
        </w:rPr>
      </w:pPr>
      <w:r w:rsidRPr="00600E6F">
        <w:rPr>
          <w:rFonts w:ascii="Times New Roman" w:hAnsi="Times New Roman"/>
          <w:sz w:val="24"/>
        </w:rPr>
        <w:t>Cost-effective constraints arising from limited savings for QI measures exceeding Title 24.</w:t>
      </w:r>
    </w:p>
    <w:p w:rsidR="00513B47" w:rsidRPr="00600E6F" w:rsidRDefault="00513B47" w:rsidP="00C31CC0">
      <w:pPr>
        <w:numPr>
          <w:ilvl w:val="0"/>
          <w:numId w:val="99"/>
        </w:numPr>
        <w:spacing w:after="0" w:line="240" w:lineRule="auto"/>
        <w:ind w:left="0" w:firstLine="0"/>
        <w:rPr>
          <w:rFonts w:ascii="Times New Roman" w:hAnsi="Times New Roman"/>
          <w:sz w:val="24"/>
        </w:rPr>
      </w:pPr>
      <w:r w:rsidRPr="00600E6F">
        <w:rPr>
          <w:rFonts w:ascii="Times New Roman" w:hAnsi="Times New Roman"/>
          <w:sz w:val="24"/>
        </w:rPr>
        <w:t>Forging sustainable HVAC industry and market actor support.</w:t>
      </w:r>
    </w:p>
    <w:p w:rsidR="00513B47" w:rsidRPr="00600E6F" w:rsidRDefault="00513B47" w:rsidP="00C31CC0">
      <w:pPr>
        <w:numPr>
          <w:ilvl w:val="0"/>
          <w:numId w:val="99"/>
        </w:numPr>
        <w:spacing w:after="0" w:line="240" w:lineRule="auto"/>
        <w:ind w:left="720" w:hanging="720"/>
        <w:rPr>
          <w:rFonts w:ascii="Times New Roman" w:hAnsi="Times New Roman"/>
          <w:sz w:val="24"/>
        </w:rPr>
      </w:pPr>
      <w:r w:rsidRPr="00600E6F">
        <w:rPr>
          <w:rFonts w:ascii="Times New Roman" w:hAnsi="Times New Roman"/>
          <w:sz w:val="24"/>
        </w:rPr>
        <w:t>Addressing challenges in standard applicability across a range of commercial building types and HVAC systems.</w:t>
      </w:r>
    </w:p>
    <w:p w:rsidR="00513B47" w:rsidRPr="00600E6F" w:rsidRDefault="00513B47" w:rsidP="00C31CC0">
      <w:pPr>
        <w:numPr>
          <w:ilvl w:val="0"/>
          <w:numId w:val="99"/>
        </w:numPr>
        <w:spacing w:after="0" w:line="240" w:lineRule="auto"/>
        <w:ind w:left="0" w:firstLine="0"/>
        <w:rPr>
          <w:rFonts w:ascii="Times New Roman" w:hAnsi="Times New Roman"/>
          <w:sz w:val="24"/>
        </w:rPr>
      </w:pPr>
      <w:r w:rsidRPr="00600E6F">
        <w:rPr>
          <w:rFonts w:ascii="Times New Roman" w:hAnsi="Times New Roman"/>
          <w:sz w:val="24"/>
        </w:rPr>
        <w:t>True energy savings measurement procedures.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Heading20"/>
        <w:ind w:left="0" w:firstLine="0"/>
        <w:rPr>
          <w:b/>
        </w:rPr>
      </w:pPr>
      <w:r w:rsidRPr="00600E6F">
        <w:rPr>
          <w:b/>
        </w:rPr>
        <w:t>d)</w:t>
      </w:r>
      <w:r w:rsidRPr="00600E6F">
        <w:rPr>
          <w:b/>
        </w:rPr>
        <w:tab/>
      </w:r>
      <w:r w:rsidRPr="00600E6F">
        <w:rPr>
          <w:b/>
          <w:u w:val="single"/>
        </w:rPr>
        <w:t>Quantitative Program Targets</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outlineLvl w:val="0"/>
        <w:rPr>
          <w:rFonts w:ascii="Times New Roman" w:hAnsi="Times New Roman"/>
          <w:sz w:val="24"/>
        </w:rPr>
      </w:pPr>
      <w:r w:rsidRPr="00600E6F">
        <w:rPr>
          <w:rFonts w:ascii="Times New Roman" w:hAnsi="Times New Roman"/>
          <w:sz w:val="24"/>
        </w:rPr>
        <w:t>The program will achieve the following program targets:</w:t>
      </w:r>
    </w:p>
    <w:p w:rsidR="00513B47" w:rsidRPr="00600E6F" w:rsidRDefault="00513B47" w:rsidP="003408F4">
      <w:pPr>
        <w:pStyle w:val="Caption"/>
        <w:outlineLvl w:val="0"/>
        <w:rPr>
          <w:sz w:val="24"/>
        </w:rPr>
      </w:pPr>
      <w:r w:rsidRPr="00600E6F">
        <w:rPr>
          <w:sz w:val="24"/>
        </w:rPr>
        <w:t>See Table 5 above.</w:t>
      </w:r>
    </w:p>
    <w:p w:rsidR="00513B47" w:rsidRPr="00600E6F" w:rsidRDefault="00513B47" w:rsidP="003408F4">
      <w:pPr>
        <w:pStyle w:val="Heading20"/>
        <w:ind w:left="0" w:firstLine="0"/>
      </w:pPr>
    </w:p>
    <w:p w:rsidR="00513B47" w:rsidRPr="00600E6F" w:rsidRDefault="00513B47" w:rsidP="003408F4">
      <w:pPr>
        <w:pStyle w:val="Heading20"/>
        <w:ind w:left="0" w:firstLine="0"/>
        <w:rPr>
          <w:b/>
        </w:rPr>
      </w:pPr>
      <w:r w:rsidRPr="00600E6F">
        <w:rPr>
          <w:b/>
        </w:rPr>
        <w:t>e)</w:t>
      </w:r>
      <w:r w:rsidRPr="00600E6F">
        <w:rPr>
          <w:b/>
        </w:rPr>
        <w:tab/>
        <w:t>Advancing Strategic Plan goals and objectives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ListParagraph"/>
        <w:spacing w:after="0" w:line="240" w:lineRule="auto"/>
        <w:ind w:left="0"/>
        <w:rPr>
          <w:rFonts w:ascii="Times New Roman" w:hAnsi="Times New Roman"/>
          <w:sz w:val="24"/>
        </w:rPr>
      </w:pPr>
      <w:r w:rsidRPr="00600E6F">
        <w:rPr>
          <w:rFonts w:ascii="Times New Roman" w:hAnsi="Times New Roman"/>
          <w:sz w:val="24"/>
        </w:rPr>
        <w:t xml:space="preserve">The </w:t>
      </w:r>
      <w:r w:rsidRPr="00600E6F">
        <w:rPr>
          <w:rFonts w:ascii="Times New Roman" w:hAnsi="Times New Roman"/>
          <w:color w:val="000000"/>
          <w:sz w:val="24"/>
        </w:rPr>
        <w:t xml:space="preserve">Residential HVAC Quality Maintenance and </w:t>
      </w:r>
      <w:r w:rsidRPr="00600E6F">
        <w:rPr>
          <w:rFonts w:ascii="Times New Roman" w:hAnsi="Times New Roman"/>
          <w:sz w:val="24"/>
        </w:rPr>
        <w:t>Residential HVAC Quality Installation Development program helps to achieve the following near-term strategic goals as identified in Chapter 6 of the Strategic Plan:</w:t>
      </w:r>
    </w:p>
    <w:p w:rsidR="00513B47" w:rsidRPr="00600E6F" w:rsidRDefault="00513B47" w:rsidP="003408F4">
      <w:pPr>
        <w:pStyle w:val="ListParagraph"/>
        <w:spacing w:after="0" w:line="240" w:lineRule="auto"/>
        <w:ind w:left="0"/>
        <w:rPr>
          <w:rFonts w:ascii="Times New Roman" w:hAnsi="Times New Roman"/>
          <w:sz w:val="24"/>
        </w:rPr>
      </w:pPr>
    </w:p>
    <w:p w:rsidR="00513B47" w:rsidRPr="00600E6F" w:rsidRDefault="00513B47" w:rsidP="00C31CC0">
      <w:pPr>
        <w:numPr>
          <w:ilvl w:val="0"/>
          <w:numId w:val="94"/>
        </w:numPr>
        <w:spacing w:after="0" w:line="240" w:lineRule="auto"/>
        <w:ind w:left="720" w:hanging="720"/>
        <w:rPr>
          <w:rFonts w:ascii="Times New Roman" w:hAnsi="Times New Roman"/>
          <w:sz w:val="24"/>
        </w:rPr>
      </w:pPr>
      <w:r w:rsidRPr="00600E6F">
        <w:rPr>
          <w:rFonts w:ascii="Times New Roman" w:hAnsi="Times New Roman"/>
          <w:sz w:val="24"/>
        </w:rPr>
        <w:t xml:space="preserve">2-1: Create a Statewide QI/QM Brand – In addition to promoting the industry standards for QI and QM, leveraging the program statewide Energy Upgrade California (EUC) brand for all IDSM efforts is a cost effective approach to branding QI/QM. In order to help residential consumers more clearly recognize contractors and technicians who can truly deliver QI/QM, the program also aggressively helps the HVAC industry to more firmly establish the higher value/consumer benefit of its own industry standards and credentials.  This program is based on and promotes the use of ACCA Standard 4 for Quality Maintenance and examples of consensus HVAC credentials are the Industry Competency Exam (ICE), technician certification by North American Technician Excellence (NATE), a variety of union “Journeyman” designations, TABB, NEBB, AABC, NBC and STAR® certifications.  </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spacing w:after="0" w:line="240" w:lineRule="auto"/>
        <w:ind w:left="720" w:hanging="720"/>
        <w:rPr>
          <w:rFonts w:ascii="Times New Roman" w:hAnsi="Times New Roman"/>
          <w:sz w:val="24"/>
        </w:rPr>
      </w:pPr>
      <w:r w:rsidRPr="00600E6F">
        <w:rPr>
          <w:rFonts w:ascii="Times New Roman" w:hAnsi="Times New Roman"/>
          <w:sz w:val="24"/>
        </w:rPr>
        <w:t>2-2:  Launch Statewide Brand – The Energy Upgrade California IDSM umbrella brand will be expanded via the statewide ME&amp;O program efforts and the Residential HVAC QM program will make corresponding adjustments accordingly to leverage that brand within a reasonable time during 2013-14. This branding activity will help participating contractors to promote the QI/QM effort.  The program will continue to communicate information about the QI/QM branding effort to contractors, technicians and other HVAC industry stakeholders via such means as inserts in trade journals such as Indoor Comfort News, The ACHR News, and Contracting Business.</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spacing w:after="0" w:line="240" w:lineRule="auto"/>
        <w:ind w:left="720" w:hanging="720"/>
        <w:rPr>
          <w:rFonts w:ascii="Times New Roman" w:hAnsi="Times New Roman"/>
          <w:sz w:val="24"/>
        </w:rPr>
      </w:pPr>
      <w:r w:rsidRPr="00600E6F">
        <w:rPr>
          <w:rFonts w:ascii="Times New Roman" w:hAnsi="Times New Roman"/>
          <w:sz w:val="24"/>
        </w:rPr>
        <w:t xml:space="preserve">2-3:  Provide expanded QI/QM training – The program continues to ensure that </w:t>
      </w:r>
      <w:r w:rsidRPr="00600E6F">
        <w:rPr>
          <w:rFonts w:ascii="Times New Roman" w:hAnsi="Times New Roman"/>
          <w:color w:val="000000"/>
          <w:sz w:val="24"/>
        </w:rPr>
        <w:t xml:space="preserve">HVAC service technicians of </w:t>
      </w:r>
      <w:r w:rsidRPr="00600E6F">
        <w:rPr>
          <w:rFonts w:ascii="Times New Roman" w:hAnsi="Times New Roman"/>
          <w:sz w:val="24"/>
        </w:rPr>
        <w:t xml:space="preserve">participating contractors </w:t>
      </w:r>
      <w:r w:rsidRPr="00600E6F">
        <w:rPr>
          <w:rFonts w:ascii="Times New Roman" w:hAnsi="Times New Roman"/>
          <w:color w:val="000000"/>
          <w:sz w:val="24"/>
        </w:rPr>
        <w:t>are fully trained on the delivery of the measures promoted by the Program.  Furthermore, feedback mechanisms will be utilized to continually evaluate technician performance to ensure that they are applying the information they are being taught in the QI/QM training.  As part of the program’s market transformation efforts and to ensure quality services are provided to customers, the program will continue to work with the HVAC industry to reduce (and wherever possible eliminate) the direct costs of this transformative training to technicians and contractors willing and able to apply their skills and new tools to delivering industry standard and energy saving Quality Maintenance services.</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tabs>
          <w:tab w:val="num" w:pos="2160"/>
        </w:tabs>
        <w:spacing w:after="0" w:line="240" w:lineRule="auto"/>
        <w:ind w:left="720" w:hanging="720"/>
        <w:rPr>
          <w:rFonts w:ascii="Times New Roman" w:hAnsi="Times New Roman"/>
          <w:sz w:val="24"/>
        </w:rPr>
      </w:pPr>
      <w:r w:rsidRPr="00600E6F">
        <w:rPr>
          <w:rFonts w:ascii="Times New Roman" w:hAnsi="Times New Roman"/>
          <w:color w:val="000000"/>
          <w:sz w:val="24"/>
        </w:rPr>
        <w:t>2-4:  Implement contractor accreditation program – Additional consideration will be made for program efforts to promote NATE and any other certifications that the consensus of the HVAC industry determines to be appropriate.</w:t>
      </w:r>
      <w:r w:rsidRPr="00600E6F">
        <w:rPr>
          <w:rFonts w:ascii="Times New Roman" w:hAnsi="Times New Roman"/>
          <w:sz w:val="24"/>
        </w:rPr>
        <w:t xml:space="preserve"> </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tabs>
          <w:tab w:val="num" w:pos="2160"/>
        </w:tabs>
        <w:spacing w:after="0" w:line="240" w:lineRule="auto"/>
        <w:ind w:left="720" w:hanging="720"/>
        <w:rPr>
          <w:rFonts w:ascii="Times New Roman" w:hAnsi="Times New Roman"/>
          <w:sz w:val="24"/>
        </w:rPr>
      </w:pPr>
      <w:r w:rsidRPr="00600E6F">
        <w:rPr>
          <w:rFonts w:ascii="Times New Roman" w:hAnsi="Times New Roman"/>
          <w:sz w:val="24"/>
        </w:rPr>
        <w:t>3-3:  Accelerate whole-building educational opportunities - Create pathways for HVAC contractors to evolve into whole building contractors by partnering with private and public community colleges and/or universities to develop the appropriate curriculum on whole building design practices.</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tabs>
          <w:tab w:val="num" w:pos="2160"/>
        </w:tabs>
        <w:spacing w:after="0" w:line="240" w:lineRule="auto"/>
        <w:ind w:left="720" w:hanging="720"/>
        <w:rPr>
          <w:rFonts w:ascii="Times New Roman" w:hAnsi="Times New Roman"/>
          <w:sz w:val="24"/>
        </w:rPr>
      </w:pPr>
      <w:r w:rsidRPr="00600E6F">
        <w:rPr>
          <w:rFonts w:ascii="Times New Roman" w:hAnsi="Times New Roman"/>
          <w:sz w:val="24"/>
        </w:rPr>
        <w:t>4-1:  Pursue regional climate-optimized equipment standards - IOU staff, in close consultation with WCEC/CEC and other appropriate parties, will continue to stay attentive to and engaged in the federal proceeding as it continues into 2011</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tabs>
          <w:tab w:val="num" w:pos="2160"/>
        </w:tabs>
        <w:spacing w:after="0" w:line="240" w:lineRule="auto"/>
        <w:ind w:left="720" w:hanging="720"/>
        <w:rPr>
          <w:rFonts w:ascii="Times New Roman" w:hAnsi="Times New Roman"/>
          <w:sz w:val="24"/>
        </w:rPr>
      </w:pPr>
      <w:r w:rsidRPr="00600E6F">
        <w:rPr>
          <w:rFonts w:ascii="Times New Roman" w:hAnsi="Times New Roman"/>
          <w:sz w:val="24"/>
        </w:rPr>
        <w:t xml:space="preserve">4-3:  Accelerate market penetration of advanced technologies - Partnering with manufacturers through activities such as the WCEC’s Western Cooling Challenge will </w:t>
      </w:r>
      <w:r w:rsidRPr="00600E6F">
        <w:rPr>
          <w:rFonts w:ascii="Times New Roman" w:hAnsi="Times New Roman"/>
          <w:sz w:val="24"/>
        </w:rPr>
        <w:lastRenderedPageBreak/>
        <w:t>increase their dedication to developing climate-appropriate equipment that delivers energy savings and peak load reduction.</w:t>
      </w:r>
    </w:p>
    <w:p w:rsidR="00513B47" w:rsidRPr="00600E6F" w:rsidRDefault="00513B47" w:rsidP="00C31CC0">
      <w:pPr>
        <w:pStyle w:val="ListParagraph"/>
        <w:numPr>
          <w:ilvl w:val="0"/>
          <w:numId w:val="103"/>
        </w:numPr>
        <w:tabs>
          <w:tab w:val="left" w:pos="1080"/>
        </w:tabs>
        <w:spacing w:after="0" w:line="240" w:lineRule="auto"/>
        <w:ind w:left="720" w:hanging="720"/>
        <w:rPr>
          <w:rFonts w:ascii="Times New Roman" w:hAnsi="Times New Roman"/>
          <w:sz w:val="24"/>
        </w:rPr>
      </w:pPr>
      <w:r w:rsidRPr="00600E6F">
        <w:rPr>
          <w:rFonts w:ascii="Times New Roman" w:hAnsi="Times New Roman"/>
          <w:sz w:val="24"/>
        </w:rPr>
        <w:t xml:space="preserve">4-4:  Adopt a progressive set of building codes that support peak-efficient equipment - Through the efforts proposed by the Statewide Codes and Standards Program, the IOUs will continue to work with the CEC to advance current building codes.  </w:t>
      </w:r>
    </w:p>
    <w:p w:rsidR="00513B47" w:rsidRPr="00600E6F" w:rsidRDefault="00513B47" w:rsidP="003408F4">
      <w:pPr>
        <w:pStyle w:val="ListParagraph"/>
        <w:spacing w:after="0" w:line="240" w:lineRule="auto"/>
        <w:ind w:left="0"/>
        <w:rPr>
          <w:rFonts w:ascii="Times New Roman" w:hAnsi="Times New Roman"/>
          <w:sz w:val="24"/>
        </w:rPr>
      </w:pPr>
    </w:p>
    <w:p w:rsidR="00513B47" w:rsidRPr="00600E6F" w:rsidRDefault="00513B47" w:rsidP="00C31CC0">
      <w:pPr>
        <w:numPr>
          <w:ilvl w:val="0"/>
          <w:numId w:val="94"/>
        </w:numPr>
        <w:tabs>
          <w:tab w:val="num" w:pos="2160"/>
        </w:tabs>
        <w:spacing w:after="0" w:line="240" w:lineRule="auto"/>
        <w:ind w:left="720" w:hanging="720"/>
        <w:rPr>
          <w:rFonts w:ascii="Times New Roman" w:hAnsi="Times New Roman"/>
          <w:sz w:val="24"/>
        </w:rPr>
      </w:pPr>
      <w:r w:rsidRPr="00600E6F">
        <w:rPr>
          <w:rFonts w:ascii="Times New Roman" w:hAnsi="Times New Roman"/>
          <w:sz w:val="24"/>
        </w:rPr>
        <w:t>4-5:  Develop standards for on-board diagnostic functionality – In coordination with HVAC efforts within the Emerging Technologies program, the program leverages the use of hand held and other types of systems in the field to assist in determining viable protocols for residential applications.</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0"/>
          <w:numId w:val="94"/>
        </w:numPr>
        <w:tabs>
          <w:tab w:val="num" w:pos="2160"/>
        </w:tabs>
        <w:spacing w:after="0" w:line="240" w:lineRule="auto"/>
        <w:ind w:left="720" w:hanging="720"/>
        <w:rPr>
          <w:rFonts w:ascii="Times New Roman" w:hAnsi="Times New Roman"/>
          <w:sz w:val="24"/>
        </w:rPr>
      </w:pPr>
      <w:r w:rsidRPr="00600E6F">
        <w:rPr>
          <w:rFonts w:ascii="Times New Roman" w:hAnsi="Times New Roman"/>
          <w:sz w:val="24"/>
        </w:rPr>
        <w:t>4-6:  Prioritize in-field diagnostic approaches – Through coordination with the Emerging Technologies program, the program leverages the use of hand held and other types of systems in the field to assist in determining viable protocols for residential applications and contributes information to the HVAC industry that is expected to be helpful in targeting future efforts based on quantifiable energy efficiency benefits.</w:t>
      </w:r>
    </w:p>
    <w:p w:rsidR="00513B47" w:rsidRPr="00D737C2" w:rsidRDefault="00513B47" w:rsidP="00C32735">
      <w:pPr>
        <w:pStyle w:val="Heading10"/>
      </w:pPr>
    </w:p>
    <w:p w:rsidR="00513B47" w:rsidRPr="00AB3CC6" w:rsidRDefault="00513B47" w:rsidP="00C32735">
      <w:pPr>
        <w:pStyle w:val="Heading10"/>
      </w:pPr>
      <w:r w:rsidRPr="00AB3CC6">
        <w:t>6)</w:t>
      </w:r>
      <w:r w:rsidRPr="00AB3CC6">
        <w:tab/>
        <w:t>Program Implementation</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Heading20"/>
        <w:ind w:left="0" w:firstLine="0"/>
        <w:outlineLvl w:val="0"/>
        <w:rPr>
          <w:b/>
        </w:rPr>
      </w:pPr>
      <w:r w:rsidRPr="00600E6F">
        <w:rPr>
          <w:b/>
        </w:rPr>
        <w:t>a)</w:t>
      </w:r>
      <w:r w:rsidRPr="00600E6F">
        <w:rPr>
          <w:b/>
        </w:rPr>
        <w:tab/>
        <w:t>Statewide IOU Coordination</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The IOUs will jointly participate in California’s residential HVAC efforts to achieve real-market transformation.  In order to accomplish this task, the IOUs will use the principles of adaptive management and follow a structured process to continuously update and enhance the program throughout the 2013-2014 Transition Period.  The process will continue as follows:</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IOU Program Lead –</w:t>
      </w:r>
      <w:r w:rsidRPr="00600E6F">
        <w:rPr>
          <w:rFonts w:ascii="Times New Roman" w:hAnsi="Times New Roman"/>
          <w:sz w:val="24"/>
        </w:rPr>
        <w:t xml:space="preserve"> The process for adaptive management will begin with each IOU designating an HVAC Program Lead. The lead will be the conduit through which information between IOUs will flow and will investigate new innovations, special accomplishments and challenges faced by sub-program managers and the managers of cross-cutting Statewide programs within their own IOU. Where such innovations or challenges intersect HVAC and show potential for improving the HVAC program, the Program Lead will present such information to a quarterly HVAC Program Management Team meeting.</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Hold Quarterly HVAC Program Management Team Meetings –</w:t>
      </w:r>
      <w:r w:rsidRPr="00600E6F">
        <w:rPr>
          <w:rFonts w:ascii="Times New Roman" w:hAnsi="Times New Roman"/>
          <w:sz w:val="24"/>
        </w:rPr>
        <w:t xml:space="preserve"> At this quarterly meeting, individual innovations and accomplishments experienced in one IOU will be transmitted to all IOUs. The HVAC Program Management Team will evaluate the innovations and accomplishments of the individual IOUs, hear ideas for course corrections and overcoming challenges, measure the HVAC program’s progress against Statewide metrics and goals, and prepare summations for presentation to the Western HVAC Performance Alliance at its semi-annual meeting.</w:t>
      </w:r>
    </w:p>
    <w:p w:rsidR="00513B47" w:rsidRPr="00600E6F" w:rsidRDefault="00513B47" w:rsidP="003408F4">
      <w:pPr>
        <w:spacing w:after="0" w:line="240" w:lineRule="auto"/>
        <w:rPr>
          <w:rFonts w:ascii="Times New Roman" w:hAnsi="Times New Roman"/>
          <w:sz w:val="24"/>
        </w:rPr>
      </w:pP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Adopt Program Enhancements –</w:t>
      </w:r>
      <w:r w:rsidRPr="00600E6F">
        <w:rPr>
          <w:rFonts w:ascii="Times New Roman" w:hAnsi="Times New Roman"/>
          <w:sz w:val="24"/>
        </w:rPr>
        <w:t xml:space="preserve"> Once the HVAC Program Management Team agrees that a particular idea or innovation has merit on a Statewide-level, each IOU Program Lead will distribute the information to their sub-program managers for adoption and integration as appropriate.  In some cases, it may be necessary to invite the sub-program managers to the HVAC Program Management Team to get their feedback and ensure they receive the same message.</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b/>
          <w:sz w:val="24"/>
        </w:rPr>
        <w:t>Evaluate Program Enhancements Against Statewide Targets –</w:t>
      </w:r>
      <w:r w:rsidRPr="00600E6F">
        <w:rPr>
          <w:rFonts w:ascii="Times New Roman" w:hAnsi="Times New Roman"/>
          <w:sz w:val="24"/>
        </w:rPr>
        <w:t xml:space="preserve"> To complete the adaptive management loop, the HVAC Program Management Team will track the program’s </w:t>
      </w:r>
      <w:r w:rsidRPr="00600E6F">
        <w:rPr>
          <w:rFonts w:ascii="Times New Roman" w:hAnsi="Times New Roman"/>
          <w:sz w:val="24"/>
        </w:rPr>
        <w:lastRenderedPageBreak/>
        <w:t>accomplishment of Statewide targets and goals to ensure that adopted program enhancements are generating their intended results.   The HVAC Program Management Team will determine whether future course corrections are needed, and if so, will activate a fresh start of the adaptive management cycle to generate the improvements necessary to stay on track</w:t>
      </w:r>
    </w:p>
    <w:p w:rsidR="00513B47" w:rsidRPr="00600E6F" w:rsidRDefault="00513B47" w:rsidP="003408F4">
      <w:pPr>
        <w:spacing w:after="0" w:line="240" w:lineRule="auto"/>
        <w:rPr>
          <w:rFonts w:ascii="Times New Roman" w:hAnsi="Times New Roman"/>
          <w:sz w:val="24"/>
        </w:rPr>
      </w:pPr>
      <w:r w:rsidRPr="00600E6F">
        <w:rPr>
          <w:rFonts w:ascii="Times New Roman" w:hAnsi="Times New Roman"/>
          <w:sz w:val="24"/>
        </w:rPr>
        <w:t>All California IOUs continue to work together and jointly with the HVAC industry to lead efforts to implement and explore design enhancements for a viable residential HVAC program.  Specific areas of coordination include:</w:t>
      </w:r>
    </w:p>
    <w:p w:rsidR="00513B47" w:rsidRPr="00600E6F" w:rsidRDefault="00513B47" w:rsidP="003408F4">
      <w:pPr>
        <w:spacing w:after="0" w:line="240" w:lineRule="auto"/>
        <w:rPr>
          <w:rFonts w:ascii="Times New Roman" w:hAnsi="Times New Roman"/>
          <w:sz w:val="24"/>
        </w:rPr>
      </w:pPr>
    </w:p>
    <w:p w:rsidR="00513B47" w:rsidRPr="00600E6F" w:rsidRDefault="00513B47" w:rsidP="00C31CC0">
      <w:pPr>
        <w:numPr>
          <w:ilvl w:val="2"/>
          <w:numId w:val="95"/>
        </w:numPr>
        <w:tabs>
          <w:tab w:val="clear" w:pos="2160"/>
          <w:tab w:val="num" w:pos="720"/>
        </w:tabs>
        <w:spacing w:after="0" w:line="240" w:lineRule="auto"/>
        <w:ind w:left="0" w:firstLine="360"/>
        <w:rPr>
          <w:rFonts w:ascii="Times New Roman" w:hAnsi="Times New Roman"/>
          <w:b/>
          <w:sz w:val="24"/>
        </w:rPr>
      </w:pPr>
      <w:r w:rsidRPr="00600E6F">
        <w:rPr>
          <w:rFonts w:ascii="Times New Roman" w:hAnsi="Times New Roman"/>
          <w:b/>
          <w:sz w:val="24"/>
        </w:rPr>
        <w:t>Program delivery mechanisms</w:t>
      </w: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 The program is delivered to customers via qualified participating contractors. Training of participating contractors and management of the program includes a combination of third-party implementers and internal administrative staff.  This follows the adaptive management process.  The program is targeted to consumers and contractors to create a push/pull dynamic that influences the achievement over time of sustained market transformation.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IOUs will jointly coordinate and work with industry groups to prepare a design for a statewide-consistent program design that is cost effective and meets California’s market transformation objectives.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After the new program design is launched, the IOUs will manage the program through a combination of third-party programs and internal administrative staff, and will follow the adaptive management process. The program will be targeted to consumers and contractors to create a push/pull dynamic that influences sustained market changes.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IOUs will deliver the program through a combination of third-party vendors and internal administrative staff.  The program will be delivered in collaboration with existing industry infrastructures in order to increase its overall effectiveness.  Program guidance will be provided to the CPUC/IOUs through the Western HVAC Performance Alliance as described above.</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5"/>
        </w:numPr>
        <w:tabs>
          <w:tab w:val="clear" w:pos="2160"/>
          <w:tab w:val="num" w:pos="720"/>
        </w:tabs>
        <w:spacing w:after="0" w:line="240" w:lineRule="auto"/>
        <w:ind w:left="0" w:firstLine="360"/>
        <w:rPr>
          <w:rFonts w:ascii="Times New Roman" w:hAnsi="Times New Roman"/>
          <w:b/>
          <w:sz w:val="24"/>
        </w:rPr>
      </w:pPr>
      <w:r w:rsidRPr="00600E6F">
        <w:rPr>
          <w:rFonts w:ascii="Times New Roman" w:hAnsi="Times New Roman"/>
          <w:b/>
          <w:sz w:val="24"/>
        </w:rPr>
        <w:t>Incentive levels</w:t>
      </w:r>
    </w:p>
    <w:p w:rsidR="00513B47" w:rsidRPr="00600E6F" w:rsidRDefault="00513B47" w:rsidP="003408F4">
      <w:pPr>
        <w:tabs>
          <w:tab w:val="num" w:pos="0"/>
        </w:tabs>
        <w:spacing w:after="0" w:line="240" w:lineRule="auto"/>
        <w:outlineLvl w:val="0"/>
        <w:rPr>
          <w:rFonts w:ascii="Times New Roman" w:hAnsi="Times New Roman"/>
          <w:sz w:val="24"/>
        </w:rPr>
      </w:pPr>
      <w:r w:rsidRPr="00600E6F">
        <w:rPr>
          <w:rFonts w:ascii="Times New Roman" w:hAnsi="Times New Roman"/>
          <w:sz w:val="24"/>
        </w:rPr>
        <w:t>See Section 4.b above.</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5"/>
        </w:numPr>
        <w:tabs>
          <w:tab w:val="clear" w:pos="2160"/>
          <w:tab w:val="num" w:pos="720"/>
        </w:tabs>
        <w:spacing w:after="0" w:line="240" w:lineRule="auto"/>
        <w:ind w:left="0" w:firstLine="360"/>
        <w:rPr>
          <w:rFonts w:ascii="Times New Roman" w:hAnsi="Times New Roman"/>
          <w:b/>
          <w:sz w:val="24"/>
        </w:rPr>
      </w:pPr>
      <w:r w:rsidRPr="00600E6F">
        <w:rPr>
          <w:rFonts w:ascii="Times New Roman" w:hAnsi="Times New Roman"/>
          <w:b/>
          <w:sz w:val="24"/>
        </w:rPr>
        <w:t>Marketing and outreach plans</w:t>
      </w: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Program marketing includes common outreach materials shall be developed by the IOU’s in partnership with HVAC industry, including feedback from HVAC contractors.  This QI/QM branding shall be under the statewide Energy Upgrade California brand efforts after the expansion of that brand. The program will continue to work with industry and participating contractors for additional methods to promote the program and the value of QI. If warranted by such feedback, the program may explore providing additional point-of-purchase information on QI that would be made available for equipment dealer locations and building departments (where residential customers may be receptive to “neutral” public service messages).</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lastRenderedPageBreak/>
        <w:t>Common outreach materials will only be available to participating contractors.  Additional point-of-sale information on QI will be made available for equipment dealer locations and building departments.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Specific outreach efforts are currently being facilitated to the industry to keep it engaged in the Strategic Plan process (both updates to and implementation of).  On a macro level, this outreach is occurring through the Western HVAC Performance Alliance and any subcommittees established by this group.  On a micro level, each sub-program has specific tactics in place to engage the industry in its own particular demand reduction, energy savings and market transformation objectives.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Utilities will conduct integrated as well as program-specific marketing and outreach which will be coordinated with the statewide marketing and outreach program.  The utilities may use a range of tactics such as; e-mails, flyers, on-Line marketing, direct mail, bill messaging, social media, local events, ethnic media, and other channels that suit the target audience, the message, and the resources.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5"/>
        </w:numPr>
        <w:tabs>
          <w:tab w:val="clear" w:pos="2160"/>
          <w:tab w:val="num" w:pos="0"/>
          <w:tab w:val="left" w:pos="720"/>
        </w:tabs>
        <w:spacing w:after="0" w:line="240" w:lineRule="auto"/>
        <w:ind w:left="0" w:firstLine="360"/>
        <w:rPr>
          <w:rFonts w:ascii="Times New Roman" w:hAnsi="Times New Roman"/>
          <w:b/>
          <w:sz w:val="24"/>
        </w:rPr>
      </w:pPr>
      <w:r w:rsidRPr="00600E6F">
        <w:rPr>
          <w:rFonts w:ascii="Times New Roman" w:hAnsi="Times New Roman"/>
          <w:b/>
          <w:sz w:val="24"/>
        </w:rPr>
        <w:t>IOU program interactions</w:t>
      </w: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 xml:space="preserve">Residential Quality Maintenance </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One of the strategies outlined in the Strategic Plan HVAC chapter is to create a better linkage between the CEC’s Title 24 compliance efforts with the IOUs energy efficiency programs.  Previous efforts have been managed with different yet consistent purposes.  The IOU’s will continue the market transformation goals of the Strategic Plan; the IOUs will support CEC and CPUC efforts to develop one common effort.  </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 In order to support the need for increased code compliance, the program will cooperate with CEC training and enforcement activities targeted at local building departments.  Such activities will also be used to promote the economic and performance benefits of QI/QM.  The program will also coordinate its activities with IOU local government partnerships and third-party programs, to ensure that code compliance could become integrated into these programs.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One of the strategies outlined in the Strategic Plan HVAC chapter is to create a better linkage between the CEC’s Title 24 compliance efforts with the IOU energy efficiency programs.  Previous efforts have been managed with different, yet consistent purposes.  In order to achieve the market transformation goals of the Strategic Plan, the IOUs will support CEC and CPUC attempts to develop one common effort.  Interaction with other IOU programs will be coordinated through the adaptive management process described above.  Within this process, a Joint HVAC/Emerging Technologies/Codes and Standards Program Management Team (“Joint Program Management Team”) will be established to ensure that the individual program efforts are aligned and progressing towards the same near and long-term goals.   </w:t>
      </w:r>
    </w:p>
    <w:p w:rsidR="00513B47" w:rsidRDefault="00513B47" w:rsidP="003408F4">
      <w:pPr>
        <w:tabs>
          <w:tab w:val="num" w:pos="0"/>
        </w:tabs>
        <w:spacing w:after="0" w:line="240" w:lineRule="auto"/>
        <w:rPr>
          <w:rFonts w:ascii="Times New Roman" w:hAnsi="Times New Roman"/>
          <w:sz w:val="24"/>
        </w:rPr>
      </w:pPr>
    </w:p>
    <w:p w:rsidR="00C32735" w:rsidRDefault="00C32735" w:rsidP="003408F4">
      <w:pPr>
        <w:tabs>
          <w:tab w:val="num" w:pos="0"/>
        </w:tabs>
        <w:spacing w:after="0" w:line="240" w:lineRule="auto"/>
        <w:rPr>
          <w:rFonts w:ascii="Times New Roman" w:hAnsi="Times New Roman"/>
          <w:sz w:val="24"/>
        </w:rPr>
      </w:pPr>
    </w:p>
    <w:p w:rsidR="00C32735" w:rsidRPr="00600E6F" w:rsidRDefault="00C32735"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5"/>
        </w:numPr>
        <w:tabs>
          <w:tab w:val="clear" w:pos="2160"/>
          <w:tab w:val="num" w:pos="720"/>
        </w:tabs>
        <w:spacing w:after="0" w:line="240" w:lineRule="auto"/>
        <w:ind w:left="0" w:firstLine="360"/>
        <w:rPr>
          <w:rFonts w:ascii="Times New Roman" w:hAnsi="Times New Roman"/>
          <w:b/>
          <w:sz w:val="24"/>
        </w:rPr>
      </w:pPr>
      <w:r w:rsidRPr="00600E6F">
        <w:rPr>
          <w:rFonts w:ascii="Times New Roman" w:hAnsi="Times New Roman"/>
          <w:b/>
          <w:sz w:val="24"/>
        </w:rPr>
        <w:t>Similar IOU and POU programs</w:t>
      </w: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lastRenderedPageBreak/>
        <w:t>As a result of increased federal equipment efficiency standards, many utilities across the country have begun to offer service-based programs that independently offer measures such as RCA and Duct Sealing. It is expected that the HVAC QM Program could stimulate a paradigm shift through its delivery of a comprehensive suite of maintenance services that comply with or exceed ACCA industry standards (premium maintenance) designed to address the full range of efficiency measures available for residential HVAC systems.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The ENERGY STAR®® Residential QI program was introduced in early 2008. Several utilities, including Oncor, National Grid, Nstar, and Puget Sound Energy, are either offering or planning to offer this program.  Both PG&amp;E and SCE piloted the program in 2006 and 2007 respectively, and the program continued in SCE’s territory from 2009 to 2012. SDG&amp;E launched the program in 2010.  Such program design, however, was found to be non cost ineffective, prompting a need to arrive at a new program design that can be cost effective and meet market transformation objectives at the same time.  In order to promote the holistic approach proposed herein, the California IOUs propose to initiate a Statewide IOU/POU coordinating group — perhaps under the auspices of CEE or some other umbrella organization — to discuss and implement HVAC program best practices that advance the goals of the Strategic Plan throughout California.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POUs manage many different types of HVAC programs. However, none of them seeks to accomplish the aggressive market transformation goals being proposed by the IOUs.  During the 2010-2012 program cycle, the IOUs will seek to increase their interactions with the POUs to better align IOU and POU HVAC programs.  This involved the creation of periodic Western HVAC Performance Alliance activities with POUs to increase awareness of the Strategic Plan and how programs could and should be designed to help meet its aggressive targets.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pStyle w:val="Heading20"/>
        <w:tabs>
          <w:tab w:val="num" w:pos="0"/>
        </w:tabs>
        <w:ind w:left="0" w:firstLine="0"/>
        <w:outlineLvl w:val="0"/>
        <w:rPr>
          <w:b/>
        </w:rPr>
      </w:pPr>
      <w:r w:rsidRPr="00600E6F">
        <w:rPr>
          <w:b/>
        </w:rPr>
        <w:t>b)</w:t>
      </w:r>
      <w:r w:rsidRPr="00600E6F">
        <w:rPr>
          <w:b/>
        </w:rPr>
        <w:tab/>
      </w:r>
      <w:r w:rsidRPr="00600E6F">
        <w:rPr>
          <w:b/>
          <w:u w:val="single"/>
        </w:rPr>
        <w:t>Program delivery and coordination</w:t>
      </w:r>
    </w:p>
    <w:p w:rsidR="00513B47" w:rsidRPr="00600E6F" w:rsidRDefault="00513B47" w:rsidP="003408F4">
      <w:pPr>
        <w:tabs>
          <w:tab w:val="num" w:pos="0"/>
        </w:tabs>
        <w:spacing w:after="0" w:line="240" w:lineRule="auto"/>
        <w:outlineLvl w:val="0"/>
        <w:rPr>
          <w:rFonts w:ascii="Times New Roman" w:hAnsi="Times New Roman"/>
          <w:sz w:val="24"/>
        </w:rPr>
      </w:pPr>
      <w:r w:rsidRPr="00600E6F">
        <w:rPr>
          <w:rFonts w:ascii="Times New Roman" w:hAnsi="Times New Roman"/>
          <w:sz w:val="24"/>
        </w:rPr>
        <w:t>The program will be coordinated with the following activities:</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sz w:val="24"/>
        </w:rPr>
      </w:pPr>
      <w:r w:rsidRPr="00600E6F">
        <w:rPr>
          <w:rFonts w:ascii="Times New Roman" w:hAnsi="Times New Roman"/>
          <w:sz w:val="24"/>
        </w:rPr>
        <w:t xml:space="preserve">Emerging Technologies program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Residential HVAC QM Program is expected to interact with the ET Program to ensure the proper focus on remote and on-board diagnostic equipment. Coordination activities will be realized through the Program ongoing statewide coordination among programs and across IOUs.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outlineLvl w:val="0"/>
        <w:rPr>
          <w:rFonts w:ascii="Times New Roman" w:hAnsi="Times New Roman"/>
          <w:sz w:val="24"/>
        </w:rPr>
      </w:pPr>
      <w:r w:rsidRPr="00600E6F">
        <w:rPr>
          <w:rFonts w:ascii="Times New Roman" w:hAnsi="Times New Roman"/>
          <w:sz w:val="24"/>
        </w:rPr>
        <w:t>N/A (this program does not seek to influence emerging technologies).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program is expected to interact with the Emerging Technologies Program to ensure the proper focus on remote and on-board diagnostic equipment. Coordination of HVAC, Codes and Standards and Emerging Technologies activities will be realized through an inter-utility program management team (consisting of the appropriate program managers from the four IOUs) that meets on a quarterly basis to discuss program integration and implementation issues.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lastRenderedPageBreak/>
        <w:t xml:space="preserve">Codes and Standards program </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This service-based program is not much affected or regulated by building codes, except in the possible case of a participating contractor installs 40 or more feet of new ducting as part of the Advanced Air Flow Correction measure.  Program to help support proper permit compliance, the program requires the reporting of any applicable permit number in such cases or any other case that may require a permit as a result of work performed through the program.  Additionally, to further support proper compliance with all permitting and licensing requirements, the program requires that both the customer and the contractor certify that all permitting and licensing requirements were followed before any program incentives would be paid.</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Efforts will be coordinated to ensure that a consistent message is delivered regarding code compliance and QI. Codes and Standards will take the lead on compliance items, while the Residential Quality Installation Development will take the lead on QI efforts but will leverage similar delivery channels to increase effectiveness. Additionally, coordination activities will be realized through the Joint IOU Program Management Team.</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responsibility for HVAC codes and standards issues has been given to the Statewide Codes and Standards Program.  This will ensure that the code-based solutions are consistent with that program’s other activities.  Section 6 of the Codes and Standards PIP describes the specific actions that the program will employ to address HVAC. HVAC, Codes and Standards, and Emerging Technologies activities will be coordinated through the Joint Program Management Team.</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WE&amp;T efforts</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Participating contractors are required to attend program-specific QM training in order to participate in the program.  </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Participating contractors are required to attend program-specific QI training in order to participate in the program.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WE&amp;T needs for the HVAC industry are unique to the industry. Therefore, the IOUs have decided to place the responsibility of managing the effort under the Statewide IOU WE&amp;T Program umbrella. However, the HVAC WE&amp;T activity is coordinated with the Statewide activity to ensure that the individual efforts are complementary (e.g., HVAC training information is integrated in the WE&amp;T web portal).</w:t>
      </w:r>
    </w:p>
    <w:p w:rsidR="00CF710C" w:rsidRDefault="00CF710C" w:rsidP="003408F4">
      <w:pPr>
        <w:tabs>
          <w:tab w:val="num" w:pos="0"/>
        </w:tabs>
        <w:spacing w:after="0" w:line="240" w:lineRule="auto"/>
        <w:rPr>
          <w:rFonts w:ascii="Times New Roman" w:hAnsi="Times New Roman"/>
          <w:sz w:val="24"/>
        </w:rPr>
      </w:pPr>
    </w:p>
    <w:p w:rsidR="00CF710C" w:rsidRPr="00600E6F" w:rsidRDefault="00CF710C"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 xml:space="preserve">Program-specific marketing and outreach efforts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 and 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lastRenderedPageBreak/>
        <w:t>Utility-branded marketing support for participating contractors is provided to advance statewide QM efforts. Such support may include exclusive promotion on IOU websites, brochures and other leave-behind materials that contractors can use to promote QM and their involvement with the program. As mentioned above, the program will continue to work with industry and participating contractors for additional methods to promote the program and the value of QM, and if warranted by such feedback, the program may explore providing additional general promotional materials such as point-of-purchase displays for equipment dealers. Additional supporting outreach will include QM and QI content on IOU websites and the statewide ME&amp;O program, which will build general awareness and educate customers about energy management and provide a touch point for local marketing efforts related to QM and QI. (Specific IOU budget information for program-specific marketing activity is provided in Table 1).</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Targeted campaigns use segmentation analyses, self-selection activities, and event-based knowledge of customer actions to provide residential customers and small businesses with integrated and program-specific solutions that are relevant to their needs. Additionally, program-specific marketing and outreach activities are necessary to drive participation and attain program goals.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Such support may include exclusive promotion on IOU websites, brochures, and other leave-behind materials that contractors can use to promote QI/QM and their involvement with the program.  Additional general promotional materials such as point-of-sale displays for equipment dealers will also be developed. (Specific IOU budget information for this marketing activity is provided in Table 1, above.)</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 xml:space="preserve">Non-energy activities of program </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direct energy benefits of the program result from the quality maintenance of HVAC systems.  Other activities will be required to support these energy savings goals, as well as the program’s market transformation goals. These activities include significant efforts in program design, systems development, contractor training and consumer marketing. Additionally, some incentive measures within the program, such as the QM-standard Basic Assessment and QM-standard optional Preventive Maintenance Service Agreement, have been specifically designed to support market transformation. Finally, by implementing combustion appliance safety evaluation and testing, the program improves customer health and safety.</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The direct energy benefits of the program result from the quality installation of central air conditioning systems. Other activities will be required to support these energy savings goals.  These activities include significant efforts in contractor training and consumer marketing. </w:t>
      </w:r>
    </w:p>
    <w:p w:rsidR="00513B47" w:rsidRDefault="00513B47" w:rsidP="003408F4">
      <w:pPr>
        <w:tabs>
          <w:tab w:val="num" w:pos="0"/>
        </w:tabs>
        <w:spacing w:after="0" w:line="240" w:lineRule="auto"/>
        <w:rPr>
          <w:rFonts w:ascii="Times New Roman" w:hAnsi="Times New Roman"/>
          <w:sz w:val="24"/>
        </w:rPr>
      </w:pPr>
    </w:p>
    <w:p w:rsidR="00CF710C" w:rsidRPr="00600E6F" w:rsidRDefault="00CF710C" w:rsidP="003408F4">
      <w:pPr>
        <w:tabs>
          <w:tab w:val="num" w:pos="0"/>
        </w:tabs>
        <w:spacing w:after="0" w:line="240" w:lineRule="auto"/>
        <w:rPr>
          <w:rFonts w:ascii="Times New Roman" w:hAnsi="Times New Roman"/>
          <w:sz w:val="24"/>
        </w:rPr>
      </w:pPr>
    </w:p>
    <w:p w:rsidR="00AB6727" w:rsidRPr="00D737C2" w:rsidRDefault="00AB6727" w:rsidP="003408F4">
      <w:pPr>
        <w:tabs>
          <w:tab w:val="num" w:pos="0"/>
        </w:tabs>
        <w:spacing w:after="0" w:line="240" w:lineRule="auto"/>
        <w:rPr>
          <w:rFonts w:ascii="Times New Roman" w:hAnsi="Times New Roman"/>
          <w:sz w:val="24"/>
          <w:szCs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The direct energy benefits of the program result from the quality installation and maintenance of HVAC systems. Other activities will be required to support these energy savings goals. These </w:t>
      </w:r>
      <w:r w:rsidRPr="00600E6F">
        <w:rPr>
          <w:rFonts w:ascii="Times New Roman" w:hAnsi="Times New Roman"/>
          <w:sz w:val="24"/>
        </w:rPr>
        <w:lastRenderedPageBreak/>
        <w:t xml:space="preserve">activities include significant efforts in program design and coordination, technology evaluation and integration, contractor training and consumer marketing.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 xml:space="preserve">Non-IOU Programs </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program interacts with the HVAC industry to continue to develop and introduce increasingly stronger QM standards that ensure systems are operating in their most efficient state.</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outlineLvl w:val="0"/>
        <w:rPr>
          <w:rFonts w:ascii="Times New Roman" w:hAnsi="Times New Roman"/>
          <w:sz w:val="24"/>
        </w:rPr>
      </w:pPr>
      <w:r w:rsidRPr="00600E6F">
        <w:rPr>
          <w:rFonts w:ascii="Times New Roman" w:hAnsi="Times New Roman"/>
          <w:sz w:val="24"/>
        </w:rPr>
        <w:t>Collaboration with local programs will synergize the program delivery.</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program will remain engaged with CEC, the California Air Resources Board (CARB), DOE, and other government agencies responsible for regulating various aspects of HVAC equipment, HVAC industry-driven initiatives such as NATE and the HVACR &amp; Plumbing Instructors Workshop, and private/public partnerships such as Skills U.S.A.</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 xml:space="preserve">CEC work on EPIC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program continues to coordinate with the ET Program to ensure the proper focus on remote and on-board diagnostic equipment program</w:t>
      </w: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outlineLvl w:val="0"/>
        <w:rPr>
          <w:rFonts w:ascii="Times New Roman" w:hAnsi="Times New Roman"/>
          <w:sz w:val="24"/>
        </w:rPr>
      </w:pPr>
      <w:r w:rsidRPr="00600E6F">
        <w:rPr>
          <w:rFonts w:ascii="Times New Roman" w:hAnsi="Times New Roman"/>
          <w:sz w:val="24"/>
        </w:rPr>
        <w:t>N/A (this program does not seek to influence emerging technologies.)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program will interact with the Emerging Technologies Program to ensure the proper focus on remote and on-board diagnostic equipment. Such efforts are already underway with the EPIC Program. This activity will primarily be managed under the Technology and System Diagnostics Advocacy Program (see the sub-program PIP for more details).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 xml:space="preserve">CEC work on codes and standards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responsibility for HVAC codes and standards issues has been given to the Statewide Codes and Standards Program. This will ensure that the code-based solutions are consistent with that program’s other activities.  Section 6 of the Codes and Standards PIP describes the specific actions that the program will employ to address HVAC. HVAC, Codes and Standards, and Emerging Technologies activities will be coordinated through the Joint Program Management Team.</w:t>
      </w:r>
    </w:p>
    <w:p w:rsidR="00513B47" w:rsidRDefault="00513B47" w:rsidP="003408F4">
      <w:pPr>
        <w:tabs>
          <w:tab w:val="num" w:pos="0"/>
        </w:tabs>
        <w:spacing w:after="0" w:line="240" w:lineRule="auto"/>
        <w:outlineLvl w:val="0"/>
        <w:rPr>
          <w:rFonts w:ascii="Times New Roman" w:hAnsi="Times New Roman"/>
          <w:sz w:val="24"/>
          <w:szCs w:val="24"/>
        </w:rPr>
      </w:pPr>
    </w:p>
    <w:p w:rsidR="00CF710C" w:rsidRDefault="00CF710C" w:rsidP="003408F4">
      <w:pPr>
        <w:tabs>
          <w:tab w:val="num" w:pos="0"/>
        </w:tabs>
        <w:spacing w:after="0" w:line="240" w:lineRule="auto"/>
        <w:outlineLvl w:val="0"/>
        <w:rPr>
          <w:rFonts w:ascii="Times New Roman" w:hAnsi="Times New Roman"/>
          <w:sz w:val="24"/>
          <w:szCs w:val="24"/>
        </w:rPr>
      </w:pPr>
    </w:p>
    <w:p w:rsidR="00513B47" w:rsidRPr="00600E6F" w:rsidRDefault="00513B47" w:rsidP="003408F4">
      <w:pPr>
        <w:tabs>
          <w:tab w:val="num" w:pos="0"/>
        </w:tabs>
        <w:spacing w:after="0" w:line="240" w:lineRule="auto"/>
        <w:outlineLvl w:val="0"/>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lastRenderedPageBreak/>
        <w:t>In a similar manner as with the Codes and Standards Program, the Residential QI Program will work in cooperation with CEC training and compliance efforts targeted at local building departments. The Codes and Standards Program will take the lead on this effort.</w:t>
      </w:r>
      <w:r w:rsidRPr="00600E6F">
        <w:rPr>
          <w:rStyle w:val="FootnoteReference"/>
          <w:rFonts w:ascii="Times New Roman" w:hAnsi="Times New Roman"/>
          <w:sz w:val="24"/>
        </w:rPr>
        <w:footnoteReference w:id="61"/>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 w:val="left" w:pos="2880"/>
        </w:tabs>
        <w:spacing w:after="0" w:line="240" w:lineRule="auto"/>
        <w:rPr>
          <w:rFonts w:ascii="Times New Roman" w:hAnsi="Times New Roman"/>
          <w:sz w:val="24"/>
        </w:rPr>
      </w:pPr>
      <w:r w:rsidRPr="00600E6F">
        <w:rPr>
          <w:rFonts w:ascii="Times New Roman" w:hAnsi="Times New Roman"/>
          <w:sz w:val="24"/>
        </w:rPr>
        <w:t>The responsibility for HVAC codes and standards issues has been given to the Statewide Codes and Standards Program. This will ensure that the code-based solutions are consistent with that program’s other activities. Section 6 of the Codes and Standards PIP describes the specific actions that the program will employ to address HVAC. HVAC, Codes and Standards, and Emerging Technologies activities will be coordinated through the Joint Program Management Team.</w:t>
      </w:r>
    </w:p>
    <w:p w:rsidR="00513B47" w:rsidRPr="00600E6F" w:rsidRDefault="00513B47" w:rsidP="003408F4">
      <w:pPr>
        <w:tabs>
          <w:tab w:val="num" w:pos="0"/>
        </w:tabs>
        <w:spacing w:after="0" w:line="240" w:lineRule="auto"/>
        <w:rPr>
          <w:rFonts w:ascii="Times New Roman" w:hAnsi="Times New Roman"/>
          <w:b/>
          <w:sz w:val="24"/>
        </w:rPr>
      </w:pPr>
    </w:p>
    <w:p w:rsidR="00513B47" w:rsidRPr="00600E6F" w:rsidRDefault="00513B47" w:rsidP="00C31CC0">
      <w:pPr>
        <w:numPr>
          <w:ilvl w:val="2"/>
          <w:numId w:val="93"/>
        </w:numPr>
        <w:tabs>
          <w:tab w:val="clear" w:pos="2520"/>
          <w:tab w:val="num" w:pos="0"/>
        </w:tabs>
        <w:spacing w:after="0" w:line="240" w:lineRule="auto"/>
        <w:ind w:left="0" w:firstLine="0"/>
        <w:rPr>
          <w:rFonts w:ascii="Times New Roman" w:hAnsi="Times New Roman"/>
          <w:b/>
          <w:sz w:val="24"/>
        </w:rPr>
      </w:pPr>
      <w:r w:rsidRPr="00600E6F">
        <w:rPr>
          <w:rFonts w:ascii="Times New Roman" w:hAnsi="Times New Roman"/>
          <w:b/>
          <w:sz w:val="24"/>
        </w:rPr>
        <w:t xml:space="preserve">Non-utility market initiatives </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Maintenance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The tenets of QM are being actively pursued by the HVAC industry itself.  ACCA has taken the lead in this national effort by developing various ANSI recognized QM standards.  These standards have been widely adopted throughout the industry (e.g., AHRI, ASHRAE, CEE, ENERGY STAR, Utilities).  Other organizations have also developed processes designed to improve the operating efficiency of HVAC systems (e.g., NCI).  The IOUs will remain engaged in these efforts and work to influence the development of increasingly higher standards.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outlineLvl w:val="0"/>
        <w:rPr>
          <w:rFonts w:ascii="Times New Roman" w:hAnsi="Times New Roman"/>
          <w:b/>
          <w:sz w:val="24"/>
        </w:rPr>
      </w:pPr>
      <w:r w:rsidRPr="00600E6F">
        <w:rPr>
          <w:rFonts w:ascii="Times New Roman" w:hAnsi="Times New Roman"/>
          <w:b/>
          <w:sz w:val="24"/>
        </w:rPr>
        <w:t>Residential Quality Installation Development</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The tenets of QI are being actively pursued through the HVAC industry. The Air Conditioning Contractors of America (ACCA) has taken the lead in this national effort by developing various ANSI recognized QI standards.  These standards have been widely adopted throughout the industry (e.g., AHRI, ASHRAE, CEE, </w:t>
      </w:r>
      <w:r w:rsidRPr="00600E6F">
        <w:rPr>
          <w:rFonts w:ascii="Times New Roman" w:hAnsi="Times New Roman"/>
          <w:smallCaps/>
          <w:sz w:val="24"/>
        </w:rPr>
        <w:t>ENERGY STAR®®</w:t>
      </w:r>
      <w:r w:rsidRPr="00600E6F">
        <w:rPr>
          <w:rFonts w:ascii="Times New Roman" w:hAnsi="Times New Roman"/>
          <w:sz w:val="24"/>
        </w:rPr>
        <w:t>, utilities, etc.)  The IOUs will remain engaged in these efforts and work to influence the development of increasingly higher standards.</w:t>
      </w:r>
    </w:p>
    <w:p w:rsidR="00513B47" w:rsidRPr="00600E6F" w:rsidRDefault="00513B47" w:rsidP="003408F4">
      <w:pPr>
        <w:tabs>
          <w:tab w:val="num" w:pos="0"/>
        </w:tabs>
        <w:spacing w:after="0" w:line="240" w:lineRule="auto"/>
        <w:rPr>
          <w:rFonts w:ascii="Times New Roman" w:hAnsi="Times New Roman"/>
          <w:sz w:val="24"/>
        </w:rPr>
      </w:pPr>
    </w:p>
    <w:p w:rsidR="00513B47" w:rsidRPr="00600E6F" w:rsidRDefault="00513B47" w:rsidP="003408F4">
      <w:pPr>
        <w:tabs>
          <w:tab w:val="num" w:pos="0"/>
        </w:tabs>
        <w:spacing w:after="0" w:line="240" w:lineRule="auto"/>
        <w:rPr>
          <w:rFonts w:ascii="Times New Roman" w:hAnsi="Times New Roman"/>
          <w:b/>
          <w:sz w:val="24"/>
        </w:rPr>
      </w:pPr>
      <w:r w:rsidRPr="00600E6F">
        <w:rPr>
          <w:rFonts w:ascii="Times New Roman" w:hAnsi="Times New Roman"/>
          <w:b/>
          <w:sz w:val="24"/>
        </w:rPr>
        <w:t>Western HVAC Performance Alliance</w:t>
      </w:r>
    </w:p>
    <w:p w:rsidR="00513B47" w:rsidRPr="00600E6F" w:rsidRDefault="00513B47" w:rsidP="003408F4">
      <w:pPr>
        <w:tabs>
          <w:tab w:val="num" w:pos="0"/>
        </w:tabs>
        <w:spacing w:after="0" w:line="240" w:lineRule="auto"/>
        <w:rPr>
          <w:rFonts w:ascii="Times New Roman" w:hAnsi="Times New Roman"/>
          <w:sz w:val="24"/>
        </w:rPr>
      </w:pPr>
      <w:r w:rsidRPr="00600E6F">
        <w:rPr>
          <w:rFonts w:ascii="Times New Roman" w:hAnsi="Times New Roman"/>
          <w:sz w:val="24"/>
        </w:rPr>
        <w:t xml:space="preserve">The tenets of QI/QM are being actively pursued by leaders in the HVAC industry itself.  ACCA has taken the lead in this national effort by developing various ANSI-recognized QI/QM standards.  These standards have been widely adopted throughout the industry (e.g., AHRI, ASHRAE, CEE, </w:t>
      </w:r>
      <w:r w:rsidRPr="00600E6F">
        <w:rPr>
          <w:rFonts w:ascii="Times New Roman" w:hAnsi="Times New Roman"/>
          <w:smallCaps/>
          <w:sz w:val="24"/>
        </w:rPr>
        <w:t>ENERGY STAR®®</w:t>
      </w:r>
      <w:r w:rsidRPr="00600E6F">
        <w:rPr>
          <w:rFonts w:ascii="Times New Roman" w:hAnsi="Times New Roman"/>
          <w:sz w:val="24"/>
        </w:rPr>
        <w:t>, Utilities, etc.)  Other organizations have also developed processes designed to improve the operating efficiency of HVAC systems (e.g., SMACNA, NCI).  The IOUs will remain engaged in these efforts and work to influence the development of increasingly higher standards.</w:t>
      </w:r>
    </w:p>
    <w:p w:rsidR="00513B47" w:rsidRPr="00600E6F" w:rsidRDefault="00513B47" w:rsidP="003408F4">
      <w:pPr>
        <w:spacing w:after="0" w:line="240" w:lineRule="auto"/>
        <w:ind w:left="1440"/>
        <w:rPr>
          <w:rFonts w:ascii="Times New Roman" w:hAnsi="Times New Roman"/>
          <w:sz w:val="24"/>
        </w:rPr>
      </w:pPr>
    </w:p>
    <w:p w:rsidR="00513B47" w:rsidRPr="00600E6F" w:rsidRDefault="00513B47" w:rsidP="003408F4">
      <w:pPr>
        <w:pStyle w:val="Heading20"/>
        <w:rPr>
          <w:b/>
        </w:rPr>
      </w:pPr>
      <w:r w:rsidRPr="00600E6F">
        <w:rPr>
          <w:b/>
        </w:rPr>
        <w:t>a)</w:t>
      </w:r>
      <w:r w:rsidRPr="00600E6F">
        <w:rPr>
          <w:b/>
        </w:rPr>
        <w:tab/>
      </w:r>
      <w:r w:rsidRPr="00600E6F">
        <w:rPr>
          <w:b/>
          <w:u w:val="single"/>
        </w:rPr>
        <w:t>Best Practices</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As described in Section 5.a, the IOUs had been managing RCA and Duct Sealing programs for several years and have seen that the results they delivered were uncertain. This Program has created a new standard for HVAC service-based programs through offering a more comprehensive approach that delivers reliable energy savings.  This program was developed with full industry involvement to ensure that it (1) is accepted by the industry, to ensure it meets its market transformation objectives program; (2) effectively trains service technicians to provide QM services; (3) provides the necessary quality control processes to </w:t>
      </w:r>
      <w:r w:rsidRPr="00600E6F">
        <w:rPr>
          <w:rFonts w:ascii="Times New Roman" w:hAnsi="Times New Roman"/>
          <w:sz w:val="24"/>
        </w:rPr>
        <w:lastRenderedPageBreak/>
        <w:t>ensure that the appropriate service measures are performed; (4) delivers reliable energy savings; and (5) demonstrates a clear value proposition for contractors and customers.</w:t>
      </w:r>
    </w:p>
    <w:p w:rsidR="00513B47" w:rsidRPr="00600E6F" w:rsidRDefault="00513B47" w:rsidP="003408F4">
      <w:pPr>
        <w:spacing w:after="0" w:line="240" w:lineRule="auto"/>
        <w:ind w:left="720"/>
        <w:rPr>
          <w:rFonts w:ascii="Times New Roman" w:hAnsi="Times New Roman"/>
          <w:sz w:val="24"/>
        </w:rPr>
      </w:pPr>
    </w:p>
    <w:p w:rsidR="00513B47" w:rsidRPr="00600E6F" w:rsidRDefault="00513B47" w:rsidP="003408F4">
      <w:pPr>
        <w:pStyle w:val="Heading20"/>
        <w:rPr>
          <w:b/>
        </w:rPr>
      </w:pPr>
      <w:r w:rsidRPr="00600E6F">
        <w:rPr>
          <w:b/>
        </w:rPr>
        <w:t>b)</w:t>
      </w:r>
      <w:r w:rsidRPr="00600E6F">
        <w:rPr>
          <w:b/>
        </w:rPr>
        <w:tab/>
      </w:r>
      <w:r w:rsidRPr="00600E6F">
        <w:rPr>
          <w:b/>
          <w:u w:val="single"/>
        </w:rPr>
        <w:t>Innovation</w:t>
      </w:r>
    </w:p>
    <w:p w:rsidR="00513B47" w:rsidRPr="00600E6F" w:rsidRDefault="00513B47" w:rsidP="003408F4">
      <w:pPr>
        <w:tabs>
          <w:tab w:val="num" w:pos="1440"/>
        </w:tabs>
        <w:spacing w:after="0" w:line="240" w:lineRule="auto"/>
        <w:ind w:left="720"/>
        <w:rPr>
          <w:rFonts w:ascii="Times New Roman" w:hAnsi="Times New Roman"/>
          <w:sz w:val="24"/>
        </w:rPr>
      </w:pPr>
      <w:r w:rsidRPr="00600E6F">
        <w:rPr>
          <w:rFonts w:ascii="Times New Roman" w:hAnsi="Times New Roman"/>
          <w:sz w:val="24"/>
        </w:rPr>
        <w:t>The innovation of this program exists through the adoption of a comprehensive maintenance approach based on industry-accepted standards. Traditional utility programs have delivered individual service measures such as RCA and Duct Sealing. The delivery of these measures has generated questions about their energy savings. A more comprehensive maintenance effort through this Residential HVAC QM program delivers well-documented energy savings and sets the standard for HVAC efficiency programs. Furthermore, delivering this program through active partnership with the industry increases the likelihood of its success.  Finally, innovation results through a continuous improvement process to evaluate the viability of offering additional incentives for services and other offerings that exceed established program standards (e.g., TABB, NEBB, and NCI).</w:t>
      </w:r>
    </w:p>
    <w:p w:rsidR="00513B47" w:rsidRPr="00600E6F" w:rsidRDefault="00513B47" w:rsidP="003408F4">
      <w:pPr>
        <w:tabs>
          <w:tab w:val="num" w:pos="1440"/>
        </w:tabs>
        <w:spacing w:after="0" w:line="240" w:lineRule="auto"/>
        <w:ind w:left="720"/>
        <w:rPr>
          <w:rFonts w:ascii="Times New Roman" w:hAnsi="Times New Roman"/>
          <w:sz w:val="24"/>
        </w:rPr>
      </w:pPr>
    </w:p>
    <w:p w:rsidR="00513B47" w:rsidRPr="00600E6F" w:rsidRDefault="00513B47" w:rsidP="003408F4">
      <w:pPr>
        <w:pStyle w:val="Heading20"/>
        <w:rPr>
          <w:b/>
        </w:rPr>
      </w:pPr>
      <w:r w:rsidRPr="00600E6F">
        <w:rPr>
          <w:b/>
        </w:rPr>
        <w:t>c)</w:t>
      </w:r>
      <w:r w:rsidRPr="00600E6F">
        <w:rPr>
          <w:b/>
        </w:rPr>
        <w:tab/>
      </w:r>
      <w:r w:rsidRPr="00600E6F">
        <w:rPr>
          <w:b/>
          <w:u w:val="single"/>
        </w:rPr>
        <w:t>Integrated/coordinated Demand Side Management</w:t>
      </w:r>
    </w:p>
    <w:p w:rsidR="00513B47" w:rsidRPr="00600E6F" w:rsidRDefault="00513B47" w:rsidP="003408F4">
      <w:pPr>
        <w:tabs>
          <w:tab w:val="num" w:pos="1440"/>
        </w:tabs>
        <w:spacing w:after="0" w:line="240" w:lineRule="auto"/>
        <w:ind w:left="720"/>
        <w:rPr>
          <w:rFonts w:ascii="Times New Roman" w:hAnsi="Times New Roman"/>
          <w:sz w:val="24"/>
        </w:rPr>
      </w:pPr>
      <w:r w:rsidRPr="00600E6F">
        <w:rPr>
          <w:rFonts w:ascii="Times New Roman" w:hAnsi="Times New Roman"/>
          <w:sz w:val="24"/>
        </w:rPr>
        <w:t>As with most HVAC oriented programs, the primary source of integration exists between energy efficiency and demand response activities. At a minimum, all marketing materials developed to support QM will cross promote DR to educate customers on the availability of IOU DR Programs. The required contractor training will be designed to include a discussion on DR programs and participating contractors will be required to deliver DR information as part of their customer sales efforts. The program will continue to explore closer linkages between EE and DR.</w:t>
      </w:r>
    </w:p>
    <w:p w:rsidR="00513B47" w:rsidRPr="00600E6F" w:rsidRDefault="00513B47" w:rsidP="003408F4">
      <w:pPr>
        <w:tabs>
          <w:tab w:val="num" w:pos="1440"/>
        </w:tabs>
        <w:spacing w:after="0" w:line="240" w:lineRule="auto"/>
        <w:ind w:left="720"/>
        <w:rPr>
          <w:rFonts w:ascii="Times New Roman" w:hAnsi="Times New Roman"/>
          <w:sz w:val="24"/>
        </w:rPr>
      </w:pPr>
    </w:p>
    <w:p w:rsidR="00513B47" w:rsidRPr="00600E6F" w:rsidRDefault="00513B47" w:rsidP="003408F4">
      <w:pPr>
        <w:pStyle w:val="Heading20"/>
        <w:rPr>
          <w:b/>
        </w:rPr>
      </w:pPr>
      <w:r w:rsidRPr="00600E6F">
        <w:rPr>
          <w:b/>
        </w:rPr>
        <w:t>d)</w:t>
      </w:r>
      <w:r w:rsidRPr="00600E6F">
        <w:rPr>
          <w:b/>
        </w:rPr>
        <w:tab/>
      </w:r>
      <w:r w:rsidRPr="00600E6F">
        <w:rPr>
          <w:b/>
          <w:u w:val="single"/>
        </w:rPr>
        <w:t>Integration across resource types</w:t>
      </w:r>
    </w:p>
    <w:p w:rsidR="00513B47" w:rsidRPr="00600E6F" w:rsidRDefault="00513B47" w:rsidP="003408F4">
      <w:pPr>
        <w:tabs>
          <w:tab w:val="num" w:pos="1440"/>
        </w:tabs>
        <w:spacing w:after="0" w:line="240" w:lineRule="auto"/>
        <w:ind w:left="720"/>
        <w:rPr>
          <w:rFonts w:ascii="Times New Roman" w:hAnsi="Times New Roman"/>
          <w:sz w:val="24"/>
        </w:rPr>
      </w:pPr>
      <w:r w:rsidRPr="00600E6F">
        <w:rPr>
          <w:rFonts w:ascii="Times New Roman" w:hAnsi="Times New Roman"/>
          <w:sz w:val="24"/>
        </w:rPr>
        <w:t>The program may support CARB’s efforts to regulate GHGs by providing consumer information on the phase-out of existing refrigerants and the move to zero-ODP refrigerants with the customer’s maintenance invoice. Such information would seek to influence the customer’s adoption of newer equipment by explaining the likelihood of increased maintenance costs as existing refrigerants become less available.</w:t>
      </w:r>
    </w:p>
    <w:p w:rsidR="00513B47" w:rsidRPr="00600E6F" w:rsidRDefault="00513B47" w:rsidP="003408F4">
      <w:pPr>
        <w:tabs>
          <w:tab w:val="num" w:pos="1440"/>
        </w:tabs>
        <w:spacing w:after="0" w:line="240" w:lineRule="auto"/>
        <w:rPr>
          <w:rFonts w:ascii="Times New Roman" w:hAnsi="Times New Roman"/>
          <w:sz w:val="24"/>
        </w:rPr>
      </w:pPr>
    </w:p>
    <w:p w:rsidR="00513B47" w:rsidRPr="00600E6F" w:rsidRDefault="00513B47" w:rsidP="003408F4">
      <w:pPr>
        <w:pStyle w:val="Heading20"/>
        <w:rPr>
          <w:b/>
        </w:rPr>
      </w:pPr>
      <w:r w:rsidRPr="00600E6F">
        <w:rPr>
          <w:b/>
        </w:rPr>
        <w:t>e)</w:t>
      </w:r>
      <w:r w:rsidRPr="00600E6F">
        <w:rPr>
          <w:b/>
        </w:rPr>
        <w:tab/>
      </w:r>
      <w:r w:rsidRPr="00600E6F">
        <w:rPr>
          <w:b/>
          <w:u w:val="single"/>
        </w:rPr>
        <w:t>Pilots</w:t>
      </w:r>
    </w:p>
    <w:p w:rsidR="00513B47" w:rsidRPr="00600E6F" w:rsidRDefault="00513B47" w:rsidP="003408F4">
      <w:pPr>
        <w:tabs>
          <w:tab w:val="num" w:pos="1440"/>
        </w:tabs>
        <w:spacing w:after="0" w:line="240" w:lineRule="auto"/>
        <w:ind w:left="720"/>
        <w:rPr>
          <w:rFonts w:ascii="Times New Roman" w:hAnsi="Times New Roman"/>
          <w:sz w:val="24"/>
        </w:rPr>
      </w:pPr>
      <w:r w:rsidRPr="00600E6F">
        <w:rPr>
          <w:rFonts w:ascii="Times New Roman" w:hAnsi="Times New Roman"/>
          <w:sz w:val="24"/>
        </w:rPr>
        <w:t>As with any good product/program design, pilots may be needed to test program enhancement concepts prior to full-scale launch of any enhancement. The HVAC QM Program may utilize pilots to test the implementation of program concepts, processes and the integration of ever increasing QM standards.</w:t>
      </w:r>
    </w:p>
    <w:p w:rsidR="00513B47" w:rsidRPr="00600E6F" w:rsidRDefault="00513B47" w:rsidP="003408F4">
      <w:pPr>
        <w:tabs>
          <w:tab w:val="num" w:pos="1440"/>
        </w:tabs>
        <w:spacing w:after="0" w:line="240" w:lineRule="auto"/>
        <w:rPr>
          <w:rFonts w:ascii="Times New Roman" w:hAnsi="Times New Roman"/>
          <w:sz w:val="24"/>
        </w:rPr>
      </w:pPr>
    </w:p>
    <w:p w:rsidR="00513B47" w:rsidRPr="00600E6F" w:rsidRDefault="00513B47" w:rsidP="003408F4">
      <w:pPr>
        <w:pStyle w:val="Heading20"/>
        <w:rPr>
          <w:b/>
        </w:rPr>
      </w:pPr>
      <w:r w:rsidRPr="00600E6F">
        <w:rPr>
          <w:b/>
        </w:rPr>
        <w:t>f)</w:t>
      </w:r>
      <w:r w:rsidRPr="00600E6F">
        <w:rPr>
          <w:b/>
        </w:rPr>
        <w:tab/>
      </w:r>
      <w:r w:rsidRPr="00600E6F">
        <w:rPr>
          <w:b/>
          <w:u w:val="single"/>
        </w:rPr>
        <w:t>EM&amp;V</w:t>
      </w:r>
    </w:p>
    <w:p w:rsidR="00513B47" w:rsidRPr="00600E6F" w:rsidRDefault="00513B47" w:rsidP="003408F4">
      <w:pPr>
        <w:spacing w:after="0" w:line="240" w:lineRule="auto"/>
        <w:ind w:left="720"/>
        <w:rPr>
          <w:rFonts w:ascii="Times New Roman" w:hAnsi="Times New Roman"/>
          <w:sz w:val="24"/>
        </w:rPr>
      </w:pPr>
      <w:r w:rsidRPr="00600E6F">
        <w:rPr>
          <w:rFonts w:ascii="Times New Roman" w:hAnsi="Times New Roman"/>
          <w:sz w:val="24"/>
        </w:rPr>
        <w:t xml:space="preserve">EM&amp;V for the Residential HVAC program will be managed via the EM&amp;V program. Appropriate EM&amp;V activities and detailed plans will be conducted as coordinated by the HVAC EM&amp;V Project Coordination Group (PCG) and overseen by the CPUC. </w:t>
      </w:r>
    </w:p>
    <w:p w:rsidR="00513B47" w:rsidRPr="00600E6F" w:rsidRDefault="00513B47" w:rsidP="003408F4">
      <w:pPr>
        <w:tabs>
          <w:tab w:val="left" w:pos="7680"/>
        </w:tabs>
        <w:spacing w:after="0" w:line="240" w:lineRule="auto"/>
        <w:ind w:left="720"/>
        <w:rPr>
          <w:rFonts w:ascii="Times New Roman" w:hAnsi="Times New Roman"/>
          <w:sz w:val="24"/>
        </w:rPr>
      </w:pPr>
      <w:r w:rsidRPr="00600E6F">
        <w:rPr>
          <w:rFonts w:ascii="Times New Roman" w:hAnsi="Times New Roman"/>
          <w:sz w:val="24"/>
        </w:rPr>
        <w:t xml:space="preserve"> </w:t>
      </w:r>
    </w:p>
    <w:p w:rsidR="00513B47" w:rsidRPr="00600E6F" w:rsidRDefault="00513B47" w:rsidP="003408F4">
      <w:pPr>
        <w:spacing w:after="0" w:line="240" w:lineRule="auto"/>
        <w:rPr>
          <w:rFonts w:ascii="Times New Roman" w:hAnsi="Times New Roman"/>
          <w:sz w:val="24"/>
        </w:rPr>
        <w:sectPr w:rsidR="00513B47" w:rsidRPr="00600E6F" w:rsidSect="00513B65">
          <w:headerReference w:type="default" r:id="rId52"/>
          <w:footerReference w:type="even" r:id="rId53"/>
          <w:footerReference w:type="default" r:id="rId54"/>
          <w:pgSz w:w="12240" w:h="15840"/>
          <w:pgMar w:top="1440" w:right="1440" w:bottom="1260" w:left="1170" w:header="720" w:footer="720" w:gutter="0"/>
          <w:cols w:space="720"/>
          <w:docGrid w:linePitch="360"/>
        </w:sectPr>
      </w:pPr>
    </w:p>
    <w:p w:rsidR="00513B47" w:rsidRPr="00D737C2" w:rsidRDefault="00513B47" w:rsidP="00C32735">
      <w:pPr>
        <w:pStyle w:val="Heading10"/>
      </w:pPr>
      <w:r w:rsidRPr="00D737C2">
        <w:lastRenderedPageBreak/>
        <w:t>7)</w:t>
      </w:r>
      <w:r w:rsidRPr="00D737C2">
        <w:tab/>
        <w:t xml:space="preserve">Diagram of Program   </w:t>
      </w:r>
    </w:p>
    <w:p w:rsidR="00513B47" w:rsidRPr="00600E6F" w:rsidRDefault="00513B47" w:rsidP="003408F4">
      <w:pPr>
        <w:spacing w:after="0" w:line="240" w:lineRule="auto"/>
        <w:rPr>
          <w:rFonts w:ascii="Times New Roman" w:hAnsi="Times New Roman"/>
          <w:sz w:val="24"/>
        </w:rPr>
      </w:pPr>
    </w:p>
    <w:p w:rsidR="00513B47" w:rsidRPr="00600E6F" w:rsidRDefault="008D705C" w:rsidP="003408F4">
      <w:pPr>
        <w:spacing w:after="0" w:line="240" w:lineRule="auto"/>
        <w:rPr>
          <w:rFonts w:ascii="Times New Roman" w:hAnsi="Times New Roman"/>
          <w:sz w:val="24"/>
        </w:rPr>
      </w:pPr>
      <w:r>
        <w:rPr>
          <w:rFonts w:ascii="Times New Roman" w:hAnsi="Times New Roman"/>
          <w:noProof/>
        </w:rPr>
        <w:drawing>
          <wp:anchor distT="0" distB="0" distL="114300" distR="114300" simplePos="0" relativeHeight="251653632" behindDoc="0" locked="0" layoutInCell="1" allowOverlap="1" wp14:anchorId="2345FDE8" wp14:editId="4F2A810D">
            <wp:simplePos x="0" y="0"/>
            <wp:positionH relativeFrom="column">
              <wp:posOffset>-342900</wp:posOffset>
            </wp:positionH>
            <wp:positionV relativeFrom="paragraph">
              <wp:posOffset>0</wp:posOffset>
            </wp:positionV>
            <wp:extent cx="7658100" cy="5138420"/>
            <wp:effectExtent l="0" t="0" r="0" b="0"/>
            <wp:wrapNone/>
            <wp:docPr id="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7658100" cy="5138420"/>
                    </a:xfrm>
                    <a:prstGeom prst="rect">
                      <a:avLst/>
                    </a:prstGeom>
                    <a:noFill/>
                    <a:ln w="9525">
                      <a:noFill/>
                      <a:miter lim="800000"/>
                      <a:headEnd/>
                      <a:tailEnd/>
                    </a:ln>
                  </pic:spPr>
                </pic:pic>
              </a:graphicData>
            </a:graphic>
          </wp:anchor>
        </w:drawing>
      </w:r>
    </w:p>
    <w:p w:rsidR="00513B47" w:rsidRPr="00600E6F" w:rsidRDefault="00513B47" w:rsidP="003408F4">
      <w:pPr>
        <w:spacing w:after="0" w:line="240" w:lineRule="auto"/>
        <w:rPr>
          <w:rFonts w:ascii="Times New Roman" w:hAnsi="Times New Roman"/>
          <w:sz w:val="24"/>
        </w:rPr>
        <w:sectPr w:rsidR="00513B47" w:rsidRPr="00600E6F" w:rsidSect="003425E2">
          <w:pgSz w:w="15840" w:h="12240" w:orient="landscape" w:code="1"/>
          <w:pgMar w:top="1800" w:right="1440" w:bottom="1800" w:left="1440" w:header="720" w:footer="720" w:gutter="0"/>
          <w:cols w:space="720"/>
          <w:docGrid w:linePitch="360"/>
        </w:sectPr>
      </w:pPr>
    </w:p>
    <w:p w:rsidR="00513B47" w:rsidRPr="00D737C2" w:rsidRDefault="00513B47" w:rsidP="00C32735">
      <w:pPr>
        <w:pStyle w:val="Heading10"/>
      </w:pPr>
      <w:r w:rsidRPr="00D737C2">
        <w:lastRenderedPageBreak/>
        <w:t>8)</w:t>
      </w:r>
      <w:r w:rsidRPr="00D737C2">
        <w:tab/>
        <w:t>Program Logic Model</w:t>
      </w:r>
    </w:p>
    <w:p w:rsidR="00513B47" w:rsidRPr="00600E6F" w:rsidRDefault="00513B47" w:rsidP="003408F4">
      <w:pPr>
        <w:spacing w:after="0" w:line="240" w:lineRule="auto"/>
        <w:rPr>
          <w:rFonts w:ascii="Times New Roman" w:hAnsi="Times New Roman"/>
          <w:color w:val="000000"/>
          <w:sz w:val="24"/>
        </w:rPr>
      </w:pPr>
    </w:p>
    <w:p w:rsidR="00513B47" w:rsidRPr="00600E6F" w:rsidRDefault="00513B47" w:rsidP="003408F4">
      <w:pPr>
        <w:spacing w:after="0" w:line="240" w:lineRule="auto"/>
        <w:rPr>
          <w:rFonts w:ascii="Times New Roman" w:hAnsi="Times New Roman"/>
          <w:color w:val="000000"/>
          <w:sz w:val="24"/>
        </w:rPr>
      </w:pPr>
      <w:r w:rsidRPr="00600E6F">
        <w:rPr>
          <w:rFonts w:ascii="Times New Roman" w:hAnsi="Times New Roman"/>
          <w:color w:val="000000"/>
          <w:sz w:val="24"/>
        </w:rPr>
        <w:t xml:space="preserve">Note: On 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w:t>
      </w:r>
    </w:p>
    <w:p w:rsidR="00513B47" w:rsidRPr="00600E6F" w:rsidRDefault="00513B47" w:rsidP="003408F4">
      <w:pPr>
        <w:spacing w:after="0" w:line="240" w:lineRule="auto"/>
        <w:rPr>
          <w:rFonts w:ascii="Times New Roman" w:hAnsi="Times New Roman"/>
          <w:color w:val="000000"/>
          <w:sz w:val="24"/>
        </w:rPr>
      </w:pPr>
    </w:p>
    <w:p w:rsidR="00513B47" w:rsidRPr="00D737C2" w:rsidRDefault="00513B47" w:rsidP="00C32735">
      <w:pPr>
        <w:pStyle w:val="Heading10"/>
      </w:pPr>
      <w:r w:rsidRPr="00D737C2">
        <w:t>Market Transformation Information</w:t>
      </w:r>
    </w:p>
    <w:p w:rsidR="00513B47" w:rsidRPr="00AB3CC6" w:rsidRDefault="00513B47" w:rsidP="00C32735">
      <w:pPr>
        <w:pStyle w:val="Heading10"/>
      </w:pPr>
    </w:p>
    <w:p w:rsidR="00513B47" w:rsidRPr="00600E6F" w:rsidRDefault="00513B47" w:rsidP="00C31CC0">
      <w:pPr>
        <w:numPr>
          <w:ilvl w:val="0"/>
          <w:numId w:val="150"/>
        </w:numPr>
        <w:ind w:left="900" w:hanging="540"/>
        <w:rPr>
          <w:rFonts w:ascii="Times New Roman" w:hAnsi="Times New Roman"/>
          <w:b/>
          <w:sz w:val="24"/>
        </w:rPr>
      </w:pPr>
      <w:r w:rsidRPr="00600E6F">
        <w:rPr>
          <w:rFonts w:ascii="Times New Roman" w:hAnsi="Times New Roman"/>
          <w:b/>
          <w:sz w:val="24"/>
        </w:rPr>
        <w:t>Summary of the market transformation objectives of the program:</w:t>
      </w:r>
    </w:p>
    <w:p w:rsidR="00513B47" w:rsidRPr="00600E6F" w:rsidRDefault="00513B47" w:rsidP="003408F4">
      <w:pPr>
        <w:autoSpaceDE w:val="0"/>
        <w:autoSpaceDN w:val="0"/>
        <w:adjustRightInd w:val="0"/>
        <w:spacing w:after="0" w:line="240" w:lineRule="auto"/>
        <w:ind w:left="720"/>
        <w:rPr>
          <w:rFonts w:ascii="Times New Roman" w:hAnsi="Times New Roman"/>
          <w:color w:val="000000"/>
          <w:sz w:val="24"/>
        </w:rPr>
      </w:pPr>
      <w:r w:rsidRPr="00600E6F">
        <w:rPr>
          <w:rFonts w:ascii="Times New Roman" w:hAnsi="Times New Roman"/>
          <w:color w:val="000000"/>
          <w:sz w:val="24"/>
        </w:rPr>
        <w:t>The Residential HVAC Program is a Statewide program that will continue the transformation process of California’s HVAC market to ensure that:</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HVAC technology, equipment, installation, and maintenance are of the highest quality;</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Quality installation and maintenance practices are easily recognized and requested by customers;</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The HVAC value chain is educated and understands their involvement with energy efficiency and peak load reduction; and</w:t>
      </w:r>
    </w:p>
    <w:p w:rsidR="00513B47" w:rsidRPr="00600E6F" w:rsidRDefault="00513B47" w:rsidP="00C31CC0">
      <w:pPr>
        <w:numPr>
          <w:ilvl w:val="0"/>
          <w:numId w:val="2"/>
        </w:numPr>
        <w:autoSpaceDE w:val="0"/>
        <w:autoSpaceDN w:val="0"/>
        <w:adjustRightInd w:val="0"/>
        <w:spacing w:after="0" w:line="240" w:lineRule="auto"/>
        <w:rPr>
          <w:rFonts w:ascii="Times New Roman" w:hAnsi="Times New Roman"/>
          <w:color w:val="000000"/>
          <w:sz w:val="24"/>
        </w:rPr>
      </w:pPr>
      <w:r w:rsidRPr="00600E6F">
        <w:rPr>
          <w:rFonts w:ascii="Times New Roman" w:hAnsi="Times New Roman"/>
          <w:color w:val="000000"/>
          <w:sz w:val="24"/>
        </w:rPr>
        <w:t xml:space="preserve">The above changes lead to sustained profitability for HVAC trade allies as the business model for installing and maintaining heating and cooling systems changes from a commodity-based to a value-added service business. </w:t>
      </w:r>
    </w:p>
    <w:p w:rsidR="00853C98" w:rsidRPr="00600E6F" w:rsidRDefault="00853C98" w:rsidP="00853C98">
      <w:pPr>
        <w:spacing w:after="0" w:line="240" w:lineRule="auto"/>
        <w:ind w:left="907"/>
        <w:rPr>
          <w:rFonts w:ascii="Times New Roman" w:hAnsi="Times New Roman"/>
          <w:sz w:val="24"/>
        </w:rPr>
      </w:pPr>
    </w:p>
    <w:p w:rsidR="00513B47" w:rsidRPr="00600E6F" w:rsidRDefault="00513B47" w:rsidP="00853C98">
      <w:pPr>
        <w:spacing w:after="0" w:line="240" w:lineRule="auto"/>
        <w:ind w:left="907"/>
        <w:rPr>
          <w:rFonts w:ascii="Times New Roman" w:hAnsi="Times New Roman"/>
          <w:sz w:val="24"/>
        </w:rPr>
      </w:pPr>
      <w:r w:rsidRPr="00600E6F">
        <w:rPr>
          <w:rFonts w:ascii="Times New Roman" w:hAnsi="Times New Roman"/>
          <w:sz w:val="24"/>
        </w:rPr>
        <w:t>Description of the market, including identification of the relevant market actors and the relationships among them:</w:t>
      </w:r>
      <w:r w:rsidRPr="00600E6F">
        <w:rPr>
          <w:rFonts w:ascii="Times New Roman" w:hAnsi="Times New Roman"/>
          <w:sz w:val="24"/>
        </w:rPr>
        <w:br/>
      </w:r>
    </w:p>
    <w:p w:rsidR="00513B47" w:rsidRPr="00600E6F" w:rsidRDefault="00513B47" w:rsidP="00853C98">
      <w:pPr>
        <w:spacing w:after="0" w:line="240" w:lineRule="auto"/>
        <w:ind w:left="907"/>
        <w:rPr>
          <w:rFonts w:ascii="Times New Roman" w:hAnsi="Times New Roman"/>
          <w:sz w:val="24"/>
        </w:rPr>
      </w:pPr>
      <w:r w:rsidRPr="00600E6F">
        <w:rPr>
          <w:rFonts w:ascii="Times New Roman" w:hAnsi="Times New Roman"/>
          <w:sz w:val="24"/>
        </w:rPr>
        <w:t xml:space="preserve">The Residential HVAC market for maintenance and installation is largely a market designed to offer these services at the lowest price to meet acute needs, rather than one with product differentiation by quality that is designed to meet the long-term needs of customers in terms of thermal comfort, indoor air quality, and thermal comfort.  </w:t>
      </w:r>
    </w:p>
    <w:p w:rsidR="00853C98" w:rsidRPr="00600E6F" w:rsidRDefault="00853C98" w:rsidP="003408F4">
      <w:pPr>
        <w:pStyle w:val="ListParagraph"/>
        <w:ind w:left="900"/>
        <w:rPr>
          <w:rFonts w:ascii="Times New Roman" w:hAnsi="Times New Roman"/>
          <w:sz w:val="24"/>
        </w:rPr>
      </w:pPr>
    </w:p>
    <w:p w:rsidR="00513B47" w:rsidRPr="00600E6F" w:rsidRDefault="00513B47" w:rsidP="003408F4">
      <w:pPr>
        <w:pStyle w:val="ListParagraph"/>
        <w:ind w:left="900"/>
        <w:rPr>
          <w:rFonts w:ascii="Times New Roman" w:hAnsi="Times New Roman"/>
          <w:sz w:val="24"/>
        </w:rPr>
      </w:pPr>
      <w:r w:rsidRPr="00600E6F">
        <w:rPr>
          <w:rFonts w:ascii="Times New Roman" w:hAnsi="Times New Roman"/>
          <w:sz w:val="24"/>
        </w:rPr>
        <w:t>The primary market actors are contractors, technicians, and property owners/managers.  Contractors manage the firms that provide installation and maintenance.  They set the direction for their firms in terms of what services to provide, how to provide them, and how to price them.  Technicians actually provide those services.  Thus the successful provision of the services depends on the technicians’ skill levels as well as how they respond to the constraints imposed on them by contractors.  Property owners and managers constitute the demand side of the market.  They request and pay for the services provided by the contractors’ firms.  Renters do not tend to participate in this market.</w:t>
      </w:r>
    </w:p>
    <w:p w:rsidR="00513B47" w:rsidRPr="00600E6F" w:rsidRDefault="00513B47" w:rsidP="00C31CC0">
      <w:pPr>
        <w:numPr>
          <w:ilvl w:val="0"/>
          <w:numId w:val="150"/>
        </w:numPr>
        <w:ind w:left="900" w:hanging="540"/>
        <w:rPr>
          <w:rFonts w:ascii="Times New Roman" w:hAnsi="Times New Roman"/>
          <w:sz w:val="24"/>
        </w:rPr>
      </w:pPr>
      <w:r w:rsidRPr="00600E6F">
        <w:rPr>
          <w:rFonts w:ascii="Times New Roman" w:hAnsi="Times New Roman"/>
          <w:sz w:val="24"/>
        </w:rPr>
        <w:t>Market characterization and assessment of the relationships/dynamics among market actors, including identification of the key barriers and opportunities to advance demand side management technologies and strategies:</w:t>
      </w:r>
    </w:p>
    <w:p w:rsidR="00513B47" w:rsidRPr="00600E6F" w:rsidRDefault="00513B47" w:rsidP="003408F4">
      <w:pPr>
        <w:pStyle w:val="ListParagraph"/>
        <w:ind w:left="900"/>
        <w:rPr>
          <w:rFonts w:ascii="Times New Roman" w:hAnsi="Times New Roman"/>
          <w:sz w:val="24"/>
        </w:rPr>
      </w:pPr>
      <w:r w:rsidRPr="00600E6F">
        <w:rPr>
          <w:rFonts w:ascii="Times New Roman" w:hAnsi="Times New Roman"/>
          <w:sz w:val="24"/>
        </w:rPr>
        <w:lastRenderedPageBreak/>
        <w:t xml:space="preserve">Property owners and managers often lack important information about the cost and value implications of their HVAC decisions, as well about the quality of the work that contractors’ firms can perform.  That is, there are not clear indicators of quality by which consumers can judge providers, and consumers do not have a well-defined set of goals by which to evaluate the quality of work after the fact.  This facilitates a commoditization of HVAC services whereby firms compete based on price and not on quality, which can lead to a “race to the bottom” mentality in certain segments of the market.  This lack of information is exacerbated by the highly technical nature of HVAC maintenance and installation that can confound the efforts of contractors and technicians who are attempting to do high quality work, leading to sub-optimal HVAC system performance in terms of thermal comfort, indoor air quality, and energy efficiency.  </w:t>
      </w:r>
    </w:p>
    <w:p w:rsidR="00513B47" w:rsidRPr="00600E6F" w:rsidRDefault="00513B47" w:rsidP="003408F4">
      <w:pPr>
        <w:pStyle w:val="ListParagraph"/>
        <w:ind w:left="900"/>
        <w:rPr>
          <w:rFonts w:ascii="Times New Roman" w:hAnsi="Times New Roman"/>
          <w:sz w:val="24"/>
        </w:rPr>
      </w:pPr>
    </w:p>
    <w:p w:rsidR="00513B47" w:rsidRPr="00600E6F" w:rsidRDefault="00513B47" w:rsidP="003408F4">
      <w:pPr>
        <w:pStyle w:val="ListParagraph"/>
        <w:ind w:left="900"/>
        <w:rPr>
          <w:rFonts w:ascii="Times New Roman" w:hAnsi="Times New Roman"/>
          <w:sz w:val="24"/>
        </w:rPr>
      </w:pPr>
      <w:r w:rsidRPr="00600E6F">
        <w:rPr>
          <w:rFonts w:ascii="Times New Roman" w:hAnsi="Times New Roman"/>
          <w:sz w:val="24"/>
        </w:rPr>
        <w:t>These barriers provide an important opportunity for energy efficiency programs to intervene in the market in a number of ways to facilitate high-quality work.  The first is providing a definition of quality through the promotion of standards for installation and maintenance.  Second is facilitating a business relationship between contractors and customers to promote high quality, and not just low price.  Third, the program can build the skills of technicians who perform maintenance and installation so they are able to implement those services at a high level of quality.</w:t>
      </w:r>
    </w:p>
    <w:p w:rsidR="00513B47" w:rsidRPr="00600E6F" w:rsidRDefault="00513B47" w:rsidP="00C31CC0">
      <w:pPr>
        <w:numPr>
          <w:ilvl w:val="0"/>
          <w:numId w:val="150"/>
        </w:numPr>
        <w:tabs>
          <w:tab w:val="num" w:pos="1080"/>
        </w:tabs>
        <w:ind w:left="900" w:hanging="540"/>
        <w:rPr>
          <w:rFonts w:ascii="Times New Roman" w:hAnsi="Times New Roman"/>
          <w:sz w:val="24"/>
        </w:rPr>
      </w:pPr>
      <w:r w:rsidRPr="00600E6F">
        <w:rPr>
          <w:rFonts w:ascii="Times New Roman" w:hAnsi="Times New Roman"/>
          <w:sz w:val="24"/>
        </w:rPr>
        <w:t>Description of the proposed intervention(s) and its/their intended results, including which barriers the intervention is intended to address:</w:t>
      </w:r>
    </w:p>
    <w:p w:rsidR="00513B47" w:rsidRPr="00600E6F" w:rsidRDefault="00513B47" w:rsidP="003408F4">
      <w:pPr>
        <w:pStyle w:val="ListParagraph"/>
        <w:ind w:left="900"/>
        <w:rPr>
          <w:rFonts w:ascii="Times New Roman" w:hAnsi="Times New Roman"/>
          <w:sz w:val="24"/>
        </w:rPr>
      </w:pPr>
      <w:r w:rsidRPr="00600E6F">
        <w:rPr>
          <w:rFonts w:ascii="Times New Roman" w:hAnsi="Times New Roman"/>
          <w:sz w:val="24"/>
        </w:rPr>
        <w:t xml:space="preserve">By promoting industry standards for maintenance and installation, the program helps consumers know what the characteristics of a good contractor are.  For maintenance, part of this standard is leads the customer and the contractor to define performance guidelines for thermal comfort, indoor air quality, and energy efficiency, helping make clear what the level of quality of work was after the fact.  For installation, the standards provide clear performance characteristics through such elements as load calculations.  </w:t>
      </w:r>
    </w:p>
    <w:p w:rsidR="00513B47" w:rsidRPr="00600E6F" w:rsidRDefault="00513B47" w:rsidP="003408F4">
      <w:pPr>
        <w:pStyle w:val="ListParagraph"/>
        <w:ind w:left="900"/>
        <w:rPr>
          <w:rFonts w:ascii="Times New Roman" w:hAnsi="Times New Roman"/>
          <w:sz w:val="24"/>
        </w:rPr>
      </w:pPr>
      <w:r w:rsidRPr="00600E6F">
        <w:rPr>
          <w:rFonts w:ascii="Times New Roman" w:hAnsi="Times New Roman"/>
          <w:sz w:val="24"/>
        </w:rPr>
        <w:t xml:space="preserve">The programs facilitate the creation of an ongoing business relationship between the contractor and the customer.  This provides an inducement to the contractors’ firms to provide a high-quality service that will bring long-term value to the customer, and thus long-term value to the contractor, rather than rely on winning bids with a lowest price under the assumption that there would be no more business dealings with a customer and so high quality would bring a low return.  </w:t>
      </w:r>
    </w:p>
    <w:p w:rsidR="00513B47" w:rsidRPr="00600E6F" w:rsidRDefault="00513B47" w:rsidP="003408F4">
      <w:pPr>
        <w:pStyle w:val="ListParagraph"/>
        <w:ind w:left="900"/>
        <w:rPr>
          <w:rFonts w:ascii="Times New Roman" w:hAnsi="Times New Roman"/>
          <w:sz w:val="24"/>
        </w:rPr>
      </w:pPr>
    </w:p>
    <w:p w:rsidR="00513B47" w:rsidRPr="00600E6F" w:rsidRDefault="00513B47" w:rsidP="003408F4">
      <w:pPr>
        <w:pStyle w:val="ListParagraph"/>
        <w:ind w:left="900"/>
        <w:rPr>
          <w:rFonts w:ascii="Times New Roman" w:hAnsi="Times New Roman"/>
          <w:sz w:val="24"/>
        </w:rPr>
      </w:pPr>
      <w:r w:rsidRPr="00600E6F">
        <w:rPr>
          <w:rFonts w:ascii="Times New Roman" w:hAnsi="Times New Roman"/>
          <w:sz w:val="24"/>
        </w:rPr>
        <w:t>Finally, the programs build the skills of technicians.  This enables continuing improvement in the quality of work over time.  It also provides for spillover as those contractors and technicians can provide higher quality service to their customers even outside the program to reduce energy usage.</w:t>
      </w:r>
    </w:p>
    <w:p w:rsidR="00513B47" w:rsidRPr="00600E6F" w:rsidRDefault="00513B47" w:rsidP="00C31CC0">
      <w:pPr>
        <w:numPr>
          <w:ilvl w:val="0"/>
          <w:numId w:val="150"/>
        </w:numPr>
        <w:tabs>
          <w:tab w:val="num" w:pos="1080"/>
        </w:tabs>
        <w:spacing w:after="0" w:line="240" w:lineRule="auto"/>
        <w:ind w:left="900" w:hanging="540"/>
        <w:rPr>
          <w:rFonts w:ascii="Times New Roman" w:hAnsi="Times New Roman"/>
          <w:sz w:val="24"/>
        </w:rPr>
      </w:pPr>
      <w:r w:rsidRPr="00600E6F">
        <w:rPr>
          <w:rFonts w:ascii="Times New Roman" w:hAnsi="Times New Roman"/>
          <w:sz w:val="24"/>
        </w:rPr>
        <w:lastRenderedPageBreak/>
        <w:t>Program or market logic model that ensures a solid causal relationship between the proposed intervention(s) and its/their intended results:</w:t>
      </w:r>
    </w:p>
    <w:p w:rsidR="00513B47" w:rsidRPr="00600E6F" w:rsidRDefault="00513B47" w:rsidP="008A0A65">
      <w:pPr>
        <w:spacing w:after="0" w:line="240" w:lineRule="auto"/>
        <w:ind w:hanging="90"/>
        <w:rPr>
          <w:rFonts w:ascii="Times New Roman" w:hAnsi="Times New Roman"/>
          <w:sz w:val="24"/>
        </w:rPr>
      </w:pPr>
      <w:r w:rsidRPr="00600E6F">
        <w:rPr>
          <w:rFonts w:ascii="Times New Roman" w:hAnsi="Times New Roman"/>
          <w:sz w:val="24"/>
        </w:rPr>
        <w:t xml:space="preserve"> </w:t>
      </w:r>
      <w:r w:rsidR="008D705C">
        <w:rPr>
          <w:rFonts w:ascii="Times New Roman" w:hAnsi="Times New Roman"/>
          <w:noProof/>
          <w:sz w:val="24"/>
        </w:rPr>
        <w:drawing>
          <wp:inline distT="0" distB="0" distL="0" distR="0" wp14:anchorId="742AF928" wp14:editId="2FA57742">
            <wp:extent cx="6184426" cy="4723624"/>
            <wp:effectExtent l="57150" t="0" r="63974" b="76976"/>
            <wp:docPr id="4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27"/>
                    <pic:cNvPicPr>
                      <a:picLocks noChangeAspect="1" noChangeArrowheads="1"/>
                    </pic:cNvPicPr>
                  </pic:nvPicPr>
                  <pic:blipFill>
                    <a:blip r:embed="rId56" cstate="print">
                      <a:extLst/>
                    </a:blip>
                    <a:srcRect/>
                    <a:stretch>
                      <a:fillRect/>
                    </a:stretch>
                  </pic:blipFill>
                  <pic:spPr bwMode="auto">
                    <a:xfrm>
                      <a:off x="0" y="0"/>
                      <a:ext cx="6184426" cy="4723624"/>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513B47" w:rsidRPr="00600E6F" w:rsidRDefault="00513B47" w:rsidP="003408F4">
      <w:pPr>
        <w:spacing w:after="0" w:line="240" w:lineRule="auto"/>
        <w:rPr>
          <w:rFonts w:ascii="Times New Roman" w:hAnsi="Times New Roman"/>
          <w:sz w:val="24"/>
        </w:rPr>
      </w:pPr>
    </w:p>
    <w:p w:rsidR="00513B47" w:rsidRPr="00600E6F" w:rsidRDefault="008D705C" w:rsidP="008A0A65">
      <w:pPr>
        <w:spacing w:after="0" w:line="240" w:lineRule="auto"/>
        <w:ind w:hanging="360"/>
        <w:rPr>
          <w:rFonts w:ascii="Times New Roman" w:hAnsi="Times New Roman"/>
          <w:sz w:val="24"/>
        </w:rPr>
      </w:pPr>
      <w:r>
        <w:rPr>
          <w:rFonts w:ascii="Times New Roman" w:hAnsi="Times New Roman"/>
          <w:noProof/>
          <w:sz w:val="24"/>
        </w:rPr>
        <w:lastRenderedPageBreak/>
        <w:drawing>
          <wp:inline distT="0" distB="0" distL="0" distR="0" wp14:anchorId="79DCDEE3" wp14:editId="295FA859">
            <wp:extent cx="6455612" cy="5423766"/>
            <wp:effectExtent l="57150" t="0" r="59488" b="81684"/>
            <wp:docPr id="4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30"/>
                    <pic:cNvPicPr>
                      <a:picLocks noChangeAspect="1" noChangeArrowheads="1"/>
                    </pic:cNvPicPr>
                  </pic:nvPicPr>
                  <pic:blipFill>
                    <a:blip r:embed="rId57" cstate="print">
                      <a:extLst/>
                    </a:blip>
                    <a:srcRect/>
                    <a:stretch>
                      <a:fillRect/>
                    </a:stretch>
                  </pic:blipFill>
                  <pic:spPr bwMode="auto">
                    <a:xfrm>
                      <a:off x="0" y="0"/>
                      <a:ext cx="6455612" cy="5423766"/>
                    </a:xfrm>
                    <a:prstGeom prst="rect">
                      <a:avLst/>
                    </a:prstGeom>
                    <a:noFill/>
                    <a:ln>
                      <a:noFill/>
                    </a:ln>
                    <a:effectLst>
                      <a:outerShdw blurRad="50800" dist="50800" dir="5400000" algn="ctr" rotWithShape="0">
                        <a:schemeClr val="bg1">
                          <a:lumMod val="65000"/>
                        </a:schemeClr>
                      </a:outerShdw>
                    </a:effectLst>
                  </pic:spPr>
                </pic:pic>
              </a:graphicData>
            </a:graphic>
          </wp:inline>
        </w:drawing>
      </w:r>
    </w:p>
    <w:p w:rsidR="00AA7C43" w:rsidRPr="00AA7C43" w:rsidRDefault="00513B47" w:rsidP="00AA7C43">
      <w:pPr>
        <w:spacing w:after="0" w:line="240" w:lineRule="auto"/>
        <w:jc w:val="center"/>
        <w:rPr>
          <w:rFonts w:cs="Calibri"/>
          <w:b/>
          <w:sz w:val="32"/>
          <w:szCs w:val="32"/>
        </w:rPr>
      </w:pPr>
      <w:r w:rsidRPr="00600E6F">
        <w:rPr>
          <w:rFonts w:ascii="Times New Roman" w:hAnsi="Times New Roman"/>
          <w:sz w:val="24"/>
        </w:rPr>
        <w:br w:type="page"/>
      </w:r>
      <w:r w:rsidR="00AA7C43" w:rsidRPr="00AA7C43">
        <w:rPr>
          <w:rFonts w:cs="Calibri"/>
          <w:b/>
          <w:sz w:val="32"/>
          <w:szCs w:val="32"/>
        </w:rPr>
        <w:lastRenderedPageBreak/>
        <w:t>Residential New Construction PIP</w:t>
      </w:r>
    </w:p>
    <w:p w:rsidR="00AA7C43" w:rsidRPr="00AA7C43" w:rsidRDefault="00AA7C43" w:rsidP="00AA7C43">
      <w:pPr>
        <w:spacing w:after="0" w:line="240" w:lineRule="auto"/>
        <w:jc w:val="center"/>
        <w:rPr>
          <w:rFonts w:cs="Calibri"/>
          <w:b/>
          <w:sz w:val="32"/>
          <w:szCs w:val="32"/>
        </w:rPr>
      </w:pPr>
    </w:p>
    <w:p w:rsidR="00AA7C43" w:rsidRPr="00AA7C43" w:rsidRDefault="00AA7C43" w:rsidP="00AA7C43">
      <w:pPr>
        <w:spacing w:after="0" w:line="240" w:lineRule="auto"/>
        <w:jc w:val="center"/>
        <w:rPr>
          <w:rFonts w:cs="Calibri"/>
          <w:b/>
          <w:sz w:val="24"/>
          <w:szCs w:val="24"/>
        </w:rPr>
      </w:pPr>
    </w:p>
    <w:p w:rsidR="00AA7C43" w:rsidRPr="00AA7C43" w:rsidRDefault="00AA7C43" w:rsidP="00AA7C43">
      <w:pPr>
        <w:tabs>
          <w:tab w:val="left" w:pos="360"/>
        </w:tabs>
        <w:spacing w:after="0" w:line="240" w:lineRule="auto"/>
        <w:ind w:left="360" w:hanging="360"/>
        <w:rPr>
          <w:rFonts w:cs="Calibri"/>
          <w:sz w:val="24"/>
          <w:szCs w:val="24"/>
        </w:rPr>
      </w:pPr>
      <w:r w:rsidRPr="00AA7C43">
        <w:rPr>
          <w:rFonts w:cs="Calibri"/>
          <w:b/>
          <w:sz w:val="24"/>
          <w:szCs w:val="24"/>
        </w:rPr>
        <w:t>1.</w:t>
      </w:r>
      <w:r w:rsidRPr="00AA7C43">
        <w:rPr>
          <w:rFonts w:cs="Calibri"/>
          <w:b/>
          <w:sz w:val="24"/>
          <w:szCs w:val="24"/>
        </w:rPr>
        <w:tab/>
        <w:t>Program Name:</w:t>
      </w:r>
      <w:r w:rsidRPr="00AA7C43">
        <w:rPr>
          <w:rFonts w:cs="Calibri"/>
          <w:sz w:val="24"/>
          <w:szCs w:val="24"/>
        </w:rPr>
        <w:tab/>
        <w:t>California Advanced Homes Program (CAHP)</w:t>
      </w:r>
    </w:p>
    <w:p w:rsidR="00AA7C43" w:rsidRPr="00AA7C43" w:rsidRDefault="00AA7C43" w:rsidP="00AA7C43">
      <w:pPr>
        <w:spacing w:after="0" w:line="240" w:lineRule="auto"/>
        <w:ind w:left="360"/>
        <w:rPr>
          <w:rFonts w:cs="Calibri"/>
          <w:b/>
          <w:sz w:val="24"/>
          <w:szCs w:val="24"/>
        </w:rPr>
      </w:pPr>
      <w:r w:rsidRPr="00AA7C43">
        <w:rPr>
          <w:rFonts w:cs="Calibri"/>
          <w:b/>
          <w:sz w:val="24"/>
          <w:szCs w:val="24"/>
        </w:rPr>
        <w:t>Program Type:</w:t>
      </w:r>
      <w:r w:rsidRPr="00AA7C43">
        <w:rPr>
          <w:rFonts w:cs="Calibri"/>
          <w:sz w:val="24"/>
          <w:szCs w:val="24"/>
        </w:rPr>
        <w:tab/>
        <w:t>Statewide Core</w:t>
      </w:r>
    </w:p>
    <w:p w:rsidR="00AA7C43" w:rsidRPr="00AA7C43" w:rsidRDefault="00AA7C43" w:rsidP="00AA7C43">
      <w:pPr>
        <w:spacing w:after="0" w:line="240" w:lineRule="auto"/>
        <w:ind w:left="360" w:hanging="360"/>
        <w:rPr>
          <w:rFonts w:cs="Calibri"/>
          <w:sz w:val="24"/>
          <w:szCs w:val="24"/>
        </w:rPr>
      </w:pPr>
      <w:r w:rsidRPr="00AA7C43">
        <w:rPr>
          <w:rFonts w:cs="Calibri"/>
          <w:sz w:val="24"/>
          <w:szCs w:val="24"/>
        </w:rPr>
        <w:t xml:space="preserve"> </w:t>
      </w:r>
    </w:p>
    <w:p w:rsidR="00AA7C43" w:rsidRPr="00AA7C43" w:rsidRDefault="00AA7C43" w:rsidP="00AA7C43">
      <w:pPr>
        <w:spacing w:after="0" w:line="240" w:lineRule="auto"/>
        <w:ind w:left="360" w:hanging="360"/>
        <w:rPr>
          <w:rFonts w:cs="Calibri"/>
          <w:sz w:val="24"/>
          <w:szCs w:val="24"/>
        </w:rPr>
      </w:pPr>
    </w:p>
    <w:p w:rsidR="00AA7C43" w:rsidRPr="00AA7C43" w:rsidRDefault="00AA7C43" w:rsidP="00AA7C43">
      <w:pPr>
        <w:tabs>
          <w:tab w:val="left" w:pos="360"/>
        </w:tabs>
        <w:spacing w:after="0" w:line="240" w:lineRule="auto"/>
        <w:rPr>
          <w:rFonts w:cs="Calibri"/>
          <w:b/>
          <w:sz w:val="24"/>
          <w:szCs w:val="24"/>
        </w:rPr>
      </w:pPr>
      <w:r w:rsidRPr="00AA7C43">
        <w:rPr>
          <w:rFonts w:cs="Calibri"/>
          <w:b/>
          <w:sz w:val="24"/>
          <w:szCs w:val="24"/>
        </w:rPr>
        <w:t>2.</w:t>
      </w:r>
      <w:r w:rsidRPr="00AA7C43">
        <w:rPr>
          <w:rFonts w:cs="Calibri"/>
          <w:sz w:val="24"/>
          <w:szCs w:val="24"/>
        </w:rPr>
        <w:tab/>
      </w:r>
      <w:r w:rsidRPr="00AA7C43">
        <w:rPr>
          <w:rFonts w:cs="Calibri"/>
          <w:b/>
          <w:sz w:val="24"/>
          <w:szCs w:val="24"/>
        </w:rPr>
        <w:t>Projected Program Budget Table</w:t>
      </w:r>
    </w:p>
    <w:p w:rsidR="00AA7C43" w:rsidRPr="00AA7C43" w:rsidRDefault="00AA7C43" w:rsidP="00AA7C43">
      <w:pPr>
        <w:tabs>
          <w:tab w:val="left" w:pos="360"/>
          <w:tab w:val="num" w:pos="720"/>
        </w:tabs>
        <w:spacing w:after="0" w:line="240" w:lineRule="auto"/>
        <w:rPr>
          <w:rFonts w:cs="Calibri"/>
          <w:b/>
          <w:sz w:val="24"/>
          <w:szCs w:val="24"/>
        </w:rPr>
      </w:pPr>
      <w:r w:rsidRPr="00AA7C43">
        <w:rPr>
          <w:rFonts w:cs="Calibri"/>
          <w:b/>
          <w:sz w:val="24"/>
          <w:szCs w:val="24"/>
        </w:rPr>
        <w:tab/>
        <w:t xml:space="preserve">Table 1 – </w:t>
      </w:r>
      <w:r w:rsidRPr="00AA7C43">
        <w:rPr>
          <w:rFonts w:cs="Calibri"/>
          <w:sz w:val="24"/>
          <w:szCs w:val="24"/>
        </w:rPr>
        <w:t>Reference core program for budget details.</w:t>
      </w:r>
    </w:p>
    <w:p w:rsidR="00AA7C43" w:rsidRPr="00AA7C43" w:rsidRDefault="00AA7C43" w:rsidP="00AA7C43">
      <w:pPr>
        <w:spacing w:after="0" w:line="240" w:lineRule="auto"/>
        <w:rPr>
          <w:rFonts w:cs="Calibri"/>
          <w:b/>
          <w:sz w:val="24"/>
          <w:szCs w:val="24"/>
        </w:rPr>
      </w:pPr>
    </w:p>
    <w:p w:rsidR="00AA7C43" w:rsidRPr="00AA7C43" w:rsidRDefault="00AA7C43" w:rsidP="00AA7C43">
      <w:pPr>
        <w:spacing w:after="0" w:line="240" w:lineRule="auto"/>
        <w:rPr>
          <w:rFonts w:cs="Calibri"/>
          <w:b/>
          <w:sz w:val="24"/>
          <w:szCs w:val="24"/>
        </w:rPr>
      </w:pPr>
    </w:p>
    <w:p w:rsidR="00AA7C43" w:rsidRPr="00AA7C43" w:rsidRDefault="00AA7C43" w:rsidP="00AA7C43">
      <w:pPr>
        <w:tabs>
          <w:tab w:val="left" w:pos="360"/>
        </w:tabs>
        <w:spacing w:after="0" w:line="240" w:lineRule="auto"/>
        <w:rPr>
          <w:rFonts w:cs="Calibri"/>
          <w:sz w:val="24"/>
          <w:szCs w:val="24"/>
        </w:rPr>
      </w:pPr>
      <w:r w:rsidRPr="00AA7C43">
        <w:rPr>
          <w:rFonts w:cs="Calibri"/>
          <w:b/>
          <w:sz w:val="24"/>
          <w:szCs w:val="24"/>
        </w:rPr>
        <w:t xml:space="preserve">3. </w:t>
      </w:r>
      <w:r w:rsidRPr="00AA7C43">
        <w:rPr>
          <w:rFonts w:cs="Calibri"/>
          <w:b/>
          <w:sz w:val="24"/>
          <w:szCs w:val="24"/>
        </w:rPr>
        <w:tab/>
        <w:t>Projected Program Gross Impacts Table</w:t>
      </w:r>
      <w:r w:rsidRPr="00AA7C43">
        <w:rPr>
          <w:rFonts w:cs="Calibri"/>
          <w:sz w:val="24"/>
          <w:szCs w:val="24"/>
        </w:rPr>
        <w:t xml:space="preserve"> – by calendar year  </w:t>
      </w:r>
    </w:p>
    <w:p w:rsidR="00AA7C43" w:rsidRPr="00AA7C43" w:rsidRDefault="00AA7C43" w:rsidP="00AA7C43">
      <w:pPr>
        <w:tabs>
          <w:tab w:val="left" w:pos="360"/>
          <w:tab w:val="num" w:pos="720"/>
        </w:tabs>
        <w:spacing w:after="0" w:line="240" w:lineRule="auto"/>
        <w:rPr>
          <w:rFonts w:cs="Calibri"/>
          <w:sz w:val="24"/>
          <w:szCs w:val="24"/>
        </w:rPr>
      </w:pPr>
      <w:r w:rsidRPr="00AA7C43">
        <w:rPr>
          <w:rFonts w:cs="Calibri"/>
          <w:b/>
          <w:sz w:val="24"/>
          <w:szCs w:val="24"/>
        </w:rPr>
        <w:tab/>
        <w:t xml:space="preserve">Table 2 - </w:t>
      </w:r>
      <w:r w:rsidRPr="00AA7C43">
        <w:rPr>
          <w:rFonts w:cs="Calibri"/>
          <w:sz w:val="24"/>
          <w:szCs w:val="24"/>
        </w:rPr>
        <w:t>Reference core program for projected gross impacts detail.</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sz w:val="24"/>
          <w:szCs w:val="24"/>
        </w:rPr>
      </w:pPr>
    </w:p>
    <w:p w:rsidR="00AA7C43" w:rsidRPr="00AA7C43" w:rsidRDefault="00AA7C43" w:rsidP="00AA7C43">
      <w:pPr>
        <w:tabs>
          <w:tab w:val="left" w:pos="360"/>
        </w:tabs>
        <w:spacing w:after="0" w:line="240" w:lineRule="auto"/>
        <w:rPr>
          <w:rFonts w:cs="Calibri"/>
          <w:b/>
          <w:sz w:val="24"/>
          <w:szCs w:val="24"/>
        </w:rPr>
      </w:pPr>
      <w:r w:rsidRPr="00AA7C43">
        <w:rPr>
          <w:rFonts w:cs="Calibri"/>
          <w:b/>
          <w:sz w:val="24"/>
          <w:szCs w:val="24"/>
        </w:rPr>
        <w:t xml:space="preserve">4. </w:t>
      </w:r>
      <w:r w:rsidRPr="00AA7C43">
        <w:rPr>
          <w:rFonts w:cs="Calibri"/>
          <w:b/>
          <w:sz w:val="24"/>
          <w:szCs w:val="24"/>
        </w:rPr>
        <w:tab/>
        <w:t xml:space="preserve">Program Description </w:t>
      </w:r>
    </w:p>
    <w:p w:rsidR="00AA7C43" w:rsidRPr="00AA7C43" w:rsidRDefault="00AA7C43" w:rsidP="00AA7C43">
      <w:pPr>
        <w:tabs>
          <w:tab w:val="left" w:pos="360"/>
        </w:tabs>
        <w:spacing w:after="0" w:line="240" w:lineRule="auto"/>
        <w:rPr>
          <w:rFonts w:cs="Calibri"/>
          <w:b/>
          <w:sz w:val="24"/>
          <w:szCs w:val="24"/>
        </w:rPr>
      </w:pPr>
    </w:p>
    <w:p w:rsidR="00AA7C43" w:rsidRPr="00AA7C43" w:rsidRDefault="00AA7C43" w:rsidP="00C31CC0">
      <w:pPr>
        <w:numPr>
          <w:ilvl w:val="0"/>
          <w:numId w:val="163"/>
        </w:numPr>
        <w:tabs>
          <w:tab w:val="left" w:pos="360"/>
          <w:tab w:val="left" w:pos="720"/>
        </w:tabs>
        <w:spacing w:after="0" w:line="240" w:lineRule="auto"/>
        <w:ind w:hanging="1080"/>
        <w:rPr>
          <w:rFonts w:cs="Calibri"/>
          <w:b/>
          <w:sz w:val="24"/>
          <w:szCs w:val="24"/>
          <w:u w:val="single"/>
        </w:rPr>
        <w:pPrChange w:id="14" w:author="cerobins" w:date="2012-09-04T13:35:00Z">
          <w:pPr>
            <w:numPr>
              <w:numId w:val="173"/>
            </w:numPr>
            <w:tabs>
              <w:tab w:val="left" w:pos="360"/>
              <w:tab w:val="left" w:pos="720"/>
            </w:tabs>
            <w:spacing w:after="0" w:line="240" w:lineRule="auto"/>
            <w:ind w:left="1080" w:hanging="360"/>
          </w:pPr>
        </w:pPrChange>
      </w:pPr>
      <w:r w:rsidRPr="00AA7C43">
        <w:rPr>
          <w:rFonts w:cs="Calibri"/>
          <w:b/>
          <w:sz w:val="24"/>
          <w:szCs w:val="24"/>
          <w:u w:val="single"/>
        </w:rPr>
        <w:t>Describe program</w:t>
      </w:r>
    </w:p>
    <w:p w:rsidR="00AA7C43" w:rsidRPr="00AA7C43" w:rsidRDefault="00AA7C43" w:rsidP="00AA7C43">
      <w:pPr>
        <w:spacing w:after="0" w:line="240" w:lineRule="auto"/>
        <w:ind w:left="360"/>
        <w:rPr>
          <w:rFonts w:cs="Calibri"/>
          <w:sz w:val="24"/>
          <w:szCs w:val="24"/>
        </w:rPr>
      </w:pPr>
      <w:r w:rsidRPr="00AA7C43">
        <w:rPr>
          <w:rFonts w:cs="Calibri"/>
          <w:sz w:val="24"/>
          <w:szCs w:val="24"/>
        </w:rPr>
        <w:t>CAHP is part of the statewide Residential New Construction (RNC) sub-program offering.  The RNC sub-program represents one-sixth of the CalSPREE core offering. CAHP encourages single and multi-family builders of all production volumes to construct homes that exceed California’s Title 24 energy efficiency standards by a minimum of 15 percent.  Through this plan, multi-family and single-family projects are approached identically for program purposes except where explicitly noted.  The ENERGY STAR® Manufactured Homes program, offered by Sempra and Southern California Edison, addresses new factory-built housing.  The structure of the relevant Residential New Construction program elements is as follows: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CalSPREE Program (Core)</w:t>
      </w:r>
    </w:p>
    <w:p w:rsidR="00AA7C43" w:rsidRPr="00AA7C43" w:rsidRDefault="00AA7C43" w:rsidP="00C31CC0">
      <w:pPr>
        <w:numPr>
          <w:ilvl w:val="1"/>
          <w:numId w:val="13"/>
        </w:numPr>
        <w:spacing w:after="0" w:line="240" w:lineRule="auto"/>
        <w:rPr>
          <w:rFonts w:cs="Calibri"/>
          <w:sz w:val="24"/>
          <w:szCs w:val="24"/>
        </w:rPr>
      </w:pPr>
      <w:r w:rsidRPr="00AA7C43">
        <w:rPr>
          <w:rFonts w:cs="Calibri"/>
          <w:sz w:val="24"/>
          <w:szCs w:val="24"/>
        </w:rPr>
        <w:t xml:space="preserve">Residential New Construction Sub-Program </w:t>
      </w:r>
    </w:p>
    <w:p w:rsidR="00AA7C43" w:rsidRPr="00AA7C43" w:rsidRDefault="00AA7C43" w:rsidP="00C31CC0">
      <w:pPr>
        <w:numPr>
          <w:ilvl w:val="1"/>
          <w:numId w:val="15"/>
        </w:numPr>
        <w:spacing w:after="0" w:line="240" w:lineRule="auto"/>
        <w:rPr>
          <w:rFonts w:cs="Calibri"/>
          <w:sz w:val="24"/>
          <w:szCs w:val="24"/>
        </w:rPr>
      </w:pPr>
      <w:r w:rsidRPr="00AA7C43">
        <w:rPr>
          <w:rFonts w:cs="Calibri"/>
          <w:sz w:val="24"/>
          <w:szCs w:val="24"/>
        </w:rPr>
        <w:t xml:space="preserve">Single-family/Multi-family Sub-Program (CAHP) </w:t>
      </w:r>
    </w:p>
    <w:p w:rsidR="00AA7C43" w:rsidRPr="00AA7C43" w:rsidRDefault="00AA7C43" w:rsidP="00C31CC0">
      <w:pPr>
        <w:numPr>
          <w:ilvl w:val="2"/>
          <w:numId w:val="15"/>
        </w:numPr>
        <w:tabs>
          <w:tab w:val="clear" w:pos="3960"/>
        </w:tabs>
        <w:spacing w:after="0" w:line="240" w:lineRule="auto"/>
        <w:ind w:left="2880"/>
        <w:rPr>
          <w:rFonts w:cs="Calibri"/>
          <w:sz w:val="24"/>
          <w:szCs w:val="24"/>
        </w:rPr>
      </w:pPr>
      <w:r w:rsidRPr="00AA7C43">
        <w:rPr>
          <w:rFonts w:cs="Calibri"/>
          <w:sz w:val="24"/>
          <w:szCs w:val="24"/>
        </w:rPr>
        <w:t xml:space="preserve">ZNE Homes Sub-Program </w:t>
      </w:r>
    </w:p>
    <w:p w:rsidR="00AA7C43" w:rsidRPr="00AA7C43" w:rsidRDefault="00AA7C43" w:rsidP="00C31CC0">
      <w:pPr>
        <w:numPr>
          <w:ilvl w:val="1"/>
          <w:numId w:val="15"/>
        </w:numPr>
        <w:spacing w:after="0" w:line="240" w:lineRule="auto"/>
        <w:rPr>
          <w:rFonts w:cs="Calibri"/>
          <w:sz w:val="24"/>
          <w:szCs w:val="24"/>
        </w:rPr>
      </w:pPr>
      <w:r w:rsidRPr="00AA7C43">
        <w:rPr>
          <w:rFonts w:cs="Calibri"/>
          <w:sz w:val="24"/>
          <w:szCs w:val="24"/>
        </w:rPr>
        <w:t>Manufactured Homes Sub-Program for Sempra and Southern California Edison</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For the convenience of the reader, two other programs related to New Construction are also called out:</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1"/>
        </w:numPr>
        <w:tabs>
          <w:tab w:val="clear" w:pos="1080"/>
          <w:tab w:val="num" w:pos="720"/>
        </w:tabs>
        <w:spacing w:after="0" w:line="240" w:lineRule="auto"/>
        <w:ind w:left="720"/>
        <w:rPr>
          <w:rFonts w:cs="Calibri"/>
          <w:sz w:val="24"/>
          <w:szCs w:val="24"/>
        </w:rPr>
      </w:pPr>
      <w:r w:rsidRPr="00AA7C43">
        <w:rPr>
          <w:rFonts w:cs="Calibri"/>
          <w:sz w:val="24"/>
          <w:szCs w:val="24"/>
        </w:rPr>
        <w:t>Sustainable Communities Program (Name/location differs by IOU) (Third party) Covering Master-planned communities, mixed-use projects, campuses, and commercial projects pursuing advanced energy efficiency and green targets.</w:t>
      </w:r>
      <w:r w:rsidRPr="00AA7C43">
        <w:rPr>
          <w:rFonts w:cs="Calibri"/>
          <w:sz w:val="24"/>
          <w:szCs w:val="24"/>
        </w:rPr>
        <w:br/>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1"/>
        </w:numPr>
        <w:tabs>
          <w:tab w:val="clear" w:pos="1080"/>
          <w:tab w:val="num" w:pos="720"/>
        </w:tabs>
        <w:spacing w:after="0" w:line="240" w:lineRule="auto"/>
        <w:ind w:left="720"/>
        <w:rPr>
          <w:rFonts w:cs="Calibri"/>
          <w:sz w:val="24"/>
          <w:szCs w:val="24"/>
        </w:rPr>
      </w:pPr>
      <w:r w:rsidRPr="00AA7C43">
        <w:rPr>
          <w:rFonts w:cs="Calibri"/>
          <w:sz w:val="24"/>
          <w:szCs w:val="24"/>
        </w:rPr>
        <w:lastRenderedPageBreak/>
        <w:t>Partnership Programs (Core)</w:t>
      </w:r>
    </w:p>
    <w:p w:rsidR="00AA7C43" w:rsidRPr="00AA7C43" w:rsidRDefault="00AA7C43" w:rsidP="00C31CC0">
      <w:pPr>
        <w:numPr>
          <w:ilvl w:val="0"/>
          <w:numId w:val="12"/>
        </w:numPr>
        <w:tabs>
          <w:tab w:val="clear" w:pos="1440"/>
          <w:tab w:val="num" w:pos="1080"/>
        </w:tabs>
        <w:spacing w:after="0" w:line="240" w:lineRule="auto"/>
        <w:ind w:left="1080"/>
        <w:rPr>
          <w:rFonts w:cs="Calibri"/>
          <w:sz w:val="24"/>
          <w:szCs w:val="24"/>
        </w:rPr>
      </w:pPr>
      <w:r w:rsidRPr="00AA7C43">
        <w:rPr>
          <w:rFonts w:cs="Calibri"/>
          <w:sz w:val="24"/>
          <w:szCs w:val="24"/>
        </w:rPr>
        <w:t>Strategic Planning Sub-Program (Energy Leader Partnership Strategic Support) Trains cities and counties to procure city projects to meet energy efficiency standards, to identify funding sources, to share best practices, and recognize them for their achievements.</w:t>
      </w:r>
    </w:p>
    <w:p w:rsidR="00AA7C43" w:rsidRPr="00AA7C43" w:rsidRDefault="00AA7C43" w:rsidP="00AA7C43">
      <w:pPr>
        <w:spacing w:after="0" w:line="240" w:lineRule="auto"/>
        <w:jc w:val="center"/>
        <w:rPr>
          <w:rFonts w:cs="Calibri"/>
          <w:sz w:val="24"/>
          <w:szCs w:val="24"/>
        </w:rPr>
      </w:pPr>
    </w:p>
    <w:p w:rsidR="00AA7C43" w:rsidRPr="00AA7C43" w:rsidRDefault="00C31CC0" w:rsidP="00AA7C43">
      <w:pPr>
        <w:spacing w:after="0" w:line="240" w:lineRule="auto"/>
        <w:ind w:left="360"/>
        <w:rPr>
          <w:rFonts w:cs="Calibri"/>
          <w:noProof/>
          <w:sz w:val="24"/>
          <w:szCs w:val="24"/>
        </w:rPr>
      </w:pPr>
      <w:r>
        <w:rPr>
          <w:rFonts w:cs="Calibri"/>
          <w:noProof/>
          <w:sz w:val="24"/>
          <w:szCs w:val="24"/>
        </w:rPr>
        <mc:AlternateContent>
          <mc:Choice Requires="wpc">
            <w:drawing>
              <wp:inline distT="0" distB="0" distL="0" distR="0">
                <wp:extent cx="5817870" cy="3190875"/>
                <wp:effectExtent l="0" t="0" r="11430" b="9525"/>
                <wp:docPr id="148" name="Canvas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 name="_s1102"/>
                        <wps:cNvSpPr>
                          <a:spLocks noChangeArrowheads="1"/>
                        </wps:cNvSpPr>
                        <wps:spPr bwMode="auto">
                          <a:xfrm>
                            <a:off x="4000448" y="2285954"/>
                            <a:ext cx="1817422" cy="904921"/>
                          </a:xfrm>
                          <a:prstGeom prst="roundRect">
                            <a:avLst>
                              <a:gd name="adj" fmla="val 16667"/>
                            </a:avLst>
                          </a:prstGeom>
                          <a:solidFill>
                            <a:srgbClr val="BBE0E3"/>
                          </a:solidFill>
                          <a:ln w="9525">
                            <a:solidFill>
                              <a:srgbClr val="333333"/>
                            </a:solidFill>
                            <a:round/>
                            <a:headEnd/>
                            <a:tailEnd/>
                          </a:ln>
                        </wps:spPr>
                        <wps:txbx>
                          <w:txbxContent>
                            <w:p w:rsidR="00C32735" w:rsidRPr="00637C21" w:rsidRDefault="00C32735" w:rsidP="00B1039C">
                              <w:pPr>
                                <w:jc w:val="center"/>
                                <w:rPr>
                                  <w:color w:val="808080"/>
                                  <w:u w:val="single"/>
                                </w:rPr>
                              </w:pPr>
                              <w:r w:rsidRPr="00637C21">
                                <w:rPr>
                                  <w:color w:val="808080"/>
                                  <w:u w:val="single"/>
                                </w:rPr>
                                <w:t>Sub</w:t>
                              </w:r>
                              <w:r>
                                <w:rPr>
                                  <w:color w:val="808080"/>
                                  <w:u w:val="single"/>
                                </w:rPr>
                                <w:t xml:space="preserve"> Program #2.2</w:t>
                              </w:r>
                            </w:p>
                            <w:p w:rsidR="00C32735" w:rsidRPr="00637C21" w:rsidRDefault="00C32735" w:rsidP="00B1039C">
                              <w:pPr>
                                <w:jc w:val="center"/>
                                <w:rPr>
                                  <w:b/>
                                  <w:color w:val="808080"/>
                                </w:rPr>
                              </w:pPr>
                              <w:r>
                                <w:rPr>
                                  <w:b/>
                                  <w:color w:val="808080"/>
                                </w:rPr>
                                <w:t>ENERGY STAR Manufactured Homes</w:t>
                              </w:r>
                            </w:p>
                            <w:p w:rsidR="00AA7C43" w:rsidRDefault="00AA7C43" w:rsidP="00AA7C43">
                              <w:pPr>
                                <w:jc w:val="center"/>
                                <w:rPr>
                                  <w:color w:val="808080"/>
                                  <w:u w:val="single"/>
                                </w:rPr>
                              </w:pPr>
                              <w:r>
                                <w:rPr>
                                  <w:color w:val="808080"/>
                                  <w:u w:val="single"/>
                                </w:rPr>
                                <w:t>Sub-Program #2.2</w:t>
                              </w:r>
                            </w:p>
                            <w:p w:rsidR="00AA7C43" w:rsidRDefault="00AA7C43" w:rsidP="00AA7C43">
                              <w:pPr>
                                <w:jc w:val="center"/>
                                <w:rPr>
                                  <w:b/>
                                  <w:color w:val="808080"/>
                                </w:rPr>
                              </w:pPr>
                              <w:r>
                                <w:rPr>
                                  <w:b/>
                                  <w:color w:val="808080"/>
                                </w:rPr>
                                <w:t>ENERGY STAR Manufactured Homes</w:t>
                              </w:r>
                            </w:p>
                            <w:p w:rsidR="00AA7C43" w:rsidRDefault="00AA7C43" w:rsidP="00AA7C43"/>
                          </w:txbxContent>
                        </wps:txbx>
                        <wps:bodyPr rot="0" vert="horz" wrap="square" lIns="0" tIns="0" rIns="0" bIns="0" anchor="ctr" anchorCtr="0" upright="1">
                          <a:noAutofit/>
                        </wps:bodyPr>
                      </wps:wsp>
                      <wps:wsp>
                        <wps:cNvPr id="64" name="Line 48"/>
                        <wps:cNvCnPr/>
                        <wps:spPr bwMode="auto">
                          <a:xfrm>
                            <a:off x="2971736" y="800019"/>
                            <a:ext cx="600" cy="2286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_s1067"/>
                        <wps:cNvSpPr>
                          <a:spLocks noChangeArrowheads="1"/>
                        </wps:cNvSpPr>
                        <wps:spPr bwMode="auto">
                          <a:xfrm>
                            <a:off x="1714421" y="114203"/>
                            <a:ext cx="2286028" cy="685816"/>
                          </a:xfrm>
                          <a:prstGeom prst="roundRect">
                            <a:avLst>
                              <a:gd name="adj" fmla="val 16667"/>
                            </a:avLst>
                          </a:prstGeom>
                          <a:solidFill>
                            <a:srgbClr val="BBE0E3"/>
                          </a:solidFill>
                          <a:ln w="9525">
                            <a:solidFill>
                              <a:srgbClr val="000000"/>
                            </a:solidFill>
                            <a:round/>
                            <a:headEnd/>
                            <a:tailEnd/>
                          </a:ln>
                        </wps:spPr>
                        <wps:txbx>
                          <w:txbxContent>
                            <w:p w:rsidR="00C32735" w:rsidRPr="00637C21" w:rsidRDefault="00C32735" w:rsidP="00B1039C">
                              <w:pPr>
                                <w:jc w:val="center"/>
                                <w:rPr>
                                  <w:color w:val="808080"/>
                                  <w:u w:val="single"/>
                                </w:rPr>
                              </w:pPr>
                              <w:r w:rsidRPr="00637C21">
                                <w:rPr>
                                  <w:color w:val="808080"/>
                                  <w:u w:val="single"/>
                                </w:rPr>
                                <w:t>Core Program</w:t>
                              </w:r>
                            </w:p>
                            <w:p w:rsidR="00C32735" w:rsidRPr="00637C21" w:rsidRDefault="00C32735" w:rsidP="00B1039C">
                              <w:pPr>
                                <w:jc w:val="center"/>
                                <w:rPr>
                                  <w:b/>
                                  <w:color w:val="808080"/>
                                </w:rPr>
                              </w:pPr>
                              <w:r>
                                <w:rPr>
                                  <w:b/>
                                  <w:color w:val="808080"/>
                                </w:rPr>
                                <w:t>New Construction</w:t>
                              </w:r>
                            </w:p>
                            <w:p w:rsidR="00AA7C43" w:rsidRDefault="00AA7C43" w:rsidP="00AA7C43">
                              <w:pPr>
                                <w:jc w:val="center"/>
                                <w:rPr>
                                  <w:color w:val="808080"/>
                                  <w:u w:val="single"/>
                                </w:rPr>
                              </w:pPr>
                              <w:r>
                                <w:rPr>
                                  <w:color w:val="808080"/>
                                  <w:u w:val="single"/>
                                </w:rPr>
                                <w:t>Core Program</w:t>
                              </w:r>
                            </w:p>
                            <w:p w:rsidR="00AA7C43" w:rsidRDefault="00AA7C43" w:rsidP="00AA7C43">
                              <w:pPr>
                                <w:jc w:val="center"/>
                                <w:rPr>
                                  <w:b/>
                                  <w:color w:val="808080"/>
                                </w:rPr>
                              </w:pPr>
                              <w:r>
                                <w:rPr>
                                  <w:b/>
                                  <w:color w:val="808080"/>
                                </w:rPr>
                                <w:t>CalSPREE</w:t>
                              </w:r>
                            </w:p>
                            <w:p w:rsidR="00AA7C43" w:rsidRDefault="00AA7C43" w:rsidP="00AA7C43">
                              <w:pPr>
                                <w:jc w:val="center"/>
                                <w:rPr>
                                  <w:szCs w:val="20"/>
                                </w:rPr>
                              </w:pPr>
                            </w:p>
                          </w:txbxContent>
                        </wps:txbx>
                        <wps:bodyPr rot="0" vert="horz" wrap="square" lIns="0" tIns="0" rIns="0" bIns="0" anchor="ctr" anchorCtr="0" upright="1">
                          <a:noAutofit/>
                        </wps:bodyPr>
                      </wps:wsp>
                      <wps:wsp>
                        <wps:cNvPr id="66" name="Line 52"/>
                        <wps:cNvCnPr/>
                        <wps:spPr bwMode="auto">
                          <a:xfrm>
                            <a:off x="2971736" y="1028624"/>
                            <a:ext cx="600" cy="2286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Line 53"/>
                        <wps:cNvCnPr/>
                        <wps:spPr bwMode="auto">
                          <a:xfrm>
                            <a:off x="2971736" y="1828743"/>
                            <a:ext cx="600" cy="4572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54"/>
                        <wps:cNvCnPr/>
                        <wps:spPr bwMode="auto">
                          <a:xfrm>
                            <a:off x="4914859" y="2057348"/>
                            <a:ext cx="600" cy="2286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55"/>
                        <wps:cNvCnPr/>
                        <wps:spPr bwMode="auto">
                          <a:xfrm>
                            <a:off x="2971736" y="2056648"/>
                            <a:ext cx="1943123" cy="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_s1102"/>
                        <wps:cNvSpPr>
                          <a:spLocks noChangeArrowheads="1"/>
                        </wps:cNvSpPr>
                        <wps:spPr bwMode="auto">
                          <a:xfrm>
                            <a:off x="2057325" y="1257230"/>
                            <a:ext cx="1818022" cy="642615"/>
                          </a:xfrm>
                          <a:prstGeom prst="roundRect">
                            <a:avLst>
                              <a:gd name="adj" fmla="val 16667"/>
                            </a:avLst>
                          </a:prstGeom>
                          <a:solidFill>
                            <a:srgbClr val="BBE0E3"/>
                          </a:solidFill>
                          <a:ln w="9525">
                            <a:solidFill>
                              <a:srgbClr val="333333"/>
                            </a:solidFill>
                            <a:round/>
                            <a:headEnd/>
                            <a:tailEnd/>
                          </a:ln>
                        </wps:spPr>
                        <wps:txbx>
                          <w:txbxContent>
                            <w:p w:rsidR="00AA7C43" w:rsidRDefault="00AA7C43" w:rsidP="00AA7C43">
                              <w:pPr>
                                <w:jc w:val="center"/>
                                <w:rPr>
                                  <w:color w:val="808080"/>
                                  <w:u w:val="single"/>
                                </w:rPr>
                              </w:pPr>
                              <w:r>
                                <w:rPr>
                                  <w:color w:val="808080"/>
                                  <w:u w:val="single"/>
                                </w:rPr>
                                <w:t>Sub-Program #2</w:t>
                              </w:r>
                            </w:p>
                            <w:p w:rsidR="00AA7C43" w:rsidRDefault="00AA7C43" w:rsidP="00AA7C43">
                              <w:pPr>
                                <w:jc w:val="center"/>
                                <w:rPr>
                                  <w:b/>
                                  <w:color w:val="808080"/>
                                </w:rPr>
                              </w:pPr>
                              <w:r>
                                <w:rPr>
                                  <w:b/>
                                  <w:color w:val="808080"/>
                                </w:rPr>
                                <w:t>Residential New Construction</w:t>
                              </w:r>
                            </w:p>
                          </w:txbxContent>
                        </wps:txbx>
                        <wps:bodyPr rot="0" vert="horz" wrap="square" lIns="0" tIns="0" rIns="0" bIns="0" anchor="ctr" anchorCtr="0" upright="1">
                          <a:noAutofit/>
                        </wps:bodyPr>
                      </wps:wsp>
                      <wps:wsp>
                        <wps:cNvPr id="71" name="_s1102"/>
                        <wps:cNvSpPr>
                          <a:spLocks noChangeArrowheads="1"/>
                        </wps:cNvSpPr>
                        <wps:spPr bwMode="auto">
                          <a:xfrm>
                            <a:off x="2062425" y="2285954"/>
                            <a:ext cx="1823722" cy="904921"/>
                          </a:xfrm>
                          <a:prstGeom prst="roundRect">
                            <a:avLst>
                              <a:gd name="adj" fmla="val 16667"/>
                            </a:avLst>
                          </a:prstGeom>
                          <a:solidFill>
                            <a:srgbClr val="BBE0E3"/>
                          </a:solidFill>
                          <a:ln w="9525">
                            <a:solidFill>
                              <a:srgbClr val="333333"/>
                            </a:solidFill>
                            <a:round/>
                            <a:headEnd/>
                            <a:tailEnd/>
                          </a:ln>
                        </wps:spPr>
                        <wps:txbx>
                          <w:txbxContent>
                            <w:p w:rsidR="00AA7C43" w:rsidRDefault="00AA7C43" w:rsidP="00AA7C43">
                              <w:pPr>
                                <w:jc w:val="center"/>
                                <w:rPr>
                                  <w:color w:val="808080"/>
                                  <w:u w:val="single"/>
                                </w:rPr>
                              </w:pPr>
                              <w:r>
                                <w:rPr>
                                  <w:color w:val="808080"/>
                                  <w:u w:val="single"/>
                                </w:rPr>
                                <w:t>Sub-Program #2.1</w:t>
                              </w:r>
                            </w:p>
                            <w:p w:rsidR="00AA7C43" w:rsidRDefault="00AA7C43" w:rsidP="00AA7C43">
                              <w:pPr>
                                <w:jc w:val="center"/>
                                <w:rPr>
                                  <w:b/>
                                  <w:color w:val="808080"/>
                                </w:rPr>
                              </w:pPr>
                              <w:r>
                                <w:rPr>
                                  <w:b/>
                                  <w:color w:val="808080"/>
                                </w:rPr>
                                <w:t>California Advanced Homes ZNE Element</w:t>
                              </w:r>
                            </w:p>
                          </w:txbxContent>
                        </wps:txbx>
                        <wps:bodyPr rot="0" vert="horz" wrap="square" lIns="0" tIns="0" rIns="0" bIns="0" anchor="ctr" anchorCtr="0" upright="1">
                          <a:noAutofit/>
                        </wps:bodyPr>
                      </wps:wsp>
                    </wpc:wpc>
                  </a:graphicData>
                </a:graphic>
              </wp:inline>
            </w:drawing>
          </mc:Choice>
          <mc:Fallback>
            <w:pict>
              <v:group id="Canvas 44" o:spid="_x0000_s1026" editas="canvas" style="width:458.1pt;height:251.25pt;mso-position-horizontal-relative:char;mso-position-vertical-relative:line" coordsize="58178,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">
                <v:shape id="_x0000_s1027" type="#_x0000_t75" style="position:absolute;width:58178;height:31908;visibility:visible;mso-wrap-style:square">
                  <v:fill o:detectmouseclick="t"/>
                  <v:path o:connecttype="none"/>
                </v:shape>
                <v:roundrect id="_s1102" o:spid="_x0000_s1028" style="position:absolute;left:40004;top:22859;width:18174;height:9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oisUA&#10;AADbAAAADwAAAGRycy9kb3ducmV2LnhtbESPT2sCMRTE74V+h/AKvRTN2oJdVqO0gqXH1vrn+tg8&#10;N2s3L9tNXOO3N4LQ4zAzv2Gm82gb0VPna8cKRsMMBHHpdM2VgvXPcpCD8AFZY+OYFJzJw3x2fzfF&#10;QrsTf1O/CpVIEPYFKjAhtIWUvjRk0Q9dS5y8vesshiS7SuoOTwluG/mcZWNpsea0YLClhaHyd3W0&#10;CnaHv3MfR4eP12PcrPOv3DzR9l2px4f4NgERKIb/8K39qRWMX+D6Jf0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iiKxQAAANsAAAAPAAAAAAAAAAAAAAAAAJgCAABkcnMv&#10;ZG93bnJldi54bWxQSwUGAAAAAAQABAD1AAAAigMAAAAA&#10;" fillcolor="#bbe0e3" strokecolor="#333">
                  <v:textbox inset="0,0,0,0">
                    <w:txbxContent>
                      <w:p w:rsidR="00C32735" w:rsidRPr="00637C21" w:rsidRDefault="00C32735" w:rsidP="00B1039C">
                        <w:pPr>
                          <w:jc w:val="center"/>
                          <w:rPr>
                            <w:color w:val="808080"/>
                            <w:u w:val="single"/>
                          </w:rPr>
                        </w:pPr>
                        <w:r w:rsidRPr="00637C21">
                          <w:rPr>
                            <w:color w:val="808080"/>
                            <w:u w:val="single"/>
                          </w:rPr>
                          <w:t>Sub</w:t>
                        </w:r>
                        <w:r>
                          <w:rPr>
                            <w:color w:val="808080"/>
                            <w:u w:val="single"/>
                          </w:rPr>
                          <w:t xml:space="preserve"> Program #2.2</w:t>
                        </w:r>
                      </w:p>
                      <w:p w:rsidR="00C32735" w:rsidRPr="00637C21" w:rsidRDefault="00C32735" w:rsidP="00B1039C">
                        <w:pPr>
                          <w:jc w:val="center"/>
                          <w:rPr>
                            <w:b/>
                            <w:color w:val="808080"/>
                          </w:rPr>
                        </w:pPr>
                        <w:r>
                          <w:rPr>
                            <w:b/>
                            <w:color w:val="808080"/>
                          </w:rPr>
                          <w:t>ENERGY STAR Manufactured Homes</w:t>
                        </w:r>
                      </w:p>
                      <w:p w:rsidR="00AA7C43" w:rsidRDefault="00AA7C43" w:rsidP="00AA7C43">
                        <w:pPr>
                          <w:jc w:val="center"/>
                          <w:rPr>
                            <w:color w:val="808080"/>
                            <w:u w:val="single"/>
                          </w:rPr>
                        </w:pPr>
                        <w:r>
                          <w:rPr>
                            <w:color w:val="808080"/>
                            <w:u w:val="single"/>
                          </w:rPr>
                          <w:t>Sub-Program #2.2</w:t>
                        </w:r>
                      </w:p>
                      <w:p w:rsidR="00AA7C43" w:rsidRDefault="00AA7C43" w:rsidP="00AA7C43">
                        <w:pPr>
                          <w:jc w:val="center"/>
                          <w:rPr>
                            <w:b/>
                            <w:color w:val="808080"/>
                          </w:rPr>
                        </w:pPr>
                        <w:r>
                          <w:rPr>
                            <w:b/>
                            <w:color w:val="808080"/>
                          </w:rPr>
                          <w:t>ENERGY STAR Manufactured Homes</w:t>
                        </w:r>
                      </w:p>
                      <w:p w:rsidR="00AA7C43" w:rsidRDefault="00AA7C43" w:rsidP="00AA7C43"/>
                    </w:txbxContent>
                  </v:textbox>
                </v:roundrect>
                <v:line id="Line 48" o:spid="_x0000_s1029" style="position:absolute;visibility:visible;mso-wrap-style:square" from="29717,8000" to="2972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v:roundrect id="_s1067" o:spid="_x0000_s1030" style="position:absolute;left:17144;top:1142;width:22860;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E0cUA&#10;AADbAAAADwAAAGRycy9kb3ducmV2LnhtbESPT2vCQBTE70K/w/KEXkQ3bVFKdJUa6p+TUCulx2f2&#10;uQnNvg3ZbZJ+e1cQehxm5jfMYtXbSrTU+NKxgqdJAoI4d7pko+D0uRm/gvABWWPlmBT8kYfV8mGw&#10;wFS7jj+oPQYjIoR9igqKEOpUSp8XZNFPXE0cvYtrLIYoGyN1g12E20o+J8lMWiw5LhRYU1ZQ/nP8&#10;tQqy7H363eVfeksvxowO7Xp3PqyVehz2b3MQgfrwH76391rBbAq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4TRxQAAANsAAAAPAAAAAAAAAAAAAAAAAJgCAABkcnMv&#10;ZG93bnJldi54bWxQSwUGAAAAAAQABAD1AAAAigMAAAAA&#10;" fillcolor="#bbe0e3">
                  <v:textbox inset="0,0,0,0">
                    <w:txbxContent>
                      <w:p w:rsidR="00C32735" w:rsidRPr="00637C21" w:rsidRDefault="00C32735" w:rsidP="00B1039C">
                        <w:pPr>
                          <w:jc w:val="center"/>
                          <w:rPr>
                            <w:color w:val="808080"/>
                            <w:u w:val="single"/>
                          </w:rPr>
                        </w:pPr>
                        <w:r w:rsidRPr="00637C21">
                          <w:rPr>
                            <w:color w:val="808080"/>
                            <w:u w:val="single"/>
                          </w:rPr>
                          <w:t>Core Program</w:t>
                        </w:r>
                      </w:p>
                      <w:p w:rsidR="00C32735" w:rsidRPr="00637C21" w:rsidRDefault="00C32735" w:rsidP="00B1039C">
                        <w:pPr>
                          <w:jc w:val="center"/>
                          <w:rPr>
                            <w:b/>
                            <w:color w:val="808080"/>
                          </w:rPr>
                        </w:pPr>
                        <w:r>
                          <w:rPr>
                            <w:b/>
                            <w:color w:val="808080"/>
                          </w:rPr>
                          <w:t>New Construction</w:t>
                        </w:r>
                      </w:p>
                      <w:p w:rsidR="00AA7C43" w:rsidRDefault="00AA7C43" w:rsidP="00AA7C43">
                        <w:pPr>
                          <w:jc w:val="center"/>
                          <w:rPr>
                            <w:color w:val="808080"/>
                            <w:u w:val="single"/>
                          </w:rPr>
                        </w:pPr>
                        <w:r>
                          <w:rPr>
                            <w:color w:val="808080"/>
                            <w:u w:val="single"/>
                          </w:rPr>
                          <w:t>Core Program</w:t>
                        </w:r>
                      </w:p>
                      <w:p w:rsidR="00AA7C43" w:rsidRDefault="00AA7C43" w:rsidP="00AA7C43">
                        <w:pPr>
                          <w:jc w:val="center"/>
                          <w:rPr>
                            <w:b/>
                            <w:color w:val="808080"/>
                          </w:rPr>
                        </w:pPr>
                        <w:r>
                          <w:rPr>
                            <w:b/>
                            <w:color w:val="808080"/>
                          </w:rPr>
                          <w:t>CalSPREE</w:t>
                        </w:r>
                      </w:p>
                      <w:p w:rsidR="00AA7C43" w:rsidRDefault="00AA7C43" w:rsidP="00AA7C43">
                        <w:pPr>
                          <w:jc w:val="center"/>
                          <w:rPr>
                            <w:szCs w:val="20"/>
                          </w:rPr>
                        </w:pPr>
                      </w:p>
                    </w:txbxContent>
                  </v:textbox>
                </v:roundrect>
                <v:line id="Line 52" o:spid="_x0000_s1031" style="position:absolute;visibility:visible;mso-wrap-style:square" from="29717,10286" to="29723,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line id="Line 53" o:spid="_x0000_s1032" style="position:absolute;visibility:visible;mso-wrap-style:square" from="29717,18287" to="29723,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r/Z8MAAADbAAAADwAAAGRycy9kb3ducmV2LnhtbESPQWvCQBSE7wX/w/KE3urGClaiq4ig&#10;Fm+NInh7ZJ9JTPZturvR+O+7hUKPw8x8wyxWvWnEnZyvLCsYjxIQxLnVFRcKTsft2wyED8gaG8uk&#10;4EkeVsvBywJTbR/8RfcsFCJC2KeooAyhTaX0eUkG/ci2xNG7WmcwROkKqR0+Itw08j1JptJgxXGh&#10;xJY2JeV11hkF5y7jy63euga73X5/PX/XfnJQ6nXYr+cgAvXhP/zX/tQKph/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2fDAAAA2wAAAA8AAAAAAAAAAAAA&#10;AAAAoQIAAGRycy9kb3ducmV2LnhtbFBLBQYAAAAABAAEAPkAAACRAwAAAAA=&#10;" strokeweight="1.5pt"/>
                <v:line id="Line 54" o:spid="_x0000_s1033" style="position:absolute;visibility:visible;mso-wrap-style:square" from="49148,20573" to="49154,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rFcEAAADbAAAADwAAAGRycy9kb3ducmV2LnhtbERPz2vCMBS+D/wfwhN2W9NtIKMaZQzU&#10;sds6KXh7NM+ma/NSk1S7/345CB4/vt+rzWR7cSEfWscKnrMcBHHtdMuNgsPP9ukNRIjIGnvHpOCP&#10;AmzWs4cVFtpd+ZsuZWxECuFQoAIT41BIGWpDFkPmBuLEnZy3GBP0jdQerync9vIlzxfSYsupweBA&#10;H4bqrhytgmos+fjbbX2P426/P1XnLrx+KfU4n96XICJN8S6+uT+1gkUam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WsVwQAAANsAAAAPAAAAAAAAAAAAAAAA&#10;AKECAABkcnMvZG93bnJldi54bWxQSwUGAAAAAAQABAD5AAAAjwMAAAAA&#10;" strokeweight="1.5pt"/>
                <v:line id="Line 55" o:spid="_x0000_s1034" style="position:absolute;visibility:visible;mso-wrap-style:square" from="29717,20566" to="49148,2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OjsMAAADbAAAADwAAAGRycy9kb3ducmV2LnhtbESPQWvCQBSE7wX/w/KE3urGClKjq4ig&#10;Fm+NInh7ZJ9JTPZturvR+O+7hUKPw8x8wyxWvWnEnZyvLCsYjxIQxLnVFRcKTsft2wcIH5A1NpZJ&#10;wZM8rJaDlwWm2j74i+5ZKESEsE9RQRlCm0rp85IM+pFtiaN3tc5giNIVUjt8RLhp5HuSTKXBiuNC&#10;iS1tSsrrrDMKzl3Gl1u9dQ12u/3+ev6u/eSg1OuwX89BBOrDf/iv/ak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zo7DAAAA2wAAAA8AAAAAAAAAAAAA&#10;AAAAoQIAAGRycy9kb3ducmV2LnhtbFBLBQYAAAAABAAEAPkAAACRAwAAAAA=&#10;" strokeweight="1.5pt"/>
                <v:roundrect id="_s1102" o:spid="_x0000_s1035" style="position:absolute;left:20573;top:12572;width:18180;height:6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gIMEA&#10;AADbAAAADwAAAGRycy9kb3ducmV2LnhtbERPPW/CMBDdkfgP1iGxoOLAUKIUgwCpFSOltF1P8TUO&#10;jc8hNsH8+3qoxPj0vpfraBvRU+drxwpm0wwEcel0zZWC08frUw7CB2SNjWNScCcP69VwsMRCuxu/&#10;U38MlUgh7AtUYEJoCyl9aciin7qWOHE/rrMYEuwqqTu8pXDbyHmWPUuLNacGgy3tDJW/x6tV8H2+&#10;3Ps4O78trvHzlB9yM6GvrVLjUdy8gAgUw0P8795rBYu0P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NICDBAAAA2wAAAA8AAAAAAAAAAAAAAAAAmAIAAGRycy9kb3du&#10;cmV2LnhtbFBLBQYAAAAABAAEAPUAAACGAwAAAAA=&#10;" fillcolor="#bbe0e3" strokecolor="#333">
                  <v:textbox inset="0,0,0,0">
                    <w:txbxContent>
                      <w:p w:rsidR="00AA7C43" w:rsidRDefault="00AA7C43" w:rsidP="00AA7C43">
                        <w:pPr>
                          <w:jc w:val="center"/>
                          <w:rPr>
                            <w:color w:val="808080"/>
                            <w:u w:val="single"/>
                          </w:rPr>
                        </w:pPr>
                        <w:r>
                          <w:rPr>
                            <w:color w:val="808080"/>
                            <w:u w:val="single"/>
                          </w:rPr>
                          <w:t>Sub-Program #2</w:t>
                        </w:r>
                      </w:p>
                      <w:p w:rsidR="00AA7C43" w:rsidRDefault="00AA7C43" w:rsidP="00AA7C43">
                        <w:pPr>
                          <w:jc w:val="center"/>
                          <w:rPr>
                            <w:b/>
                            <w:color w:val="808080"/>
                          </w:rPr>
                        </w:pPr>
                        <w:r>
                          <w:rPr>
                            <w:b/>
                            <w:color w:val="808080"/>
                          </w:rPr>
                          <w:t>Residential New Construction</w:t>
                        </w:r>
                      </w:p>
                    </w:txbxContent>
                  </v:textbox>
                </v:roundrect>
                <v:roundrect id="_s1102" o:spid="_x0000_s1036" style="position:absolute;left:20624;top:22859;width:18237;height:9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Fu8UA&#10;AADbAAAADwAAAGRycy9kb3ducmV2LnhtbESPwW7CMBBE75X6D9ZW6qUCJz1AlGJQW4mqR6C0XFfx&#10;Ng6N1yE2wfw9RkLqcTQzbzSzRbStGKj3jWMF+TgDQVw53XCtYPu1HBUgfEDW2DomBWfysJjf382w&#10;1O7Eaxo2oRYJwr5EBSaErpTSV4Ys+rHriJP363qLIcm+lrrHU4LbVj5n2URabDgtGOzo3VD1tzla&#10;Bbv94TzEfP8xPcbvbbEqzBP9vCn1+BBfX0AEiuE/fGt/agXTH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W7xQAAANsAAAAPAAAAAAAAAAAAAAAAAJgCAABkcnMv&#10;ZG93bnJldi54bWxQSwUGAAAAAAQABAD1AAAAigMAAAAA&#10;" fillcolor="#bbe0e3" strokecolor="#333">
                  <v:textbox inset="0,0,0,0">
                    <w:txbxContent>
                      <w:p w:rsidR="00AA7C43" w:rsidRDefault="00AA7C43" w:rsidP="00AA7C43">
                        <w:pPr>
                          <w:jc w:val="center"/>
                          <w:rPr>
                            <w:color w:val="808080"/>
                            <w:u w:val="single"/>
                          </w:rPr>
                        </w:pPr>
                        <w:r>
                          <w:rPr>
                            <w:color w:val="808080"/>
                            <w:u w:val="single"/>
                          </w:rPr>
                          <w:t>Sub-Program #2.1</w:t>
                        </w:r>
                      </w:p>
                      <w:p w:rsidR="00AA7C43" w:rsidRDefault="00AA7C43" w:rsidP="00AA7C43">
                        <w:pPr>
                          <w:jc w:val="center"/>
                          <w:rPr>
                            <w:b/>
                            <w:color w:val="808080"/>
                          </w:rPr>
                        </w:pPr>
                        <w:r>
                          <w:rPr>
                            <w:b/>
                            <w:color w:val="808080"/>
                          </w:rPr>
                          <w:t>California Advanced Homes ZNE Element</w:t>
                        </w:r>
                      </w:p>
                    </w:txbxContent>
                  </v:textbox>
                </v:roundrect>
                <w10:anchorlock/>
              </v:group>
            </w:pict>
          </mc:Fallback>
        </mc:AlternateContent>
      </w:r>
    </w:p>
    <w:p w:rsidR="00AA7C43" w:rsidRPr="00AA7C43" w:rsidRDefault="00AA7C43" w:rsidP="00AA7C43">
      <w:pPr>
        <w:spacing w:after="0" w:line="240" w:lineRule="auto"/>
        <w:ind w:left="360"/>
        <w:rPr>
          <w:rFonts w:cs="Calibri"/>
          <w:noProof/>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goal of energy-efficient Residential New Construction will be achieved through a combination of incentives, technical education, design assistance, and verification.  CAHP supports the ambitious goals of the Strategic Plan), and works in close coordination with the ZNE sub-element. Together these elements seek to raise plug load efficiency, focus on whole-house solutions, drive occupant behavior through in-home monitoring and visual display tools, and leverage market demand for green building standards.  CAHP is also coordinated with demand response programs, Emerging Technology, and the New Solar Homes Partnership (NSHP).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As explored in greater detail below, CAHP will incorporate a ZNE sub-element to adopt the following strategies toward achieving the Strategic Plan goals. As program technologies and approaches are developed and demonstrated in ZNE, they will be incorporated into the CAHP.  </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Raise plug load efficiency (ZNE)</w:t>
      </w: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Promote Whole House solutions, with a particular focus on zero peak homes as an interim step toward zero net homes (CAHP)</w:t>
      </w: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Encourage In-home Monitoring and visual display tools (ZNE)</w:t>
      </w: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lastRenderedPageBreak/>
        <w:t>Encourage incorporation of Green Building Standards (ZNE)</w:t>
      </w: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Coordinate CAHP with demand response programs (CAHP) specific strategies for achieving net zero homes will be reviewed in more detail below.  Moreover, as outlined above, where strategies enter the market more rapidly than anticipated, they will be rolled into the core CAHP.</w:t>
      </w:r>
      <w:r w:rsidRPr="00AA7C43">
        <w:rPr>
          <w:rFonts w:cs="Calibri"/>
          <w:sz w:val="24"/>
          <w:szCs w:val="24"/>
        </w:rPr>
        <w:tab/>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To further help make ZNE a reality in the residential sector, utilities will:</w:t>
      </w:r>
    </w:p>
    <w:p w:rsidR="00AA7C43" w:rsidRPr="00AA7C43" w:rsidRDefault="00AA7C43" w:rsidP="00AA7C43">
      <w:pPr>
        <w:spacing w:after="0" w:line="240" w:lineRule="auto"/>
        <w:ind w:left="360"/>
        <w:rPr>
          <w:rFonts w:cs="Calibri"/>
          <w:sz w:val="24"/>
          <w:szCs w:val="24"/>
        </w:rPr>
      </w:pPr>
    </w:p>
    <w:p w:rsidR="00AA7C43" w:rsidRPr="00AA7C43" w:rsidRDefault="00AA7C43" w:rsidP="00C31CC0">
      <w:pPr>
        <w:pStyle w:val="ListParagraph"/>
        <w:numPr>
          <w:ilvl w:val="0"/>
          <w:numId w:val="167"/>
        </w:numPr>
        <w:spacing w:after="0" w:line="240" w:lineRule="auto"/>
        <w:rPr>
          <w:rFonts w:cs="Calibri"/>
          <w:sz w:val="24"/>
          <w:szCs w:val="24"/>
        </w:rPr>
        <w:pPrChange w:id="15" w:author="cerobins" w:date="2012-09-04T13:35:00Z">
          <w:pPr>
            <w:pStyle w:val="ListParagraph"/>
            <w:numPr>
              <w:numId w:val="177"/>
            </w:numPr>
            <w:tabs>
              <w:tab w:val="num" w:pos="360"/>
            </w:tabs>
            <w:spacing w:after="0" w:line="240" w:lineRule="auto"/>
            <w:ind w:left="1152" w:hanging="245"/>
          </w:pPr>
        </w:pPrChange>
      </w:pPr>
      <w:r w:rsidRPr="00AA7C43">
        <w:rPr>
          <w:rFonts w:cs="Calibri"/>
          <w:sz w:val="24"/>
          <w:szCs w:val="24"/>
        </w:rPr>
        <w:t>Integrate successful ZNE strategies and activities proven through program and/or pilot projects during the 2013-2014 Transition Period. The residential new construction program will absorb and enhance existing residential programmatic elements aimed at delivering ZNE best practices to the marketplace, potentially including but not limited to:</w:t>
      </w:r>
    </w:p>
    <w:p w:rsidR="00AA7C43" w:rsidRPr="00AA7C43" w:rsidRDefault="00AA7C43" w:rsidP="00C31CC0">
      <w:pPr>
        <w:pStyle w:val="ListParagraph"/>
        <w:numPr>
          <w:ilvl w:val="0"/>
          <w:numId w:val="167"/>
        </w:numPr>
        <w:spacing w:after="0" w:line="240" w:lineRule="auto"/>
        <w:rPr>
          <w:rFonts w:cs="Calibri"/>
          <w:sz w:val="24"/>
          <w:szCs w:val="24"/>
        </w:rPr>
        <w:pPrChange w:id="16" w:author="cerobins" w:date="2012-09-04T13:35:00Z">
          <w:pPr>
            <w:pStyle w:val="ListParagraph"/>
            <w:numPr>
              <w:numId w:val="177"/>
            </w:numPr>
            <w:tabs>
              <w:tab w:val="num" w:pos="360"/>
            </w:tabs>
            <w:spacing w:after="0" w:line="240" w:lineRule="auto"/>
            <w:ind w:left="1152" w:hanging="245"/>
          </w:pPr>
        </w:pPrChange>
      </w:pPr>
      <w:r w:rsidRPr="00AA7C43">
        <w:rPr>
          <w:rFonts w:cs="Calibri"/>
          <w:sz w:val="24"/>
          <w:szCs w:val="24"/>
        </w:rPr>
        <w:t>Project consultations that pair projects with experts capable of driving unique designs to ZNE;</w:t>
      </w:r>
    </w:p>
    <w:p w:rsidR="00AA7C43" w:rsidRPr="00AA7C43" w:rsidRDefault="00AA7C43" w:rsidP="00C31CC0">
      <w:pPr>
        <w:pStyle w:val="ListParagraph"/>
        <w:numPr>
          <w:ilvl w:val="0"/>
          <w:numId w:val="167"/>
        </w:numPr>
        <w:spacing w:after="0" w:line="240" w:lineRule="auto"/>
        <w:rPr>
          <w:rFonts w:cs="Calibri"/>
          <w:sz w:val="24"/>
          <w:szCs w:val="24"/>
        </w:rPr>
        <w:pPrChange w:id="17" w:author="cerobins" w:date="2012-09-04T13:35:00Z">
          <w:pPr>
            <w:pStyle w:val="ListParagraph"/>
            <w:numPr>
              <w:numId w:val="177"/>
            </w:numPr>
            <w:tabs>
              <w:tab w:val="num" w:pos="360"/>
            </w:tabs>
            <w:spacing w:after="0" w:line="240" w:lineRule="auto"/>
            <w:ind w:left="1152" w:hanging="245"/>
          </w:pPr>
        </w:pPrChange>
      </w:pPr>
      <w:r w:rsidRPr="00AA7C43">
        <w:rPr>
          <w:rFonts w:cs="Calibri"/>
          <w:sz w:val="24"/>
          <w:szCs w:val="24"/>
        </w:rPr>
        <w:t>Provide education opportunities to key architectural, engineering, and other design professionals (see WE&amp;T plans); and</w:t>
      </w:r>
    </w:p>
    <w:p w:rsidR="00AA7C43" w:rsidRPr="00AA7C43" w:rsidRDefault="00AA7C43" w:rsidP="00C31CC0">
      <w:pPr>
        <w:pStyle w:val="ListParagraph"/>
        <w:numPr>
          <w:ilvl w:val="0"/>
          <w:numId w:val="167"/>
        </w:numPr>
        <w:spacing w:after="0" w:line="240" w:lineRule="auto"/>
        <w:rPr>
          <w:rFonts w:cs="Calibri"/>
          <w:sz w:val="24"/>
          <w:szCs w:val="24"/>
        </w:rPr>
        <w:pPrChange w:id="18" w:author="cerobins" w:date="2012-09-04T13:35:00Z">
          <w:pPr>
            <w:pStyle w:val="ListParagraph"/>
            <w:numPr>
              <w:numId w:val="177"/>
            </w:numPr>
            <w:tabs>
              <w:tab w:val="num" w:pos="360"/>
            </w:tabs>
            <w:spacing w:after="0" w:line="240" w:lineRule="auto"/>
            <w:ind w:left="1152" w:hanging="245"/>
          </w:pPr>
        </w:pPrChange>
      </w:pPr>
      <w:r w:rsidRPr="00AA7C43">
        <w:rPr>
          <w:rFonts w:cs="Calibri"/>
          <w:sz w:val="24"/>
          <w:szCs w:val="24"/>
        </w:rPr>
        <w:t>Explore cost effective ZNE solutions that consider the intersection of building and community energy use</w:t>
      </w:r>
    </w:p>
    <w:p w:rsidR="00AA7C43" w:rsidRPr="00AA7C43" w:rsidRDefault="00AA7C43" w:rsidP="00AA7C43">
      <w:pPr>
        <w:spacing w:after="0" w:line="240" w:lineRule="auto"/>
        <w:ind w:left="360"/>
        <w:rPr>
          <w:rFonts w:cs="Calibri"/>
          <w:sz w:val="24"/>
          <w:szCs w:val="24"/>
          <w:u w:val="words"/>
        </w:rPr>
      </w:pPr>
    </w:p>
    <w:p w:rsidR="00AA7C43" w:rsidRPr="00AA7C43" w:rsidRDefault="00AA7C43" w:rsidP="00C31CC0">
      <w:pPr>
        <w:numPr>
          <w:ilvl w:val="0"/>
          <w:numId w:val="163"/>
        </w:numPr>
        <w:spacing w:after="0" w:line="240" w:lineRule="auto"/>
        <w:ind w:left="720" w:hanging="360"/>
        <w:rPr>
          <w:rFonts w:cs="Calibri"/>
          <w:b/>
          <w:sz w:val="24"/>
          <w:szCs w:val="24"/>
          <w:u w:val="single"/>
        </w:rPr>
        <w:pPrChange w:id="19" w:author="cerobins" w:date="2012-09-04T13:35:00Z">
          <w:pPr>
            <w:numPr>
              <w:numId w:val="173"/>
            </w:numPr>
            <w:tabs>
              <w:tab w:val="num" w:pos="360"/>
            </w:tabs>
            <w:spacing w:after="0" w:line="240" w:lineRule="auto"/>
            <w:ind w:left="1080" w:hanging="360"/>
          </w:pPr>
        </w:pPrChange>
      </w:pPr>
      <w:r w:rsidRPr="00AA7C43">
        <w:rPr>
          <w:rFonts w:cs="Calibri"/>
          <w:b/>
          <w:sz w:val="24"/>
          <w:szCs w:val="24"/>
          <w:u w:val="single"/>
        </w:rPr>
        <w:t xml:space="preserve">List measures </w:t>
      </w:r>
    </w:p>
    <w:p w:rsidR="00AA7C43" w:rsidRPr="00AA7C43" w:rsidRDefault="00AA7C43" w:rsidP="00AA7C43">
      <w:pPr>
        <w:spacing w:after="0" w:line="240" w:lineRule="auto"/>
        <w:ind w:left="360"/>
        <w:rPr>
          <w:rFonts w:cs="Calibri"/>
          <w:sz w:val="24"/>
          <w:szCs w:val="24"/>
        </w:rPr>
      </w:pPr>
      <w:r w:rsidRPr="00AA7C43">
        <w:rPr>
          <w:rFonts w:cs="Calibri"/>
          <w:sz w:val="24"/>
          <w:szCs w:val="24"/>
        </w:rPr>
        <w:t>CAHP Program measures, known savings. All IOUs</w:t>
      </w:r>
      <w:r w:rsidRPr="00AA7C43">
        <w:rPr>
          <w:rStyle w:val="FootnoteReference"/>
          <w:rFonts w:cs="Calibri"/>
          <w:sz w:val="24"/>
          <w:szCs w:val="24"/>
        </w:rPr>
        <w:footnoteReference w:id="62"/>
      </w:r>
      <w:r w:rsidRPr="00AA7C43">
        <w:rPr>
          <w:rFonts w:cs="Calibri"/>
          <w:sz w:val="24"/>
          <w:szCs w:val="24"/>
        </w:rPr>
        <w:t>.</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10"/>
        </w:numPr>
        <w:tabs>
          <w:tab w:val="clear" w:pos="2223"/>
        </w:tabs>
        <w:spacing w:after="0" w:line="240" w:lineRule="auto"/>
        <w:ind w:left="720"/>
        <w:rPr>
          <w:rFonts w:cs="Calibri"/>
          <w:sz w:val="24"/>
          <w:szCs w:val="24"/>
        </w:rPr>
      </w:pPr>
      <w:r w:rsidRPr="00AA7C43">
        <w:rPr>
          <w:rFonts w:cs="Calibri"/>
          <w:sz w:val="24"/>
          <w:szCs w:val="24"/>
        </w:rPr>
        <w:t>Marketing assistance as feasible and appropriate for builders who achieve ENERGY STAR® certification.</w:t>
      </w:r>
    </w:p>
    <w:p w:rsidR="00AA7C43" w:rsidRPr="00AA7C43" w:rsidRDefault="00AA7C43" w:rsidP="00C31CC0">
      <w:pPr>
        <w:numPr>
          <w:ilvl w:val="0"/>
          <w:numId w:val="10"/>
        </w:numPr>
        <w:tabs>
          <w:tab w:val="clear" w:pos="2223"/>
        </w:tabs>
        <w:spacing w:after="0" w:line="240" w:lineRule="auto"/>
        <w:ind w:left="720"/>
        <w:rPr>
          <w:rFonts w:cs="Calibri"/>
          <w:sz w:val="24"/>
          <w:szCs w:val="24"/>
        </w:rPr>
      </w:pPr>
      <w:r w:rsidRPr="00AA7C43">
        <w:rPr>
          <w:rFonts w:cs="Calibri"/>
          <w:sz w:val="24"/>
          <w:szCs w:val="24"/>
        </w:rPr>
        <w:t>Calculated incentives.</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0"/>
          <w:numId w:val="163"/>
        </w:numPr>
        <w:spacing w:after="0" w:line="240" w:lineRule="auto"/>
        <w:ind w:left="720" w:hanging="360"/>
        <w:rPr>
          <w:rFonts w:cs="Calibri"/>
          <w:b/>
          <w:sz w:val="24"/>
          <w:szCs w:val="24"/>
          <w:u w:val="single"/>
        </w:rPr>
        <w:pPrChange w:id="20" w:author="cerobins" w:date="2012-09-04T13:35:00Z">
          <w:pPr>
            <w:numPr>
              <w:numId w:val="173"/>
            </w:numPr>
            <w:tabs>
              <w:tab w:val="num" w:pos="360"/>
            </w:tabs>
            <w:spacing w:after="0" w:line="240" w:lineRule="auto"/>
            <w:ind w:left="1080" w:hanging="360"/>
          </w:pPr>
        </w:pPrChange>
      </w:pPr>
      <w:r w:rsidRPr="00AA7C43">
        <w:rPr>
          <w:rFonts w:cs="Calibri"/>
          <w:b/>
          <w:sz w:val="24"/>
          <w:szCs w:val="24"/>
          <w:u w:val="single"/>
        </w:rPr>
        <w:t>List non-incentive customer services</w:t>
      </w:r>
    </w:p>
    <w:p w:rsidR="00AA7C43" w:rsidRPr="00AA7C43" w:rsidRDefault="00AA7C43" w:rsidP="00C31CC0">
      <w:pPr>
        <w:numPr>
          <w:ilvl w:val="0"/>
          <w:numId w:val="23"/>
        </w:numPr>
        <w:tabs>
          <w:tab w:val="clear" w:pos="1440"/>
        </w:tabs>
        <w:spacing w:after="0" w:line="240" w:lineRule="auto"/>
        <w:ind w:left="1080"/>
        <w:rPr>
          <w:rFonts w:cs="Calibri"/>
          <w:sz w:val="24"/>
          <w:szCs w:val="24"/>
        </w:rPr>
      </w:pPr>
      <w:r w:rsidRPr="00AA7C43">
        <w:rPr>
          <w:rFonts w:cs="Calibri"/>
          <w:sz w:val="24"/>
          <w:szCs w:val="24"/>
        </w:rPr>
        <w:t>Technical support to Energy Analysts and Design Teams</w:t>
      </w:r>
      <w:r w:rsidRPr="00AA7C43">
        <w:rPr>
          <w:rStyle w:val="FootnoteReference"/>
          <w:rFonts w:cs="Calibri"/>
          <w:sz w:val="24"/>
          <w:szCs w:val="24"/>
        </w:rPr>
        <w:footnoteReference w:id="63"/>
      </w:r>
    </w:p>
    <w:p w:rsidR="00AA7C43" w:rsidRPr="00AA7C43" w:rsidRDefault="00AA7C43" w:rsidP="00C31CC0">
      <w:pPr>
        <w:numPr>
          <w:ilvl w:val="0"/>
          <w:numId w:val="23"/>
        </w:numPr>
        <w:tabs>
          <w:tab w:val="clear" w:pos="1440"/>
        </w:tabs>
        <w:spacing w:after="0" w:line="240" w:lineRule="auto"/>
        <w:ind w:left="1080"/>
        <w:rPr>
          <w:rFonts w:cs="Calibri"/>
          <w:sz w:val="24"/>
          <w:szCs w:val="24"/>
        </w:rPr>
      </w:pPr>
      <w:r w:rsidRPr="00AA7C43">
        <w:rPr>
          <w:rFonts w:cs="Calibri"/>
          <w:sz w:val="24"/>
          <w:szCs w:val="24"/>
        </w:rPr>
        <w:t>Economic modeling/measure selection support to builder/construction managers</w:t>
      </w:r>
    </w:p>
    <w:p w:rsidR="00AA7C43" w:rsidRPr="00AA7C43" w:rsidRDefault="00AA7C43" w:rsidP="00C31CC0">
      <w:pPr>
        <w:numPr>
          <w:ilvl w:val="0"/>
          <w:numId w:val="23"/>
        </w:numPr>
        <w:tabs>
          <w:tab w:val="clear" w:pos="1440"/>
        </w:tabs>
        <w:spacing w:after="0" w:line="240" w:lineRule="auto"/>
        <w:ind w:left="1080"/>
        <w:rPr>
          <w:rFonts w:cs="Calibri"/>
          <w:sz w:val="24"/>
          <w:szCs w:val="24"/>
        </w:rPr>
      </w:pPr>
      <w:r w:rsidRPr="00AA7C43">
        <w:rPr>
          <w:rFonts w:cs="Calibri"/>
          <w:sz w:val="24"/>
          <w:szCs w:val="24"/>
        </w:rPr>
        <w:t>Marketing support to builders (sales agent training, marketing materials)</w:t>
      </w:r>
    </w:p>
    <w:p w:rsidR="00AA7C43" w:rsidRPr="00AA7C43" w:rsidRDefault="00AA7C43" w:rsidP="00C31CC0">
      <w:pPr>
        <w:numPr>
          <w:ilvl w:val="0"/>
          <w:numId w:val="23"/>
        </w:numPr>
        <w:tabs>
          <w:tab w:val="clear" w:pos="1440"/>
        </w:tabs>
        <w:spacing w:after="0" w:line="240" w:lineRule="auto"/>
        <w:ind w:left="1080"/>
        <w:rPr>
          <w:rFonts w:cs="Calibri"/>
          <w:sz w:val="24"/>
          <w:szCs w:val="24"/>
        </w:rPr>
      </w:pPr>
      <w:r w:rsidRPr="00AA7C43">
        <w:rPr>
          <w:rFonts w:cs="Calibri"/>
          <w:sz w:val="24"/>
          <w:szCs w:val="24"/>
        </w:rPr>
        <w:t>DSM coordination (PV, DR, AMI, ET) for builders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program will coordinate with the statewide Codes &amp; Standards team to ensure that the impacts of any code changes are incorporated into program design and implementation and will also tie into the Strategic Plan Codes and Standards strategy and support the ZNE goals.   </w:t>
      </w:r>
    </w:p>
    <w:p w:rsidR="00AA7C43" w:rsidRPr="00AA7C43" w:rsidRDefault="00AA7C43" w:rsidP="00AA7C43">
      <w:pPr>
        <w:autoSpaceDE w:val="0"/>
        <w:autoSpaceDN w:val="0"/>
        <w:adjustRightInd w:val="0"/>
        <w:spacing w:after="0" w:line="240" w:lineRule="auto"/>
        <w:ind w:left="360"/>
        <w:rPr>
          <w:rFonts w:cs="Calibri"/>
          <w:sz w:val="24"/>
          <w:szCs w:val="24"/>
        </w:rPr>
      </w:pPr>
    </w:p>
    <w:p w:rsidR="00AA7C43" w:rsidRPr="00AA7C43" w:rsidRDefault="00AA7C43" w:rsidP="00AA7C43">
      <w:pPr>
        <w:autoSpaceDE w:val="0"/>
        <w:autoSpaceDN w:val="0"/>
        <w:adjustRightInd w:val="0"/>
        <w:spacing w:after="0" w:line="240" w:lineRule="auto"/>
        <w:ind w:left="360"/>
        <w:rPr>
          <w:rFonts w:cs="Calibri"/>
          <w:sz w:val="24"/>
          <w:szCs w:val="24"/>
        </w:rPr>
      </w:pPr>
      <w:r w:rsidRPr="00AA7C43">
        <w:rPr>
          <w:rFonts w:cs="Calibri"/>
          <w:sz w:val="24"/>
          <w:szCs w:val="24"/>
        </w:rPr>
        <w:t xml:space="preserve">Coordination activities include: </w:t>
      </w:r>
    </w:p>
    <w:p w:rsidR="00AA7C43" w:rsidRPr="00AA7C43" w:rsidRDefault="00AA7C43" w:rsidP="00C31CC0">
      <w:pPr>
        <w:numPr>
          <w:ilvl w:val="0"/>
          <w:numId w:val="8"/>
        </w:numPr>
        <w:tabs>
          <w:tab w:val="clear" w:pos="360"/>
        </w:tabs>
        <w:autoSpaceDE w:val="0"/>
        <w:autoSpaceDN w:val="0"/>
        <w:adjustRightInd w:val="0"/>
        <w:spacing w:after="0" w:line="240" w:lineRule="auto"/>
        <w:ind w:left="720"/>
        <w:rPr>
          <w:rFonts w:cs="Calibri"/>
          <w:sz w:val="24"/>
          <w:szCs w:val="24"/>
        </w:rPr>
      </w:pPr>
      <w:r w:rsidRPr="00AA7C43">
        <w:rPr>
          <w:rFonts w:cs="Calibri"/>
          <w:sz w:val="24"/>
          <w:szCs w:val="24"/>
        </w:rPr>
        <w:lastRenderedPageBreak/>
        <w:t>Builders often set-aside a certain number of units for various income classifications to meet low and moderate income housing goals. Builders must meet state-mandated housing goals in the housing elements of local city and county strategic plans.</w:t>
      </w:r>
      <w:r w:rsidRPr="00AA7C43">
        <w:rPr>
          <w:rStyle w:val="FootnoteReference"/>
          <w:rFonts w:cs="Calibri"/>
          <w:sz w:val="24"/>
          <w:szCs w:val="24"/>
        </w:rPr>
        <w:footnoteReference w:id="64"/>
      </w:r>
    </w:p>
    <w:p w:rsidR="00AA7C43" w:rsidRPr="00AA7C43" w:rsidRDefault="00AA7C43" w:rsidP="00C31CC0">
      <w:pPr>
        <w:numPr>
          <w:ilvl w:val="0"/>
          <w:numId w:val="8"/>
        </w:numPr>
        <w:tabs>
          <w:tab w:val="clear" w:pos="360"/>
        </w:tabs>
        <w:autoSpaceDE w:val="0"/>
        <w:autoSpaceDN w:val="0"/>
        <w:adjustRightInd w:val="0"/>
        <w:spacing w:after="0" w:line="240" w:lineRule="auto"/>
        <w:ind w:left="720"/>
        <w:rPr>
          <w:rFonts w:cs="Calibri"/>
          <w:sz w:val="24"/>
          <w:szCs w:val="24"/>
        </w:rPr>
      </w:pPr>
      <w:r w:rsidRPr="00AA7C43">
        <w:rPr>
          <w:rFonts w:cs="Calibri"/>
          <w:sz w:val="24"/>
          <w:szCs w:val="24"/>
        </w:rPr>
        <w:t>CAHP would treat market-rate units using the standard calculated approach and claim all energy savings.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b/>
          <w:sz w:val="24"/>
          <w:szCs w:val="24"/>
          <w:u w:val="single"/>
        </w:rPr>
      </w:pPr>
      <w:r w:rsidRPr="00AA7C43">
        <w:rPr>
          <w:rFonts w:cs="Calibri"/>
          <w:b/>
          <w:sz w:val="24"/>
          <w:szCs w:val="24"/>
          <w:u w:val="single"/>
        </w:rPr>
        <w:t xml:space="preserve">Zero </w:t>
      </w:r>
      <w:r w:rsidRPr="00AA7C43">
        <w:rPr>
          <w:rFonts w:cs="Calibri"/>
          <w:sz w:val="24"/>
          <w:szCs w:val="24"/>
          <w:u w:val="single"/>
        </w:rPr>
        <w:t>N</w:t>
      </w:r>
      <w:r w:rsidRPr="00AA7C43">
        <w:rPr>
          <w:rFonts w:cs="Calibri"/>
          <w:b/>
          <w:sz w:val="24"/>
          <w:szCs w:val="24"/>
          <w:u w:val="single"/>
        </w:rPr>
        <w:t>et Energy (ZNE)</w:t>
      </w:r>
    </w:p>
    <w:p w:rsidR="00AA7C43" w:rsidRPr="00AA7C43" w:rsidRDefault="00AA7C43" w:rsidP="00AA7C43">
      <w:pPr>
        <w:pStyle w:val="ParaText"/>
        <w:spacing w:after="0" w:line="240" w:lineRule="auto"/>
        <w:ind w:left="360"/>
        <w:rPr>
          <w:rFonts w:ascii="Calibri" w:hAnsi="Calibri" w:cs="Calibri"/>
          <w:sz w:val="24"/>
        </w:rPr>
      </w:pPr>
      <w:r w:rsidRPr="00AA7C43">
        <w:rPr>
          <w:rFonts w:ascii="Calibri" w:hAnsi="Calibri" w:cs="Calibri"/>
          <w:sz w:val="24"/>
        </w:rPr>
        <w:t xml:space="preserve">The ZNE program element recognizes that critical to achieving zero net new construction is the integration of DSM approaches and truly integrated design.  This can only be done when the entire suite of DSM offerings is at the table (electric transportation, demand response, energy efficiency, smart meters, and distributed generation).  These will be maximally effective when they are part of a truly integrated design. To that end, ZNE will help educate the industry on how to achieve energy-efficient, green homes.  </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The ZNE program element will consist of projects that have used advanced modeling techniques to project total kBTU usage and demonstrates a plan to offset said usage with onsite generation over the course of 12 months.  This portion of the program will provide customized financial incentives that intend to cover a portion of the verified incremental cost for a portion of the homes, at levels that may vary.  This incentive will only apply to the energy efficiency measures of the home and will explicitly exclude the cost of renewable energy generation.  The Emerging Technology program may also fund the purchase, installation, and monitoring of candidate technologies.  The ZNE program element will also provide support in the form of soft-cost design support to help design teams meet their energy and environmental objectives. This portion of the program works closely with home builders seeking assistance in the development of sustainable design and construction, green building practices and emerging technologies.</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The ZNE program element, in conjunction with WE&amp;T programs, offers educational opportunities to builders, architects and other Residential construction stakeholders.  The program encourages single and multi-family architects and builders to design and construct dwelling units that exceed California’s Title 24 standards, reduce greenhouse gas emissions, and provide a healthier and less resource-intensive environment.  Such non-standard design elements may include optimization for solar orientation, design for comfort without traditional HVAC, or non-vapor compression cooling systems. It also is a priority goal of this element of the program to execute candidate technologies and integrated approaches to realize zero-peak homes, even if zero-net homes (site BTUs for both therms and kWhs) prove too costly.</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spacing w:after="0" w:line="240" w:lineRule="auto"/>
        <w:ind w:left="360"/>
        <w:rPr>
          <w:rFonts w:cs="Calibri"/>
          <w:b/>
          <w:sz w:val="24"/>
          <w:szCs w:val="24"/>
          <w:u w:val="single"/>
        </w:rPr>
      </w:pPr>
      <w:r w:rsidRPr="00AA7C43">
        <w:rPr>
          <w:rFonts w:cs="Calibri"/>
          <w:b/>
          <w:sz w:val="24"/>
          <w:szCs w:val="24"/>
          <w:u w:val="single"/>
        </w:rPr>
        <w:t>Design Assistance Options:</w:t>
      </w:r>
    </w:p>
    <w:p w:rsidR="00AA7C43" w:rsidRPr="00AA7C43" w:rsidRDefault="00AA7C43" w:rsidP="00C31CC0">
      <w:pPr>
        <w:numPr>
          <w:ilvl w:val="0"/>
          <w:numId w:val="27"/>
        </w:numPr>
        <w:tabs>
          <w:tab w:val="num" w:pos="360"/>
        </w:tabs>
        <w:spacing w:after="0" w:line="240" w:lineRule="auto"/>
        <w:rPr>
          <w:rFonts w:cs="Calibri"/>
          <w:sz w:val="24"/>
          <w:szCs w:val="24"/>
        </w:rPr>
      </w:pPr>
      <w:r w:rsidRPr="00AA7C43">
        <w:rPr>
          <w:rFonts w:cs="Calibri"/>
          <w:bCs/>
          <w:sz w:val="24"/>
          <w:szCs w:val="24"/>
        </w:rPr>
        <w:lastRenderedPageBreak/>
        <w:t>General Team Education:</w:t>
      </w:r>
      <w:r w:rsidRPr="00AA7C43">
        <w:rPr>
          <w:rFonts w:cs="Calibri"/>
          <w:sz w:val="24"/>
          <w:szCs w:val="24"/>
        </w:rPr>
        <w:t xml:space="preserve"> Give presentations, review rating system options, determine big picture green building goals. </w:t>
      </w:r>
      <w:r w:rsidRPr="00AA7C43">
        <w:rPr>
          <w:rFonts w:cs="Calibri"/>
          <w:sz w:val="24"/>
          <w:szCs w:val="24"/>
        </w:rPr>
        <w:br/>
      </w:r>
    </w:p>
    <w:p w:rsidR="00AA7C43" w:rsidRPr="00AA7C43" w:rsidRDefault="00AA7C43" w:rsidP="00C31CC0">
      <w:pPr>
        <w:numPr>
          <w:ilvl w:val="0"/>
          <w:numId w:val="27"/>
        </w:numPr>
        <w:tabs>
          <w:tab w:val="num" w:pos="360"/>
        </w:tabs>
        <w:spacing w:after="0" w:line="240" w:lineRule="auto"/>
        <w:rPr>
          <w:rFonts w:cs="Calibri"/>
          <w:sz w:val="24"/>
          <w:szCs w:val="24"/>
        </w:rPr>
      </w:pPr>
      <w:r w:rsidRPr="00AA7C43">
        <w:rPr>
          <w:rFonts w:cs="Calibri"/>
          <w:bCs/>
          <w:sz w:val="24"/>
          <w:szCs w:val="24"/>
        </w:rPr>
        <w:t>Energy Efficiency/Green Building Recommendations:</w:t>
      </w:r>
      <w:r w:rsidRPr="00AA7C43">
        <w:rPr>
          <w:rFonts w:cs="Calibri"/>
          <w:sz w:val="24"/>
          <w:szCs w:val="24"/>
        </w:rPr>
        <w:t xml:space="preserve"> Project specific recommendations report highlighting ways to incorporate energy efficiency, healthy materials, and other green building features into the unique parameters of the project.  Specific product recommendations will not be provided.</w:t>
      </w:r>
      <w:r w:rsidRPr="00AA7C43">
        <w:rPr>
          <w:rFonts w:cs="Calibri"/>
          <w:sz w:val="24"/>
          <w:szCs w:val="24"/>
        </w:rPr>
        <w:br/>
      </w:r>
    </w:p>
    <w:p w:rsidR="00AA7C43" w:rsidRPr="00AA7C43" w:rsidRDefault="00AA7C43" w:rsidP="00C31CC0">
      <w:pPr>
        <w:numPr>
          <w:ilvl w:val="0"/>
          <w:numId w:val="27"/>
        </w:numPr>
        <w:tabs>
          <w:tab w:val="num" w:pos="360"/>
        </w:tabs>
        <w:spacing w:after="0" w:line="240" w:lineRule="auto"/>
        <w:rPr>
          <w:rFonts w:cs="Calibri"/>
          <w:sz w:val="24"/>
          <w:szCs w:val="24"/>
        </w:rPr>
      </w:pPr>
      <w:r w:rsidRPr="00AA7C43">
        <w:rPr>
          <w:rFonts w:cs="Calibri"/>
          <w:bCs/>
          <w:sz w:val="24"/>
          <w:szCs w:val="24"/>
        </w:rPr>
        <w:t>Energy Modeling Support:</w:t>
      </w:r>
      <w:r w:rsidRPr="00AA7C43">
        <w:rPr>
          <w:rFonts w:cs="Calibri"/>
          <w:sz w:val="24"/>
          <w:szCs w:val="24"/>
        </w:rPr>
        <w:t xml:space="preserve"> Provide support and recommendations for Title 24 energy performance modeling to estimate actual building usage and give the project credit for energy efficiency measures that are difficult or uncommon to model. </w:t>
      </w:r>
      <w:r w:rsidRPr="00AA7C43">
        <w:rPr>
          <w:rFonts w:cs="Calibri"/>
          <w:sz w:val="24"/>
          <w:szCs w:val="24"/>
        </w:rPr>
        <w:br/>
      </w:r>
    </w:p>
    <w:p w:rsidR="00AA7C43" w:rsidRPr="00AA7C43" w:rsidRDefault="00AA7C43" w:rsidP="00C31CC0">
      <w:pPr>
        <w:numPr>
          <w:ilvl w:val="0"/>
          <w:numId w:val="27"/>
        </w:numPr>
        <w:tabs>
          <w:tab w:val="num" w:pos="360"/>
        </w:tabs>
        <w:spacing w:after="0" w:line="240" w:lineRule="auto"/>
        <w:rPr>
          <w:rFonts w:cs="Calibri"/>
          <w:sz w:val="24"/>
          <w:szCs w:val="24"/>
        </w:rPr>
      </w:pPr>
      <w:r w:rsidRPr="00AA7C43">
        <w:rPr>
          <w:rFonts w:cs="Calibri"/>
          <w:bCs/>
          <w:sz w:val="24"/>
          <w:szCs w:val="24"/>
        </w:rPr>
        <w:t>Plan and Specification Review:</w:t>
      </w:r>
      <w:r w:rsidRPr="00AA7C43">
        <w:rPr>
          <w:rFonts w:cs="Calibri"/>
          <w:sz w:val="24"/>
          <w:szCs w:val="24"/>
        </w:rPr>
        <w:t xml:space="preserve"> Provide comments on the construction documents at various stages to give feedback on clarity of green building specifications. </w:t>
      </w:r>
      <w:r w:rsidRPr="00AA7C43">
        <w:rPr>
          <w:rFonts w:cs="Calibri"/>
          <w:sz w:val="24"/>
          <w:szCs w:val="24"/>
        </w:rPr>
        <w:br/>
      </w:r>
    </w:p>
    <w:p w:rsidR="00AA7C43" w:rsidRPr="00AA7C43" w:rsidRDefault="00AA7C43" w:rsidP="00C31CC0">
      <w:pPr>
        <w:numPr>
          <w:ilvl w:val="0"/>
          <w:numId w:val="27"/>
        </w:numPr>
        <w:tabs>
          <w:tab w:val="num" w:pos="360"/>
        </w:tabs>
        <w:spacing w:after="0" w:line="240" w:lineRule="auto"/>
        <w:rPr>
          <w:rFonts w:cs="Calibri"/>
          <w:sz w:val="24"/>
          <w:szCs w:val="24"/>
        </w:rPr>
      </w:pPr>
      <w:r w:rsidRPr="00AA7C43">
        <w:rPr>
          <w:rFonts w:cs="Calibri"/>
          <w:bCs/>
          <w:sz w:val="24"/>
          <w:szCs w:val="24"/>
        </w:rPr>
        <w:t>Green Feature Cost Assessment:</w:t>
      </w:r>
      <w:r w:rsidRPr="00AA7C43">
        <w:rPr>
          <w:rFonts w:cs="Calibri"/>
          <w:sz w:val="24"/>
          <w:szCs w:val="24"/>
        </w:rPr>
        <w:t xml:space="preserve"> Provide cost-benefit analyses or value engineering assistance to evaluate specific green building features under consideration for inclusion in the project. </w:t>
      </w:r>
    </w:p>
    <w:p w:rsidR="00AA7C43" w:rsidRPr="00AA7C43" w:rsidRDefault="00AA7C43" w:rsidP="00AA7C43">
      <w:pPr>
        <w:spacing w:after="0" w:line="240" w:lineRule="auto"/>
        <w:ind w:left="108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u w:val="single"/>
        </w:rPr>
        <w:t>Rating System Documentation Support:</w:t>
      </w:r>
      <w:r w:rsidRPr="00AA7C43">
        <w:rPr>
          <w:rFonts w:cs="Calibri"/>
          <w:sz w:val="24"/>
          <w:szCs w:val="24"/>
        </w:rPr>
        <w:t xml:space="preserve">  Assess and identify project credit/ certification goals, identify and assign rating system tasks to members of the design team, guide the team in system process and timing, assist team in understanding and/or documenting credit achievement.  This aid will enhance - but not supplant - participants’ efforts to pursue project specifications, designs, calculations, modeling and other necessary services.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autoSpaceDE w:val="0"/>
        <w:autoSpaceDN w:val="0"/>
        <w:adjustRightInd w:val="0"/>
        <w:spacing w:after="0" w:line="240" w:lineRule="auto"/>
        <w:ind w:left="360"/>
        <w:rPr>
          <w:rFonts w:cs="Calibri"/>
          <w:sz w:val="24"/>
          <w:szCs w:val="24"/>
        </w:rPr>
      </w:pPr>
      <w:r w:rsidRPr="00AA7C43">
        <w:rPr>
          <w:rFonts w:cs="Calibri"/>
          <w:sz w:val="24"/>
          <w:szCs w:val="24"/>
        </w:rPr>
        <w:t>The minimum threshold for acceptance in the ZNE program element will be a whole building performance with advanced modeling showing the total kBTU usage of the home as well as the method of generating the offsetting kBTUs.</w:t>
      </w:r>
    </w:p>
    <w:p w:rsidR="00AA7C43" w:rsidRPr="00AA7C43" w:rsidRDefault="00AA7C43" w:rsidP="00AA7C43">
      <w:pPr>
        <w:autoSpaceDE w:val="0"/>
        <w:autoSpaceDN w:val="0"/>
        <w:adjustRightInd w:val="0"/>
        <w:spacing w:after="0" w:line="240" w:lineRule="auto"/>
        <w:ind w:left="360"/>
        <w:rPr>
          <w:rFonts w:cs="Calibri"/>
          <w:sz w:val="24"/>
          <w:szCs w:val="24"/>
        </w:rPr>
      </w:pPr>
    </w:p>
    <w:p w:rsidR="00AA7C43" w:rsidRPr="00AA7C43" w:rsidRDefault="00AA7C43" w:rsidP="00AA7C43">
      <w:pPr>
        <w:spacing w:after="0" w:line="240" w:lineRule="auto"/>
        <w:ind w:left="360"/>
        <w:rPr>
          <w:rFonts w:cs="Calibri"/>
          <w:b/>
          <w:sz w:val="24"/>
          <w:szCs w:val="24"/>
          <w:u w:val="single"/>
        </w:rPr>
      </w:pPr>
      <w:r w:rsidRPr="00AA7C43">
        <w:rPr>
          <w:rFonts w:cs="Calibri"/>
          <w:b/>
          <w:sz w:val="24"/>
          <w:szCs w:val="24"/>
          <w:u w:val="single"/>
        </w:rPr>
        <w:t>CAHP Incentive Rationale</w:t>
      </w:r>
    </w:p>
    <w:p w:rsidR="00AA7C43" w:rsidRPr="00AA7C43" w:rsidRDefault="00AA7C43" w:rsidP="00AA7C43">
      <w:pPr>
        <w:spacing w:after="0" w:line="240" w:lineRule="auto"/>
        <w:ind w:left="360"/>
        <w:rPr>
          <w:rFonts w:cs="Calibri"/>
          <w:sz w:val="24"/>
          <w:szCs w:val="24"/>
        </w:rPr>
      </w:pPr>
      <w:r w:rsidRPr="00AA7C43">
        <w:rPr>
          <w:rFonts w:cs="Calibri"/>
          <w:sz w:val="24"/>
          <w:szCs w:val="24"/>
        </w:rPr>
        <w:t>The program’s most ambitious goal for the 2013-2014 Transition Period is to promote the early adoption of reach as well as future code elements into the builders standard practices.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Getting the market to adopt these levels of efficiency will not be easy. The IOUs expect significant pushback from the building industry due to rising costs.  This argument will become even more significant in 2014 when the 2013 Title 24 energy codes take effect.  The projected increase in cost to comply with these new codes may be between $3,000 and $5,000.  The program is considering the following changes to the current incentive structure:</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9"/>
        </w:numPr>
        <w:tabs>
          <w:tab w:val="clear" w:pos="360"/>
        </w:tabs>
        <w:spacing w:after="0" w:line="240" w:lineRule="auto"/>
        <w:ind w:left="720"/>
        <w:rPr>
          <w:rFonts w:cs="Calibri"/>
          <w:sz w:val="24"/>
          <w:szCs w:val="24"/>
        </w:rPr>
      </w:pPr>
      <w:r w:rsidRPr="00AA7C43">
        <w:rPr>
          <w:rFonts w:cs="Calibri"/>
          <w:sz w:val="24"/>
          <w:szCs w:val="24"/>
        </w:rPr>
        <w:t xml:space="preserve">In 2013 the sliding scale will stay as it is currently.  The IOUs plan to eliminate the kickers from the program to help streamline and lower administration costs.  After providing the kickers for the past 3 years it is the program’s determination the kickers are not </w:t>
      </w:r>
      <w:r w:rsidRPr="00AA7C43">
        <w:rPr>
          <w:rFonts w:cs="Calibri"/>
          <w:sz w:val="24"/>
          <w:szCs w:val="24"/>
        </w:rPr>
        <w:lastRenderedPageBreak/>
        <w:t xml:space="preserve">influencing the decisions of the builders and as such have proved not to be essential incentives. </w:t>
      </w:r>
      <w:r w:rsidRPr="00AA7C43">
        <w:rPr>
          <w:rFonts w:cs="Calibri"/>
          <w:sz w:val="24"/>
          <w:szCs w:val="24"/>
        </w:rPr>
        <w:br/>
        <w:t xml:space="preserve">Once the 2013 Energy code becomes effective the program will adjust the incentives in a way that will still cover a portion of the verified incremental cost for homes achieving high levels of efficiency above and beyond those required by code.  </w:t>
      </w:r>
      <w:r w:rsidRPr="00AA7C43">
        <w:rPr>
          <w:rFonts w:cs="Calibri"/>
          <w:sz w:val="24"/>
          <w:szCs w:val="24"/>
        </w:rPr>
        <w:br/>
        <w:t>The program believes ENERGY STAR® is an important and highly recognizable brand for energy efficiency.  Focus group studies have shown that while the brand is known to be good the typical buyer does not understand the whole house can achieve the label as it is typically only associated with appliances.  The program will therefore explore a marketing incentive for all homes that achieve the ENERGY STAR® for Homes label.</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sz w:val="24"/>
          <w:szCs w:val="24"/>
        </w:rPr>
      </w:pPr>
    </w:p>
    <w:p w:rsidR="00AA7C43" w:rsidRPr="00AA7C43" w:rsidRDefault="00AA7C43" w:rsidP="00AA7C43">
      <w:pPr>
        <w:tabs>
          <w:tab w:val="left" w:pos="360"/>
        </w:tabs>
        <w:spacing w:after="0" w:line="240" w:lineRule="auto"/>
        <w:rPr>
          <w:rFonts w:cs="Calibri"/>
          <w:b/>
          <w:sz w:val="24"/>
          <w:szCs w:val="24"/>
        </w:rPr>
      </w:pPr>
      <w:r w:rsidRPr="00AA7C43">
        <w:rPr>
          <w:rFonts w:cs="Calibri"/>
          <w:b/>
          <w:sz w:val="24"/>
          <w:szCs w:val="24"/>
        </w:rPr>
        <w:t xml:space="preserve">5. </w:t>
      </w:r>
      <w:r w:rsidRPr="00AA7C43">
        <w:rPr>
          <w:rFonts w:cs="Calibri"/>
          <w:b/>
          <w:sz w:val="24"/>
          <w:szCs w:val="24"/>
        </w:rPr>
        <w:tab/>
        <w:t xml:space="preserve">Program Rationale and Expected Outcome </w:t>
      </w:r>
    </w:p>
    <w:p w:rsidR="00AA7C43" w:rsidRPr="00AA7C43" w:rsidRDefault="00AA7C43" w:rsidP="00AA7C43">
      <w:pPr>
        <w:tabs>
          <w:tab w:val="left" w:pos="360"/>
        </w:tabs>
        <w:spacing w:after="0" w:line="240" w:lineRule="auto"/>
        <w:rPr>
          <w:rFonts w:cs="Calibri"/>
          <w:b/>
          <w:sz w:val="24"/>
          <w:szCs w:val="24"/>
        </w:rPr>
      </w:pPr>
    </w:p>
    <w:p w:rsidR="00AA7C43" w:rsidRPr="00AA7C43" w:rsidRDefault="00AA7C43" w:rsidP="00AA7C43">
      <w:pPr>
        <w:tabs>
          <w:tab w:val="num" w:pos="720"/>
        </w:tabs>
        <w:spacing w:after="0" w:line="240" w:lineRule="auto"/>
        <w:ind w:left="360"/>
        <w:rPr>
          <w:rFonts w:cs="Calibri"/>
          <w:sz w:val="24"/>
          <w:szCs w:val="24"/>
        </w:rPr>
      </w:pPr>
      <w:r w:rsidRPr="00AA7C43">
        <w:rPr>
          <w:rFonts w:cs="Calibri"/>
          <w:b/>
          <w:sz w:val="24"/>
          <w:szCs w:val="24"/>
        </w:rPr>
        <w:t>a)</w:t>
      </w:r>
      <w:r w:rsidRPr="00AA7C43">
        <w:rPr>
          <w:rFonts w:cs="Calibri"/>
          <w:b/>
          <w:sz w:val="24"/>
          <w:szCs w:val="24"/>
        </w:rPr>
        <w:tab/>
      </w:r>
      <w:r w:rsidRPr="00AA7C43">
        <w:rPr>
          <w:rFonts w:cs="Calibri"/>
          <w:b/>
          <w:sz w:val="24"/>
          <w:szCs w:val="24"/>
          <w:u w:val="single"/>
        </w:rPr>
        <w:t>Quantitative Baseline and Market Transformation Information</w:t>
      </w:r>
    </w:p>
    <w:p w:rsidR="00AA7C43" w:rsidRPr="00AA7C43" w:rsidRDefault="00AA7C43" w:rsidP="00AA7C43">
      <w:pPr>
        <w:spacing w:after="0" w:line="240" w:lineRule="auto"/>
        <w:ind w:left="360"/>
        <w:rPr>
          <w:rFonts w:cs="Calibri"/>
          <w:sz w:val="24"/>
          <w:szCs w:val="24"/>
        </w:rPr>
      </w:pPr>
      <w:r w:rsidRPr="00AA7C43">
        <w:rPr>
          <w:rFonts w:cs="Calibri"/>
          <w:sz w:val="24"/>
          <w:szCs w:val="24"/>
        </w:rPr>
        <w:t>On December 2, 2010, the Commission issued Resolution E-4385, approving Program Performance Metrics (PPMs) for Pacific Gas and Electric Company, Southern California Edison Company, Southern California Gas Company and San Diego Gas and Electric Company for 2010-2012 statewide energy efficiency programs and subprograms.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Below are the approved PPMs and metric types for the Lighting Market Transformation Statewide Program (Resolution E-4385, Appendix. A).</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rPr>
          <w:rFonts w:cs="Calibri"/>
          <w:sz w:val="24"/>
          <w:szCs w:val="24"/>
        </w:rPr>
      </w:pPr>
      <w:r w:rsidRPr="00AA7C43">
        <w:rPr>
          <w:rFonts w:cs="Calibri"/>
          <w:b/>
          <w:sz w:val="24"/>
          <w:szCs w:val="24"/>
        </w:rPr>
        <w:t>Table 3</w:t>
      </w:r>
      <w:r w:rsidRPr="00AA7C43">
        <w:rPr>
          <w:rFonts w:cs="Calibri"/>
          <w:sz w:val="24"/>
          <w:szCs w:val="24"/>
        </w:rPr>
        <w:t xml:space="preserve"> </w:t>
      </w:r>
    </w:p>
    <w:tbl>
      <w:tblPr>
        <w:tblW w:w="1026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4"/>
        <w:gridCol w:w="90"/>
        <w:gridCol w:w="7279"/>
        <w:gridCol w:w="90"/>
        <w:gridCol w:w="997"/>
      </w:tblGrid>
      <w:tr w:rsidR="00AA7C43" w:rsidRPr="00F50F8B" w:rsidTr="00F404C2">
        <w:trPr>
          <w:tblHeader/>
        </w:trPr>
        <w:tc>
          <w:tcPr>
            <w:tcW w:w="1895" w:type="dxa"/>
            <w:gridSpan w:val="2"/>
            <w:shd w:val="clear" w:color="auto" w:fill="808080"/>
            <w:tcMar>
              <w:left w:w="14" w:type="dxa"/>
              <w:right w:w="14" w:type="dxa"/>
            </w:tcMar>
          </w:tcPr>
          <w:p w:rsidR="00AA7C43" w:rsidRPr="00AA7C43" w:rsidRDefault="00AA7C43" w:rsidP="00F404C2">
            <w:pPr>
              <w:spacing w:after="0" w:line="240" w:lineRule="auto"/>
              <w:rPr>
                <w:rFonts w:cs="Calibri"/>
                <w:b/>
                <w:color w:val="FFFFFF"/>
                <w:sz w:val="24"/>
                <w:szCs w:val="24"/>
              </w:rPr>
            </w:pPr>
            <w:r w:rsidRPr="00AA7C43">
              <w:rPr>
                <w:rFonts w:cs="Calibri"/>
                <w:b/>
                <w:color w:val="FFFFFF"/>
                <w:sz w:val="24"/>
                <w:szCs w:val="24"/>
              </w:rPr>
              <w:t xml:space="preserve">SW PROGRAM / </w:t>
            </w:r>
          </w:p>
          <w:p w:rsidR="00AA7C43" w:rsidRPr="00AA7C43" w:rsidRDefault="00AA7C43" w:rsidP="00F404C2">
            <w:pPr>
              <w:spacing w:after="0" w:line="240" w:lineRule="auto"/>
              <w:rPr>
                <w:rFonts w:cs="Calibri"/>
                <w:b/>
                <w:color w:val="FFFFFF"/>
                <w:sz w:val="24"/>
                <w:szCs w:val="24"/>
              </w:rPr>
            </w:pPr>
            <w:r w:rsidRPr="00AA7C43">
              <w:rPr>
                <w:rFonts w:cs="Calibri"/>
                <w:b/>
                <w:color w:val="FFFFFF"/>
                <w:sz w:val="24"/>
                <w:szCs w:val="24"/>
              </w:rPr>
              <w:t>Sub-Program</w:t>
            </w:r>
          </w:p>
        </w:tc>
        <w:tc>
          <w:tcPr>
            <w:tcW w:w="7372" w:type="dxa"/>
            <w:gridSpan w:val="2"/>
            <w:shd w:val="clear" w:color="auto" w:fill="808080"/>
            <w:tcMar>
              <w:left w:w="14" w:type="dxa"/>
              <w:right w:w="14" w:type="dxa"/>
            </w:tcMar>
          </w:tcPr>
          <w:p w:rsidR="00AA7C43" w:rsidRPr="00AA7C43" w:rsidRDefault="00AA7C43" w:rsidP="00F404C2">
            <w:pPr>
              <w:spacing w:after="0" w:line="240" w:lineRule="auto"/>
              <w:jc w:val="center"/>
              <w:rPr>
                <w:rFonts w:cs="Calibri"/>
                <w:b/>
                <w:color w:val="FFFFFF"/>
                <w:sz w:val="24"/>
                <w:szCs w:val="24"/>
              </w:rPr>
            </w:pPr>
            <w:r w:rsidRPr="00AA7C43">
              <w:rPr>
                <w:rFonts w:cs="Calibri"/>
                <w:b/>
                <w:color w:val="FFFFFF"/>
                <w:sz w:val="24"/>
                <w:szCs w:val="24"/>
              </w:rPr>
              <w:t>PROGRAM PERFORMANCE METRIC (PPM)</w:t>
            </w:r>
          </w:p>
        </w:tc>
        <w:tc>
          <w:tcPr>
            <w:tcW w:w="993" w:type="dxa"/>
            <w:shd w:val="clear" w:color="auto" w:fill="808080"/>
            <w:tcMar>
              <w:left w:w="14" w:type="dxa"/>
              <w:right w:w="14" w:type="dxa"/>
            </w:tcMar>
          </w:tcPr>
          <w:p w:rsidR="00AA7C43" w:rsidRPr="00AA7C43" w:rsidRDefault="00AA7C43" w:rsidP="00F404C2">
            <w:pPr>
              <w:spacing w:after="0" w:line="240" w:lineRule="auto"/>
              <w:jc w:val="center"/>
              <w:rPr>
                <w:rFonts w:cs="Calibri"/>
                <w:b/>
                <w:color w:val="FFFFFF"/>
                <w:sz w:val="24"/>
                <w:szCs w:val="24"/>
              </w:rPr>
            </w:pPr>
            <w:r w:rsidRPr="00AA7C43">
              <w:rPr>
                <w:rFonts w:cs="Calibri"/>
                <w:b/>
                <w:color w:val="FFFFFF"/>
                <w:sz w:val="24"/>
                <w:szCs w:val="24"/>
              </w:rPr>
              <w:t>Metric Type</w:t>
            </w:r>
          </w:p>
        </w:tc>
      </w:tr>
      <w:tr w:rsidR="00AA7C43" w:rsidRPr="00F50F8B" w:rsidTr="00F404C2">
        <w:trPr>
          <w:trHeight w:val="530"/>
        </w:trPr>
        <w:tc>
          <w:tcPr>
            <w:tcW w:w="10264" w:type="dxa"/>
            <w:gridSpan w:val="5"/>
            <w:vAlign w:val="center"/>
          </w:tcPr>
          <w:p w:rsidR="00AA7C43" w:rsidRPr="00AA7C43" w:rsidRDefault="00AA7C43" w:rsidP="00F404C2">
            <w:pPr>
              <w:spacing w:after="0" w:line="240" w:lineRule="auto"/>
              <w:rPr>
                <w:rFonts w:cs="Calibri"/>
                <w:b/>
                <w:sz w:val="24"/>
                <w:szCs w:val="24"/>
              </w:rPr>
            </w:pPr>
            <w:r w:rsidRPr="00AA7C43">
              <w:rPr>
                <w:rFonts w:cs="Calibri"/>
                <w:b/>
                <w:color w:val="000000"/>
                <w:sz w:val="24"/>
                <w:szCs w:val="24"/>
              </w:rPr>
              <w:t>NEW CONSTRUCTION</w:t>
            </w:r>
          </w:p>
        </w:tc>
      </w:tr>
      <w:tr w:rsidR="00AA7C43" w:rsidRPr="00F50F8B" w:rsidTr="00F404C2">
        <w:tc>
          <w:tcPr>
            <w:tcW w:w="1805" w:type="dxa"/>
            <w:vMerge w:val="restart"/>
          </w:tcPr>
          <w:p w:rsidR="00AA7C43" w:rsidRPr="00AA7C43" w:rsidRDefault="00AA7C43" w:rsidP="00F404C2">
            <w:pPr>
              <w:spacing w:after="0" w:line="240" w:lineRule="auto"/>
              <w:rPr>
                <w:rFonts w:cs="Calibri"/>
                <w:b/>
                <w:sz w:val="24"/>
                <w:szCs w:val="24"/>
              </w:rPr>
            </w:pPr>
            <w:r w:rsidRPr="00AA7C43">
              <w:rPr>
                <w:rFonts w:cs="Calibri"/>
                <w:b/>
                <w:sz w:val="24"/>
                <w:szCs w:val="24"/>
              </w:rPr>
              <w:t>California Advanced Homes Program (CAHP)</w:t>
            </w:r>
          </w:p>
        </w:tc>
        <w:tc>
          <w:tcPr>
            <w:tcW w:w="7372" w:type="dxa"/>
            <w:gridSpan w:val="2"/>
          </w:tcPr>
          <w:p w:rsidR="00AA7C43" w:rsidRPr="00AA7C43" w:rsidRDefault="00AA7C43" w:rsidP="00F404C2">
            <w:pPr>
              <w:spacing w:after="0" w:line="240" w:lineRule="auto"/>
              <w:rPr>
                <w:rFonts w:cs="Calibri"/>
                <w:sz w:val="24"/>
                <w:szCs w:val="24"/>
              </w:rPr>
            </w:pPr>
            <w:r w:rsidRPr="00AA7C43">
              <w:rPr>
                <w:rFonts w:cs="Calibri"/>
                <w:sz w:val="24"/>
                <w:szCs w:val="24"/>
              </w:rPr>
              <w:t>1.</w:t>
            </w:r>
            <w:r w:rsidRPr="00AA7C43">
              <w:rPr>
                <w:rFonts w:cs="Calibri"/>
                <w:b/>
                <w:sz w:val="24"/>
                <w:szCs w:val="24"/>
              </w:rPr>
              <w:t xml:space="preserve"> </w:t>
            </w:r>
            <w:r w:rsidRPr="00AA7C43">
              <w:rPr>
                <w:rFonts w:cs="Calibri"/>
                <w:sz w:val="24"/>
                <w:szCs w:val="24"/>
              </w:rPr>
              <w:t>Number and percentage of committed CAHP participant homes  (applied and accepted) with modeled, ex-ante savings exceeding 2008 T24 units (Single family (SF) and multi-family (MF)) by 15%-19%, by 20%-29%, 30%-39%,  and 40+%.</w:t>
            </w:r>
          </w:p>
          <w:p w:rsidR="00AA7C43" w:rsidRPr="00AA7C43" w:rsidRDefault="00AA7C43" w:rsidP="00F404C2">
            <w:pPr>
              <w:spacing w:after="0" w:line="240" w:lineRule="auto"/>
              <w:rPr>
                <w:rFonts w:cs="Calibri"/>
                <w:b/>
                <w:sz w:val="24"/>
                <w:szCs w:val="24"/>
              </w:rPr>
            </w:pPr>
          </w:p>
        </w:tc>
        <w:tc>
          <w:tcPr>
            <w:tcW w:w="1087" w:type="dxa"/>
            <w:gridSpan w:val="2"/>
          </w:tcPr>
          <w:p w:rsidR="00AA7C43" w:rsidRPr="00AA7C43" w:rsidRDefault="00AA7C43" w:rsidP="00F404C2">
            <w:pPr>
              <w:spacing w:after="0" w:line="240" w:lineRule="auto"/>
              <w:jc w:val="center"/>
              <w:rPr>
                <w:rFonts w:cs="Calibri"/>
                <w:sz w:val="24"/>
                <w:szCs w:val="24"/>
              </w:rPr>
            </w:pPr>
            <w:r w:rsidRPr="00AA7C43">
              <w:rPr>
                <w:rFonts w:cs="Calibri"/>
                <w:sz w:val="24"/>
                <w:szCs w:val="24"/>
              </w:rPr>
              <w:t>2a</w:t>
            </w:r>
          </w:p>
        </w:tc>
      </w:tr>
      <w:tr w:rsidR="00AA7C43" w:rsidRPr="00F50F8B" w:rsidTr="00F404C2">
        <w:tc>
          <w:tcPr>
            <w:tcW w:w="1805" w:type="dxa"/>
            <w:vMerge/>
          </w:tcPr>
          <w:p w:rsidR="00AA7C43" w:rsidRPr="00AA7C43" w:rsidRDefault="00AA7C43" w:rsidP="00F404C2">
            <w:pPr>
              <w:spacing w:after="0" w:line="240" w:lineRule="auto"/>
              <w:rPr>
                <w:rFonts w:cs="Calibri"/>
                <w:b/>
                <w:sz w:val="24"/>
                <w:szCs w:val="24"/>
              </w:rPr>
            </w:pPr>
          </w:p>
        </w:tc>
        <w:tc>
          <w:tcPr>
            <w:tcW w:w="7372" w:type="dxa"/>
            <w:gridSpan w:val="2"/>
          </w:tcPr>
          <w:p w:rsidR="00AA7C43" w:rsidRPr="00AA7C43" w:rsidRDefault="00AA7C43" w:rsidP="00F404C2">
            <w:pPr>
              <w:spacing w:after="0" w:line="240" w:lineRule="auto"/>
              <w:rPr>
                <w:rFonts w:cs="Calibri"/>
                <w:sz w:val="24"/>
                <w:szCs w:val="24"/>
              </w:rPr>
            </w:pPr>
            <w:r w:rsidRPr="00AA7C43">
              <w:rPr>
                <w:rFonts w:cs="Calibri"/>
                <w:sz w:val="24"/>
                <w:szCs w:val="24"/>
              </w:rPr>
              <w:t>2a.  Percentage of (current year SF CAHP program paid units)/ (SF building permits within service territories from the previous year)</w:t>
            </w:r>
          </w:p>
          <w:p w:rsidR="00AA7C43" w:rsidRPr="00AA7C43" w:rsidRDefault="00AA7C43" w:rsidP="00F404C2">
            <w:pPr>
              <w:spacing w:after="0" w:line="240" w:lineRule="auto"/>
              <w:rPr>
                <w:rFonts w:cs="Calibri"/>
                <w:sz w:val="24"/>
                <w:szCs w:val="24"/>
              </w:rPr>
            </w:pPr>
          </w:p>
          <w:p w:rsidR="00AA7C43" w:rsidRPr="00AA7C43" w:rsidRDefault="00AA7C43" w:rsidP="00F404C2">
            <w:pPr>
              <w:spacing w:after="0" w:line="240" w:lineRule="auto"/>
              <w:rPr>
                <w:rFonts w:cs="Calibri"/>
                <w:sz w:val="24"/>
                <w:szCs w:val="24"/>
              </w:rPr>
            </w:pPr>
            <w:r w:rsidRPr="00AA7C43">
              <w:rPr>
                <w:rFonts w:cs="Calibri"/>
                <w:sz w:val="24"/>
                <w:szCs w:val="24"/>
              </w:rPr>
              <w:t>2b. Percentage of (current year MF CAHP program paid units)/ (MF building permits within service territories from the previous year)</w:t>
            </w:r>
          </w:p>
        </w:tc>
        <w:tc>
          <w:tcPr>
            <w:tcW w:w="1087" w:type="dxa"/>
            <w:gridSpan w:val="2"/>
          </w:tcPr>
          <w:p w:rsidR="00AA7C43" w:rsidRPr="00AA7C43" w:rsidRDefault="00AA7C43" w:rsidP="00F404C2">
            <w:pPr>
              <w:spacing w:after="0" w:line="240" w:lineRule="auto"/>
              <w:jc w:val="center"/>
              <w:rPr>
                <w:rFonts w:cs="Calibri"/>
                <w:sz w:val="24"/>
                <w:szCs w:val="24"/>
              </w:rPr>
            </w:pPr>
            <w:r w:rsidRPr="00AA7C43">
              <w:rPr>
                <w:rFonts w:cs="Calibri"/>
                <w:sz w:val="24"/>
                <w:szCs w:val="24"/>
              </w:rPr>
              <w:t>2a</w:t>
            </w:r>
          </w:p>
        </w:tc>
      </w:tr>
      <w:tr w:rsidR="00AA7C43" w:rsidRPr="00F50F8B" w:rsidTr="00F404C2">
        <w:tc>
          <w:tcPr>
            <w:tcW w:w="1805" w:type="dxa"/>
            <w:vMerge/>
          </w:tcPr>
          <w:p w:rsidR="00AA7C43" w:rsidRPr="00AA7C43" w:rsidRDefault="00AA7C43" w:rsidP="00F404C2">
            <w:pPr>
              <w:spacing w:after="0" w:line="240" w:lineRule="auto"/>
              <w:rPr>
                <w:rFonts w:cs="Calibri"/>
                <w:b/>
                <w:sz w:val="24"/>
                <w:szCs w:val="24"/>
              </w:rPr>
            </w:pPr>
          </w:p>
        </w:tc>
        <w:tc>
          <w:tcPr>
            <w:tcW w:w="7372" w:type="dxa"/>
            <w:gridSpan w:val="2"/>
          </w:tcPr>
          <w:p w:rsidR="00AA7C43" w:rsidRPr="00AA7C43" w:rsidRDefault="00AA7C43" w:rsidP="00F404C2">
            <w:pPr>
              <w:spacing w:after="0" w:line="240" w:lineRule="auto"/>
              <w:rPr>
                <w:rFonts w:cs="Calibri"/>
                <w:sz w:val="24"/>
                <w:szCs w:val="24"/>
              </w:rPr>
            </w:pPr>
            <w:r w:rsidRPr="00AA7C43">
              <w:rPr>
                <w:rFonts w:cs="Calibri"/>
                <w:sz w:val="24"/>
                <w:szCs w:val="24"/>
              </w:rPr>
              <w:t xml:space="preserve">3. Number and percentage of CAHP participant new homes verified* by IOUs’ HERS which exceed Title 24 (T24) building standards (SF and MF) </w:t>
            </w:r>
            <w:r w:rsidRPr="00AA7C43">
              <w:rPr>
                <w:rFonts w:cs="Calibri"/>
                <w:sz w:val="24"/>
                <w:szCs w:val="24"/>
              </w:rPr>
              <w:lastRenderedPageBreak/>
              <w:t>by 15%-19%, 20%-29%, 30%-39%, 40%+.</w:t>
            </w:r>
          </w:p>
          <w:p w:rsidR="00AA7C43" w:rsidRPr="00AA7C43" w:rsidRDefault="00AA7C43" w:rsidP="00F404C2">
            <w:pPr>
              <w:spacing w:after="0" w:line="240" w:lineRule="auto"/>
              <w:rPr>
                <w:rFonts w:cs="Calibri"/>
                <w:sz w:val="24"/>
                <w:szCs w:val="24"/>
              </w:rPr>
            </w:pPr>
          </w:p>
          <w:p w:rsidR="00AA7C43" w:rsidRPr="00AA7C43" w:rsidRDefault="00AA7C43" w:rsidP="00F404C2">
            <w:pPr>
              <w:spacing w:after="0" w:line="240" w:lineRule="auto"/>
              <w:rPr>
                <w:rFonts w:cs="Calibri"/>
                <w:sz w:val="24"/>
                <w:szCs w:val="24"/>
              </w:rPr>
            </w:pPr>
            <w:r w:rsidRPr="00AA7C43">
              <w:rPr>
                <w:rFonts w:cs="Calibri"/>
                <w:sz w:val="24"/>
                <w:szCs w:val="24"/>
              </w:rPr>
              <w:t>* The IOUs use the existing HERS Rater infrastructure to verify HERS measures and other building characteristics as required by CA Title 24 and the CEC.  The IOUs do not perform the verification inspections and do not certify HERS raters.  Note: HERS inspection protocol for production builders does not require inspection of 100% of homes; there is a sampling protocol.  For more information on HERS inspection please see http://www.energy.ca.gov/HERS/index.html</w:t>
            </w:r>
          </w:p>
        </w:tc>
        <w:tc>
          <w:tcPr>
            <w:tcW w:w="1087" w:type="dxa"/>
            <w:gridSpan w:val="2"/>
          </w:tcPr>
          <w:p w:rsidR="00AA7C43" w:rsidRPr="00AA7C43" w:rsidRDefault="00AA7C43" w:rsidP="00F404C2">
            <w:pPr>
              <w:spacing w:after="0" w:line="240" w:lineRule="auto"/>
              <w:jc w:val="center"/>
              <w:rPr>
                <w:rFonts w:cs="Calibri"/>
                <w:sz w:val="24"/>
                <w:szCs w:val="24"/>
              </w:rPr>
            </w:pPr>
            <w:r w:rsidRPr="00AA7C43">
              <w:rPr>
                <w:rFonts w:cs="Calibri"/>
                <w:sz w:val="24"/>
                <w:szCs w:val="24"/>
              </w:rPr>
              <w:lastRenderedPageBreak/>
              <w:t>2b</w:t>
            </w:r>
          </w:p>
        </w:tc>
      </w:tr>
    </w:tbl>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20"/>
        </w:numPr>
        <w:tabs>
          <w:tab w:val="clear" w:pos="1080"/>
          <w:tab w:val="num" w:pos="360"/>
        </w:tabs>
        <w:spacing w:after="0" w:line="240" w:lineRule="auto"/>
        <w:ind w:hanging="720"/>
        <w:rPr>
          <w:rFonts w:cs="Calibri"/>
          <w:b/>
          <w:sz w:val="24"/>
          <w:szCs w:val="24"/>
        </w:rPr>
      </w:pPr>
      <w:r w:rsidRPr="00AA7C43">
        <w:rPr>
          <w:rFonts w:cs="Calibri"/>
          <w:b/>
          <w:sz w:val="24"/>
          <w:szCs w:val="24"/>
          <w:u w:val="single"/>
        </w:rPr>
        <w:t>Market Transformation Information</w:t>
      </w:r>
    </w:p>
    <w:p w:rsidR="00AA7C43" w:rsidRPr="00AA7C43" w:rsidRDefault="00AA7C43" w:rsidP="00AA7C43">
      <w:pPr>
        <w:spacing w:after="0" w:line="240" w:lineRule="auto"/>
        <w:ind w:left="360"/>
        <w:rPr>
          <w:rFonts w:cs="Calibri"/>
          <w:color w:val="000000"/>
          <w:sz w:val="24"/>
          <w:szCs w:val="24"/>
        </w:rPr>
      </w:pPr>
      <w:r w:rsidRPr="00AA7C43">
        <w:rPr>
          <w:rFonts w:cs="Calibri"/>
          <w:color w:val="000000"/>
          <w:sz w:val="24"/>
          <w:szCs w:val="24"/>
        </w:rPr>
        <w:t>Resolution E-4385 identifies a preliminary list of objectives and market transformation indicators (MTIs) for statewide energy efficiency programs and subprograms.  These MTIs will be presented at a public workshop to allow for public comments and discussion before being finalized.  The Resolution further directs the Joint Utilities to work collaboratively with Energy Division staff to select a subset of these MTIs for data collection, tracking and reporting as part of the 2010-2012 energy efficiency evaluation, monitoring and verification (EM&amp;V) activities.</w:t>
      </w:r>
    </w:p>
    <w:p w:rsidR="00AA7C43" w:rsidRPr="00AA7C43" w:rsidRDefault="00AA7C43" w:rsidP="00AA7C43">
      <w:pPr>
        <w:spacing w:after="0" w:line="240" w:lineRule="auto"/>
        <w:ind w:left="360"/>
        <w:rPr>
          <w:rFonts w:cs="Calibri"/>
          <w:color w:val="000000"/>
          <w:sz w:val="24"/>
          <w:szCs w:val="24"/>
        </w:rPr>
      </w:pPr>
    </w:p>
    <w:p w:rsidR="00AA7C43" w:rsidRPr="00AA7C43" w:rsidRDefault="00AA7C43" w:rsidP="00AA7C43">
      <w:pPr>
        <w:widowControl w:val="0"/>
        <w:autoSpaceDE w:val="0"/>
        <w:autoSpaceDN w:val="0"/>
        <w:adjustRightInd w:val="0"/>
        <w:spacing w:after="0" w:line="240" w:lineRule="auto"/>
        <w:ind w:left="360"/>
        <w:rPr>
          <w:rFonts w:cs="Calibri"/>
          <w:b/>
          <w:sz w:val="24"/>
          <w:szCs w:val="24"/>
        </w:rPr>
      </w:pPr>
      <w:r w:rsidRPr="00AA7C43">
        <w:rPr>
          <w:rFonts w:cs="Calibri"/>
          <w:b/>
          <w:sz w:val="24"/>
          <w:szCs w:val="24"/>
        </w:rPr>
        <w:t xml:space="preserve">Bullet 1) A description of the market, including identification of the relevant market actors and the relationships among them; </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 xml:space="preserve">The MT elements described here follow guidelines and terminology explained in Rosenberg &amp; Hoefgen’s (2009) </w:t>
      </w:r>
      <w:r w:rsidRPr="00AA7C43">
        <w:rPr>
          <w:rFonts w:cs="Calibri"/>
          <w:i/>
          <w:sz w:val="24"/>
          <w:szCs w:val="24"/>
        </w:rPr>
        <w:t>Market Effects and Market Transformation: Their Role in Energy Efficiency Program Design and Evaluation.</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 xml:space="preserve">&lt;&lt;paper is available here </w:t>
      </w:r>
      <w:hyperlink r:id="rId58" w:history="1">
        <w:r w:rsidRPr="00AA7C43">
          <w:rPr>
            <w:rStyle w:val="Hyperlink"/>
            <w:rFonts w:cs="Calibri"/>
            <w:sz w:val="24"/>
            <w:szCs w:val="24"/>
          </w:rPr>
          <w:t>http://uc-ciee.org/downloads/mrkt_effts_wp.pdf</w:t>
        </w:r>
      </w:hyperlink>
      <w:r w:rsidRPr="00AA7C43">
        <w:rPr>
          <w:rFonts w:cs="Calibri"/>
          <w:sz w:val="24"/>
          <w:szCs w:val="24"/>
        </w:rPr>
        <w:t xml:space="preserve"> &gt;&gt;</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Ideally, information about a market would come from a variety of sources, including existing studies and newly-commissioned studies. Rosenberg &amp; Hoefgen (2009) recommend that California should “Commission initial market characterization research for those products and services for which the structure of the market and the motivations of the market actors are not well understood or documented, at least in terms of their response to the product in question.” Due to a lack of time, the following market information draws heavily upon qualitative analyses made by the program managers based upon information they have obtained through experience in implementing the program. We look forward to an opportunity to develop a better understanding of these markets through future commissioned studies, in conjunction with ED and other market transformation stakeholders.</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Residential New Construction market consists of several key players including builders, designers, subcontractors, HERS raters, local cities, manufacturers, real estate agents, financing agencies, and home buyers. The RNC sub-program is located upstream, targeting </w:t>
      </w:r>
      <w:r w:rsidRPr="00AA7C43">
        <w:rPr>
          <w:rFonts w:cs="Calibri"/>
          <w:sz w:val="24"/>
          <w:szCs w:val="24"/>
        </w:rPr>
        <w:lastRenderedPageBreak/>
        <w:t>builders and subcontractors early in the design stage of the production process. Upstream of the IOU’s RNC influence are local cities’ permitting rules and associated costs. Downstream of the RNC sub-program are real estate agents, financing agencies, and home buyers.  The RNC sub-program works directly with builders, designers, subcontractors, HERS raters, builder sales staffs, and manufacturers via equipment recommendations at the design stage.</w:t>
      </w:r>
    </w:p>
    <w:p w:rsidR="00AA7C43" w:rsidRPr="00AA7C43" w:rsidRDefault="00AA7C43" w:rsidP="00AA7C43">
      <w:pPr>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b/>
          <w:sz w:val="24"/>
          <w:szCs w:val="24"/>
        </w:rPr>
      </w:pPr>
      <w:r w:rsidRPr="00AA7C43">
        <w:rPr>
          <w:rFonts w:cs="Calibri"/>
          <w:b/>
          <w:sz w:val="24"/>
          <w:szCs w:val="24"/>
        </w:rPr>
        <w:t>Bullet 2) Identification of the key barriers and opportunities to advancing demand-side management technologies and strategies;</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The key barriers and opportunities to be addressed through a market transformation initiative would ideally draw upon a market characterization study. Due to lack of planning time, the following market barriers and opportunities are drawn from qualitative analyses made by the program managers.</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Key RNC market barriers include A) entrenched builder and subcontractor habits, B) a lack of buyer knowledge, interest, and demand, and C) an ensuing disconnect between the price buyers are willing to pay and the related increased builder costs of incorporating DSM technologies, energy efficient equipment, and advanced building practices. Opportunities to address these barriers include education and outreach to builders, subcontractors, and buyers to increase demand and alter builder habits; design assistance to improve builder knowledge and maximally cost-effective strategies; and incentives to bridge the gap of builder costs and buyer demand.</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widowControl w:val="0"/>
        <w:autoSpaceDE w:val="0"/>
        <w:autoSpaceDN w:val="0"/>
        <w:adjustRightInd w:val="0"/>
        <w:spacing w:after="0" w:line="240" w:lineRule="auto"/>
        <w:ind w:left="360"/>
        <w:rPr>
          <w:rFonts w:cs="Calibri"/>
          <w:b/>
          <w:sz w:val="24"/>
          <w:szCs w:val="24"/>
        </w:rPr>
      </w:pPr>
      <w:r w:rsidRPr="00AA7C43">
        <w:rPr>
          <w:rFonts w:cs="Calibri"/>
          <w:b/>
          <w:sz w:val="24"/>
          <w:szCs w:val="24"/>
        </w:rPr>
        <w:t>Bullet 3) A description of the proposed intervention(s) and its/their intended results, and specify which barriers each intervention is intended to address;</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To address Barrier A, the following intervention is proposed:</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Builders and subcontractors will be offered training and design assistance to facilitate the acceptance and incorporation of new technologies and building practices including DSM.</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To address Barrier B, the following intervention is proposed:</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Builder sales staffs will be provided training and marketing support on the advantages of EE homes that incorporate DSM technologies. Financing mechanisms will be explored to reduce buyer costs and increase demand.</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To address Barrier C, the following intervention is proposed:</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 xml:space="preserve">Incentives will target a </w:t>
      </w:r>
      <w:r w:rsidRPr="00AA7C43">
        <w:rPr>
          <w:rFonts w:cs="Calibri"/>
          <w:sz w:val="24"/>
          <w:szCs w:val="24"/>
          <w:shd w:val="clear" w:color="auto" w:fill="FFFFFF"/>
        </w:rPr>
        <w:t>reduction</w:t>
      </w:r>
      <w:r w:rsidRPr="00AA7C43">
        <w:rPr>
          <w:rFonts w:cs="Calibri"/>
          <w:sz w:val="24"/>
          <w:szCs w:val="24"/>
        </w:rPr>
        <w:t xml:space="preserve"> in the cost to builders of incorporating EE measures and DSM technologies. </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Market transformation interventions can be expected to take 2, 5 or even 10 yrs before effects can be quantified. We propose the following that these would be the results that can be seen in the market at various time intervals:</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 xml:space="preserve">After 2 years of implementation builders and subcontractors should feel significantly more confident in accepting new technologies and advanced building practices. By this time they </w:t>
      </w:r>
      <w:r w:rsidRPr="00AA7C43">
        <w:rPr>
          <w:rFonts w:cs="Calibri"/>
          <w:sz w:val="24"/>
          <w:szCs w:val="24"/>
        </w:rPr>
        <w:lastRenderedPageBreak/>
        <w:t>should be familiar with IOU design assistance procedures and how to maximize the incentives and minimize the increased costs. Sales staffs should be well-versed in the advantages of participant homes.</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 xml:space="preserve">After 5 years, builders and subcontractors should be very confident in advanced EE technologies, building practices, and DSM. At this time the market should be nearing ZNE building practices. Financing mechanisms should be in place to improve buyer demand. </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After 10 years, the RNC market should be exclusively building ZNE developments. At this point the program focus will be devoted to education and outreach, helping the industry competes with the less efficient existing market. Financing mechanisms will continue to play a role.</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AA7C43" w:rsidP="00AA7C43">
      <w:pPr>
        <w:widowControl w:val="0"/>
        <w:autoSpaceDE w:val="0"/>
        <w:autoSpaceDN w:val="0"/>
        <w:adjustRightInd w:val="0"/>
        <w:spacing w:after="0" w:line="240" w:lineRule="auto"/>
        <w:ind w:left="360"/>
        <w:rPr>
          <w:rFonts w:cs="Calibri"/>
          <w:b/>
          <w:sz w:val="24"/>
          <w:szCs w:val="24"/>
        </w:rPr>
      </w:pPr>
      <w:r w:rsidRPr="00AA7C43">
        <w:rPr>
          <w:rFonts w:cs="Calibri"/>
          <w:b/>
          <w:sz w:val="24"/>
          <w:szCs w:val="24"/>
        </w:rPr>
        <w:t>Bullet 4) A coherent program, or “market,” logic model that ensures a solid causal relationship between the proposed intervention(s) and its/their intended results; and</w:t>
      </w:r>
    </w:p>
    <w:p w:rsidR="00AA7C43" w:rsidRPr="00AA7C43" w:rsidRDefault="00AA7C43" w:rsidP="00AA7C43">
      <w:pPr>
        <w:widowControl w:val="0"/>
        <w:autoSpaceDE w:val="0"/>
        <w:autoSpaceDN w:val="0"/>
        <w:adjustRightInd w:val="0"/>
        <w:spacing w:after="0" w:line="240" w:lineRule="auto"/>
        <w:ind w:left="360"/>
        <w:rPr>
          <w:rFonts w:cs="Calibri"/>
          <w:sz w:val="24"/>
          <w:szCs w:val="24"/>
        </w:rPr>
      </w:pPr>
      <w:r w:rsidRPr="00AA7C43">
        <w:rPr>
          <w:rFonts w:cs="Calibri"/>
          <w:sz w:val="24"/>
          <w:szCs w:val="24"/>
        </w:rPr>
        <w:t>In this example below, “Portfolio Program Elements” are the market transformation interventions that are specifically directed to the market barriers. “Outcomes” are the outputs of the MT interventions, which are the market effects and reductions in market barriers than can be seen in the short-, mid-, and long-term. Please note that the long term outcomes are “sustainable,” which is what the market should look like after the market intervention has ended.</w:t>
      </w:r>
    </w:p>
    <w:p w:rsidR="00AA7C43" w:rsidRPr="00AA7C43" w:rsidRDefault="00AA7C43" w:rsidP="00AA7C43">
      <w:pPr>
        <w:widowControl w:val="0"/>
        <w:autoSpaceDE w:val="0"/>
        <w:autoSpaceDN w:val="0"/>
        <w:adjustRightInd w:val="0"/>
        <w:spacing w:after="0" w:line="240" w:lineRule="auto"/>
        <w:ind w:left="360"/>
        <w:rPr>
          <w:rFonts w:cs="Calibri"/>
          <w:sz w:val="24"/>
          <w:szCs w:val="24"/>
        </w:rPr>
      </w:pPr>
    </w:p>
    <w:p w:rsidR="00AA7C43" w:rsidRPr="00AA7C43" w:rsidRDefault="008D705C" w:rsidP="00AA7C43">
      <w:pPr>
        <w:spacing w:after="0" w:line="240" w:lineRule="auto"/>
        <w:ind w:left="360"/>
        <w:rPr>
          <w:rFonts w:cs="Calibri"/>
          <w:sz w:val="24"/>
          <w:szCs w:val="24"/>
        </w:rPr>
      </w:pPr>
      <w:r w:rsidRPr="00C31CC0">
        <w:rPr>
          <w:rFonts w:cs="Calibri"/>
          <w:noProof/>
          <w:sz w:val="24"/>
          <w:szCs w:val="24"/>
        </w:rPr>
        <w:lastRenderedPageBreak/>
        <w:drawing>
          <wp:inline distT="0" distB="0" distL="0" distR="0" wp14:anchorId="308AD8E0" wp14:editId="59AEDE31">
            <wp:extent cx="6317283" cy="4584487"/>
            <wp:effectExtent l="57150" t="0" r="64467" b="82763"/>
            <wp:docPr id="49" name="Picture 67" descr="Description: CAHP Logic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7" descr="CAHP Logic Model 2.jpg"/>
                    <pic:cNvPicPr/>
                  </pic:nvPicPr>
                  <pic:blipFill>
                    <a:blip r:embed="rId59" cstate="print"/>
                    <a:stretch>
                      <a:fillRect/>
                    </a:stretch>
                  </pic:blipFill>
                  <pic:spPr>
                    <a:xfrm>
                      <a:off x="0" y="0"/>
                      <a:ext cx="6317283" cy="4584487"/>
                    </a:xfrm>
                    <a:prstGeom prst="rect">
                      <a:avLst/>
                    </a:prstGeom>
                    <a:effectLst>
                      <a:outerShdw blurRad="50800" dist="50800" dir="5400000" algn="ctr" rotWithShape="0">
                        <a:schemeClr val="bg1">
                          <a:lumMod val="65000"/>
                        </a:schemeClr>
                      </a:outerShdw>
                    </a:effectLst>
                  </pic:spPr>
                </pic:pic>
              </a:graphicData>
            </a:graphic>
          </wp:inline>
        </w:drawing>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b/>
          <w:sz w:val="24"/>
          <w:szCs w:val="24"/>
        </w:rPr>
      </w:pPr>
      <w:r w:rsidRPr="00AA7C43">
        <w:rPr>
          <w:rFonts w:cs="Calibri"/>
          <w:b/>
          <w:sz w:val="24"/>
          <w:szCs w:val="24"/>
        </w:rPr>
        <w:t>Bullet 5) Appropriate evaluation plans and corresponding Market Transformation Indicators and PPMs based on the program logic model. (The IOUs should be prepared to start tracking proposed Market Transformation Indicators immediately in order to establish a baseline, and in cases where the logic model calls for metrics to be differentiated in terms of the sequence and timeframe in which they are expected to be relevant – i.e., leading vs. intermediate vs. lagging indicators of change – each metric should be identified as such).</w:t>
      </w:r>
    </w:p>
    <w:p w:rsidR="00AA7C43" w:rsidRPr="00AA7C43" w:rsidRDefault="00AA7C43" w:rsidP="00AA7C43">
      <w:pPr>
        <w:spacing w:after="0" w:line="240" w:lineRule="auto"/>
        <w:ind w:left="360"/>
        <w:rPr>
          <w:sz w:val="24"/>
          <w:szCs w:val="24"/>
        </w:rPr>
      </w:pPr>
      <w:r w:rsidRPr="00AA7C43">
        <w:rPr>
          <w:rFonts w:cs="Calibri"/>
          <w:sz w:val="24"/>
          <w:szCs w:val="24"/>
        </w:rPr>
        <w:t xml:space="preserve">Due to the need to comply with the Decision’s timeline for filing the 2013-2014 PIP, and our desire to comply with earlier Decisions that call for gathering stakeholder input in informing market transformation efforts, we suggest that a full market </w:t>
      </w:r>
      <w:r w:rsidRPr="00AA7C43">
        <w:rPr>
          <w:sz w:val="24"/>
          <w:szCs w:val="24"/>
        </w:rPr>
        <w:t>effects evaluation plan be developed during the formulation of the Joint EM&amp;V Plan as described in section “18.1. Evaluation Budget” in Decision R.09-11-014. Until then, we suggest the following approach:</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b/>
          <w:sz w:val="24"/>
          <w:szCs w:val="24"/>
        </w:rPr>
      </w:pPr>
      <w:r w:rsidRPr="00AA7C43">
        <w:rPr>
          <w:rFonts w:cs="Calibri"/>
          <w:b/>
          <w:sz w:val="24"/>
          <w:szCs w:val="24"/>
        </w:rPr>
        <w:t>Summative evaluation - Market Effects</w:t>
      </w:r>
    </w:p>
    <w:p w:rsidR="00AA7C43" w:rsidRPr="00AA7C43" w:rsidRDefault="00AA7C43" w:rsidP="00AA7C43">
      <w:pPr>
        <w:spacing w:after="0" w:line="240" w:lineRule="auto"/>
        <w:ind w:left="360"/>
        <w:rPr>
          <w:sz w:val="24"/>
          <w:szCs w:val="24"/>
        </w:rPr>
      </w:pPr>
      <w:r w:rsidRPr="00AA7C43">
        <w:rPr>
          <w:rFonts w:cs="Calibri"/>
          <w:sz w:val="24"/>
          <w:szCs w:val="24"/>
        </w:rPr>
        <w:t xml:space="preserve">The market transformation program’s theory and logic model will be used to guide the evaluation efforts. The scope of the market effects study should be defined by the MT program’s scope. </w:t>
      </w:r>
      <w:r w:rsidRPr="00AA7C43">
        <w:rPr>
          <w:sz w:val="24"/>
          <w:szCs w:val="24"/>
        </w:rPr>
        <w:t xml:space="preserve">The timeline for specific market effects that are to be evaluated should be defined by the MT program theory. Among other indicators, the program theory may </w:t>
      </w:r>
      <w:r w:rsidRPr="00AA7C43">
        <w:rPr>
          <w:sz w:val="24"/>
          <w:szCs w:val="24"/>
        </w:rPr>
        <w:lastRenderedPageBreak/>
        <w:t>specify changes in market characteristics that can be evaluated, such as 1) Spillover, 2) attitudes, awareness and knowledge, 3) reductions in specific market barrier, 4) current pricing and product availability, and 5) other market milestones. We will make the following distinction between program “spillover” and market effects: spillover is energy savings not directly tracked by the program, whereas market effects are broader and would include spillover as well as meaningful changes in the structure or functioning of the market.</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rPr>
        <w:t xml:space="preserve">Formative evaluation: </w:t>
      </w:r>
      <w:r w:rsidRPr="00AA7C43">
        <w:rPr>
          <w:rFonts w:cs="Calibri"/>
          <w:sz w:val="24"/>
          <w:szCs w:val="24"/>
        </w:rPr>
        <w:t xml:space="preserve">The formative evaluation of a market transformation program is typically performed at the intervention (i.e. program) level. The methods are the same as would be used in a program process evaluation, and would include interviews with program staff, participants and non-participants as well as an assessment of the program’s direct outputs.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sz w:val="24"/>
          <w:szCs w:val="24"/>
        </w:rPr>
      </w:pPr>
      <w:r w:rsidRPr="00AA7C43">
        <w:rPr>
          <w:b/>
          <w:sz w:val="24"/>
          <w:szCs w:val="24"/>
        </w:rPr>
        <w:t>Program Performance Metrics:</w:t>
      </w:r>
      <w:r w:rsidRPr="00AA7C43">
        <w:rPr>
          <w:sz w:val="24"/>
          <w:szCs w:val="24"/>
        </w:rPr>
        <w:t xml:space="preserve"> Please see Section 5, Table 3, above.</w:t>
      </w:r>
    </w:p>
    <w:p w:rsidR="00AA7C43" w:rsidRPr="00AA7C43" w:rsidRDefault="00AA7C43" w:rsidP="00AA7C43">
      <w:pPr>
        <w:spacing w:after="0" w:line="240" w:lineRule="auto"/>
        <w:ind w:left="360"/>
        <w:rPr>
          <w:sz w:val="24"/>
          <w:szCs w:val="24"/>
        </w:rPr>
      </w:pPr>
    </w:p>
    <w:p w:rsidR="00AA7C43" w:rsidRPr="00AA7C43" w:rsidRDefault="00AA7C43" w:rsidP="00AA7C43">
      <w:pPr>
        <w:spacing w:after="0" w:line="240" w:lineRule="auto"/>
        <w:ind w:left="360"/>
        <w:rPr>
          <w:sz w:val="24"/>
          <w:szCs w:val="24"/>
        </w:rPr>
      </w:pPr>
      <w:r w:rsidRPr="00AA7C43">
        <w:rPr>
          <w:b/>
          <w:sz w:val="24"/>
          <w:szCs w:val="24"/>
        </w:rPr>
        <w:t>Market Transformation Indicators:</w:t>
      </w:r>
      <w:r w:rsidRPr="00AA7C43">
        <w:rPr>
          <w:sz w:val="24"/>
          <w:szCs w:val="24"/>
        </w:rPr>
        <w:t xml:space="preserve"> Market transformation indicator results shall be reported, as available, by Energy Division or the IOUs, depending upon who conducts the necessary market studies.  (Res. 4385, 12/2/10)</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sz w:val="24"/>
          <w:szCs w:val="24"/>
        </w:rPr>
      </w:pPr>
      <w:r w:rsidRPr="00AA7C43">
        <w:rPr>
          <w:rFonts w:cs="Calibri"/>
          <w:b/>
          <w:sz w:val="24"/>
          <w:szCs w:val="24"/>
        </w:rPr>
        <w:t xml:space="preserve">Attribution:  </w:t>
      </w:r>
      <w:r w:rsidRPr="00AA7C43">
        <w:rPr>
          <w:rFonts w:cs="Calibri"/>
          <w:sz w:val="24"/>
          <w:szCs w:val="24"/>
        </w:rPr>
        <w:t xml:space="preserve">Outside of California, most guidelines for evaluating market transformation acknowledge that it is very difficult to attribute market effects to any single program, and nearly impossible to partition out the respective contributions of several coordinated programs on market effects and market transformation. In California, the Framework (Sebold et al., 2001) emphasizes that attribution of market effects to programs bears further research. Others (R&amp;H, 2009; Keating &amp; Prahl (MT Workshop) suggest that declaring the program’s strategic intent through the market transformation initiative’s theory and logic model is key to establishing future claim on transformation effects. The methods proposed by </w:t>
      </w:r>
      <w:r w:rsidRPr="00AA7C43">
        <w:rPr>
          <w:sz w:val="24"/>
          <w:szCs w:val="24"/>
        </w:rPr>
        <w:t xml:space="preserve">Rosenberg &amp;Hoefgen </w:t>
      </w:r>
      <w:r w:rsidRPr="00AA7C43">
        <w:rPr>
          <w:rFonts w:cs="Calibri"/>
          <w:sz w:val="24"/>
          <w:szCs w:val="24"/>
        </w:rPr>
        <w:t xml:space="preserve">(2009) for attributing market effects to individual programs include a number of approaches, all of them qualitative: self-report of spillover and free ridership; cross-sectional comparisons with other geographic regions; structured expert judging; and case studies. </w:t>
      </w:r>
      <w:r w:rsidRPr="00AA7C43">
        <w:rPr>
          <w:sz w:val="24"/>
          <w:szCs w:val="24"/>
        </w:rPr>
        <w:t>But attribution using a “preponderance of evidence” approach would likely be expensive and still yield arguable results. Attribution by nature focuses on individual program efforts, and we believe the market transformation evaluation discourse should be focused on the overlapping synergy among all programs and influences in the market. We realize we all have a “Shared Mission” of meeting the CPUC’s very aggressive Strategic Plan goals. We do not wish to not invest resources in teasing apart which program entity contributed how much, but instead will plan to focus on whether all the market forces across the State of California have succeeded in transforming the market.</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In lieu of the above results and recommendations, the RNC sub-program will carry forward the PPMs and MTIs that were in place during the 2010-2012 cycle.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20"/>
        </w:numPr>
        <w:tabs>
          <w:tab w:val="clear" w:pos="1080"/>
        </w:tabs>
        <w:spacing w:after="0" w:line="240" w:lineRule="auto"/>
        <w:ind w:left="720"/>
        <w:rPr>
          <w:rFonts w:cs="Calibri"/>
          <w:b/>
          <w:sz w:val="24"/>
          <w:szCs w:val="24"/>
        </w:rPr>
      </w:pPr>
      <w:r w:rsidRPr="00AA7C43">
        <w:rPr>
          <w:rFonts w:cs="Calibri"/>
          <w:b/>
          <w:sz w:val="24"/>
          <w:szCs w:val="24"/>
          <w:u w:val="single"/>
        </w:rPr>
        <w:t>Program Design to Overcome Barriers</w:t>
      </w:r>
    </w:p>
    <w:p w:rsidR="00AA7C43" w:rsidRPr="00AA7C43" w:rsidRDefault="00AA7C43" w:rsidP="00AA7C43">
      <w:pPr>
        <w:tabs>
          <w:tab w:val="left" w:pos="540"/>
        </w:tabs>
        <w:spacing w:after="0" w:line="240" w:lineRule="auto"/>
        <w:ind w:left="360"/>
        <w:rPr>
          <w:rFonts w:cs="Calibri"/>
          <w:b/>
          <w:sz w:val="24"/>
          <w:szCs w:val="24"/>
          <w:u w:val="single"/>
        </w:rPr>
      </w:pPr>
      <w:r w:rsidRPr="00AA7C43">
        <w:rPr>
          <w:rFonts w:cs="Calibri"/>
          <w:b/>
          <w:sz w:val="24"/>
          <w:szCs w:val="24"/>
          <w:u w:val="single"/>
        </w:rPr>
        <w:t>Priority Barrier: Building Industry</w:t>
      </w: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lastRenderedPageBreak/>
        <w:t xml:space="preserve">Effective January 1, 2014, California’s Title 24 standards will be revised and updated.  Overall, Residential baseline energy performance requirements for heating, cooling, and hot water will be increased by approximately 25 to 30 percent, which implies marked increase in  production costs for builders at a time when the industry and the economy at large are experiencing significant challenges.  </w:t>
      </w:r>
    </w:p>
    <w:p w:rsidR="00AA7C43" w:rsidRPr="00AA7C43" w:rsidRDefault="00AA7C43" w:rsidP="00AA7C43">
      <w:pPr>
        <w:tabs>
          <w:tab w:val="left" w:pos="540"/>
        </w:tabs>
        <w:spacing w:after="0" w:line="240" w:lineRule="auto"/>
        <w:ind w:left="360"/>
        <w:rPr>
          <w:rFonts w:cs="Calibri"/>
          <w:sz w:val="24"/>
          <w:szCs w:val="24"/>
          <w:u w:val="single"/>
        </w:rPr>
      </w:pPr>
    </w:p>
    <w:p w:rsidR="00AA7C43" w:rsidRPr="00AA7C43" w:rsidRDefault="00AA7C43" w:rsidP="00AA7C43">
      <w:pPr>
        <w:tabs>
          <w:tab w:val="left" w:pos="540"/>
        </w:tabs>
        <w:spacing w:after="0" w:line="240" w:lineRule="auto"/>
        <w:ind w:left="360"/>
        <w:rPr>
          <w:rFonts w:cs="Calibri"/>
          <w:b/>
          <w:sz w:val="24"/>
          <w:szCs w:val="24"/>
          <w:u w:val="single"/>
        </w:rPr>
      </w:pPr>
      <w:r w:rsidRPr="00AA7C43">
        <w:rPr>
          <w:rFonts w:cs="Calibri"/>
          <w:b/>
          <w:sz w:val="24"/>
          <w:szCs w:val="24"/>
          <w:u w:val="single"/>
        </w:rPr>
        <w:t>Priority Barrier: Homebuyers</w:t>
      </w: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The energy used in the average home produces roughly twice the greenhouse gas emissions as the average automobile.  In fact, 16% of U.S. greenhouse gas emissions result from the generation of energy used in houses nationwide (U.S. EPA).  However, there is little consumer awareness of the impact that homes have on the environment.  CAHP is working with IOU marketing efforts, statewide partners, ENERGY STAR® campaigns, and builders’ own messaging to increase consumer awareness of this idea.  Moreover, there is scant evidence that energy efficiency drives decision- making among homebuyers whose access to capital is more difficult in a constrained capital market.</w:t>
      </w:r>
    </w:p>
    <w:p w:rsidR="00AA7C43" w:rsidRPr="00AA7C43" w:rsidRDefault="00AA7C43" w:rsidP="00AA7C43">
      <w:pPr>
        <w:tabs>
          <w:tab w:val="left" w:pos="540"/>
        </w:tabs>
        <w:spacing w:after="0" w:line="240" w:lineRule="auto"/>
        <w:ind w:left="360"/>
        <w:rPr>
          <w:rFonts w:cs="Calibri"/>
          <w:sz w:val="24"/>
          <w:szCs w:val="24"/>
          <w:u w:val="single"/>
        </w:rPr>
      </w:pPr>
    </w:p>
    <w:p w:rsidR="00AA7C43" w:rsidRPr="00AA7C43" w:rsidRDefault="00AA7C43" w:rsidP="00AA7C43">
      <w:pPr>
        <w:tabs>
          <w:tab w:val="left" w:pos="540"/>
        </w:tabs>
        <w:spacing w:after="0" w:line="240" w:lineRule="auto"/>
        <w:ind w:left="360"/>
        <w:rPr>
          <w:rFonts w:cs="Calibri"/>
          <w:b/>
          <w:sz w:val="24"/>
          <w:szCs w:val="24"/>
          <w:u w:val="single"/>
        </w:rPr>
      </w:pPr>
      <w:r w:rsidRPr="00AA7C43">
        <w:rPr>
          <w:rFonts w:cs="Calibri"/>
          <w:b/>
          <w:sz w:val="24"/>
          <w:szCs w:val="24"/>
          <w:u w:val="single"/>
        </w:rPr>
        <w:t>Overcoming Market Failure: CAHP</w:t>
      </w: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 xml:space="preserve">In a buyer’s market, builders are looking to differentiate themselves from competition.  This presents an opportunity for CAHP to assist builders in overcoming cost barriers, minimizing lost opportunities, and working collaboratively to meet the state’s and IOUs’ goals for the reduction of greenhouse gas emissions and utility source demand. </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 xml:space="preserve">The Residential New Construction market without IOU intervention is a lost opportunity for long-term energy savings.  However, with IOU intervention in the form of incentives and design support, the new construction market is well placed to demonstrate innovative approaches and cost-effective energy savings technologies.  </w:t>
      </w:r>
    </w:p>
    <w:p w:rsidR="00AA7C43" w:rsidRPr="00AA7C43" w:rsidRDefault="00AA7C43" w:rsidP="00C31CC0">
      <w:pPr>
        <w:numPr>
          <w:ilvl w:val="0"/>
          <w:numId w:val="20"/>
        </w:numPr>
        <w:tabs>
          <w:tab w:val="clear" w:pos="1080"/>
          <w:tab w:val="num" w:pos="360"/>
          <w:tab w:val="left" w:pos="720"/>
        </w:tabs>
        <w:spacing w:after="0" w:line="240" w:lineRule="auto"/>
        <w:ind w:left="720"/>
        <w:rPr>
          <w:rFonts w:cs="Calibri"/>
          <w:b/>
          <w:sz w:val="24"/>
          <w:szCs w:val="24"/>
        </w:rPr>
      </w:pPr>
      <w:r w:rsidRPr="00AA7C43">
        <w:rPr>
          <w:rFonts w:cs="Calibri"/>
          <w:b/>
          <w:sz w:val="24"/>
          <w:szCs w:val="24"/>
          <w:u w:val="single"/>
        </w:rPr>
        <w:t>Quantitative Program Targets</w:t>
      </w:r>
    </w:p>
    <w:p w:rsidR="00AA7C43" w:rsidRPr="00AA7C43" w:rsidRDefault="00AA7C43" w:rsidP="00AA7C43">
      <w:pPr>
        <w:spacing w:after="0" w:line="240" w:lineRule="auto"/>
        <w:ind w:left="360"/>
        <w:rPr>
          <w:rFonts w:cs="Calibri"/>
          <w:sz w:val="24"/>
          <w:szCs w:val="24"/>
        </w:rPr>
      </w:pPr>
      <w:r w:rsidRPr="00AA7C43">
        <w:rPr>
          <w:rFonts w:cs="Calibri"/>
          <w:sz w:val="24"/>
          <w:szCs w:val="24"/>
        </w:rPr>
        <w:t>The targets provided herein are best estimates, but nonetheless are forecasts.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pStyle w:val="Caption"/>
        <w:ind w:firstLine="720"/>
        <w:rPr>
          <w:rFonts w:ascii="Calibri" w:hAnsi="Calibri" w:cs="Calibri"/>
          <w:b w:val="0"/>
          <w:sz w:val="24"/>
          <w:szCs w:val="24"/>
        </w:rPr>
      </w:pPr>
      <w:r w:rsidRPr="00AA7C43">
        <w:rPr>
          <w:rFonts w:ascii="Calibri" w:hAnsi="Calibri" w:cs="Calibri"/>
          <w:sz w:val="24"/>
          <w:szCs w:val="24"/>
        </w:rPr>
        <w:t xml:space="preserve">Table 5 </w:t>
      </w:r>
    </w:p>
    <w:tbl>
      <w:tblPr>
        <w:tblW w:w="9189" w:type="dxa"/>
        <w:tblInd w:w="828" w:type="dxa"/>
        <w:tblLook w:val="0000" w:firstRow="0" w:lastRow="0" w:firstColumn="0" w:lastColumn="0" w:noHBand="0" w:noVBand="0"/>
      </w:tblPr>
      <w:tblGrid>
        <w:gridCol w:w="3215"/>
        <w:gridCol w:w="2055"/>
        <w:gridCol w:w="1888"/>
        <w:gridCol w:w="2031"/>
      </w:tblGrid>
      <w:tr w:rsidR="00AA7C43" w:rsidRPr="00F50F8B" w:rsidTr="00F404C2">
        <w:trPr>
          <w:trHeight w:val="314"/>
        </w:trPr>
        <w:tc>
          <w:tcPr>
            <w:tcW w:w="3215" w:type="dxa"/>
            <w:tcBorders>
              <w:top w:val="single" w:sz="4" w:space="0" w:color="auto"/>
              <w:left w:val="single" w:sz="4" w:space="0" w:color="auto"/>
              <w:bottom w:val="single" w:sz="4" w:space="0" w:color="auto"/>
              <w:right w:val="single" w:sz="4" w:space="0" w:color="auto"/>
            </w:tcBorders>
            <w:noWrap/>
            <w:vAlign w:val="bottom"/>
          </w:tcPr>
          <w:p w:rsidR="00AA7C43" w:rsidRPr="00AA7C43" w:rsidRDefault="00AA7C43" w:rsidP="00F404C2">
            <w:pPr>
              <w:spacing w:after="0" w:line="240" w:lineRule="auto"/>
              <w:jc w:val="center"/>
              <w:rPr>
                <w:rFonts w:cs="Calibri"/>
                <w:sz w:val="24"/>
                <w:szCs w:val="24"/>
              </w:rPr>
            </w:pPr>
            <w:r w:rsidRPr="00AA7C43">
              <w:rPr>
                <w:rFonts w:cs="Calibri"/>
                <w:b/>
                <w:sz w:val="24"/>
                <w:szCs w:val="24"/>
              </w:rPr>
              <w:t>California Advanced Homes</w:t>
            </w:r>
          </w:p>
        </w:tc>
        <w:tc>
          <w:tcPr>
            <w:tcW w:w="2055" w:type="dxa"/>
            <w:tcBorders>
              <w:top w:val="single" w:sz="4" w:space="0" w:color="auto"/>
              <w:left w:val="single" w:sz="4" w:space="0" w:color="auto"/>
              <w:bottom w:val="single" w:sz="4" w:space="0" w:color="auto"/>
              <w:right w:val="single" w:sz="4" w:space="0" w:color="auto"/>
            </w:tcBorders>
            <w:vAlign w:val="bottom"/>
          </w:tcPr>
          <w:p w:rsidR="00AA7C43" w:rsidRPr="00AA7C43" w:rsidRDefault="00AA7C43" w:rsidP="00F404C2">
            <w:pPr>
              <w:spacing w:after="0" w:line="240" w:lineRule="auto"/>
              <w:jc w:val="center"/>
              <w:rPr>
                <w:rFonts w:cs="Calibri"/>
                <w:sz w:val="24"/>
                <w:szCs w:val="24"/>
              </w:rPr>
            </w:pPr>
            <w:r w:rsidRPr="00AA7C43">
              <w:rPr>
                <w:rFonts w:cs="Calibri"/>
                <w:b/>
                <w:sz w:val="24"/>
                <w:szCs w:val="24"/>
              </w:rPr>
              <w:t>Program Target 2013</w:t>
            </w:r>
          </w:p>
        </w:tc>
        <w:tc>
          <w:tcPr>
            <w:tcW w:w="1888" w:type="dxa"/>
            <w:tcBorders>
              <w:top w:val="single" w:sz="4" w:space="0" w:color="auto"/>
              <w:left w:val="single" w:sz="4" w:space="0" w:color="auto"/>
              <w:bottom w:val="single" w:sz="4" w:space="0" w:color="auto"/>
              <w:right w:val="single" w:sz="4" w:space="0" w:color="auto"/>
            </w:tcBorders>
            <w:noWrap/>
            <w:vAlign w:val="bottom"/>
          </w:tcPr>
          <w:p w:rsidR="00AA7C43" w:rsidRPr="00AA7C43" w:rsidRDefault="00AA7C43" w:rsidP="00F404C2">
            <w:pPr>
              <w:spacing w:after="0" w:line="240" w:lineRule="auto"/>
              <w:jc w:val="center"/>
              <w:rPr>
                <w:rFonts w:cs="Calibri"/>
                <w:sz w:val="24"/>
                <w:szCs w:val="24"/>
              </w:rPr>
            </w:pPr>
            <w:r w:rsidRPr="00AA7C43">
              <w:rPr>
                <w:rFonts w:cs="Calibri"/>
                <w:b/>
                <w:sz w:val="24"/>
                <w:szCs w:val="24"/>
              </w:rPr>
              <w:t>Program Target 2014</w:t>
            </w:r>
          </w:p>
        </w:tc>
        <w:tc>
          <w:tcPr>
            <w:tcW w:w="2031" w:type="dxa"/>
            <w:tcBorders>
              <w:top w:val="single" w:sz="4" w:space="0" w:color="auto"/>
              <w:left w:val="single" w:sz="4" w:space="0" w:color="auto"/>
              <w:bottom w:val="single" w:sz="4" w:space="0" w:color="auto"/>
              <w:right w:val="single" w:sz="4" w:space="0" w:color="auto"/>
            </w:tcBorders>
            <w:noWrap/>
            <w:vAlign w:val="bottom"/>
          </w:tcPr>
          <w:p w:rsidR="00AA7C43" w:rsidRPr="00AA7C43" w:rsidRDefault="00AA7C43" w:rsidP="00F404C2">
            <w:pPr>
              <w:spacing w:after="0" w:line="240" w:lineRule="auto"/>
              <w:jc w:val="center"/>
              <w:rPr>
                <w:rFonts w:cs="Calibri"/>
                <w:sz w:val="24"/>
                <w:szCs w:val="24"/>
              </w:rPr>
            </w:pPr>
            <w:r w:rsidRPr="00AA7C43">
              <w:rPr>
                <w:rFonts w:cs="Calibri"/>
                <w:b/>
                <w:sz w:val="24"/>
                <w:szCs w:val="24"/>
              </w:rPr>
              <w:t>Total</w:t>
            </w:r>
          </w:p>
        </w:tc>
      </w:tr>
      <w:tr w:rsidR="00AA7C43" w:rsidRPr="00F50F8B" w:rsidTr="00F404C2">
        <w:trPr>
          <w:trHeight w:val="314"/>
        </w:trPr>
        <w:tc>
          <w:tcPr>
            <w:tcW w:w="3215" w:type="dxa"/>
            <w:tcBorders>
              <w:top w:val="single" w:sz="4" w:space="0" w:color="auto"/>
              <w:left w:val="single" w:sz="8" w:space="0" w:color="auto"/>
              <w:bottom w:val="single" w:sz="8" w:space="0" w:color="auto"/>
              <w:right w:val="single" w:sz="8" w:space="0" w:color="auto"/>
            </w:tcBorders>
            <w:noWrap/>
            <w:vAlign w:val="bottom"/>
          </w:tcPr>
          <w:p w:rsidR="00AA7C43" w:rsidRPr="00AA7C43" w:rsidRDefault="00AA7C43" w:rsidP="00F404C2">
            <w:pPr>
              <w:spacing w:after="0" w:line="240" w:lineRule="auto"/>
              <w:rPr>
                <w:rFonts w:cs="Calibri"/>
                <w:sz w:val="24"/>
                <w:szCs w:val="24"/>
              </w:rPr>
            </w:pPr>
            <w:r w:rsidRPr="00AA7C43">
              <w:rPr>
                <w:rFonts w:cs="Calibri"/>
                <w:sz w:val="24"/>
                <w:szCs w:val="24"/>
              </w:rPr>
              <w:t>Single Family Units Paid</w:t>
            </w:r>
          </w:p>
        </w:tc>
        <w:tc>
          <w:tcPr>
            <w:tcW w:w="2055" w:type="dxa"/>
            <w:tcBorders>
              <w:top w:val="single" w:sz="4" w:space="0" w:color="auto"/>
              <w:left w:val="nil"/>
              <w:bottom w:val="single" w:sz="8" w:space="0" w:color="auto"/>
              <w:right w:val="single" w:sz="8" w:space="0" w:color="auto"/>
            </w:tcBorders>
          </w:tcPr>
          <w:p w:rsidR="00AA7C43" w:rsidRPr="00AA7C43" w:rsidRDefault="00AA7C43" w:rsidP="00F404C2">
            <w:pPr>
              <w:spacing w:after="0" w:line="240" w:lineRule="auto"/>
              <w:jc w:val="center"/>
              <w:rPr>
                <w:rFonts w:cs="Calibri"/>
                <w:sz w:val="24"/>
                <w:szCs w:val="24"/>
              </w:rPr>
            </w:pPr>
            <w:r w:rsidRPr="00AA7C43">
              <w:rPr>
                <w:rFonts w:cs="Calibri"/>
                <w:sz w:val="24"/>
                <w:szCs w:val="24"/>
              </w:rPr>
              <w:t>TBD</w:t>
            </w:r>
          </w:p>
        </w:tc>
        <w:tc>
          <w:tcPr>
            <w:tcW w:w="1888" w:type="dxa"/>
            <w:tcBorders>
              <w:top w:val="single" w:sz="4" w:space="0" w:color="auto"/>
              <w:left w:val="nil"/>
              <w:bottom w:val="single" w:sz="8" w:space="0" w:color="auto"/>
              <w:right w:val="single" w:sz="8" w:space="0" w:color="auto"/>
            </w:tcBorders>
            <w:noWrap/>
            <w:vAlign w:val="bottom"/>
          </w:tcPr>
          <w:p w:rsidR="00AA7C43" w:rsidRPr="00AA7C43" w:rsidRDefault="00AA7C43" w:rsidP="00F404C2">
            <w:pPr>
              <w:spacing w:after="0" w:line="240" w:lineRule="auto"/>
              <w:jc w:val="center"/>
              <w:rPr>
                <w:rFonts w:cs="Calibri"/>
                <w:sz w:val="24"/>
                <w:szCs w:val="24"/>
              </w:rPr>
            </w:pPr>
            <w:r w:rsidRPr="00AA7C43">
              <w:rPr>
                <w:rFonts w:cs="Calibri"/>
                <w:sz w:val="24"/>
                <w:szCs w:val="24"/>
              </w:rPr>
              <w:t>TBD</w:t>
            </w:r>
          </w:p>
        </w:tc>
        <w:tc>
          <w:tcPr>
            <w:tcW w:w="2031" w:type="dxa"/>
            <w:tcBorders>
              <w:top w:val="single" w:sz="4" w:space="0" w:color="auto"/>
              <w:left w:val="nil"/>
              <w:bottom w:val="single" w:sz="8" w:space="0" w:color="auto"/>
              <w:right w:val="single" w:sz="8" w:space="0" w:color="auto"/>
            </w:tcBorders>
            <w:noWrap/>
            <w:vAlign w:val="bottom"/>
          </w:tcPr>
          <w:p w:rsidR="00AA7C43" w:rsidRPr="00AA7C43" w:rsidRDefault="00AA7C43" w:rsidP="00F404C2">
            <w:pPr>
              <w:spacing w:after="0" w:line="240" w:lineRule="auto"/>
              <w:jc w:val="center"/>
              <w:rPr>
                <w:rFonts w:cs="Calibri"/>
                <w:sz w:val="24"/>
                <w:szCs w:val="24"/>
              </w:rPr>
            </w:pPr>
          </w:p>
        </w:tc>
      </w:tr>
      <w:tr w:rsidR="00AA7C43" w:rsidRPr="00F50F8B" w:rsidTr="00F404C2">
        <w:trPr>
          <w:trHeight w:val="314"/>
        </w:trPr>
        <w:tc>
          <w:tcPr>
            <w:tcW w:w="3215" w:type="dxa"/>
            <w:tcBorders>
              <w:top w:val="nil"/>
              <w:left w:val="single" w:sz="8" w:space="0" w:color="auto"/>
              <w:bottom w:val="single" w:sz="8" w:space="0" w:color="auto"/>
              <w:right w:val="single" w:sz="8" w:space="0" w:color="auto"/>
            </w:tcBorders>
            <w:noWrap/>
            <w:vAlign w:val="bottom"/>
          </w:tcPr>
          <w:p w:rsidR="00AA7C43" w:rsidRPr="00AA7C43" w:rsidRDefault="00AA7C43" w:rsidP="00F404C2">
            <w:pPr>
              <w:spacing w:after="0" w:line="240" w:lineRule="auto"/>
              <w:rPr>
                <w:rFonts w:cs="Calibri"/>
                <w:sz w:val="24"/>
                <w:szCs w:val="24"/>
              </w:rPr>
            </w:pPr>
            <w:r w:rsidRPr="00AA7C43">
              <w:rPr>
                <w:rFonts w:cs="Calibri"/>
                <w:sz w:val="24"/>
                <w:szCs w:val="24"/>
              </w:rPr>
              <w:t>Multi-family Units Paid</w:t>
            </w:r>
          </w:p>
        </w:tc>
        <w:tc>
          <w:tcPr>
            <w:tcW w:w="2055" w:type="dxa"/>
            <w:tcBorders>
              <w:top w:val="nil"/>
              <w:left w:val="nil"/>
              <w:bottom w:val="single" w:sz="8" w:space="0" w:color="auto"/>
              <w:right w:val="single" w:sz="8" w:space="0" w:color="auto"/>
            </w:tcBorders>
          </w:tcPr>
          <w:p w:rsidR="00AA7C43" w:rsidRPr="00AA7C43" w:rsidRDefault="00AA7C43" w:rsidP="00F404C2">
            <w:pPr>
              <w:spacing w:after="0" w:line="240" w:lineRule="auto"/>
              <w:jc w:val="center"/>
              <w:rPr>
                <w:rFonts w:cs="Calibri"/>
                <w:sz w:val="24"/>
                <w:szCs w:val="24"/>
              </w:rPr>
            </w:pPr>
            <w:r w:rsidRPr="00AA7C43">
              <w:rPr>
                <w:rFonts w:cs="Calibri"/>
                <w:sz w:val="24"/>
                <w:szCs w:val="24"/>
              </w:rPr>
              <w:t>TBD</w:t>
            </w:r>
          </w:p>
        </w:tc>
        <w:tc>
          <w:tcPr>
            <w:tcW w:w="1888" w:type="dxa"/>
            <w:tcBorders>
              <w:top w:val="nil"/>
              <w:left w:val="nil"/>
              <w:bottom w:val="single" w:sz="8" w:space="0" w:color="auto"/>
              <w:right w:val="single" w:sz="8" w:space="0" w:color="auto"/>
            </w:tcBorders>
            <w:noWrap/>
            <w:vAlign w:val="bottom"/>
          </w:tcPr>
          <w:p w:rsidR="00AA7C43" w:rsidRPr="00AA7C43" w:rsidRDefault="00AA7C43" w:rsidP="00F404C2">
            <w:pPr>
              <w:spacing w:after="0" w:line="240" w:lineRule="auto"/>
              <w:jc w:val="center"/>
              <w:rPr>
                <w:rFonts w:cs="Calibri"/>
                <w:sz w:val="24"/>
                <w:szCs w:val="24"/>
              </w:rPr>
            </w:pPr>
            <w:r w:rsidRPr="00AA7C43">
              <w:rPr>
                <w:rFonts w:cs="Calibri"/>
                <w:sz w:val="24"/>
                <w:szCs w:val="24"/>
              </w:rPr>
              <w:t>TBD</w:t>
            </w:r>
          </w:p>
        </w:tc>
        <w:tc>
          <w:tcPr>
            <w:tcW w:w="2031" w:type="dxa"/>
            <w:tcBorders>
              <w:top w:val="nil"/>
              <w:left w:val="nil"/>
              <w:bottom w:val="single" w:sz="8" w:space="0" w:color="auto"/>
              <w:right w:val="single" w:sz="8" w:space="0" w:color="auto"/>
            </w:tcBorders>
            <w:noWrap/>
            <w:vAlign w:val="bottom"/>
          </w:tcPr>
          <w:p w:rsidR="00AA7C43" w:rsidRPr="00AA7C43" w:rsidRDefault="00AA7C43" w:rsidP="00F404C2">
            <w:pPr>
              <w:spacing w:after="0" w:line="240" w:lineRule="auto"/>
              <w:jc w:val="center"/>
              <w:rPr>
                <w:rFonts w:cs="Calibri"/>
                <w:sz w:val="24"/>
                <w:szCs w:val="24"/>
              </w:rPr>
            </w:pPr>
          </w:p>
        </w:tc>
      </w:tr>
    </w:tbl>
    <w:p w:rsidR="00AA7C43" w:rsidRPr="00AA7C43" w:rsidRDefault="00AA7C43" w:rsidP="00AA7C43">
      <w:pPr>
        <w:pStyle w:val="Caption"/>
        <w:ind w:firstLine="720"/>
        <w:rPr>
          <w:rFonts w:ascii="Calibri" w:hAnsi="Calibri" w:cs="Calibri"/>
          <w:sz w:val="24"/>
          <w:szCs w:val="24"/>
        </w:rPr>
      </w:pPr>
      <w:r w:rsidRPr="00AA7C43">
        <w:rPr>
          <w:rFonts w:ascii="Calibri" w:hAnsi="Calibri" w:cs="Calibri"/>
          <w:b w:val="0"/>
          <w:sz w:val="24"/>
          <w:szCs w:val="24"/>
        </w:rPr>
        <w:t xml:space="preserve"> </w:t>
      </w:r>
    </w:p>
    <w:p w:rsidR="00AA7C43" w:rsidRPr="00AA7C43" w:rsidRDefault="00AA7C43" w:rsidP="00C31CC0">
      <w:pPr>
        <w:numPr>
          <w:ilvl w:val="0"/>
          <w:numId w:val="20"/>
        </w:numPr>
        <w:tabs>
          <w:tab w:val="clear" w:pos="1080"/>
        </w:tabs>
        <w:spacing w:after="0" w:line="240" w:lineRule="auto"/>
        <w:ind w:left="720"/>
        <w:rPr>
          <w:rFonts w:cs="Calibri"/>
          <w:b/>
          <w:sz w:val="24"/>
          <w:szCs w:val="24"/>
        </w:rPr>
      </w:pPr>
      <w:r w:rsidRPr="00AA7C43">
        <w:rPr>
          <w:rFonts w:cs="Calibri"/>
          <w:b/>
          <w:sz w:val="24"/>
          <w:szCs w:val="24"/>
          <w:u w:val="single"/>
        </w:rPr>
        <w:t>Advancing Strategic Plan goals and objectives</w:t>
      </w:r>
    </w:p>
    <w:p w:rsidR="00AA7C43" w:rsidRPr="00AA7C43" w:rsidRDefault="00AA7C43" w:rsidP="00AA7C43">
      <w:pPr>
        <w:spacing w:after="0" w:line="240" w:lineRule="auto"/>
        <w:ind w:left="360"/>
        <w:rPr>
          <w:rFonts w:cs="Calibri"/>
          <w:sz w:val="24"/>
          <w:szCs w:val="24"/>
        </w:rPr>
      </w:pPr>
      <w:r w:rsidRPr="00AA7C43">
        <w:rPr>
          <w:rFonts w:cs="Calibri"/>
          <w:sz w:val="24"/>
          <w:szCs w:val="24"/>
        </w:rPr>
        <w:t>Since its inception in 2002, CAHP has had a substantial impact on the homebuilding market.  There is a significant opportunity to continue to influence builders, architects and other players in the Residential New Construction industry.</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New Construction Program is designed to enable the achievement of several goals and strategies identified in the Strategic Plan.  The Strategic Plan envisions a transformation of the core Residential sector to ultra-high levels of energy efficiency, resulting in ZNE new </w:t>
      </w:r>
      <w:r w:rsidRPr="00AA7C43">
        <w:rPr>
          <w:rFonts w:cs="Calibri"/>
          <w:sz w:val="24"/>
          <w:szCs w:val="24"/>
        </w:rPr>
        <w:lastRenderedPageBreak/>
        <w:t xml:space="preserve">construction standards by 2020.  It spells out several goals and strategies to address energy reduction in Residential New Construction.    </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rPr>
        <w:t>Goal #1</w:t>
      </w:r>
      <w:r w:rsidRPr="00AA7C43">
        <w:rPr>
          <w:rFonts w:cs="Calibri"/>
          <w:sz w:val="24"/>
          <w:szCs w:val="24"/>
        </w:rPr>
        <w:t>: New Construction will deliver ZNE performance for all new single and multi family homes by 2020.  By 2011, 50% of New Homes will exceed 2005 Title 24 energy efficiency standards by 35%; 10% will surpass 2005 Title 24 standards by 55% (Strategy 1-1)</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rPr>
        <w:t>Goal #2:</w:t>
      </w:r>
      <w:r w:rsidRPr="00AA7C43">
        <w:rPr>
          <w:rFonts w:cs="Calibri"/>
          <w:sz w:val="24"/>
          <w:szCs w:val="24"/>
        </w:rPr>
        <w:t xml:space="preserve"> Home buyers, owners and renovators will implement a whole house approach to energy consumption that will guide their purchase and use of existing and new homes, home equipment household appliances, and plug load amenities</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rPr>
        <w:t>Goal #3</w:t>
      </w:r>
      <w:r w:rsidRPr="00AA7C43">
        <w:rPr>
          <w:rFonts w:cs="Calibri"/>
          <w:sz w:val="24"/>
          <w:szCs w:val="24"/>
        </w:rPr>
        <w:t>: Plug load will grow at a slower rate and then decline through technological innovation spurred by market transformation and customer demand for energy-efficient products.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goal of energy-efficient Residential New Construction will be achieved through a combination of incentives, technical education, design assistance, and verification.  CAHP supports the ambitious goals of the Strategic Plan, and works in close coordination with the ZNE sub-element. Together these programs seek to raise plug load efficiency, focus on whole-house solutions, drive occupant behavior through in-home monitoring and visual display tools, and leverage market demand for green building standards.  CAHP is also coordinated with demand response programs, Emerging Technology, and the NSHP.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The ZNE program element is designed primarily with the focus of accelerating the achievement of the ZNE goals envisioned by the Strategic Plan.  The</w:t>
      </w:r>
      <w:r w:rsidRPr="00AA7C43">
        <w:rPr>
          <w:rFonts w:cs="Calibri"/>
          <w:i/>
          <w:sz w:val="24"/>
          <w:szCs w:val="24"/>
        </w:rPr>
        <w:t xml:space="preserve"> </w:t>
      </w:r>
      <w:r w:rsidRPr="00AA7C43">
        <w:rPr>
          <w:rFonts w:cs="Calibri"/>
          <w:sz w:val="24"/>
          <w:szCs w:val="24"/>
        </w:rPr>
        <w:t>purpose of the ZNE</w:t>
      </w:r>
      <w:r w:rsidRPr="00AA7C43">
        <w:rPr>
          <w:rFonts w:cs="Calibri"/>
          <w:i/>
          <w:sz w:val="24"/>
          <w:szCs w:val="24"/>
        </w:rPr>
        <w:t xml:space="preserve"> </w:t>
      </w:r>
      <w:r w:rsidRPr="00AA7C43">
        <w:rPr>
          <w:rFonts w:cs="Calibri"/>
          <w:sz w:val="24"/>
          <w:szCs w:val="24"/>
        </w:rPr>
        <w:t xml:space="preserve">element is to examine a wide array of energy saving technologies, accelerate the market acceptance of new and emerging technologies, explore new solutions, and encourage distinctive approaches in demonstration projects. Each being distinctive, the case studies will be positioned to highlight the underutilized potential of sustainability in Residential New Construction, in a range of market segments and climate zones. The utilities will seek to integrate R&amp;D ideas from Emerging Technologies, EPIC, LBNL and other agencies to further assist the projects in advancing sustainability and achieving very high levels of energy efficiency.  </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Financial incentives and marketing support offered for the ZNE projects will be higher than those offered under the standard CAHP model.  By providing strong encouragement for builders to move up on the energy efficiency scale with financial and non-financial incentives, the ZNE program element is uniquely positioned to support the Strategic Plan goal of ZNE by 2020.</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 xml:space="preserve">CAHP will work closely with builders who seek assistance in the development of sustainable design and construction, green building practices and emerging technologies through the ZNE program element.  ZNE is the place to demonstrate innovative technologies and to help drive the market for energy efficiency through the adoption and marketing of green </w:t>
      </w:r>
      <w:r w:rsidRPr="00AA7C43">
        <w:rPr>
          <w:rFonts w:cs="Calibri"/>
          <w:sz w:val="24"/>
          <w:szCs w:val="24"/>
        </w:rPr>
        <w:lastRenderedPageBreak/>
        <w:t>standards.  IOUs have already initiated preliminary research on policies and programs supporting residential ZNE programs in other states for potential new and innovative program design approaches to increase homeowner demand and marketplace change, consulting with relevant experts in this area. This research reveals a lack of other utility programs serving this market. Rather, ZNE currently exists in a piecemeal fashion throughout the country without a consolidated approach. IOUs will continue research in this area and report more complete findings by April 1, 2013.</w:t>
      </w:r>
    </w:p>
    <w:p w:rsidR="00AA7C43" w:rsidRPr="00AA7C43" w:rsidRDefault="00AA7C43" w:rsidP="00AA7C43">
      <w:pPr>
        <w:tabs>
          <w:tab w:val="left" w:pos="1800"/>
        </w:tabs>
        <w:spacing w:after="0" w:line="240" w:lineRule="auto"/>
        <w:rPr>
          <w:rFonts w:cs="Calibri"/>
          <w:sz w:val="24"/>
          <w:szCs w:val="24"/>
        </w:rPr>
      </w:pPr>
    </w:p>
    <w:p w:rsidR="00AA7C43" w:rsidRPr="00AA7C43" w:rsidRDefault="00AA7C43" w:rsidP="00AA7C43">
      <w:pPr>
        <w:tabs>
          <w:tab w:val="left" w:pos="1800"/>
        </w:tabs>
        <w:spacing w:after="0" w:line="240" w:lineRule="auto"/>
        <w:rPr>
          <w:rFonts w:cs="Calibri"/>
          <w:sz w:val="24"/>
          <w:szCs w:val="24"/>
        </w:rPr>
      </w:pPr>
    </w:p>
    <w:p w:rsidR="00AA7C43" w:rsidRPr="00AA7C43" w:rsidRDefault="00AA7C43" w:rsidP="00C31CC0">
      <w:pPr>
        <w:numPr>
          <w:ilvl w:val="0"/>
          <w:numId w:val="24"/>
        </w:numPr>
        <w:spacing w:after="0" w:line="240" w:lineRule="auto"/>
        <w:rPr>
          <w:rFonts w:cs="Calibri"/>
          <w:b/>
          <w:sz w:val="24"/>
          <w:szCs w:val="24"/>
        </w:rPr>
      </w:pPr>
      <w:r w:rsidRPr="00AA7C43">
        <w:rPr>
          <w:rFonts w:cs="Calibri"/>
          <w:b/>
          <w:sz w:val="24"/>
          <w:szCs w:val="24"/>
        </w:rPr>
        <w:t>Program Implementation</w:t>
      </w:r>
    </w:p>
    <w:p w:rsidR="00AA7C43" w:rsidRPr="00AA7C43" w:rsidRDefault="00AA7C43" w:rsidP="00AA7C43">
      <w:pPr>
        <w:spacing w:after="0" w:line="240" w:lineRule="auto"/>
        <w:ind w:left="360"/>
        <w:rPr>
          <w:rFonts w:cs="Calibri"/>
          <w:b/>
          <w:sz w:val="24"/>
          <w:szCs w:val="24"/>
        </w:rPr>
      </w:pPr>
    </w:p>
    <w:p w:rsidR="00AA7C43" w:rsidRPr="00AA7C43" w:rsidRDefault="00AA7C43" w:rsidP="00C31CC0">
      <w:pPr>
        <w:numPr>
          <w:ilvl w:val="1"/>
          <w:numId w:val="24"/>
        </w:numPr>
        <w:spacing w:after="0" w:line="240" w:lineRule="auto"/>
        <w:rPr>
          <w:rFonts w:cs="Calibri"/>
          <w:b/>
          <w:sz w:val="24"/>
          <w:szCs w:val="24"/>
        </w:rPr>
      </w:pPr>
      <w:r w:rsidRPr="00AA7C43">
        <w:rPr>
          <w:rFonts w:cs="Calibri"/>
          <w:b/>
          <w:sz w:val="24"/>
          <w:szCs w:val="24"/>
          <w:u w:val="single"/>
        </w:rPr>
        <w:t>Statewide IOU coordination</w:t>
      </w:r>
    </w:p>
    <w:p w:rsidR="00AA7C43" w:rsidRPr="00AA7C43" w:rsidRDefault="00AA7C43" w:rsidP="00AA7C43">
      <w:pPr>
        <w:spacing w:after="0" w:line="240" w:lineRule="auto"/>
        <w:ind w:left="360"/>
        <w:rPr>
          <w:rFonts w:cs="Calibri"/>
          <w:sz w:val="24"/>
          <w:szCs w:val="24"/>
        </w:rPr>
      </w:pPr>
      <w:r w:rsidRPr="00AA7C43">
        <w:rPr>
          <w:rFonts w:cs="Calibri"/>
          <w:sz w:val="24"/>
          <w:szCs w:val="24"/>
        </w:rPr>
        <w:t>Given the success of the collaborative process that led to the production of this PIP, the statewide RNC team plans to meet on at least a quarterly basis going forward, in order to review progress toward the goals and make corrections needed to help achieve them.</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2"/>
          <w:numId w:val="1"/>
        </w:numPr>
        <w:tabs>
          <w:tab w:val="clear" w:pos="2160"/>
          <w:tab w:val="num" w:pos="720"/>
        </w:tabs>
        <w:spacing w:after="0" w:line="240" w:lineRule="auto"/>
        <w:ind w:left="720"/>
        <w:rPr>
          <w:rFonts w:cs="Calibri"/>
          <w:b/>
          <w:sz w:val="24"/>
          <w:szCs w:val="24"/>
        </w:rPr>
      </w:pPr>
      <w:r w:rsidRPr="00AA7C43">
        <w:rPr>
          <w:rFonts w:cs="Calibri"/>
          <w:b/>
          <w:sz w:val="24"/>
          <w:szCs w:val="24"/>
        </w:rPr>
        <w:t xml:space="preserve">Program Name </w:t>
      </w:r>
    </w:p>
    <w:p w:rsidR="00AA7C43" w:rsidRPr="00AA7C43" w:rsidRDefault="00AA7C43" w:rsidP="00AA7C43">
      <w:pPr>
        <w:spacing w:after="0" w:line="240" w:lineRule="auto"/>
        <w:ind w:left="720"/>
        <w:rPr>
          <w:rFonts w:cs="Calibri"/>
          <w:sz w:val="24"/>
          <w:szCs w:val="24"/>
        </w:rPr>
      </w:pPr>
      <w:r w:rsidRPr="00AA7C43">
        <w:rPr>
          <w:rFonts w:cs="Calibri"/>
          <w:sz w:val="24"/>
          <w:szCs w:val="24"/>
        </w:rPr>
        <w:t>Residential New Construction falling under Title 24 is covered by the California Advanced Homes Program. Factory-built housing will be covered by the ENERGY STAR® Manufactured Homes Program, where offered.</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2"/>
          <w:numId w:val="1"/>
        </w:numPr>
        <w:tabs>
          <w:tab w:val="clear" w:pos="2160"/>
          <w:tab w:val="num" w:pos="720"/>
        </w:tabs>
        <w:spacing w:after="0" w:line="240" w:lineRule="auto"/>
        <w:ind w:left="720"/>
        <w:rPr>
          <w:rFonts w:cs="Calibri"/>
          <w:b/>
          <w:sz w:val="24"/>
          <w:szCs w:val="24"/>
        </w:rPr>
      </w:pPr>
      <w:r w:rsidRPr="00AA7C43">
        <w:rPr>
          <w:rFonts w:cs="Calibri"/>
          <w:b/>
          <w:sz w:val="24"/>
          <w:szCs w:val="24"/>
        </w:rPr>
        <w:t>Program delivery mechanisms</w:t>
      </w:r>
    </w:p>
    <w:p w:rsidR="00AA7C43" w:rsidRPr="00AA7C43" w:rsidRDefault="00AA7C43" w:rsidP="00AA7C43">
      <w:pPr>
        <w:tabs>
          <w:tab w:val="num" w:pos="720"/>
        </w:tabs>
        <w:spacing w:after="0" w:line="240" w:lineRule="auto"/>
        <w:ind w:left="720"/>
        <w:rPr>
          <w:rFonts w:cs="Calibri"/>
          <w:sz w:val="24"/>
          <w:szCs w:val="24"/>
        </w:rPr>
      </w:pPr>
      <w:r w:rsidRPr="00AA7C43">
        <w:rPr>
          <w:rFonts w:cs="Calibri"/>
          <w:sz w:val="24"/>
          <w:szCs w:val="24"/>
        </w:rPr>
        <w:t>CAHP and ESMH are delivered via online program materials and dedicated account executives.</w:t>
      </w:r>
    </w:p>
    <w:p w:rsidR="00AA7C43" w:rsidRPr="00AA7C43" w:rsidRDefault="00AA7C43" w:rsidP="00AA7C43">
      <w:pPr>
        <w:tabs>
          <w:tab w:val="num" w:pos="720"/>
          <w:tab w:val="num" w:pos="1260"/>
        </w:tabs>
        <w:spacing w:after="0" w:line="240" w:lineRule="auto"/>
        <w:rPr>
          <w:rFonts w:cs="Calibri"/>
          <w:sz w:val="24"/>
          <w:szCs w:val="24"/>
        </w:rPr>
      </w:pPr>
    </w:p>
    <w:p w:rsidR="00AA7C43" w:rsidRPr="00AA7C43" w:rsidRDefault="00AA7C43" w:rsidP="00AA7C43">
      <w:pPr>
        <w:tabs>
          <w:tab w:val="num" w:pos="720"/>
          <w:tab w:val="num" w:pos="1260"/>
        </w:tabs>
        <w:spacing w:after="0" w:line="240" w:lineRule="auto"/>
        <w:rPr>
          <w:rFonts w:cs="Calibri"/>
          <w:sz w:val="24"/>
          <w:szCs w:val="24"/>
        </w:rPr>
      </w:pPr>
    </w:p>
    <w:p w:rsidR="00AA7C43" w:rsidRPr="00AA7C43" w:rsidRDefault="00AA7C43" w:rsidP="00AA7C43">
      <w:pPr>
        <w:spacing w:after="0" w:line="240" w:lineRule="auto"/>
        <w:ind w:left="720"/>
        <w:rPr>
          <w:rFonts w:cs="Calibri"/>
          <w:b/>
          <w:sz w:val="24"/>
          <w:szCs w:val="24"/>
          <w:u w:val="single"/>
        </w:rPr>
      </w:pPr>
      <w:r w:rsidRPr="00AA7C43">
        <w:rPr>
          <w:rFonts w:cs="Calibri"/>
          <w:b/>
          <w:sz w:val="24"/>
          <w:szCs w:val="24"/>
          <w:u w:val="single"/>
        </w:rPr>
        <w:t>Differences in Program Implementation</w:t>
      </w:r>
    </w:p>
    <w:p w:rsidR="00AA7C43" w:rsidRPr="00AA7C43" w:rsidRDefault="00AA7C43" w:rsidP="00AA7C43">
      <w:pPr>
        <w:spacing w:after="0" w:line="240" w:lineRule="auto"/>
        <w:ind w:left="720"/>
        <w:rPr>
          <w:rFonts w:cs="Calibri"/>
          <w:sz w:val="24"/>
          <w:szCs w:val="24"/>
        </w:rPr>
      </w:pPr>
      <w:r w:rsidRPr="00AA7C43">
        <w:rPr>
          <w:rFonts w:cs="Calibri"/>
          <w:sz w:val="24"/>
          <w:szCs w:val="24"/>
        </w:rPr>
        <w:t>This section highlights the major areas where individual IOUs implementation of the program will differ from that of the others.  While the incentive structure and other elements of the program will remain synchronized with the statewide nature of the program, each IOUs will leverage its unique strengths and structural differences to enhance the effectiveness of execution.  This section highlights some of those differences.</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2"/>
          <w:numId w:val="1"/>
        </w:numPr>
        <w:tabs>
          <w:tab w:val="clear" w:pos="2160"/>
          <w:tab w:val="num" w:pos="720"/>
        </w:tabs>
        <w:spacing w:after="0" w:line="240" w:lineRule="auto"/>
        <w:ind w:left="720"/>
        <w:rPr>
          <w:rFonts w:cs="Calibri"/>
          <w:b/>
          <w:sz w:val="24"/>
          <w:szCs w:val="24"/>
        </w:rPr>
      </w:pPr>
      <w:r w:rsidRPr="00AA7C43">
        <w:rPr>
          <w:rFonts w:cs="Calibri"/>
          <w:b/>
          <w:sz w:val="24"/>
          <w:szCs w:val="24"/>
        </w:rPr>
        <w:t>Incentive levels</w:t>
      </w:r>
    </w:p>
    <w:p w:rsidR="00AA7C43" w:rsidRPr="00AA7C43" w:rsidRDefault="00AA7C43" w:rsidP="00AA7C43">
      <w:pPr>
        <w:tabs>
          <w:tab w:val="left" w:pos="540"/>
        </w:tabs>
        <w:spacing w:after="0" w:line="240" w:lineRule="auto"/>
        <w:ind w:left="720"/>
        <w:rPr>
          <w:rFonts w:cs="Calibri"/>
          <w:sz w:val="24"/>
          <w:szCs w:val="24"/>
          <w:u w:val="single"/>
        </w:rPr>
      </w:pPr>
    </w:p>
    <w:p w:rsidR="00AA7C43" w:rsidRPr="00AA7C43" w:rsidRDefault="00AA7C43" w:rsidP="00AA7C43">
      <w:pPr>
        <w:tabs>
          <w:tab w:val="left" w:pos="540"/>
        </w:tabs>
        <w:spacing w:after="0" w:line="240" w:lineRule="auto"/>
        <w:ind w:left="720"/>
        <w:rPr>
          <w:rFonts w:cs="Calibri"/>
          <w:b/>
          <w:sz w:val="24"/>
          <w:szCs w:val="24"/>
          <w:u w:val="single"/>
        </w:rPr>
      </w:pPr>
      <w:r w:rsidRPr="00AA7C43">
        <w:rPr>
          <w:rFonts w:cs="Calibri"/>
          <w:b/>
          <w:sz w:val="24"/>
          <w:szCs w:val="24"/>
          <w:u w:val="single"/>
        </w:rPr>
        <w:t>Incentive Structure</w:t>
      </w:r>
    </w:p>
    <w:p w:rsidR="00AA7C43" w:rsidRPr="00AA7C43" w:rsidRDefault="00AA7C43" w:rsidP="00AA7C43">
      <w:pPr>
        <w:spacing w:after="0" w:line="240" w:lineRule="auto"/>
        <w:ind w:left="720"/>
        <w:rPr>
          <w:rFonts w:cs="Calibri"/>
          <w:sz w:val="24"/>
          <w:szCs w:val="24"/>
        </w:rPr>
      </w:pPr>
      <w:r w:rsidRPr="00AA7C43">
        <w:rPr>
          <w:rFonts w:cs="Calibri"/>
          <w:sz w:val="24"/>
          <w:szCs w:val="24"/>
        </w:rPr>
        <w:t>The pay-for-performance incentive structure for the 2013 - 2014 CAHP will continue to be refined as the state approached implementation of the 2013 Title 24 code changes (see CAHP Incentive Rationale section above for additional detail).</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The 2013-2014 calculated approach will be similar to the method used from 2010-2012: </w:t>
      </w:r>
    </w:p>
    <w:p w:rsidR="00AA7C43" w:rsidRPr="00AA7C43" w:rsidRDefault="00AA7C43" w:rsidP="00AA7C43">
      <w:pPr>
        <w:spacing w:after="0" w:line="240" w:lineRule="auto"/>
        <w:ind w:left="720"/>
        <w:rPr>
          <w:rFonts w:cs="Calibri"/>
          <w:sz w:val="24"/>
          <w:szCs w:val="24"/>
        </w:rPr>
      </w:pPr>
    </w:p>
    <w:p w:rsidR="00AA7C43" w:rsidRPr="00AA7C43" w:rsidRDefault="00C31CC0" w:rsidP="00AA7C43">
      <w:pPr>
        <w:tabs>
          <w:tab w:val="left" w:pos="1800"/>
        </w:tabs>
        <w:spacing w:after="0" w:line="240" w:lineRule="auto"/>
        <w:rPr>
          <w:rFonts w:cs="Calibri"/>
          <w:b/>
          <w:sz w:val="24"/>
          <w:szCs w:val="24"/>
        </w:rPr>
      </w:pPr>
      <w:r>
        <w:rPr>
          <w:rFonts w:cs="Calibri"/>
          <w:b/>
          <w:noProof/>
          <w:sz w:val="24"/>
          <w:szCs w:val="24"/>
        </w:rPr>
        <w:lastRenderedPageBreak/>
        <mc:AlternateContent>
          <mc:Choice Requires="wpg">
            <w:drawing>
              <wp:inline distT="0" distB="0" distL="0" distR="0">
                <wp:extent cx="6040755" cy="3997325"/>
                <wp:effectExtent l="0" t="0" r="0" b="50800"/>
                <wp:docPr id="5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3997325"/>
                          <a:chOff x="2286" y="3048"/>
                          <a:chExt cx="86868" cy="63246"/>
                        </a:xfrm>
                      </wpg:grpSpPr>
                      <wps:wsp>
                        <wps:cNvPr id="53" name="Rectangle 107"/>
                        <wps:cNvSpPr>
                          <a:spLocks noChangeArrowheads="1"/>
                        </wps:cNvSpPr>
                        <wps:spPr bwMode="auto">
                          <a:xfrm>
                            <a:off x="2286" y="3048"/>
                            <a:ext cx="86868" cy="63246"/>
                          </a:xfrm>
                          <a:prstGeom prst="rect">
                            <a:avLst/>
                          </a:prstGeom>
                          <a:solidFill>
                            <a:srgbClr val="FFFFFF"/>
                          </a:solidFill>
                          <a:ln>
                            <a:noFill/>
                          </a:ln>
                          <a:effectLst>
                            <a:outerShdw dist="50800" dir="5400000" algn="ctr" rotWithShape="0">
                              <a:srgbClr val="FFFFFF"/>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AA7C43" w:rsidRDefault="00AA7C43" w:rsidP="00AA7C43">
                              <w:pPr>
                                <w:rPr>
                                  <w:rFonts w:eastAsia="Times New Roman"/>
                                </w:rPr>
                              </w:pPr>
                            </w:p>
                          </w:txbxContent>
                        </wps:txbx>
                        <wps:bodyPr rot="0" vert="horz" wrap="square" lIns="91440" tIns="45720" rIns="91440" bIns="45720" anchor="ctr" anchorCtr="0" upright="1">
                          <a:noAutofit/>
                        </wps:bodyPr>
                      </wps:wsp>
                      <wpg:grpSp>
                        <wpg:cNvPr id="54" name="Group 108"/>
                        <wpg:cNvGrpSpPr>
                          <a:grpSpLocks/>
                        </wpg:cNvGrpSpPr>
                        <wpg:grpSpPr bwMode="auto">
                          <a:xfrm>
                            <a:off x="6858" y="7620"/>
                            <a:ext cx="77724" cy="54864"/>
                            <a:chOff x="6858" y="7620"/>
                            <a:chExt cx="77724" cy="54864"/>
                          </a:xfrm>
                        </wpg:grpSpPr>
                        <pic:pic xmlns:pic="http://schemas.openxmlformats.org/drawingml/2006/picture">
                          <pic:nvPicPr>
                            <pic:cNvPr id="56"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858" y="7620"/>
                              <a:ext cx="77724" cy="54864"/>
                            </a:xfrm>
                            <a:prstGeom prst="rect">
                              <a:avLst/>
                            </a:prstGeom>
                            <a:noFill/>
                            <a:extLst>
                              <a:ext uri="{909E8E84-426E-40DD-AFC4-6F175D3DCCD1}">
                                <a14:hiddenFill xmlns:a14="http://schemas.microsoft.com/office/drawing/2010/main">
                                  <a:solidFill>
                                    <a:srgbClr val="FFFFFF"/>
                                  </a:solidFill>
                                </a14:hiddenFill>
                              </a:ext>
                            </a:extLst>
                          </pic:spPr>
                        </pic:pic>
                        <wps:wsp>
                          <wps:cNvPr id="57" name="TextBox 5"/>
                          <wps:cNvSpPr txBox="1">
                            <a:spLocks noChangeArrowheads="1"/>
                          </wps:cNvSpPr>
                          <wps:spPr bwMode="auto">
                            <a:xfrm>
                              <a:off x="9905" y="16000"/>
                              <a:ext cx="27945" cy="3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C43" w:rsidRPr="00524B1D" w:rsidRDefault="00AA7C43" w:rsidP="00AA7C43">
                                <w:pPr>
                                  <w:pStyle w:val="NormalWeb"/>
                                  <w:spacing w:before="0" w:beforeAutospacing="0" w:after="0" w:afterAutospacing="0"/>
                                </w:pPr>
                                <w:r w:rsidRPr="00AA7C43">
                                  <w:rPr>
                                    <w:rFonts w:ascii="Calibri" w:hAnsi="Calibri"/>
                                    <w:color w:val="000000"/>
                                    <w:kern w:val="24"/>
                                  </w:rPr>
                                  <w:t>2010-2012</w:t>
                                </w:r>
                              </w:p>
                            </w:txbxContent>
                          </wps:txbx>
                          <wps:bodyPr rot="0" vert="horz" wrap="square" lIns="91440" tIns="45720" rIns="91440" bIns="45720" anchor="t" anchorCtr="0" upright="1">
                            <a:noAutofit/>
                          </wps:bodyPr>
                        </wps:wsp>
                      </wpg:grpSp>
                    </wpg:wgp>
                  </a:graphicData>
                </a:graphic>
              </wp:inline>
            </w:drawing>
          </mc:Choice>
          <mc:Fallback>
            <w:pict>
              <v:group id="Group 101" o:spid="_x0000_s1037" style="width:475.65pt;height:314.75pt;mso-position-horizontal-relative:char;mso-position-vertical-relative:line" coordorigin="2286,3048" coordsize="86868,632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">
                <v:rect id="Rectangle 107" o:spid="_x0000_s1038" style="position:absolute;left:2286;top:3048;width:86868;height:63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uXMUA&#10;AADbAAAADwAAAGRycy9kb3ducmV2LnhtbESPQWvCQBSE74L/YXlCb7oxUgmpayhiQOihaEtLb4/s&#10;axLMvg3ZjUn667uFgsdhZr5hdtloGnGjztWWFaxXEQjiwuqaSwXvb/kyAeE8ssbGMimYyEG2n892&#10;mGo78JluF1+KAGGXooLK+zaV0hUVGXQr2xIH79t2Bn2QXSl1h0OAm0bGUbSVBmsOCxW2dKiouF56&#10;o+CjyV91nJ9fkuuP/po+ue+PJ1LqYTE+P4HwNPp7+L990goeN/D3Jfw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q5cxQAAANsAAAAPAAAAAAAAAAAAAAAAAJgCAABkcnMv&#10;ZG93bnJldi54bWxQSwUGAAAAAAQABAD1AAAAigMAAAAA&#10;" stroked="f" strokeweight="2pt">
                  <v:shadow on="t" color="white" offset="0,4pt"/>
                  <v:textbox>
                    <w:txbxContent>
                      <w:p w:rsidR="00AA7C43" w:rsidRDefault="00AA7C43" w:rsidP="00AA7C43">
                        <w:pPr>
                          <w:rPr>
                            <w:rFonts w:eastAsia="Times New Roman"/>
                          </w:rPr>
                        </w:pPr>
                      </w:p>
                    </w:txbxContent>
                  </v:textbox>
                </v:rect>
                <v:group id="Group 108" o:spid="_x0000_s1039" style="position:absolute;left:6858;top:7620;width:77724;height:54864" coordorigin="6858,7620" coordsize="77724,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109" o:spid="_x0000_s1040" type="#_x0000_t75" style="position:absolute;left:6858;top:7620;width:77724;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al3FAAAA2wAAAA8AAABkcnMvZG93bnJldi54bWxEj0tvwjAQhO9I/AdrkbiBQ1F5pBgU9YE4&#10;0AMBiesSb5PQeB3FLoR/j5GQehzNzDeaxao1lbhQ40rLCkbDCARxZnXJuYLD/mswA+E8ssbKMim4&#10;kYPVsttZYKztlXd0SX0uAoRdjAoK7+tYSpcVZNANbU0cvB/bGPRBNrnUDV4D3FTyJYom0mDJYaHA&#10;mt4Lyn7TP6PgvD7Vn4eEj+PTbP49Tbbpx5RLpfq9NnkD4an1/+Fne6MVvE7g8SX8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F2pdxQAAANsAAAAPAAAAAAAAAAAAAAAA&#10;AJ8CAABkcnMvZG93bnJldi54bWxQSwUGAAAAAAQABAD3AAAAkQMAAAAA&#10;">
                    <v:imagedata r:id="rId61" o:title=""/>
                  </v:shape>
                  <v:shapetype id="_x0000_t202" coordsize="21600,21600" o:spt="202" path="m,l,21600r21600,l21600,xe">
                    <v:stroke joinstyle="miter"/>
                    <v:path gradientshapeok="t" o:connecttype="rect"/>
                  </v:shapetype>
                  <v:shape id="TextBox 5" o:spid="_x0000_s1041" type="#_x0000_t202" style="position:absolute;left:9905;top:16000;width:2794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AA7C43" w:rsidRPr="00524B1D" w:rsidRDefault="00AA7C43" w:rsidP="00AA7C43">
                          <w:pPr>
                            <w:pStyle w:val="NormalWeb"/>
                            <w:spacing w:before="0" w:beforeAutospacing="0" w:after="0" w:afterAutospacing="0"/>
                          </w:pPr>
                          <w:r w:rsidRPr="00AA7C43">
                            <w:rPr>
                              <w:rFonts w:ascii="Calibri" w:hAnsi="Calibri"/>
                              <w:color w:val="000000"/>
                              <w:kern w:val="24"/>
                            </w:rPr>
                            <w:t>2010-2012</w:t>
                          </w:r>
                        </w:p>
                      </w:txbxContent>
                    </v:textbox>
                  </v:shape>
                </v:group>
                <w10:anchorlock/>
              </v:group>
            </w:pict>
          </mc:Fallback>
        </mc:AlternateContent>
      </w:r>
    </w:p>
    <w:p w:rsidR="00AA7C43" w:rsidRPr="00AA7C43" w:rsidRDefault="00AA7C43" w:rsidP="00AA7C43">
      <w:pPr>
        <w:tabs>
          <w:tab w:val="left" w:pos="1800"/>
        </w:tabs>
        <w:spacing w:after="0" w:line="240" w:lineRule="auto"/>
        <w:rPr>
          <w:rFonts w:cs="Calibri"/>
          <w:sz w:val="24"/>
          <w:szCs w:val="24"/>
        </w:rPr>
      </w:pPr>
    </w:p>
    <w:p w:rsidR="00AA7C43" w:rsidRPr="00AA7C43" w:rsidRDefault="00AA7C43" w:rsidP="00AA7C43">
      <w:pPr>
        <w:tabs>
          <w:tab w:val="left" w:pos="1800"/>
        </w:tabs>
        <w:spacing w:after="0" w:line="240" w:lineRule="auto"/>
        <w:rPr>
          <w:rFonts w:cs="Calibri"/>
          <w:sz w:val="24"/>
          <w:szCs w:val="24"/>
        </w:rPr>
      </w:pP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 xml:space="preserve">This approach rewards builders for achieving higher levels of energy efficiency and avoids the “clustering” problem in tiered programs.  A tiered approach discourages builders from achieving incremental performance if they are unable to reach the next higher tier.  In line with the elements of the strategic plan, the approach rewards builders for undertaking whole house solutions where the entire structure can be considered as an integrated system.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Moreover, executing a net zero home remains a financial and technical challenge, the program will have customized incentives for homes that achieve ZNE.   </w:t>
      </w:r>
    </w:p>
    <w:p w:rsidR="00AA7C43" w:rsidRPr="00AA7C43" w:rsidRDefault="00AA7C43" w:rsidP="00AA7C43">
      <w:pPr>
        <w:tabs>
          <w:tab w:val="left" w:pos="1800"/>
        </w:tabs>
        <w:spacing w:after="0" w:line="240" w:lineRule="auto"/>
        <w:ind w:left="720"/>
        <w:rPr>
          <w:rFonts w:cs="Calibri"/>
          <w:sz w:val="24"/>
          <w:szCs w:val="24"/>
        </w:rPr>
      </w:pPr>
    </w:p>
    <w:p w:rsidR="00AA7C43" w:rsidRPr="00AA7C43" w:rsidRDefault="00AA7C43" w:rsidP="00AA7C43">
      <w:pPr>
        <w:tabs>
          <w:tab w:val="left" w:pos="1800"/>
        </w:tabs>
        <w:spacing w:after="0" w:line="240" w:lineRule="auto"/>
        <w:ind w:left="720"/>
        <w:rPr>
          <w:rFonts w:cs="Calibri"/>
          <w:b/>
          <w:sz w:val="24"/>
          <w:szCs w:val="24"/>
        </w:rPr>
      </w:pPr>
      <w:r w:rsidRPr="00AA7C43">
        <w:rPr>
          <w:rFonts w:cs="Calibri"/>
          <w:b/>
          <w:sz w:val="24"/>
          <w:szCs w:val="24"/>
          <w:u w:val="single"/>
        </w:rPr>
        <w:t>Confidence that incentives will move the market</w:t>
      </w:r>
    </w:p>
    <w:p w:rsidR="00AA7C43" w:rsidRPr="00AA7C43" w:rsidRDefault="00AA7C43" w:rsidP="00AA7C43">
      <w:pPr>
        <w:spacing w:after="0" w:line="240" w:lineRule="auto"/>
        <w:ind w:left="720"/>
        <w:rPr>
          <w:rFonts w:cs="Calibri"/>
          <w:sz w:val="24"/>
          <w:szCs w:val="24"/>
        </w:rPr>
      </w:pPr>
      <w:r w:rsidRPr="00AA7C43">
        <w:rPr>
          <w:rFonts w:cs="Calibri"/>
          <w:sz w:val="24"/>
          <w:szCs w:val="24"/>
        </w:rPr>
        <w:t>The statewide team has a high degree of confidence that the revised program design is sufficient to realize substantial market movement. As discussed above, incentives alone are not enough to move the market. While more dollars are always preferred by any target industry, it has been the experience of the Southern California utilities that while incentives get one to the table with decision makers, it is the design, technical, and marketing support that makes the sale.</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It is the belief of the IOUs that the proposed combination of performance-based incentives, increased incentives for targeted ZNE, marketing support, sales agent </w:t>
      </w:r>
      <w:r w:rsidRPr="00AA7C43">
        <w:rPr>
          <w:rFonts w:cs="Calibri"/>
          <w:sz w:val="24"/>
          <w:szCs w:val="24"/>
        </w:rPr>
        <w:lastRenderedPageBreak/>
        <w:t>training, technical support, coordinated delivery through trade allies and ongoing cultivation of builder relationships provide an integrated solution to the priority market barriers  builders face in delivering more efficient homes.</w:t>
      </w:r>
      <w:r w:rsidRPr="00AA7C43">
        <w:rPr>
          <w:rFonts w:cs="Calibri"/>
          <w:sz w:val="24"/>
          <w:szCs w:val="24"/>
        </w:rPr>
        <w:tab/>
      </w:r>
    </w:p>
    <w:p w:rsidR="00AA7C43" w:rsidRPr="00AA7C43" w:rsidRDefault="00AA7C43" w:rsidP="00AA7C43">
      <w:pPr>
        <w:spacing w:after="0" w:line="240" w:lineRule="auto"/>
        <w:ind w:left="720"/>
        <w:rPr>
          <w:rFonts w:cs="Calibri"/>
          <w:sz w:val="24"/>
          <w:szCs w:val="24"/>
          <w:u w:val="single"/>
        </w:rPr>
      </w:pPr>
    </w:p>
    <w:p w:rsidR="00AA7C43" w:rsidRPr="00AA7C43" w:rsidRDefault="00AA7C43" w:rsidP="00AA7C43">
      <w:pPr>
        <w:tabs>
          <w:tab w:val="left" w:pos="1800"/>
        </w:tabs>
        <w:spacing w:after="0" w:line="240" w:lineRule="auto"/>
        <w:ind w:left="720"/>
        <w:rPr>
          <w:sz w:val="24"/>
          <w:szCs w:val="24"/>
        </w:rPr>
      </w:pPr>
      <w:r w:rsidRPr="00AA7C43">
        <w:rPr>
          <w:sz w:val="24"/>
          <w:szCs w:val="24"/>
        </w:rPr>
        <w:t>The IOUs support adjusting program incentive levels in conjunction with the more stringent Title 24 code taking effect in 2014. More efficient incentives will be critical in helping builders defray additional compliance costs associated with the stronger code. However, the IOUs believe there is a need to explore the deadline for incentive adjustments. A date after March 2013 may be appropriate for a number of reasons, including:</w:t>
      </w:r>
    </w:p>
    <w:p w:rsidR="00AA7C43" w:rsidRPr="00AA7C43" w:rsidRDefault="00AA7C43" w:rsidP="00AA7C43">
      <w:pPr>
        <w:tabs>
          <w:tab w:val="left" w:pos="1800"/>
        </w:tabs>
        <w:spacing w:after="0" w:line="240" w:lineRule="auto"/>
        <w:ind w:left="720"/>
        <w:rPr>
          <w:sz w:val="24"/>
          <w:szCs w:val="24"/>
        </w:rPr>
      </w:pPr>
    </w:p>
    <w:p w:rsidR="00AA7C43" w:rsidRPr="00AA7C43" w:rsidRDefault="00AA7C43" w:rsidP="00C31CC0">
      <w:pPr>
        <w:pStyle w:val="ListParagraph"/>
        <w:numPr>
          <w:ilvl w:val="0"/>
          <w:numId w:val="166"/>
        </w:numPr>
        <w:tabs>
          <w:tab w:val="left" w:pos="1080"/>
        </w:tabs>
        <w:spacing w:after="0" w:line="240" w:lineRule="auto"/>
        <w:ind w:left="1080"/>
        <w:rPr>
          <w:sz w:val="24"/>
          <w:szCs w:val="24"/>
        </w:rPr>
        <w:pPrChange w:id="21" w:author="cerobins" w:date="2012-09-04T13:35:00Z">
          <w:pPr>
            <w:pStyle w:val="ListParagraph"/>
            <w:numPr>
              <w:numId w:val="176"/>
            </w:numPr>
            <w:tabs>
              <w:tab w:val="num" w:pos="360"/>
              <w:tab w:val="left" w:pos="1080"/>
            </w:tabs>
            <w:spacing w:after="0" w:line="240" w:lineRule="auto"/>
            <w:ind w:left="1440"/>
          </w:pPr>
        </w:pPrChange>
      </w:pPr>
      <w:r w:rsidRPr="00AA7C43">
        <w:rPr>
          <w:sz w:val="24"/>
          <w:szCs w:val="24"/>
        </w:rPr>
        <w:t xml:space="preserve">Changing incentive levels </w:t>
      </w:r>
      <w:r w:rsidRPr="00AA7C43">
        <w:rPr>
          <w:i/>
          <w:sz w:val="24"/>
          <w:szCs w:val="24"/>
        </w:rPr>
        <w:t>before</w:t>
      </w:r>
      <w:r w:rsidRPr="00AA7C43">
        <w:rPr>
          <w:sz w:val="24"/>
          <w:szCs w:val="24"/>
        </w:rPr>
        <w:t xml:space="preserve"> the new code takes effect may provide an added incentive for builders to rush to beat the code. Ideally, the incentive adjustments would be timed to coincide with the implementation of the new code so as to incentivize building under a more stringent Title 24.</w:t>
      </w:r>
      <w:r w:rsidRPr="00AA7C43">
        <w:rPr>
          <w:sz w:val="24"/>
          <w:szCs w:val="24"/>
        </w:rPr>
        <w:br/>
        <w:t>A fast turnaround would prevent the IOUs from determining the ideal incentive structure. Given uncertainty about the market’s response to the unprecedented updates to Title 24, extra care should be taken in calibrating incentive levels to their optimal value.</w:t>
      </w:r>
    </w:p>
    <w:p w:rsidR="00AA7C43" w:rsidRPr="00AA7C43" w:rsidRDefault="00AA7C43" w:rsidP="00AA7C43">
      <w:pPr>
        <w:spacing w:after="0" w:line="240" w:lineRule="auto"/>
        <w:ind w:left="720"/>
        <w:rPr>
          <w:sz w:val="24"/>
          <w:szCs w:val="24"/>
        </w:rPr>
      </w:pPr>
    </w:p>
    <w:p w:rsidR="00AA7C43" w:rsidRPr="00AA7C43" w:rsidRDefault="00AA7C43" w:rsidP="00AA7C43">
      <w:pPr>
        <w:spacing w:after="0" w:line="240" w:lineRule="auto"/>
        <w:ind w:left="720"/>
        <w:rPr>
          <w:rFonts w:cs="Calibri"/>
          <w:sz w:val="24"/>
          <w:szCs w:val="24"/>
          <w:u w:val="single"/>
        </w:rPr>
      </w:pPr>
      <w:r w:rsidRPr="00AA7C43">
        <w:rPr>
          <w:sz w:val="24"/>
          <w:szCs w:val="24"/>
        </w:rPr>
        <w:t>The IOUs will comply with the March 1, 2013 deadline for adjusting incentive levels, but propose January 1, 2014 as a preferred date.</w:t>
      </w:r>
    </w:p>
    <w:p w:rsidR="00AA7C43" w:rsidRPr="00AA7C43" w:rsidRDefault="00AA7C43" w:rsidP="00AA7C43">
      <w:pPr>
        <w:spacing w:after="0" w:line="240" w:lineRule="auto"/>
        <w:ind w:left="720"/>
        <w:rPr>
          <w:rFonts w:cs="Calibri"/>
          <w:sz w:val="24"/>
          <w:szCs w:val="24"/>
          <w:u w:val="single"/>
        </w:rPr>
      </w:pPr>
    </w:p>
    <w:p w:rsidR="00AA7C43" w:rsidRPr="00AA7C43" w:rsidRDefault="00AA7C43" w:rsidP="00AA7C43">
      <w:pPr>
        <w:spacing w:after="0" w:line="240" w:lineRule="auto"/>
        <w:ind w:left="720"/>
        <w:rPr>
          <w:rFonts w:cs="Calibri"/>
          <w:sz w:val="24"/>
          <w:szCs w:val="24"/>
          <w:u w:val="single"/>
        </w:rPr>
      </w:pPr>
    </w:p>
    <w:p w:rsidR="00AA7C43" w:rsidRPr="00AA7C43" w:rsidRDefault="00AA7C43" w:rsidP="00AA7C43">
      <w:pPr>
        <w:spacing w:after="0" w:line="240" w:lineRule="auto"/>
        <w:ind w:left="720"/>
        <w:rPr>
          <w:rFonts w:cs="Calibri"/>
          <w:sz w:val="24"/>
          <w:szCs w:val="24"/>
          <w:u w:val="single"/>
        </w:rPr>
      </w:pPr>
    </w:p>
    <w:p w:rsidR="00AA7C43" w:rsidRPr="00AA7C43" w:rsidRDefault="00AA7C43" w:rsidP="00AA7C43">
      <w:pPr>
        <w:spacing w:after="0" w:line="240" w:lineRule="auto"/>
        <w:ind w:left="720"/>
        <w:rPr>
          <w:rFonts w:cs="Calibri"/>
          <w:sz w:val="24"/>
          <w:szCs w:val="24"/>
          <w:u w:val="single"/>
        </w:rPr>
      </w:pPr>
    </w:p>
    <w:p w:rsidR="00AA7C43" w:rsidRPr="00AA7C43" w:rsidRDefault="00AA7C43" w:rsidP="00AA7C43">
      <w:pPr>
        <w:spacing w:after="0" w:line="240" w:lineRule="auto"/>
        <w:ind w:left="720"/>
        <w:rPr>
          <w:rFonts w:cs="Calibri"/>
          <w:sz w:val="24"/>
          <w:szCs w:val="24"/>
          <w:u w:val="single"/>
        </w:rPr>
      </w:pPr>
    </w:p>
    <w:p w:rsidR="00AA7C43" w:rsidRPr="00AA7C43" w:rsidRDefault="00AA7C43" w:rsidP="00AA7C43">
      <w:pPr>
        <w:spacing w:after="0" w:line="240" w:lineRule="auto"/>
        <w:ind w:left="720"/>
        <w:rPr>
          <w:rFonts w:cs="Calibri"/>
          <w:b/>
          <w:sz w:val="24"/>
          <w:szCs w:val="24"/>
        </w:rPr>
      </w:pPr>
      <w:r w:rsidRPr="00AA7C43">
        <w:rPr>
          <w:rFonts w:cs="Calibri"/>
          <w:b/>
          <w:sz w:val="24"/>
          <w:szCs w:val="24"/>
          <w:u w:val="single"/>
        </w:rPr>
        <w:t>How CAHP program supports CEC’s NSHP, Tier II</w:t>
      </w:r>
    </w:p>
    <w:p w:rsidR="00AA7C43" w:rsidRPr="00AA7C43" w:rsidRDefault="00AA7C43" w:rsidP="00AA7C43">
      <w:pPr>
        <w:spacing w:after="0" w:line="240" w:lineRule="auto"/>
        <w:ind w:left="720"/>
        <w:rPr>
          <w:rFonts w:cs="Calibri"/>
          <w:sz w:val="24"/>
          <w:szCs w:val="24"/>
        </w:rPr>
      </w:pPr>
      <w:r w:rsidRPr="00AA7C43">
        <w:rPr>
          <w:rFonts w:cs="Calibri"/>
          <w:sz w:val="24"/>
          <w:szCs w:val="24"/>
        </w:rPr>
        <w:t>CAHP supports the revised NSHP Tier II (30% &lt; T24 2008) and the goals of the CEC.</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1080" w:hanging="360"/>
        <w:rPr>
          <w:rFonts w:cs="Calibri"/>
          <w:sz w:val="24"/>
          <w:szCs w:val="24"/>
        </w:rPr>
      </w:pPr>
      <w:r w:rsidRPr="00AA7C43">
        <w:rPr>
          <w:rFonts w:cs="Calibri"/>
          <w:sz w:val="24"/>
          <w:szCs w:val="24"/>
        </w:rPr>
        <w:t>1.</w:t>
      </w:r>
      <w:r w:rsidRPr="00AA7C43">
        <w:rPr>
          <w:rFonts w:cs="Calibri"/>
          <w:sz w:val="24"/>
          <w:szCs w:val="24"/>
        </w:rPr>
        <w:tab/>
        <w:t>The IOUs are committed to partnering with the NSHP to streamline the solar application process and to make referrals between NSHP and CAHP.  Indeed, the goals of ZNE appear impossible without the significant presence of solar.</w:t>
      </w:r>
    </w:p>
    <w:p w:rsidR="00AA7C43" w:rsidRPr="00AA7C43" w:rsidRDefault="00AA7C43" w:rsidP="00AA7C43">
      <w:pPr>
        <w:spacing w:after="0" w:line="240" w:lineRule="auto"/>
        <w:ind w:left="1080" w:hanging="360"/>
        <w:rPr>
          <w:rFonts w:cs="Calibri"/>
          <w:sz w:val="24"/>
          <w:szCs w:val="24"/>
        </w:rPr>
      </w:pPr>
      <w:r w:rsidRPr="00AA7C43">
        <w:rPr>
          <w:rFonts w:cs="Calibri"/>
          <w:sz w:val="24"/>
          <w:szCs w:val="24"/>
        </w:rPr>
        <w:t>2.</w:t>
      </w:r>
      <w:r w:rsidRPr="00AA7C43">
        <w:rPr>
          <w:rFonts w:cs="Calibri"/>
          <w:sz w:val="24"/>
          <w:szCs w:val="24"/>
        </w:rPr>
        <w:tab/>
        <w:t>The IOUs will leverage CEC NSHP material, marketing, and event support for opening events for those projects that commit to the platinum level: 100% penetration at the Tier II EE performance (30%).</w:t>
      </w:r>
    </w:p>
    <w:p w:rsidR="00AA7C43" w:rsidRPr="00AA7C43" w:rsidRDefault="00AA7C43" w:rsidP="00AA7C43">
      <w:pPr>
        <w:spacing w:after="0" w:line="240" w:lineRule="auto"/>
        <w:ind w:left="1080" w:hanging="360"/>
        <w:rPr>
          <w:rFonts w:cs="Calibri"/>
          <w:sz w:val="24"/>
          <w:szCs w:val="24"/>
        </w:rPr>
      </w:pPr>
      <w:r w:rsidRPr="00AA7C43">
        <w:rPr>
          <w:rFonts w:cs="Calibri"/>
          <w:sz w:val="24"/>
          <w:szCs w:val="24"/>
        </w:rPr>
        <w:t>3.</w:t>
      </w:r>
      <w:r w:rsidRPr="00AA7C43">
        <w:rPr>
          <w:rFonts w:cs="Calibri"/>
          <w:sz w:val="24"/>
          <w:szCs w:val="24"/>
        </w:rPr>
        <w:tab/>
        <w:t>The design of the graduated, performance-based incentive will tend to drive projects to the higher end of the performance curve, consistent with CEC goals.</w:t>
      </w:r>
    </w:p>
    <w:p w:rsidR="00AA7C43" w:rsidRPr="00AA7C43" w:rsidRDefault="00AA7C43" w:rsidP="00AA7C43">
      <w:pPr>
        <w:spacing w:after="0" w:line="240" w:lineRule="auto"/>
        <w:ind w:left="1080" w:hanging="360"/>
        <w:rPr>
          <w:rFonts w:cs="Calibri"/>
          <w:sz w:val="24"/>
          <w:szCs w:val="24"/>
        </w:rPr>
      </w:pPr>
      <w:r w:rsidRPr="00AA7C43">
        <w:rPr>
          <w:rFonts w:cs="Calibri"/>
          <w:sz w:val="24"/>
          <w:szCs w:val="24"/>
        </w:rPr>
        <w:t>4.</w:t>
      </w:r>
      <w:r w:rsidRPr="00AA7C43">
        <w:rPr>
          <w:rFonts w:cs="Calibri"/>
          <w:sz w:val="24"/>
          <w:szCs w:val="24"/>
        </w:rPr>
        <w:tab/>
        <w:t>The threshold efficiency (15%) is consistent with the Tier I minimum, and the top end (45%) was selected to support the CEC’s desire to project out three code-cycles (Tier III) into the future.</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lastRenderedPageBreak/>
        <w:t>The IOUs support the goals of the NSHP and the marketing synergies of PV and EE remain one of our best strategies for moving the market. Nevertheless, the IOUs position is that if 30% &lt; T24 is very good, 31% is better, and 32% more so.</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54"/>
        </w:numPr>
        <w:spacing w:after="0" w:line="240" w:lineRule="auto"/>
        <w:rPr>
          <w:rFonts w:cs="Calibri"/>
          <w:b/>
          <w:sz w:val="24"/>
          <w:szCs w:val="24"/>
        </w:rPr>
        <w:pPrChange w:id="22" w:author="cerobins" w:date="2012-09-04T13:35:00Z">
          <w:pPr>
            <w:numPr>
              <w:numId w:val="164"/>
            </w:numPr>
            <w:spacing w:after="0" w:line="240" w:lineRule="auto"/>
            <w:ind w:left="720" w:hanging="360"/>
          </w:pPr>
        </w:pPrChange>
      </w:pPr>
      <w:r w:rsidRPr="00AA7C43">
        <w:rPr>
          <w:rFonts w:cs="Calibri"/>
          <w:b/>
          <w:sz w:val="24"/>
          <w:szCs w:val="24"/>
        </w:rPr>
        <w:t>Marketing and outreach plans</w:t>
      </w:r>
    </w:p>
    <w:p w:rsidR="00AA7C43" w:rsidRPr="00AA7C43" w:rsidRDefault="00AA7C43" w:rsidP="00AA7C43">
      <w:pPr>
        <w:spacing w:after="0" w:line="240" w:lineRule="auto"/>
        <w:ind w:left="720"/>
        <w:rPr>
          <w:rFonts w:cs="Calibri"/>
          <w:sz w:val="24"/>
          <w:szCs w:val="24"/>
        </w:rPr>
      </w:pPr>
      <w:r w:rsidRPr="00AA7C43">
        <w:rPr>
          <w:rFonts w:cs="Calibri"/>
          <w:sz w:val="24"/>
          <w:szCs w:val="24"/>
        </w:rPr>
        <w:t>CAHP offers financial incentives, training opportunities, technical support, and marketing resources to single-family and multi-family Residential builders who construct homes that exceed California’s energy efficiency standards for new construction.  All types of Residential builders are welcome to participate.</w:t>
      </w:r>
      <w:r w:rsidRPr="00AA7C43">
        <w:rPr>
          <w:rStyle w:val="FootnoteReference"/>
          <w:rFonts w:cs="Calibri"/>
          <w:sz w:val="24"/>
          <w:szCs w:val="24"/>
        </w:rPr>
        <w:footnoteReference w:id="65"/>
      </w:r>
      <w:r w:rsidRPr="00AA7C43">
        <w:rPr>
          <w:rFonts w:cs="Calibri"/>
          <w:sz w:val="24"/>
          <w:szCs w:val="24"/>
        </w:rPr>
        <w:t xml:space="preserve"> For the multi-family segment of the program, qualifying homes include condominiums, townhomes, apartment buildings, and mixed-use projects.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There will be closer coordination of marketing efforts to synergize wherever possible. While each utility would like to leverage on their strengths and existing relationships within their service territories, certain marketing elements can be launched on a common localized platform.  The common website will be maintained to provide builder information that will be commonly disseminated.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To reduce costs and increase participation, the IOUs plan to be actively engaged in the development and implementation of joint marketing, education and training efforts as described in detail in the common section of this PIP.</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i/>
          <w:sz w:val="24"/>
          <w:szCs w:val="24"/>
        </w:rPr>
      </w:pPr>
      <w:r w:rsidRPr="00AA7C43">
        <w:rPr>
          <w:rFonts w:cs="Calibri"/>
          <w:sz w:val="24"/>
          <w:szCs w:val="24"/>
        </w:rPr>
        <w:t>In 2013-2014, the program will expand its builder/contractor education and training certification courses to increase overall awareness and understanding of the CAHP and service offerings.  The IOUs will continue to strengthen delivery channels of information by providing relevant information and support materials, reaching target audiences in key decision-making phases.  The IOUs’ innovative communication tools will include: trade advertising, account representative meetings/presentations, targeted customer mailings, shows/event sponsorships, trade organization affiliations, webcasts, email blast, builder award recognition, customer success stories and public relations campaigns.  All materials and communications will also be made available in electronic file formats so information can be forwarded to customers immediately via the Internet.</w:t>
      </w:r>
    </w:p>
    <w:p w:rsidR="00AA7C43" w:rsidRPr="00AA7C43" w:rsidRDefault="00AA7C43" w:rsidP="00AA7C43">
      <w:pPr>
        <w:spacing w:after="0" w:line="240" w:lineRule="auto"/>
        <w:ind w:left="720" w:firstLine="36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Additionally, CAHP will leverage its stellar relationships in partnering with trade organizations and other groups actively promoting the benefits of green, sustainable building practices.  Such organizations include:</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California Energy Commission (CEC)</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National Association of Home Builders (NAHB</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California Building Industry Association (CBIA)</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lastRenderedPageBreak/>
        <w:t>Green Building Consultants (that is, Build it Green, California Green Builder, Global Green)</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 xml:space="preserve">National Association of Homebuilders </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United States Green Building Council (USGBC)</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ULI</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LABC</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California Manufactured Housing Institute</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IES</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AEE</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IHACHI</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 xml:space="preserve">PHCC, and </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Others</w:t>
      </w:r>
    </w:p>
    <w:p w:rsidR="00AA7C43" w:rsidRPr="00AA7C43" w:rsidRDefault="00AA7C43" w:rsidP="00AA7C43">
      <w:pPr>
        <w:pStyle w:val="BodyTextIndent"/>
        <w:rPr>
          <w:rFonts w:ascii="Calibri" w:hAnsi="Calibri" w:cs="Calibri"/>
        </w:rPr>
      </w:pPr>
    </w:p>
    <w:p w:rsidR="00AA7C43" w:rsidRPr="00AA7C43" w:rsidRDefault="00AA7C43" w:rsidP="00AA7C43">
      <w:pPr>
        <w:pStyle w:val="BodyTextIndent"/>
        <w:rPr>
          <w:rFonts w:ascii="Calibri" w:hAnsi="Calibri" w:cs="Calibri"/>
        </w:rPr>
      </w:pPr>
      <w:r w:rsidRPr="00AA7C43">
        <w:rPr>
          <w:rFonts w:ascii="Calibri" w:hAnsi="Calibri" w:cs="Calibri"/>
        </w:rPr>
        <w:t>Through an innovative, coordinated approach, we will maximize outreach opportunities that keep energy efficiency and CAHP’s program benefits top-of-mind and maximize program participation.</w:t>
      </w:r>
    </w:p>
    <w:p w:rsidR="00AA7C43" w:rsidRPr="00AA7C43" w:rsidRDefault="00AA7C43" w:rsidP="00AA7C43">
      <w:pPr>
        <w:pStyle w:val="BodyTextIndent"/>
        <w:rPr>
          <w:rFonts w:ascii="Calibri" w:hAnsi="Calibri" w:cs="Calibri"/>
        </w:rPr>
      </w:pPr>
    </w:p>
    <w:p w:rsidR="00AA7C43" w:rsidRPr="00AA7C43" w:rsidRDefault="00AA7C43" w:rsidP="00AA7C43">
      <w:pPr>
        <w:spacing w:after="0" w:line="240" w:lineRule="auto"/>
        <w:ind w:left="720"/>
        <w:rPr>
          <w:rFonts w:cs="Calibri"/>
          <w:sz w:val="24"/>
          <w:szCs w:val="24"/>
        </w:rPr>
      </w:pPr>
      <w:r w:rsidRPr="00AA7C43">
        <w:rPr>
          <w:rFonts w:cs="Calibri"/>
          <w:sz w:val="24"/>
          <w:szCs w:val="24"/>
        </w:rPr>
        <w:t>Marketing materials and other collaterals will be enhanced to communicate more effectively with savvy builders.  Participant recognition (plaques, feature presentations, etc.) has proven to be an effective tool in encouraging builder involvement, and will continue to remain as part of the overall marketing tools.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CAHP marketing efforts will be enhanced by leveraging IOU market studies and builder focus groups identifying consumers’ decision triggers and the effect of GHG labeling on purchase decisions.  The IOUs will pursue additional sources of research to determine the most cost-effective ways builders can meet program requirements; the results will be incorporated into marketing materials and/or communicated to builders as part of the design assistance recommendations. </w:t>
      </w:r>
    </w:p>
    <w:p w:rsidR="00AA7C43" w:rsidRPr="00AA7C43" w:rsidRDefault="00AA7C43" w:rsidP="00AA7C43">
      <w:pPr>
        <w:tabs>
          <w:tab w:val="left" w:pos="1800"/>
        </w:tabs>
        <w:spacing w:after="0" w:line="240" w:lineRule="auto"/>
        <w:ind w:left="720"/>
        <w:rPr>
          <w:rFonts w:cs="Calibri"/>
          <w:sz w:val="24"/>
          <w:szCs w:val="24"/>
        </w:rPr>
      </w:pP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Given consumers’ interest in going green and the market’s deficiency in driving energy efficiency sales, marketing the green features (one of which is EE) is the best way to increase consumer demand for more efficient homes. To that end, CAHP will help educate the industry on how to achieve energy-efficient, green homes.  To increase participation in programs and the general understanding of sustainability, greater emphasis will be placed on education and outreach.</w:t>
      </w:r>
    </w:p>
    <w:p w:rsidR="00AA7C43" w:rsidRPr="00AA7C43" w:rsidRDefault="00AA7C43" w:rsidP="00AA7C43">
      <w:pPr>
        <w:tabs>
          <w:tab w:val="left" w:pos="1800"/>
        </w:tabs>
        <w:spacing w:after="0" w:line="240" w:lineRule="auto"/>
        <w:ind w:left="720" w:firstLine="360"/>
        <w:rPr>
          <w:rFonts w:cs="Calibri"/>
          <w:sz w:val="24"/>
          <w:szCs w:val="24"/>
        </w:rPr>
      </w:pP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 xml:space="preserve">The precipitous decline in the building industry offers a great opportunity to improve education and training.  Through their Education &amp; Training programs offered at SCG’s Energy Resource Center, SDG&amp;E’s Energy Innovation Center, SCE’s Energy Education Center, and PG&amp;E’s Pacific Energy Center, the statewide new construction team will work to expand course offerings, web cast seminars, and cost-benefit effectiveness training classes, thermal by-pass checklists compliance training, cost comparison of alternative measures, etc.   In order to meet or exceed increased energy savings goals in </w:t>
      </w:r>
      <w:r w:rsidRPr="00AA7C43">
        <w:rPr>
          <w:rFonts w:cs="Calibri"/>
          <w:sz w:val="24"/>
          <w:szCs w:val="24"/>
        </w:rPr>
        <w:lastRenderedPageBreak/>
        <w:t xml:space="preserve">an extremely difficult Residential construction market, the IOUs will utilize a broad range of marketing tactics and communications tools working in concert to expand program awareness and participation.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IOUs will diligently explore other means of encouraging builder participation in the CAHP program.</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4"/>
        </w:numPr>
        <w:tabs>
          <w:tab w:val="clear" w:pos="1440"/>
        </w:tabs>
        <w:spacing w:after="0" w:line="240" w:lineRule="auto"/>
        <w:ind w:left="1080" w:hanging="360"/>
        <w:rPr>
          <w:rFonts w:cs="Calibri"/>
          <w:sz w:val="24"/>
          <w:szCs w:val="24"/>
        </w:rPr>
      </w:pPr>
      <w:r w:rsidRPr="00AA7C43">
        <w:rPr>
          <w:rFonts w:cs="Calibri"/>
          <w:sz w:val="24"/>
          <w:szCs w:val="24"/>
        </w:rPr>
        <w:t>Developing a list of resources and contractors that could be used by builders</w:t>
      </w:r>
    </w:p>
    <w:p w:rsidR="00AA7C43" w:rsidRPr="00AA7C43" w:rsidRDefault="00AA7C43" w:rsidP="00C31CC0">
      <w:pPr>
        <w:numPr>
          <w:ilvl w:val="0"/>
          <w:numId w:val="14"/>
        </w:numPr>
        <w:tabs>
          <w:tab w:val="clear" w:pos="1440"/>
        </w:tabs>
        <w:spacing w:after="0" w:line="240" w:lineRule="auto"/>
        <w:ind w:left="1080" w:hanging="360"/>
        <w:rPr>
          <w:rFonts w:cs="Calibri"/>
          <w:sz w:val="24"/>
          <w:szCs w:val="24"/>
        </w:rPr>
      </w:pPr>
      <w:r w:rsidRPr="00AA7C43">
        <w:rPr>
          <w:rFonts w:cs="Calibri"/>
          <w:sz w:val="24"/>
          <w:szCs w:val="24"/>
        </w:rPr>
        <w:t>Providing information on comparative costs and energy savings of alternative measures</w:t>
      </w:r>
    </w:p>
    <w:p w:rsidR="00AA7C43" w:rsidRPr="00AA7C43" w:rsidRDefault="00AA7C43" w:rsidP="00C31CC0">
      <w:pPr>
        <w:numPr>
          <w:ilvl w:val="0"/>
          <w:numId w:val="14"/>
        </w:numPr>
        <w:tabs>
          <w:tab w:val="clear" w:pos="1440"/>
        </w:tabs>
        <w:spacing w:after="0" w:line="240" w:lineRule="auto"/>
        <w:ind w:left="1080" w:hanging="360"/>
        <w:rPr>
          <w:rFonts w:cs="Calibri"/>
          <w:sz w:val="24"/>
          <w:szCs w:val="24"/>
        </w:rPr>
      </w:pPr>
      <w:r w:rsidRPr="00AA7C43">
        <w:rPr>
          <w:rFonts w:cs="Calibri"/>
          <w:sz w:val="24"/>
          <w:szCs w:val="24"/>
        </w:rPr>
        <w:t xml:space="preserve">Exploring financing arrangements (green mortgages, energy-efficient mortgages, etc.), in consultation with the other IOUs and financial institutions  </w:t>
      </w:r>
    </w:p>
    <w:p w:rsidR="00AA7C43" w:rsidRPr="00AA7C43" w:rsidRDefault="00AA7C43" w:rsidP="00C31CC0">
      <w:pPr>
        <w:numPr>
          <w:ilvl w:val="0"/>
          <w:numId w:val="14"/>
        </w:numPr>
        <w:tabs>
          <w:tab w:val="clear" w:pos="1440"/>
        </w:tabs>
        <w:spacing w:after="0" w:line="240" w:lineRule="auto"/>
        <w:ind w:left="1080" w:hanging="360"/>
        <w:rPr>
          <w:rFonts w:cs="Calibri"/>
          <w:sz w:val="24"/>
          <w:szCs w:val="24"/>
        </w:rPr>
      </w:pPr>
      <w:r w:rsidRPr="00AA7C43">
        <w:rPr>
          <w:rFonts w:cs="Calibri"/>
          <w:sz w:val="24"/>
          <w:szCs w:val="24"/>
        </w:rPr>
        <w:t>Expedited permitting for high efficiency buildings</w:t>
      </w:r>
    </w:p>
    <w:p w:rsidR="00AA7C43" w:rsidRPr="00AA7C43" w:rsidRDefault="00AA7C43" w:rsidP="00C31CC0">
      <w:pPr>
        <w:numPr>
          <w:ilvl w:val="0"/>
          <w:numId w:val="14"/>
        </w:numPr>
        <w:tabs>
          <w:tab w:val="clear" w:pos="1440"/>
        </w:tabs>
        <w:spacing w:after="0" w:line="240" w:lineRule="auto"/>
        <w:ind w:left="1080" w:hanging="360"/>
        <w:rPr>
          <w:rFonts w:cs="Calibri"/>
          <w:sz w:val="24"/>
          <w:szCs w:val="24"/>
        </w:rPr>
      </w:pPr>
      <w:r w:rsidRPr="00AA7C43">
        <w:rPr>
          <w:rFonts w:cs="Calibri"/>
          <w:sz w:val="24"/>
          <w:szCs w:val="24"/>
        </w:rPr>
        <w:t>Working with Municipalities to develop educational channels for codes and standards.</w:t>
      </w:r>
    </w:p>
    <w:p w:rsidR="00AA7C43" w:rsidRPr="00AA7C43" w:rsidRDefault="00AA7C43" w:rsidP="00AA7C43">
      <w:pPr>
        <w:spacing w:after="0" w:line="240" w:lineRule="auto"/>
        <w:rPr>
          <w:rFonts w:cs="Calibri"/>
          <w:b/>
          <w:sz w:val="24"/>
          <w:szCs w:val="24"/>
        </w:rPr>
      </w:pPr>
    </w:p>
    <w:p w:rsidR="00AA7C43" w:rsidRPr="00AA7C43" w:rsidRDefault="00AA7C43" w:rsidP="00C31CC0">
      <w:pPr>
        <w:numPr>
          <w:ilvl w:val="0"/>
          <w:numId w:val="154"/>
        </w:numPr>
        <w:spacing w:after="0" w:line="240" w:lineRule="auto"/>
        <w:rPr>
          <w:rFonts w:cs="Calibri"/>
          <w:b/>
          <w:sz w:val="24"/>
          <w:szCs w:val="24"/>
        </w:rPr>
        <w:pPrChange w:id="23" w:author="cerobins" w:date="2012-09-04T13:35:00Z">
          <w:pPr>
            <w:numPr>
              <w:numId w:val="164"/>
            </w:numPr>
            <w:spacing w:after="0" w:line="240" w:lineRule="auto"/>
            <w:ind w:left="720" w:hanging="360"/>
          </w:pPr>
        </w:pPrChange>
      </w:pPr>
      <w:r w:rsidRPr="00AA7C43">
        <w:rPr>
          <w:rFonts w:cs="Calibri"/>
          <w:b/>
          <w:sz w:val="24"/>
          <w:szCs w:val="24"/>
        </w:rPr>
        <w:t>IOU program interactions</w:t>
      </w:r>
    </w:p>
    <w:p w:rsidR="00AA7C43" w:rsidRPr="00AA7C43" w:rsidRDefault="00AA7C43" w:rsidP="00AA7C43">
      <w:pPr>
        <w:spacing w:after="0" w:line="240" w:lineRule="auto"/>
        <w:ind w:left="720"/>
        <w:rPr>
          <w:rFonts w:cs="Calibri"/>
          <w:sz w:val="24"/>
          <w:szCs w:val="24"/>
        </w:rPr>
      </w:pPr>
      <w:r w:rsidRPr="00AA7C43">
        <w:rPr>
          <w:rFonts w:cs="Calibri"/>
          <w:sz w:val="24"/>
          <w:szCs w:val="24"/>
        </w:rPr>
        <w:t>The plan addresses above, in the</w:t>
      </w:r>
      <w:r w:rsidRPr="00AA7C43">
        <w:rPr>
          <w:rFonts w:cs="Calibri"/>
          <w:i/>
          <w:iCs/>
          <w:sz w:val="24"/>
          <w:szCs w:val="24"/>
        </w:rPr>
        <w:t xml:space="preserve"> </w:t>
      </w:r>
      <w:r w:rsidRPr="00AA7C43">
        <w:rPr>
          <w:rFonts w:cs="Calibri"/>
          <w:sz w:val="24"/>
          <w:szCs w:val="24"/>
        </w:rPr>
        <w:t xml:space="preserve">CAHP </w:t>
      </w:r>
      <w:r w:rsidRPr="00AA7C43">
        <w:rPr>
          <w:rFonts w:cs="Calibri"/>
          <w:iCs/>
          <w:sz w:val="24"/>
          <w:szCs w:val="24"/>
        </w:rPr>
        <w:t xml:space="preserve">Incentive Rationale </w:t>
      </w:r>
      <w:r w:rsidRPr="00AA7C43">
        <w:rPr>
          <w:rFonts w:cs="Calibri"/>
          <w:sz w:val="24"/>
          <w:szCs w:val="24"/>
        </w:rPr>
        <w:t xml:space="preserve">section, the ways CAHP is responding to current code changes and how it anticipates a leading role in code modifications requiring demand performance, in-home displays, on-site generation, square footage reductions, and green elements.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CAHP is particularly interested in promoting integrated thermal hot water system designs to displace therm demand with on-site renewable sources.  In addition to cold water savings from embedded energy and the energy to heat water, longer term there may be GHG reductions that accrue either to the builder, the homeowner, or the utility associated with each demand side reduction as a result of AB 32 and pending national CO</w:t>
      </w:r>
      <w:r w:rsidRPr="00AA7C43">
        <w:rPr>
          <w:rFonts w:cs="Calibri"/>
          <w:sz w:val="24"/>
          <w:szCs w:val="24"/>
          <w:vertAlign w:val="subscript"/>
        </w:rPr>
        <w:t>2</w:t>
      </w:r>
      <w:r w:rsidRPr="00AA7C43">
        <w:rPr>
          <w:rFonts w:cs="Calibri"/>
          <w:sz w:val="24"/>
          <w:szCs w:val="24"/>
        </w:rPr>
        <w:t xml:space="preserve"> legislation.</w:t>
      </w:r>
    </w:p>
    <w:p w:rsidR="00AA7C43" w:rsidRPr="00AA7C43" w:rsidRDefault="00AA7C43" w:rsidP="00AA7C43">
      <w:pPr>
        <w:spacing w:after="0" w:line="240" w:lineRule="auto"/>
        <w:ind w:left="720"/>
        <w:rPr>
          <w:rFonts w:cs="Calibri"/>
          <w:sz w:val="24"/>
          <w:szCs w:val="24"/>
        </w:rPr>
      </w:pPr>
    </w:p>
    <w:p w:rsidR="00AA7C43" w:rsidRPr="00AA7C43" w:rsidRDefault="00AA7C43" w:rsidP="00AA7C43">
      <w:pPr>
        <w:pStyle w:val="BodyTextIndent"/>
        <w:rPr>
          <w:rFonts w:ascii="Calibri" w:hAnsi="Calibri" w:cs="Calibri"/>
        </w:rPr>
      </w:pPr>
      <w:r w:rsidRPr="00AA7C43">
        <w:rPr>
          <w:rFonts w:ascii="Calibri" w:hAnsi="Calibri" w:cs="Calibri"/>
        </w:rPr>
        <w:t>CAHP prides itself on its established close relationships and memberships with other groups involved with the building industry.  These relationships make it possible to provide comprehensive services to our customers.  Thus, CAHP will continue to seek out and coordinate synergies with, but not limited to, the following groups:</w:t>
      </w:r>
    </w:p>
    <w:p w:rsidR="00AA7C43" w:rsidRPr="00AA7C43" w:rsidRDefault="00AA7C43" w:rsidP="00AA7C43">
      <w:pPr>
        <w:pStyle w:val="BodyTextIndent"/>
        <w:rPr>
          <w:rFonts w:ascii="Calibri" w:hAnsi="Calibri" w:cs="Calibri"/>
        </w:rPr>
      </w:pP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California Energy Commission (CEC)</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Flex Your Power (FYP)</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National Association of Home Builders (NAHB)</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California Building Industry Association (CBIA)</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Green Building Consultants (e.g., Build it Green, California Green Builder, Global Green)</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National Association of Homebuilders (BIASC)</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United States Green Building Council (USGBC)</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Urban Land Institute (ULI)</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lastRenderedPageBreak/>
        <w:t>Los Angeles Business Council (LABC)</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California Manufactured Housing Institute</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Illuminating Engineering Society (IES)</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Association of Energy Engineers (AEE)</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Institute of Heating and Air Conditioning Industries (IHACHI)</w:t>
      </w:r>
    </w:p>
    <w:p w:rsidR="00AA7C43" w:rsidRPr="00AA7C43" w:rsidRDefault="00AA7C43" w:rsidP="00C31CC0">
      <w:pPr>
        <w:numPr>
          <w:ilvl w:val="1"/>
          <w:numId w:val="26"/>
        </w:numPr>
        <w:tabs>
          <w:tab w:val="clear" w:pos="1800"/>
          <w:tab w:val="num" w:pos="1440"/>
        </w:tabs>
        <w:spacing w:after="0" w:line="240" w:lineRule="auto"/>
        <w:ind w:left="1440" w:hanging="360"/>
        <w:rPr>
          <w:rFonts w:cs="Calibri"/>
          <w:sz w:val="24"/>
          <w:szCs w:val="24"/>
        </w:rPr>
      </w:pPr>
      <w:r w:rsidRPr="00AA7C43">
        <w:rPr>
          <w:rFonts w:cs="Calibri"/>
          <w:sz w:val="24"/>
          <w:szCs w:val="24"/>
        </w:rPr>
        <w:t>Plumbing-Heating-Cooling Contractors Association (PHCC)</w:t>
      </w:r>
    </w:p>
    <w:p w:rsidR="00AA7C43" w:rsidRPr="00AA7C43" w:rsidRDefault="00AA7C43" w:rsidP="00AA7C43">
      <w:pPr>
        <w:spacing w:after="0" w:line="240" w:lineRule="auto"/>
        <w:ind w:left="1080" w:hanging="36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California Building Industry Association and the CEC continue to seek out partnerships and opportunities with the utilities to help educate builders and other industry participants in order to promote energy efficiency in new construction.</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CAHP will continue its commitment to the EPA’s ENERGY STAR® program and will strive to support, partner and contribute to the success of the ENERGY STAR® Homes label and branding.  Numerous surveys and studies continue to show the ENERGY STAR® label represents greater value to consumers and the environmental stewardship it represents.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Since 2002, CAHP has partnered with the EPA in promoting ENERGY STAR® New Homes and has won ENERGY STAR® Achievement awards for the last five consecutive years.  In 2011 SCE was rewarded for “Sustained Excellence in Energy Efficiency Program Delivery.”</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program will continue to offer comprehensive training courses and educational seminars relevant to building energy efficiency and green measures into new construction projects including Title 24 code training and ENERGY STAR® requirements.</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In response to builder requests, CAHP will offer a new training workshop for 2010 - 2013 designed for builders’ sales agents.  Sales agents have direct contact with the homebuyer and have the greatest impact on selling homes.  In order to help promote ENERGY STAR® developments, CAHP will teach sales agents about energy efficiency.  Topics will include what qualifies as an ENERGY STAR® home and what is 'green'.  </w:t>
      </w:r>
    </w:p>
    <w:p w:rsidR="00AA7C43" w:rsidRPr="00AA7C43" w:rsidRDefault="00AA7C43" w:rsidP="00AA7C43">
      <w:pPr>
        <w:spacing w:after="0" w:line="240" w:lineRule="auto"/>
        <w:ind w:left="720"/>
        <w:rPr>
          <w:rFonts w:cs="Calibri"/>
          <w:sz w:val="24"/>
          <w:szCs w:val="24"/>
        </w:rPr>
      </w:pPr>
      <w:r w:rsidRPr="00AA7C43">
        <w:rPr>
          <w:rFonts w:cs="Calibri"/>
          <w:sz w:val="24"/>
          <w:szCs w:val="24"/>
        </w:rPr>
        <w:t>Other CAHP activities will include attendance at building industry trade conferences / outreach events and any necessary contractor/builder field visits. The target audience consists of builders, developers, energy consultants, architects, and other industry professionals.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Each IOU may pursue partnership efforts with local government entities to display leadership in the carbon arena by expediting plan check, waiving permit fees, or allowing builders to pay impact fees on the back end (instead of up-front) in exchange for higher levels of home performance documented by our CAHP program.</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54"/>
        </w:numPr>
        <w:spacing w:after="0" w:line="240" w:lineRule="auto"/>
        <w:ind w:left="1094" w:hanging="187"/>
        <w:rPr>
          <w:rFonts w:cs="Calibri"/>
          <w:b/>
          <w:sz w:val="24"/>
          <w:szCs w:val="24"/>
        </w:rPr>
        <w:pPrChange w:id="24" w:author="cerobins" w:date="2012-09-04T13:35:00Z">
          <w:pPr>
            <w:numPr>
              <w:numId w:val="164"/>
            </w:numPr>
            <w:spacing w:after="0" w:line="240" w:lineRule="auto"/>
            <w:ind w:left="720" w:hanging="360"/>
          </w:pPr>
        </w:pPrChange>
      </w:pPr>
      <w:r w:rsidRPr="00AA7C43">
        <w:rPr>
          <w:rFonts w:cs="Calibri"/>
          <w:b/>
          <w:sz w:val="24"/>
          <w:szCs w:val="24"/>
        </w:rPr>
        <w:t xml:space="preserve"> Similar IOU and POU programs</w:t>
      </w:r>
    </w:p>
    <w:p w:rsidR="00AA7C43" w:rsidRPr="00AA7C43" w:rsidRDefault="00AA7C43" w:rsidP="00AA7C43">
      <w:pPr>
        <w:widowControl w:val="0"/>
        <w:spacing w:after="0" w:line="240" w:lineRule="auto"/>
        <w:ind w:left="720"/>
        <w:rPr>
          <w:rFonts w:cs="Calibri"/>
          <w:sz w:val="24"/>
          <w:szCs w:val="24"/>
        </w:rPr>
      </w:pPr>
      <w:r w:rsidRPr="00AA7C43">
        <w:rPr>
          <w:rFonts w:cs="Calibri"/>
          <w:sz w:val="24"/>
          <w:szCs w:val="24"/>
        </w:rPr>
        <w:t xml:space="preserve">The statewide CAHP team will reach out to leading POU programs, such as those at SMUD to learn from their experience how best to deliver energy-efficient homes.  </w:t>
      </w:r>
    </w:p>
    <w:p w:rsidR="00AA7C43" w:rsidRPr="00AA7C43" w:rsidRDefault="00AA7C43" w:rsidP="00AA7C43">
      <w:pPr>
        <w:spacing w:after="0" w:line="240" w:lineRule="auto"/>
        <w:ind w:left="720"/>
        <w:rPr>
          <w:rFonts w:cs="Calibri"/>
          <w:sz w:val="24"/>
          <w:szCs w:val="24"/>
        </w:rPr>
      </w:pPr>
      <w:r w:rsidRPr="00AA7C43">
        <w:rPr>
          <w:rFonts w:cs="Calibri"/>
          <w:sz w:val="24"/>
          <w:szCs w:val="24"/>
        </w:rPr>
        <w:lastRenderedPageBreak/>
        <w:t>In addition, the IOUs will work closely with the existing home remodeling programs (Home Performance with ENERGY STAR®  and the Comprehensive Mobile Home Program) to maintain a two-way communication of best practices and lessons learned between the new and existing sectors.</w:t>
      </w:r>
    </w:p>
    <w:p w:rsidR="00AA7C43" w:rsidRPr="00AA7C43" w:rsidRDefault="00AA7C43" w:rsidP="00AA7C43">
      <w:pPr>
        <w:spacing w:after="0" w:line="240" w:lineRule="auto"/>
        <w:rPr>
          <w:rFonts w:cs="Calibri"/>
          <w:b/>
          <w:sz w:val="24"/>
          <w:szCs w:val="24"/>
        </w:rPr>
      </w:pPr>
    </w:p>
    <w:p w:rsidR="00AA7C43" w:rsidRPr="00AA7C43" w:rsidRDefault="00AA7C43" w:rsidP="00C31CC0">
      <w:pPr>
        <w:numPr>
          <w:ilvl w:val="1"/>
          <w:numId w:val="24"/>
        </w:numPr>
        <w:spacing w:after="0" w:line="240" w:lineRule="auto"/>
        <w:rPr>
          <w:rFonts w:cs="Calibri"/>
          <w:b/>
          <w:sz w:val="24"/>
          <w:szCs w:val="24"/>
        </w:rPr>
      </w:pPr>
      <w:r w:rsidRPr="00AA7C43">
        <w:rPr>
          <w:rFonts w:cs="Calibri"/>
          <w:b/>
          <w:sz w:val="24"/>
          <w:szCs w:val="24"/>
          <w:u w:val="single"/>
        </w:rPr>
        <w:t>Program delivery and coordination</w:t>
      </w:r>
    </w:p>
    <w:p w:rsidR="00AA7C43" w:rsidRPr="00AA7C43" w:rsidRDefault="00AA7C43" w:rsidP="00AA7C43">
      <w:pPr>
        <w:spacing w:after="0" w:line="240" w:lineRule="auto"/>
        <w:ind w:left="720"/>
        <w:rPr>
          <w:rFonts w:cs="Calibri"/>
          <w:b/>
          <w:sz w:val="24"/>
          <w:szCs w:val="24"/>
        </w:rPr>
      </w:pPr>
    </w:p>
    <w:p w:rsidR="00AA7C43" w:rsidRPr="00AA7C43" w:rsidRDefault="00AA7C43" w:rsidP="00C31CC0">
      <w:pPr>
        <w:numPr>
          <w:ilvl w:val="5"/>
          <w:numId w:val="162"/>
        </w:numPr>
        <w:spacing w:after="0" w:line="240" w:lineRule="auto"/>
        <w:rPr>
          <w:rFonts w:cs="Calibri"/>
          <w:b/>
          <w:sz w:val="24"/>
          <w:szCs w:val="24"/>
        </w:rPr>
        <w:pPrChange w:id="25"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Emerging Technologies (ET) program</w:t>
      </w:r>
    </w:p>
    <w:p w:rsidR="00AA7C43" w:rsidRPr="00AA7C43" w:rsidRDefault="00AA7C43" w:rsidP="00AA7C43">
      <w:pPr>
        <w:spacing w:after="0" w:line="240" w:lineRule="auto"/>
        <w:ind w:left="720"/>
        <w:rPr>
          <w:rFonts w:cs="Calibri"/>
          <w:sz w:val="24"/>
          <w:szCs w:val="24"/>
        </w:rPr>
      </w:pPr>
      <w:r w:rsidRPr="00AA7C43">
        <w:rPr>
          <w:rFonts w:cs="Calibri"/>
          <w:sz w:val="24"/>
          <w:szCs w:val="24"/>
        </w:rPr>
        <w:t>Emerging technologies will chiefly be handled within the ZNE sub-element of CAHP.  The IOUs are looking to partner with our ET and EPIC-funded Testing Facilities to pilot zero-net energy approaches. SCE is looking toward the construction of a demonstration home at its CTAC facility.  However, the proposed incentive approach allows the IOUs the flexibility to include both deemed and calculated energy savings from new technologies as they become market ready.</w:t>
      </w:r>
    </w:p>
    <w:p w:rsidR="00AA7C43" w:rsidRPr="00AA7C43" w:rsidRDefault="00AA7C43" w:rsidP="00AA7C43">
      <w:pPr>
        <w:spacing w:after="0" w:line="240" w:lineRule="auto"/>
        <w:ind w:left="720"/>
        <w:rPr>
          <w:rFonts w:cs="Calibri"/>
          <w:sz w:val="24"/>
          <w:szCs w:val="24"/>
        </w:rPr>
      </w:pPr>
      <w:r w:rsidRPr="00AA7C43">
        <w:rPr>
          <w:rFonts w:cs="Calibri"/>
          <w:sz w:val="24"/>
          <w:szCs w:val="24"/>
        </w:rPr>
        <w:t>The utilities will seek to integrate R&amp;D ideas from Emerging Technologies, EPIC, LBNL and other avenues to further assist the projects to advance sustainability and achieve very high levels of energy efficiency.</w:t>
      </w:r>
    </w:p>
    <w:p w:rsidR="00AA7C43" w:rsidRPr="00AA7C43" w:rsidRDefault="00AA7C43" w:rsidP="00AA7C43">
      <w:pPr>
        <w:spacing w:after="0" w:line="240" w:lineRule="auto"/>
        <w:ind w:left="864"/>
        <w:rPr>
          <w:rFonts w:cs="Calibri"/>
          <w:b/>
          <w:sz w:val="24"/>
          <w:szCs w:val="24"/>
        </w:rPr>
      </w:pPr>
    </w:p>
    <w:p w:rsidR="00AA7C43" w:rsidRPr="00AA7C43" w:rsidRDefault="00AA7C43" w:rsidP="00C31CC0">
      <w:pPr>
        <w:numPr>
          <w:ilvl w:val="5"/>
          <w:numId w:val="162"/>
        </w:numPr>
        <w:spacing w:after="0" w:line="240" w:lineRule="auto"/>
        <w:rPr>
          <w:rFonts w:cs="Calibri"/>
          <w:b/>
          <w:sz w:val="24"/>
          <w:szCs w:val="24"/>
        </w:rPr>
        <w:pPrChange w:id="26"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Codes and Standards program</w:t>
      </w:r>
    </w:p>
    <w:p w:rsidR="00AA7C43" w:rsidRPr="00AA7C43" w:rsidRDefault="00AA7C43" w:rsidP="00AA7C43">
      <w:pPr>
        <w:spacing w:after="0" w:line="240" w:lineRule="auto"/>
        <w:ind w:left="720"/>
        <w:rPr>
          <w:rFonts w:cs="Calibri"/>
          <w:sz w:val="24"/>
          <w:szCs w:val="24"/>
        </w:rPr>
      </w:pPr>
      <w:r w:rsidRPr="00AA7C43">
        <w:rPr>
          <w:rFonts w:cs="Calibri"/>
          <w:sz w:val="24"/>
          <w:szCs w:val="24"/>
        </w:rPr>
        <w:t>See the Codes and Standards PIP for more information. Codes and Standards is looking to draft pre-approved “drop-in” legislation that can be used by local municipalities looking to create reach codes.  Such activities would all be eligible for utility incentives since IOUs are playing such a critical role in drafting the language.</w:t>
      </w:r>
    </w:p>
    <w:p w:rsidR="00AA7C43" w:rsidRPr="00AA7C43" w:rsidRDefault="00AA7C43" w:rsidP="00AA7C43">
      <w:pPr>
        <w:spacing w:after="0" w:line="240" w:lineRule="auto"/>
        <w:ind w:left="720"/>
        <w:rPr>
          <w:rFonts w:cs="Calibri"/>
          <w:b/>
          <w:sz w:val="24"/>
          <w:szCs w:val="24"/>
        </w:rPr>
      </w:pPr>
    </w:p>
    <w:p w:rsidR="00AA7C43" w:rsidRPr="00AA7C43" w:rsidRDefault="00AA7C43" w:rsidP="00C31CC0">
      <w:pPr>
        <w:numPr>
          <w:ilvl w:val="5"/>
          <w:numId w:val="162"/>
        </w:numPr>
        <w:spacing w:after="0" w:line="240" w:lineRule="auto"/>
        <w:rPr>
          <w:rFonts w:cs="Calibri"/>
          <w:b/>
          <w:sz w:val="24"/>
          <w:szCs w:val="24"/>
        </w:rPr>
        <w:pPrChange w:id="27"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WE&amp;T efforts</w:t>
      </w:r>
    </w:p>
    <w:p w:rsidR="00AA7C43" w:rsidRPr="00AA7C43" w:rsidRDefault="00AA7C43" w:rsidP="00AA7C43">
      <w:pPr>
        <w:tabs>
          <w:tab w:val="num" w:pos="1800"/>
        </w:tabs>
        <w:spacing w:after="0" w:line="240" w:lineRule="auto"/>
        <w:ind w:left="630"/>
        <w:rPr>
          <w:rFonts w:cs="Calibri"/>
          <w:sz w:val="24"/>
          <w:szCs w:val="24"/>
        </w:rPr>
      </w:pPr>
      <w:r w:rsidRPr="00AA7C43">
        <w:rPr>
          <w:rFonts w:cs="Calibri"/>
          <w:sz w:val="24"/>
          <w:szCs w:val="24"/>
        </w:rPr>
        <w:t>The RNC team is seeking ongoing support from the three energy and training centers for classes relevant to the building industry and training the next generation of trade allies, builders, contractors, and the like.</w:t>
      </w:r>
    </w:p>
    <w:p w:rsidR="00AA7C43" w:rsidRPr="00AA7C43" w:rsidRDefault="00AA7C43" w:rsidP="00AA7C43">
      <w:pPr>
        <w:tabs>
          <w:tab w:val="num" w:pos="1800"/>
        </w:tabs>
        <w:spacing w:after="0" w:line="240" w:lineRule="auto"/>
        <w:ind w:left="720"/>
        <w:rPr>
          <w:rFonts w:cs="Calibri"/>
          <w:sz w:val="24"/>
          <w:szCs w:val="24"/>
        </w:rPr>
      </w:pPr>
    </w:p>
    <w:p w:rsidR="00AA7C43" w:rsidRPr="00AA7C43" w:rsidRDefault="00AA7C43" w:rsidP="00AA7C43">
      <w:pPr>
        <w:spacing w:after="0" w:line="240" w:lineRule="auto"/>
        <w:ind w:left="630"/>
        <w:rPr>
          <w:sz w:val="24"/>
          <w:szCs w:val="24"/>
        </w:rPr>
      </w:pPr>
      <w:r w:rsidRPr="00AA7C43">
        <w:rPr>
          <w:sz w:val="24"/>
          <w:szCs w:val="24"/>
        </w:rPr>
        <w:t>Specific workforce development efforts supporting Residential New Construction include training on topics including, but not limited to:</w:t>
      </w:r>
    </w:p>
    <w:p w:rsidR="00AA7C43" w:rsidRPr="00AA7C43" w:rsidRDefault="00AA7C43" w:rsidP="00AA7C43">
      <w:pPr>
        <w:spacing w:after="0" w:line="240" w:lineRule="auto"/>
        <w:ind w:left="630"/>
        <w:rPr>
          <w:sz w:val="24"/>
          <w:szCs w:val="24"/>
        </w:rPr>
      </w:pPr>
    </w:p>
    <w:p w:rsidR="00AA7C43" w:rsidRPr="00AA7C43" w:rsidRDefault="00AA7C43" w:rsidP="00C31CC0">
      <w:pPr>
        <w:pStyle w:val="ListParagraph"/>
        <w:numPr>
          <w:ilvl w:val="0"/>
          <w:numId w:val="165"/>
        </w:numPr>
        <w:spacing w:after="0" w:line="240" w:lineRule="auto"/>
        <w:ind w:left="630" w:firstLine="0"/>
        <w:contextualSpacing w:val="0"/>
        <w:rPr>
          <w:sz w:val="24"/>
          <w:szCs w:val="24"/>
        </w:rPr>
        <w:pPrChange w:id="28" w:author="cerobins" w:date="2012-09-04T13:35:00Z">
          <w:pPr>
            <w:pStyle w:val="ListParagraph"/>
            <w:numPr>
              <w:numId w:val="175"/>
            </w:numPr>
            <w:tabs>
              <w:tab w:val="num" w:pos="360"/>
            </w:tabs>
            <w:spacing w:after="0" w:line="240" w:lineRule="auto"/>
            <w:ind w:left="1440"/>
            <w:contextualSpacing w:val="0"/>
          </w:pPr>
        </w:pPrChange>
      </w:pPr>
      <w:r w:rsidRPr="00AA7C43">
        <w:rPr>
          <w:sz w:val="24"/>
          <w:szCs w:val="24"/>
        </w:rPr>
        <w:t>Energy Pro</w:t>
      </w:r>
    </w:p>
    <w:p w:rsidR="00AA7C43" w:rsidRPr="00AA7C43" w:rsidRDefault="00AA7C43" w:rsidP="00C31CC0">
      <w:pPr>
        <w:pStyle w:val="ListParagraph"/>
        <w:numPr>
          <w:ilvl w:val="0"/>
          <w:numId w:val="165"/>
        </w:numPr>
        <w:spacing w:after="0" w:line="240" w:lineRule="auto"/>
        <w:ind w:left="630" w:firstLine="0"/>
        <w:contextualSpacing w:val="0"/>
        <w:rPr>
          <w:sz w:val="24"/>
          <w:szCs w:val="24"/>
        </w:rPr>
        <w:pPrChange w:id="29" w:author="cerobins" w:date="2012-09-04T13:35:00Z">
          <w:pPr>
            <w:pStyle w:val="ListParagraph"/>
            <w:numPr>
              <w:numId w:val="175"/>
            </w:numPr>
            <w:tabs>
              <w:tab w:val="num" w:pos="360"/>
            </w:tabs>
            <w:spacing w:after="0" w:line="240" w:lineRule="auto"/>
            <w:ind w:left="1440"/>
            <w:contextualSpacing w:val="0"/>
          </w:pPr>
        </w:pPrChange>
      </w:pPr>
      <w:r w:rsidRPr="00AA7C43">
        <w:rPr>
          <w:sz w:val="24"/>
          <w:szCs w:val="24"/>
        </w:rPr>
        <w:t>Title-24</w:t>
      </w:r>
    </w:p>
    <w:p w:rsidR="00AA7C43" w:rsidRPr="00AA7C43" w:rsidRDefault="00AA7C43" w:rsidP="00C31CC0">
      <w:pPr>
        <w:pStyle w:val="ListParagraph"/>
        <w:numPr>
          <w:ilvl w:val="0"/>
          <w:numId w:val="165"/>
        </w:numPr>
        <w:spacing w:after="0" w:line="240" w:lineRule="auto"/>
        <w:ind w:left="630" w:firstLine="0"/>
        <w:contextualSpacing w:val="0"/>
        <w:rPr>
          <w:sz w:val="24"/>
          <w:szCs w:val="24"/>
        </w:rPr>
        <w:pPrChange w:id="30" w:author="cerobins" w:date="2012-09-04T13:35:00Z">
          <w:pPr>
            <w:pStyle w:val="ListParagraph"/>
            <w:numPr>
              <w:numId w:val="175"/>
            </w:numPr>
            <w:tabs>
              <w:tab w:val="num" w:pos="360"/>
            </w:tabs>
            <w:spacing w:after="0" w:line="240" w:lineRule="auto"/>
            <w:ind w:left="1440"/>
            <w:contextualSpacing w:val="0"/>
          </w:pPr>
        </w:pPrChange>
      </w:pPr>
      <w:r w:rsidRPr="00AA7C43">
        <w:rPr>
          <w:sz w:val="24"/>
          <w:szCs w:val="24"/>
        </w:rPr>
        <w:t>Micropas</w:t>
      </w:r>
    </w:p>
    <w:p w:rsidR="00AA7C43" w:rsidRPr="00AA7C43" w:rsidRDefault="00AA7C43" w:rsidP="00AA7C43">
      <w:pPr>
        <w:spacing w:after="0" w:line="240" w:lineRule="auto"/>
        <w:rPr>
          <w:sz w:val="24"/>
          <w:szCs w:val="24"/>
        </w:rPr>
      </w:pPr>
    </w:p>
    <w:p w:rsidR="00AA7C43" w:rsidRPr="00AA7C43" w:rsidRDefault="00AA7C43" w:rsidP="00AA7C43">
      <w:pPr>
        <w:spacing w:after="0" w:line="240" w:lineRule="auto"/>
        <w:rPr>
          <w:sz w:val="24"/>
          <w:szCs w:val="24"/>
        </w:rPr>
      </w:pPr>
    </w:p>
    <w:p w:rsidR="00AA7C43" w:rsidRPr="00AA7C43" w:rsidRDefault="00AA7C43" w:rsidP="00AA7C43">
      <w:pPr>
        <w:spacing w:after="0" w:line="240" w:lineRule="auto"/>
        <w:ind w:left="634"/>
        <w:rPr>
          <w:sz w:val="24"/>
          <w:szCs w:val="24"/>
        </w:rPr>
      </w:pPr>
      <w:r w:rsidRPr="00AA7C43">
        <w:rPr>
          <w:sz w:val="24"/>
          <w:szCs w:val="24"/>
        </w:rPr>
        <w:t xml:space="preserve">SDG&amp;E will explore voluntary incentive-based approaches to encourage contractors and other industry professionals to complete the full bundle of Residential New Construction workforce development training.  For professionals who complete the pre-requisite courses and pass a high-road skill standards test, such approaches may include (as applicable): </w:t>
      </w:r>
    </w:p>
    <w:p w:rsidR="00AA7C43" w:rsidRPr="00AA7C43" w:rsidRDefault="00AA7C43" w:rsidP="00AA7C43">
      <w:pPr>
        <w:spacing w:after="0" w:line="240" w:lineRule="auto"/>
        <w:ind w:left="634"/>
        <w:rPr>
          <w:sz w:val="24"/>
          <w:szCs w:val="24"/>
        </w:rPr>
      </w:pPr>
    </w:p>
    <w:p w:rsidR="00AA7C43" w:rsidRPr="00AA7C43" w:rsidRDefault="00AA7C43" w:rsidP="00C31CC0">
      <w:pPr>
        <w:pStyle w:val="ListParagraph"/>
        <w:numPr>
          <w:ilvl w:val="0"/>
          <w:numId w:val="164"/>
        </w:numPr>
        <w:spacing w:after="0" w:line="240" w:lineRule="auto"/>
        <w:ind w:left="634" w:firstLine="0"/>
        <w:contextualSpacing w:val="0"/>
        <w:rPr>
          <w:sz w:val="24"/>
          <w:szCs w:val="24"/>
        </w:rPr>
        <w:pPrChange w:id="31"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Allowing marketing or advertising differentiation;</w:t>
      </w:r>
    </w:p>
    <w:p w:rsidR="00AA7C43" w:rsidRPr="00AA7C43" w:rsidRDefault="00AA7C43" w:rsidP="00C31CC0">
      <w:pPr>
        <w:pStyle w:val="ListParagraph"/>
        <w:numPr>
          <w:ilvl w:val="0"/>
          <w:numId w:val="164"/>
        </w:numPr>
        <w:spacing w:after="0" w:line="240" w:lineRule="auto"/>
        <w:ind w:left="634" w:firstLine="0"/>
        <w:contextualSpacing w:val="0"/>
        <w:rPr>
          <w:sz w:val="24"/>
          <w:szCs w:val="24"/>
        </w:rPr>
        <w:pPrChange w:id="32"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lastRenderedPageBreak/>
        <w:t>An incentive bonus; and/or</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3"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 xml:space="preserve">Providing preference to these professionals during bid evaluation process. </w:t>
      </w:r>
    </w:p>
    <w:p w:rsidR="00AA7C43" w:rsidRPr="00AA7C43" w:rsidRDefault="00AA7C43" w:rsidP="00AA7C43">
      <w:pPr>
        <w:spacing w:after="0" w:line="240" w:lineRule="auto"/>
        <w:ind w:left="630"/>
        <w:rPr>
          <w:sz w:val="24"/>
          <w:szCs w:val="24"/>
        </w:rPr>
      </w:pPr>
    </w:p>
    <w:p w:rsidR="00AA7C43" w:rsidRPr="00AA7C43" w:rsidRDefault="00AA7C43" w:rsidP="00AA7C43">
      <w:pPr>
        <w:spacing w:after="0" w:line="240" w:lineRule="auto"/>
        <w:ind w:left="630"/>
        <w:rPr>
          <w:sz w:val="24"/>
          <w:szCs w:val="24"/>
        </w:rPr>
      </w:pPr>
      <w:r w:rsidRPr="00AA7C43">
        <w:rPr>
          <w:sz w:val="24"/>
          <w:szCs w:val="24"/>
        </w:rPr>
        <w:t>Residential New Construction workforce development training will be coordinated with the statewide IOU WE&amp;T program. In addition to the trainings described above, SW IOU WE&amp;T programs will continue to offer building-block courses that educate professionals on the concepts that form the foundation of Residential New Construction programs. Those concepts include:</w:t>
      </w:r>
    </w:p>
    <w:p w:rsidR="00AA7C43" w:rsidRPr="00AA7C43" w:rsidRDefault="00AA7C43" w:rsidP="00AA7C43">
      <w:pPr>
        <w:spacing w:after="0" w:line="240" w:lineRule="auto"/>
        <w:ind w:left="630"/>
        <w:rPr>
          <w:sz w:val="24"/>
          <w:szCs w:val="24"/>
        </w:rPr>
      </w:pP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4"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Green building techniques;</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5"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Codes and standards);</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6"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Lighting and HVAC technologies;</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7"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Energy cost management; and</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8"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Food service equipment.</w:t>
      </w:r>
    </w:p>
    <w:p w:rsidR="00AA7C43" w:rsidRPr="00AA7C43" w:rsidRDefault="00AA7C43" w:rsidP="00AA7C43">
      <w:pPr>
        <w:spacing w:after="0" w:line="240" w:lineRule="auto"/>
        <w:ind w:left="630"/>
        <w:rPr>
          <w:sz w:val="24"/>
          <w:szCs w:val="24"/>
        </w:rPr>
      </w:pPr>
    </w:p>
    <w:p w:rsidR="00AA7C43" w:rsidRPr="00AA7C43" w:rsidRDefault="00AA7C43" w:rsidP="00AA7C43">
      <w:pPr>
        <w:spacing w:after="0" w:line="240" w:lineRule="auto"/>
        <w:ind w:left="630"/>
        <w:rPr>
          <w:sz w:val="24"/>
          <w:szCs w:val="24"/>
        </w:rPr>
      </w:pPr>
      <w:r w:rsidRPr="00AA7C43">
        <w:rPr>
          <w:sz w:val="24"/>
          <w:szCs w:val="24"/>
        </w:rPr>
        <w:t>Contractor recruitment efforts will be conducted primarily by SW WE&amp;T program implementers through:</w:t>
      </w:r>
    </w:p>
    <w:p w:rsidR="00AA7C43" w:rsidRPr="00AA7C43" w:rsidRDefault="00AA7C43" w:rsidP="00AA7C43">
      <w:pPr>
        <w:spacing w:after="0" w:line="240" w:lineRule="auto"/>
        <w:ind w:left="630"/>
        <w:rPr>
          <w:sz w:val="24"/>
          <w:szCs w:val="24"/>
        </w:rPr>
      </w:pP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39"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The network of contractors already participating in Residential EE programs;</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40"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 Direct outreach through industry organizations with locally active memberships (e.g. IHACI, USGBC, IFMA, AIA, BOMA, etc.);</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41"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Workforce development departments (to target unemployed general contractors); and</w:t>
      </w:r>
    </w:p>
    <w:p w:rsidR="00AA7C43" w:rsidRPr="00AA7C43" w:rsidRDefault="00AA7C43" w:rsidP="00C31CC0">
      <w:pPr>
        <w:pStyle w:val="ListParagraph"/>
        <w:numPr>
          <w:ilvl w:val="0"/>
          <w:numId w:val="164"/>
        </w:numPr>
        <w:spacing w:after="0" w:line="240" w:lineRule="auto"/>
        <w:ind w:left="630" w:firstLine="0"/>
        <w:contextualSpacing w:val="0"/>
        <w:rPr>
          <w:sz w:val="24"/>
          <w:szCs w:val="24"/>
        </w:rPr>
        <w:pPrChange w:id="42" w:author="cerobins" w:date="2012-09-04T13:35:00Z">
          <w:pPr>
            <w:pStyle w:val="ListParagraph"/>
            <w:numPr>
              <w:numId w:val="174"/>
            </w:numPr>
            <w:tabs>
              <w:tab w:val="num" w:pos="360"/>
            </w:tabs>
            <w:spacing w:after="0" w:line="240" w:lineRule="auto"/>
            <w:ind w:left="1080" w:hanging="360"/>
            <w:contextualSpacing w:val="0"/>
          </w:pPr>
        </w:pPrChange>
      </w:pPr>
      <w:r w:rsidRPr="00AA7C43">
        <w:rPr>
          <w:sz w:val="24"/>
          <w:szCs w:val="24"/>
        </w:rPr>
        <w:t>Community Based Organizations with a proven track-record of effective outreach to the hard-to-reach workforce.</w:t>
      </w:r>
    </w:p>
    <w:p w:rsidR="00AA7C43" w:rsidRPr="00AA7C43" w:rsidRDefault="00AA7C43" w:rsidP="00AA7C43">
      <w:pPr>
        <w:tabs>
          <w:tab w:val="num" w:pos="1800"/>
        </w:tabs>
        <w:spacing w:after="0" w:line="240" w:lineRule="auto"/>
        <w:rPr>
          <w:rFonts w:cs="Calibri"/>
          <w:sz w:val="24"/>
          <w:szCs w:val="24"/>
        </w:rPr>
      </w:pPr>
    </w:p>
    <w:p w:rsidR="00AA7C43" w:rsidRPr="00AA7C43" w:rsidRDefault="00AA7C43" w:rsidP="00C31CC0">
      <w:pPr>
        <w:numPr>
          <w:ilvl w:val="5"/>
          <w:numId w:val="162"/>
        </w:numPr>
        <w:spacing w:after="0" w:line="240" w:lineRule="auto"/>
        <w:rPr>
          <w:rFonts w:cs="Calibri"/>
          <w:b/>
          <w:sz w:val="24"/>
          <w:szCs w:val="24"/>
        </w:rPr>
        <w:pPrChange w:id="43"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Program-specific marketing and outreach efforts</w:t>
      </w:r>
    </w:p>
    <w:p w:rsidR="00AA7C43" w:rsidRPr="00AA7C43" w:rsidRDefault="00AA7C43" w:rsidP="00AA7C43">
      <w:pPr>
        <w:spacing w:after="0" w:line="240" w:lineRule="auto"/>
        <w:ind w:left="720"/>
        <w:rPr>
          <w:rFonts w:cs="Calibri"/>
          <w:i/>
          <w:sz w:val="24"/>
          <w:szCs w:val="24"/>
        </w:rPr>
      </w:pPr>
      <w:r w:rsidRPr="00AA7C43">
        <w:rPr>
          <w:rFonts w:cs="Calibri"/>
          <w:sz w:val="24"/>
          <w:szCs w:val="24"/>
        </w:rPr>
        <w:t>In 2013-2014, the program will expand its builder/contractor education and training materials to increase awareness of the California Advanced Home Program and better communicate the advantages to builders of participation.  The IOUs will continue to strengthen delivery channels through improved information and support materials.  The IOUs’ communication tools will include: trade advertising, account representative meetings/presentations, targeted customer mailings, shows/event sponsorships, trade organization affiliations, webcasts, email blast, builder award recognition, customer success stories and public relations campaigns.  All materials and communications will also be made available in electronic file formats so information can be forwarded to customers immediately via the internet.</w:t>
      </w:r>
    </w:p>
    <w:p w:rsidR="00AA7C43" w:rsidRPr="00AA7C43" w:rsidRDefault="00AA7C43" w:rsidP="00AA7C43">
      <w:pPr>
        <w:spacing w:after="0" w:line="240" w:lineRule="auto"/>
        <w:ind w:left="720"/>
        <w:rPr>
          <w:rFonts w:cs="Calibri"/>
          <w:b/>
          <w:sz w:val="24"/>
          <w:szCs w:val="24"/>
        </w:rPr>
      </w:pPr>
    </w:p>
    <w:p w:rsidR="00AA7C43" w:rsidRPr="00AA7C43" w:rsidRDefault="00AA7C43" w:rsidP="00C31CC0">
      <w:pPr>
        <w:numPr>
          <w:ilvl w:val="5"/>
          <w:numId w:val="162"/>
        </w:numPr>
        <w:spacing w:after="0" w:line="240" w:lineRule="auto"/>
        <w:rPr>
          <w:rFonts w:cs="Calibri"/>
          <w:b/>
          <w:sz w:val="24"/>
          <w:szCs w:val="24"/>
        </w:rPr>
        <w:pPrChange w:id="44"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Non-energy activities of program</w:t>
      </w:r>
    </w:p>
    <w:p w:rsidR="00AA7C43" w:rsidRPr="00AA7C43" w:rsidRDefault="00AA7C43" w:rsidP="00AA7C43">
      <w:pPr>
        <w:spacing w:after="0" w:line="240" w:lineRule="auto"/>
        <w:ind w:left="720"/>
        <w:rPr>
          <w:rFonts w:cs="Calibri"/>
          <w:sz w:val="24"/>
          <w:szCs w:val="24"/>
        </w:rPr>
      </w:pPr>
      <w:r w:rsidRPr="00AA7C43">
        <w:rPr>
          <w:rFonts w:cs="Calibri"/>
          <w:sz w:val="24"/>
          <w:szCs w:val="24"/>
        </w:rPr>
        <w:t>Where applicable, the ZNE program element will seek to identify new types of water savings technologies opportunities.</w:t>
      </w:r>
    </w:p>
    <w:p w:rsidR="00AA7C43" w:rsidRPr="00AA7C43" w:rsidRDefault="00AA7C43" w:rsidP="00AA7C43">
      <w:pPr>
        <w:tabs>
          <w:tab w:val="num" w:pos="1800"/>
        </w:tabs>
        <w:spacing w:after="0" w:line="240" w:lineRule="auto"/>
        <w:rPr>
          <w:rFonts w:cs="Calibri"/>
          <w:b/>
          <w:sz w:val="24"/>
          <w:szCs w:val="24"/>
        </w:rPr>
      </w:pPr>
    </w:p>
    <w:p w:rsidR="00AA7C43" w:rsidRPr="00AA7C43" w:rsidRDefault="00AA7C43" w:rsidP="00C31CC0">
      <w:pPr>
        <w:numPr>
          <w:ilvl w:val="5"/>
          <w:numId w:val="162"/>
        </w:numPr>
        <w:spacing w:after="0" w:line="240" w:lineRule="auto"/>
        <w:rPr>
          <w:rFonts w:cs="Calibri"/>
          <w:b/>
          <w:sz w:val="24"/>
          <w:szCs w:val="24"/>
        </w:rPr>
        <w:pPrChange w:id="45"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Non-IOU programs</w:t>
      </w:r>
    </w:p>
    <w:p w:rsidR="00AA7C43" w:rsidRPr="00AA7C43" w:rsidRDefault="00AA7C43" w:rsidP="00AA7C43">
      <w:pPr>
        <w:spacing w:after="0" w:line="240" w:lineRule="auto"/>
        <w:ind w:left="720"/>
        <w:rPr>
          <w:rFonts w:cs="Calibri"/>
          <w:b/>
          <w:sz w:val="24"/>
          <w:szCs w:val="24"/>
        </w:rPr>
      </w:pPr>
      <w:r w:rsidRPr="00AA7C43">
        <w:rPr>
          <w:rFonts w:cs="Calibri"/>
          <w:sz w:val="24"/>
          <w:szCs w:val="24"/>
        </w:rPr>
        <w:lastRenderedPageBreak/>
        <w:t>There may also be opportunities to partner with local AQMDs and County Integrated Waste Management Boards to encourage material recycling in ZNE and green programs.</w:t>
      </w:r>
    </w:p>
    <w:p w:rsidR="00AA7C43" w:rsidRPr="00AA7C43" w:rsidRDefault="00AA7C43" w:rsidP="00AA7C43">
      <w:pPr>
        <w:spacing w:after="0" w:line="240" w:lineRule="auto"/>
        <w:ind w:left="720"/>
        <w:rPr>
          <w:rFonts w:cs="Calibri"/>
          <w:b/>
          <w:sz w:val="24"/>
          <w:szCs w:val="24"/>
        </w:rPr>
      </w:pPr>
    </w:p>
    <w:p w:rsidR="00AA7C43" w:rsidRPr="00AA7C43" w:rsidRDefault="00AA7C43" w:rsidP="00C31CC0">
      <w:pPr>
        <w:numPr>
          <w:ilvl w:val="5"/>
          <w:numId w:val="162"/>
        </w:numPr>
        <w:spacing w:after="0" w:line="240" w:lineRule="auto"/>
        <w:rPr>
          <w:rFonts w:cs="Calibri"/>
          <w:b/>
          <w:sz w:val="24"/>
          <w:szCs w:val="24"/>
        </w:rPr>
        <w:pPrChange w:id="46"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CEC work on codes and standards</w:t>
      </w:r>
    </w:p>
    <w:p w:rsidR="00AA7C43" w:rsidRPr="00AA7C43" w:rsidRDefault="00AA7C43" w:rsidP="00AA7C43">
      <w:pPr>
        <w:spacing w:after="0" w:line="240" w:lineRule="auto"/>
        <w:ind w:left="720"/>
        <w:rPr>
          <w:rFonts w:cs="Calibri"/>
          <w:sz w:val="24"/>
          <w:szCs w:val="24"/>
        </w:rPr>
      </w:pPr>
      <w:r w:rsidRPr="00AA7C43">
        <w:rPr>
          <w:rFonts w:cs="Calibri"/>
          <w:sz w:val="24"/>
          <w:szCs w:val="24"/>
        </w:rPr>
        <w:t>The IOUs will continue to support code development work with the CEC and to test candidate technologies in the new construction programs.</w:t>
      </w:r>
    </w:p>
    <w:p w:rsidR="00AA7C43" w:rsidRPr="00AA7C43" w:rsidRDefault="00AA7C43" w:rsidP="00AA7C43">
      <w:pPr>
        <w:tabs>
          <w:tab w:val="num" w:pos="1800"/>
        </w:tabs>
        <w:spacing w:after="0" w:line="240" w:lineRule="auto"/>
        <w:rPr>
          <w:rFonts w:cs="Calibri"/>
          <w:sz w:val="24"/>
          <w:szCs w:val="24"/>
        </w:rPr>
      </w:pPr>
    </w:p>
    <w:p w:rsidR="00AA7C43" w:rsidRPr="00AA7C43" w:rsidRDefault="00AA7C43" w:rsidP="00C31CC0">
      <w:pPr>
        <w:numPr>
          <w:ilvl w:val="5"/>
          <w:numId w:val="162"/>
        </w:numPr>
        <w:spacing w:after="0" w:line="240" w:lineRule="auto"/>
        <w:rPr>
          <w:rFonts w:cs="Calibri"/>
          <w:b/>
          <w:sz w:val="24"/>
          <w:szCs w:val="24"/>
        </w:rPr>
        <w:pPrChange w:id="47" w:author="cerobins" w:date="2012-09-04T13:35:00Z">
          <w:pPr>
            <w:numPr>
              <w:ilvl w:val="5"/>
              <w:numId w:val="172"/>
            </w:numPr>
            <w:tabs>
              <w:tab w:val="num" w:pos="360"/>
            </w:tabs>
            <w:spacing w:after="0" w:line="240" w:lineRule="auto"/>
            <w:ind w:left="5040" w:hanging="180"/>
          </w:pPr>
        </w:pPrChange>
      </w:pPr>
      <w:r w:rsidRPr="00AA7C43">
        <w:rPr>
          <w:rFonts w:cs="Calibri"/>
          <w:b/>
          <w:sz w:val="24"/>
          <w:szCs w:val="24"/>
        </w:rPr>
        <w:t>Non-utility market initiatives</w:t>
      </w: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The homebuilding industry is facing some of the worst times in its history</w:t>
      </w:r>
      <w:r w:rsidRPr="00AA7C43">
        <w:rPr>
          <w:rStyle w:val="FootnoteReference"/>
          <w:rFonts w:cs="Calibri"/>
          <w:sz w:val="24"/>
          <w:szCs w:val="24"/>
        </w:rPr>
        <w:footnoteReference w:id="66"/>
      </w:r>
      <w:r w:rsidRPr="00AA7C43">
        <w:rPr>
          <w:rFonts w:cs="Calibri"/>
          <w:sz w:val="24"/>
          <w:szCs w:val="24"/>
        </w:rPr>
        <w:t>.  In fact, new Residential single-family housing permits have declined by 37.1% relative from 2006 and multi-family permits have declined by 21.2 percent</w:t>
      </w:r>
      <w:r w:rsidRPr="00AA7C43">
        <w:rPr>
          <w:rStyle w:val="FootnoteReference"/>
          <w:rFonts w:cs="Calibri"/>
          <w:sz w:val="24"/>
          <w:szCs w:val="24"/>
        </w:rPr>
        <w:footnoteReference w:id="67"/>
      </w:r>
      <w:r w:rsidRPr="00AA7C43">
        <w:rPr>
          <w:rFonts w:cs="Calibri"/>
          <w:sz w:val="24"/>
          <w:szCs w:val="24"/>
        </w:rPr>
        <w:t xml:space="preserve">.  As a result, builders are building fewer homes and releasing them more slowly to the market.  The significant costs associated with carrying inventory coupled with declining prices of houses has created additional resistance in a building industry already averse to additional construction costs.  In addition, the industry is consolidating operations and eliminating staff to reduce overhead costs and avoid bankruptcy. </w:t>
      </w:r>
    </w:p>
    <w:p w:rsidR="00AA7C43" w:rsidRPr="00AA7C43" w:rsidRDefault="00AA7C43" w:rsidP="00AA7C43">
      <w:pPr>
        <w:tabs>
          <w:tab w:val="left" w:pos="1800"/>
        </w:tabs>
        <w:spacing w:after="0" w:line="240" w:lineRule="auto"/>
        <w:ind w:left="720"/>
        <w:rPr>
          <w:rFonts w:cs="Calibri"/>
          <w:sz w:val="24"/>
          <w:szCs w:val="24"/>
        </w:rPr>
      </w:pP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The industry faces the burden of stringent California Title 24 building code standards.   Each code is approximately 15% more stringent than the last, increasing costs and requiring additional efforts on the part of the builder.   In California, homes built to current Title 24 standards are 35% more energy-efficient</w:t>
      </w:r>
      <w:r w:rsidRPr="00AA7C43">
        <w:rPr>
          <w:rStyle w:val="FootnoteReference"/>
          <w:rFonts w:cs="Calibri"/>
          <w:sz w:val="24"/>
          <w:szCs w:val="24"/>
        </w:rPr>
        <w:footnoteReference w:id="68"/>
      </w:r>
      <w:r w:rsidRPr="00AA7C43">
        <w:rPr>
          <w:rFonts w:cs="Calibri"/>
          <w:sz w:val="24"/>
          <w:szCs w:val="24"/>
        </w:rPr>
        <w:t xml:space="preserve"> than homes built to the federal government’s standards.  In addition, reducing greenhouse gas emissions will become mandatory, due to the adoption of AB 32 (Global Warming Solutions Act).   Builders confirm that growing consumer awareness of “green” concerns will lead to greater demand for these advanced homes and builders will adapt to meet these demands at the least possible cost.</w:t>
      </w:r>
    </w:p>
    <w:p w:rsidR="00AA7C43" w:rsidRPr="00AA7C43" w:rsidRDefault="00AA7C43" w:rsidP="00AA7C43">
      <w:pPr>
        <w:tabs>
          <w:tab w:val="left" w:pos="1800"/>
        </w:tabs>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As alluded to above, buyers are increasingly asking for green and energy efficiency and may pay more (up to $11,000) for such features.</w:t>
      </w:r>
      <w:r w:rsidRPr="00AA7C43">
        <w:rPr>
          <w:rStyle w:val="FootnoteReference"/>
          <w:rFonts w:cs="Calibri"/>
          <w:sz w:val="24"/>
          <w:szCs w:val="24"/>
        </w:rPr>
        <w:footnoteReference w:id="69"/>
      </w:r>
      <w:r w:rsidRPr="00AA7C43">
        <w:rPr>
          <w:rFonts w:cs="Calibri"/>
          <w:sz w:val="24"/>
          <w:szCs w:val="24"/>
        </w:rPr>
        <w:t xml:space="preserve">  For the first time, a majority of respondents in the National Association of Home Builders’ survey are asking for efficiency first, likely in response to rising energy prices economy-wide.  A majority of the same respondents also requested higher ceilings, more square footage, and were willing to trade a larger home for a longer commute, reflecting a soft commitment to green.</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b/>
          <w:sz w:val="24"/>
          <w:szCs w:val="24"/>
        </w:rPr>
      </w:pPr>
      <w:r w:rsidRPr="00AA7C43">
        <w:rPr>
          <w:rFonts w:cs="Calibri"/>
          <w:b/>
          <w:sz w:val="24"/>
          <w:szCs w:val="24"/>
          <w:u w:val="single"/>
        </w:rPr>
        <w:t xml:space="preserve">Transmission &amp; Distribution </w:t>
      </w:r>
    </w:p>
    <w:p w:rsidR="00AA7C43" w:rsidRPr="00AA7C43" w:rsidRDefault="00AA7C43" w:rsidP="00AA7C43">
      <w:pPr>
        <w:spacing w:after="0" w:line="240" w:lineRule="auto"/>
        <w:ind w:left="720"/>
        <w:rPr>
          <w:rFonts w:cs="Calibri"/>
          <w:sz w:val="24"/>
          <w:szCs w:val="24"/>
        </w:rPr>
      </w:pPr>
      <w:r w:rsidRPr="00AA7C43">
        <w:rPr>
          <w:rFonts w:cs="Calibri"/>
          <w:sz w:val="24"/>
          <w:szCs w:val="24"/>
        </w:rPr>
        <w:lastRenderedPageBreak/>
        <w:t xml:space="preserve">CAHP staff has been working with our counterparts in the Transmission &amp; Distribution business unit that designs electrical service for new construction projects. </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8"/>
        </w:numPr>
        <w:tabs>
          <w:tab w:val="clear" w:pos="360"/>
        </w:tabs>
        <w:autoSpaceDE w:val="0"/>
        <w:autoSpaceDN w:val="0"/>
        <w:adjustRightInd w:val="0"/>
        <w:spacing w:after="0" w:line="240" w:lineRule="auto"/>
        <w:ind w:left="1080"/>
        <w:rPr>
          <w:rFonts w:cs="Calibri"/>
          <w:sz w:val="24"/>
          <w:szCs w:val="24"/>
        </w:rPr>
      </w:pPr>
      <w:r w:rsidRPr="00AA7C43">
        <w:rPr>
          <w:rFonts w:cs="Calibri"/>
          <w:sz w:val="24"/>
          <w:szCs w:val="24"/>
        </w:rPr>
        <w:t xml:space="preserve">CAHP will pay the standard calculated incentives for all other measures in low-income units (e.g. improved duct work and windows). CAHP will claim the energy savings resulting from EE measures other than high SEER A/C and refrigerators.  </w:t>
      </w:r>
    </w:p>
    <w:p w:rsidR="00AA7C43" w:rsidRPr="00AA7C43" w:rsidRDefault="00AA7C43" w:rsidP="00C31CC0">
      <w:pPr>
        <w:numPr>
          <w:ilvl w:val="0"/>
          <w:numId w:val="8"/>
        </w:numPr>
        <w:tabs>
          <w:tab w:val="clear" w:pos="360"/>
        </w:tabs>
        <w:autoSpaceDE w:val="0"/>
        <w:autoSpaceDN w:val="0"/>
        <w:adjustRightInd w:val="0"/>
        <w:spacing w:after="0" w:line="240" w:lineRule="auto"/>
        <w:ind w:left="1080"/>
        <w:rPr>
          <w:rFonts w:cs="Calibri"/>
          <w:sz w:val="24"/>
          <w:szCs w:val="24"/>
        </w:rPr>
      </w:pPr>
      <w:r w:rsidRPr="00AA7C43">
        <w:rPr>
          <w:rFonts w:cs="Calibri"/>
          <w:sz w:val="24"/>
          <w:szCs w:val="24"/>
        </w:rPr>
        <w:t>CAHP would treat market-rate units using the standard calculated approach and claim all energy savings.</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This collaboration will:</w:t>
      </w:r>
    </w:p>
    <w:p w:rsidR="00AA7C43" w:rsidRPr="00AA7C43" w:rsidRDefault="00AA7C43" w:rsidP="00C31CC0">
      <w:pPr>
        <w:numPr>
          <w:ilvl w:val="0"/>
          <w:numId w:val="8"/>
        </w:numPr>
        <w:tabs>
          <w:tab w:val="clear" w:pos="360"/>
        </w:tabs>
        <w:autoSpaceDE w:val="0"/>
        <w:autoSpaceDN w:val="0"/>
        <w:adjustRightInd w:val="0"/>
        <w:spacing w:after="0" w:line="240" w:lineRule="auto"/>
        <w:ind w:left="1080"/>
        <w:rPr>
          <w:rFonts w:cs="Calibri"/>
          <w:sz w:val="24"/>
          <w:szCs w:val="24"/>
        </w:rPr>
      </w:pPr>
      <w:r w:rsidRPr="00AA7C43">
        <w:rPr>
          <w:rFonts w:cs="Calibri"/>
          <w:sz w:val="24"/>
          <w:szCs w:val="24"/>
        </w:rPr>
        <w:t xml:space="preserve">Encourage the development of more below market rate low income units by developers, </w:t>
      </w:r>
    </w:p>
    <w:p w:rsidR="00AA7C43" w:rsidRPr="00AA7C43" w:rsidRDefault="00AA7C43" w:rsidP="00C31CC0">
      <w:pPr>
        <w:numPr>
          <w:ilvl w:val="0"/>
          <w:numId w:val="8"/>
        </w:numPr>
        <w:tabs>
          <w:tab w:val="clear" w:pos="360"/>
        </w:tabs>
        <w:autoSpaceDE w:val="0"/>
        <w:autoSpaceDN w:val="0"/>
        <w:adjustRightInd w:val="0"/>
        <w:spacing w:after="0" w:line="240" w:lineRule="auto"/>
        <w:ind w:left="1080"/>
        <w:rPr>
          <w:rFonts w:cs="Calibri"/>
          <w:sz w:val="24"/>
          <w:szCs w:val="24"/>
        </w:rPr>
      </w:pPr>
      <w:r w:rsidRPr="00AA7C43">
        <w:rPr>
          <w:rFonts w:cs="Calibri"/>
          <w:sz w:val="24"/>
          <w:szCs w:val="24"/>
        </w:rPr>
        <w:t xml:space="preserve">Increase participate in the RNC sub-program based on the combined higher incentives, and </w:t>
      </w:r>
    </w:p>
    <w:p w:rsidR="00AA7C43" w:rsidRPr="00AA7C43" w:rsidRDefault="00AA7C43" w:rsidP="00C31CC0">
      <w:pPr>
        <w:numPr>
          <w:ilvl w:val="0"/>
          <w:numId w:val="8"/>
        </w:numPr>
        <w:tabs>
          <w:tab w:val="clear" w:pos="360"/>
        </w:tabs>
        <w:autoSpaceDE w:val="0"/>
        <w:autoSpaceDN w:val="0"/>
        <w:adjustRightInd w:val="0"/>
        <w:spacing w:after="0" w:line="240" w:lineRule="auto"/>
        <w:ind w:left="1080"/>
        <w:rPr>
          <w:rFonts w:cs="Calibri"/>
          <w:sz w:val="24"/>
          <w:szCs w:val="24"/>
        </w:rPr>
      </w:pPr>
      <w:r w:rsidRPr="00AA7C43">
        <w:rPr>
          <w:rFonts w:cs="Calibri"/>
          <w:sz w:val="24"/>
          <w:szCs w:val="24"/>
        </w:rPr>
        <w:t>Benefit low income occupants over the life of the installed equipment.</w:t>
      </w:r>
    </w:p>
    <w:p w:rsidR="00AA7C43" w:rsidRPr="00AA7C43" w:rsidRDefault="00AA7C43" w:rsidP="00AA7C43">
      <w:pPr>
        <w:tabs>
          <w:tab w:val="num" w:pos="360"/>
        </w:tabs>
        <w:autoSpaceDE w:val="0"/>
        <w:autoSpaceDN w:val="0"/>
        <w:adjustRightInd w:val="0"/>
        <w:spacing w:after="0" w:line="240" w:lineRule="auto"/>
        <w:ind w:left="36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partnerships program will assist in gathering information to ensure that the units actually are occupied by low income qualified customers.  Local governments typically track this information in order to show compliance with state mandates.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program will be implemented by direct contact with the market actors: builders, architects, civil and mechanical engineers, energy analysts, HERS providers, HERS raters and other participants.  Through design assistance and coordination with the builders and their consultants and contractors, projects will be evaluated for optimal approaches to increase energy savings and demonstrate green building concepts.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program will target the Residential design and construction teams, architects, energy analysts, HERS raters, trade contractors, and builders. The target segment is low-rise and high-rise Residential New Construction with participation being open to all Residential New Construction including custom homes, single-family production housing, condominiums, town homes and rental apartments.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Builders</w:t>
      </w:r>
      <w:r w:rsidRPr="00AA7C43">
        <w:rPr>
          <w:rFonts w:cs="Calibri"/>
          <w:i/>
          <w:sz w:val="24"/>
          <w:szCs w:val="24"/>
        </w:rPr>
        <w:t xml:space="preserve"> </w:t>
      </w:r>
      <w:r w:rsidRPr="00AA7C43">
        <w:rPr>
          <w:rFonts w:cs="Calibri"/>
          <w:sz w:val="24"/>
          <w:szCs w:val="24"/>
        </w:rPr>
        <w:t xml:space="preserve">may qualify to participate under one of the two sub-program categories: CAHP or ZNE. Through financial incentives, design assistance, education and training, the IOUs will aggressively support high performance single family and multifamily building designs that exceed Title 24 standards in an overall performance design of 15% or greater. Energy savings and incentives will be based upon a sliding scale from 15% to 45% reduction in energy usage from Title 24 budget. Program focus will be on increasing the participation to a 30% threshold.  </w:t>
      </w:r>
    </w:p>
    <w:p w:rsidR="00AA7C43" w:rsidRPr="00AA7C43" w:rsidRDefault="00AA7C43" w:rsidP="00AA7C43">
      <w:pPr>
        <w:overflowPunct w:val="0"/>
        <w:autoSpaceDE w:val="0"/>
        <w:autoSpaceDN w:val="0"/>
        <w:adjustRightInd w:val="0"/>
        <w:spacing w:after="0" w:line="240" w:lineRule="auto"/>
        <w:textAlignment w:val="baseline"/>
        <w:rPr>
          <w:rFonts w:cs="Calibri"/>
          <w:b/>
          <w:sz w:val="24"/>
          <w:szCs w:val="24"/>
        </w:rPr>
      </w:pPr>
    </w:p>
    <w:p w:rsidR="00AA7C43" w:rsidRPr="00AA7C43" w:rsidRDefault="00AA7C43" w:rsidP="00C31CC0">
      <w:pPr>
        <w:numPr>
          <w:ilvl w:val="1"/>
          <w:numId w:val="24"/>
        </w:numPr>
        <w:spacing w:after="0" w:line="240" w:lineRule="auto"/>
        <w:rPr>
          <w:rFonts w:cs="Calibri"/>
          <w:b/>
          <w:sz w:val="24"/>
          <w:szCs w:val="24"/>
        </w:rPr>
      </w:pPr>
      <w:r w:rsidRPr="00AA7C43">
        <w:rPr>
          <w:rFonts w:cs="Calibri"/>
          <w:b/>
          <w:sz w:val="24"/>
          <w:szCs w:val="24"/>
          <w:u w:val="single"/>
        </w:rPr>
        <w:t>Best Practices</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The Residential New Construction team has gathered information and past experience in successful low energy and ZNE existing projects to evaluate best practices. Thus far the research shows that while ZNE practices exist in piecemeal fashion throughout the </w:t>
      </w:r>
      <w:r w:rsidRPr="00AA7C43">
        <w:rPr>
          <w:rFonts w:cs="Calibri"/>
          <w:sz w:val="24"/>
          <w:szCs w:val="24"/>
        </w:rPr>
        <w:lastRenderedPageBreak/>
        <w:t xml:space="preserve">state and nation, there are no other utility incentive programs targeting ZNE. RNC will continue to conduct further research and will disseminate its finding by April of 2013 in accordance with the program guidance. This information will be used to develop pilot projects that will demonstrate low energy homes and include home performance monitoring. </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rPr>
          <w:rFonts w:cs="Calibri"/>
          <w:b/>
          <w:sz w:val="24"/>
          <w:szCs w:val="24"/>
        </w:rPr>
      </w:pPr>
      <w:r w:rsidRPr="00AA7C43">
        <w:rPr>
          <w:rFonts w:cs="Calibri"/>
          <w:b/>
          <w:sz w:val="24"/>
          <w:szCs w:val="24"/>
        </w:rPr>
        <w:t>Processes</w:t>
      </w:r>
    </w:p>
    <w:p w:rsidR="00AA7C43" w:rsidRPr="00AA7C43" w:rsidRDefault="00AA7C43" w:rsidP="00C31CC0">
      <w:pPr>
        <w:numPr>
          <w:ilvl w:val="0"/>
          <w:numId w:val="18"/>
        </w:numPr>
        <w:tabs>
          <w:tab w:val="clear" w:pos="1080"/>
        </w:tabs>
        <w:spacing w:after="0" w:line="240" w:lineRule="auto"/>
        <w:ind w:left="720" w:hanging="360"/>
        <w:rPr>
          <w:rFonts w:cs="Calibri"/>
          <w:sz w:val="24"/>
          <w:szCs w:val="24"/>
        </w:rPr>
      </w:pPr>
      <w:r w:rsidRPr="00AA7C43">
        <w:rPr>
          <w:rFonts w:cs="Calibri"/>
          <w:sz w:val="24"/>
          <w:szCs w:val="24"/>
        </w:rPr>
        <w:t xml:space="preserve">Improve marketing materials and improve participant recognition: Marketing materials and other collaterals will continue to be enhanced to communicate more effectively with savvy builders.  Participant recognition (plaques, feature presentations, etc.) has proven to be an effective tool in encouraging builder involvement, and will continue to remain as part of the overall marketing tools.  </w:t>
      </w:r>
    </w:p>
    <w:p w:rsidR="00AA7C43" w:rsidRPr="00AA7C43" w:rsidRDefault="00AA7C43" w:rsidP="00C31CC0">
      <w:pPr>
        <w:numPr>
          <w:ilvl w:val="0"/>
          <w:numId w:val="28"/>
        </w:numPr>
        <w:spacing w:after="0" w:line="240" w:lineRule="auto"/>
        <w:rPr>
          <w:rFonts w:cs="Calibri"/>
          <w:sz w:val="24"/>
          <w:szCs w:val="24"/>
        </w:rPr>
      </w:pPr>
      <w:r w:rsidRPr="00AA7C43">
        <w:rPr>
          <w:rFonts w:cs="Calibri"/>
          <w:sz w:val="24"/>
          <w:szCs w:val="24"/>
        </w:rPr>
        <w:t>RNC has undergone substantial marketing material revisions and will continue to do so.</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360"/>
        <w:rPr>
          <w:rFonts w:cs="Calibri"/>
          <w:b/>
          <w:sz w:val="24"/>
          <w:szCs w:val="24"/>
        </w:rPr>
      </w:pPr>
      <w:r w:rsidRPr="00AA7C43">
        <w:rPr>
          <w:rFonts w:cs="Calibri"/>
          <w:b/>
          <w:sz w:val="24"/>
          <w:szCs w:val="24"/>
        </w:rPr>
        <w:t>Program Services: Training</w:t>
      </w:r>
    </w:p>
    <w:p w:rsidR="00AA7C43" w:rsidRPr="00AA7C43" w:rsidRDefault="00AA7C43" w:rsidP="00C31CC0">
      <w:pPr>
        <w:numPr>
          <w:ilvl w:val="0"/>
          <w:numId w:val="19"/>
        </w:numPr>
        <w:tabs>
          <w:tab w:val="clear" w:pos="1080"/>
        </w:tabs>
        <w:spacing w:after="0" w:line="240" w:lineRule="auto"/>
        <w:ind w:left="720" w:hanging="360"/>
        <w:rPr>
          <w:rFonts w:cs="Calibri"/>
          <w:sz w:val="24"/>
          <w:szCs w:val="24"/>
        </w:rPr>
      </w:pPr>
      <w:r w:rsidRPr="00AA7C43">
        <w:rPr>
          <w:rFonts w:cs="Calibri"/>
          <w:sz w:val="24"/>
          <w:szCs w:val="24"/>
        </w:rPr>
        <w:t xml:space="preserve">Taking advantage of the slowdown in the industry, the utilities intend to ramp up the training for builders and other industry participants.  Training is an area where significant synergies can be extracted and the IOUs will participate in developing and implementing common training modules and web based training tools.  Training will focus particularly on cost / benefit evaluation of energy efficiency improvements and thermal bypass checklist compliance.  </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b/>
          <w:sz w:val="24"/>
          <w:szCs w:val="24"/>
        </w:rPr>
      </w:pPr>
      <w:r w:rsidRPr="00AA7C43">
        <w:rPr>
          <w:rFonts w:cs="Calibri"/>
          <w:b/>
          <w:sz w:val="24"/>
          <w:szCs w:val="24"/>
        </w:rPr>
        <w:t>Program Services: Information, Communication and resources</w:t>
      </w:r>
    </w:p>
    <w:p w:rsidR="00AA7C43" w:rsidRPr="00AA7C43" w:rsidRDefault="00AA7C43" w:rsidP="00C31CC0">
      <w:pPr>
        <w:numPr>
          <w:ilvl w:val="0"/>
          <w:numId w:val="19"/>
        </w:numPr>
        <w:tabs>
          <w:tab w:val="clear" w:pos="1080"/>
        </w:tabs>
        <w:spacing w:after="0" w:line="240" w:lineRule="auto"/>
        <w:ind w:left="720" w:hanging="360"/>
        <w:rPr>
          <w:rFonts w:cs="Calibri"/>
          <w:sz w:val="24"/>
          <w:szCs w:val="24"/>
        </w:rPr>
      </w:pPr>
      <w:r w:rsidRPr="00AA7C43">
        <w:rPr>
          <w:rFonts w:cs="Calibri"/>
          <w:sz w:val="24"/>
          <w:szCs w:val="24"/>
        </w:rPr>
        <w:t>A web-based incentive calculation tool will be evaluated by the IOUs. This tool is intended to assist builders in comparing costs and energy savings of alternative measures and arriving at the most optimal approach for the builder.</w:t>
      </w:r>
      <w:r w:rsidRPr="00AA7C43">
        <w:rPr>
          <w:rFonts w:cs="Calibri"/>
          <w:sz w:val="24"/>
          <w:szCs w:val="24"/>
        </w:rPr>
        <w:br/>
      </w:r>
    </w:p>
    <w:p w:rsidR="00AA7C43" w:rsidRPr="00AA7C43" w:rsidRDefault="00AA7C43" w:rsidP="00C31CC0">
      <w:pPr>
        <w:numPr>
          <w:ilvl w:val="0"/>
          <w:numId w:val="19"/>
        </w:numPr>
        <w:tabs>
          <w:tab w:val="clear" w:pos="1080"/>
        </w:tabs>
        <w:spacing w:after="0" w:line="240" w:lineRule="auto"/>
        <w:ind w:left="720" w:hanging="360"/>
        <w:rPr>
          <w:rFonts w:cs="Calibri"/>
          <w:sz w:val="24"/>
          <w:szCs w:val="24"/>
        </w:rPr>
      </w:pPr>
      <w:r w:rsidRPr="00AA7C43">
        <w:rPr>
          <w:rFonts w:cs="Calibri"/>
          <w:sz w:val="24"/>
          <w:szCs w:val="24"/>
        </w:rPr>
        <w:t>Currently, the technical staff provides preliminary evaluation, engineering review and recommendations for builders to move up on the efficiency scale.  It is expected that builders will utilize the services of qualified Energy Analysts and designers in arriving at the final set of measures that should be included. The program will continue to work closely with these companies to promote a continued improvement and commitment to integrated design.</w:t>
      </w:r>
      <w:r w:rsidRPr="00AA7C43">
        <w:rPr>
          <w:rFonts w:cs="Calibri"/>
          <w:sz w:val="24"/>
          <w:szCs w:val="24"/>
        </w:rPr>
        <w:br/>
      </w:r>
    </w:p>
    <w:p w:rsidR="00AA7C43" w:rsidRPr="00AA7C43" w:rsidRDefault="00AA7C43" w:rsidP="00C31CC0">
      <w:pPr>
        <w:numPr>
          <w:ilvl w:val="0"/>
          <w:numId w:val="19"/>
        </w:numPr>
        <w:tabs>
          <w:tab w:val="clear" w:pos="1080"/>
        </w:tabs>
        <w:spacing w:after="0" w:line="240" w:lineRule="auto"/>
        <w:ind w:left="720" w:hanging="360"/>
        <w:rPr>
          <w:rFonts w:cs="Calibri"/>
          <w:sz w:val="24"/>
          <w:szCs w:val="24"/>
        </w:rPr>
      </w:pPr>
      <w:r w:rsidRPr="00AA7C43">
        <w:rPr>
          <w:rFonts w:cs="Calibri"/>
          <w:sz w:val="24"/>
          <w:szCs w:val="24"/>
        </w:rPr>
        <w:t>The IOUs will explore the implementation of an enhanced set of communication tools that will serve to educate builders and enhance participation. As explained earlier, our communication tools will include: trade advertising, account representative meetings/presentations, targeted customer mailings, shows/event sponsorships, trade organization affiliations, webcasts, email blast, builder award recognition, customer success stories and public relations campaigns; all materials and communications will be made available in electronic file formats.</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1"/>
          <w:numId w:val="24"/>
        </w:numPr>
        <w:spacing w:after="0" w:line="240" w:lineRule="auto"/>
        <w:rPr>
          <w:rFonts w:cs="Calibri"/>
          <w:b/>
          <w:sz w:val="24"/>
          <w:szCs w:val="24"/>
          <w:u w:val="single"/>
        </w:rPr>
      </w:pPr>
      <w:r w:rsidRPr="00AA7C43">
        <w:rPr>
          <w:rFonts w:cs="Calibri"/>
          <w:b/>
          <w:sz w:val="24"/>
          <w:szCs w:val="24"/>
          <w:u w:val="single"/>
        </w:rPr>
        <w:t>Innovation</w:t>
      </w:r>
    </w:p>
    <w:p w:rsidR="00AA7C43" w:rsidRPr="00AA7C43" w:rsidRDefault="00AA7C43" w:rsidP="00AA7C43">
      <w:pPr>
        <w:spacing w:after="0" w:line="240" w:lineRule="auto"/>
        <w:ind w:left="360"/>
        <w:rPr>
          <w:rFonts w:cs="Calibri"/>
          <w:sz w:val="24"/>
          <w:szCs w:val="24"/>
        </w:rPr>
      </w:pPr>
      <w:r w:rsidRPr="00AA7C43">
        <w:rPr>
          <w:rFonts w:cs="Calibri"/>
          <w:sz w:val="24"/>
          <w:szCs w:val="24"/>
        </w:rPr>
        <w:lastRenderedPageBreak/>
        <w:t xml:space="preserve">The incentive design is based on a whole building performance. It appropriately rewards higher levels of building performance and is likely to motivate them to move towards higher efficiency buildings. This approach offers the builder adequate flexibility to choose the optimal combination of design features. It also enables the utilities to work together and support new construction projects with fuel neutrality.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By focusing on efficiencies beyond 35% better than Title 24, and encouraging ZNE projects, the IOUs hope to generate sufficient enthusiasm in the market place for very high efficiency homes.  Wherever possible, the California utilities will continue to extract synergies in marketing and program design by developing a truly statewide program with common features and coordinated efforts.</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1"/>
          <w:numId w:val="24"/>
        </w:numPr>
        <w:spacing w:after="0" w:line="240" w:lineRule="auto"/>
        <w:rPr>
          <w:rFonts w:cs="Calibri"/>
          <w:b/>
          <w:sz w:val="24"/>
          <w:szCs w:val="24"/>
          <w:u w:val="single"/>
        </w:rPr>
      </w:pPr>
      <w:r w:rsidRPr="00AA7C43">
        <w:rPr>
          <w:rFonts w:cs="Calibri"/>
          <w:b/>
          <w:sz w:val="24"/>
          <w:szCs w:val="24"/>
          <w:u w:val="single"/>
        </w:rPr>
        <w:t>Integrated / coordinated Demand Side Management</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ZNE element offers a great opportunity for savvy builders to demonstrate their commitment towards a truly integrated approach to DSM options. With design assistance, custom home builders are uniquely positioned to leverage the various tools available at their disposal.  The program management teams will educate and strongly advocate these builders to serve as model designers and be recognized and rewarded in the builder community.  ZNE homes offer an excellent opportunity for builders to install not just energy saving measures, but also renewable energy, in-home display, solar roofs, innovative water saving technologies and other state-of-the art appliances to demonstrate how sustainable design can be achieved.   </w:t>
      </w:r>
    </w:p>
    <w:p w:rsidR="00AA7C43" w:rsidRPr="00AA7C43" w:rsidRDefault="00AA7C43" w:rsidP="00AA7C43">
      <w:pPr>
        <w:spacing w:after="0" w:line="240" w:lineRule="auto"/>
        <w:ind w:left="720" w:hanging="720"/>
        <w:rPr>
          <w:rFonts w:cs="Calibri"/>
          <w:sz w:val="24"/>
          <w:szCs w:val="24"/>
        </w:rPr>
      </w:pPr>
    </w:p>
    <w:p w:rsidR="00AA7C43" w:rsidRPr="00AA7C43" w:rsidRDefault="00AA7C43" w:rsidP="00C31CC0">
      <w:pPr>
        <w:numPr>
          <w:ilvl w:val="1"/>
          <w:numId w:val="24"/>
        </w:numPr>
        <w:spacing w:after="0" w:line="240" w:lineRule="auto"/>
        <w:rPr>
          <w:rFonts w:cs="Calibri"/>
          <w:b/>
          <w:sz w:val="24"/>
          <w:szCs w:val="24"/>
          <w:u w:val="single"/>
        </w:rPr>
      </w:pPr>
      <w:r w:rsidRPr="00AA7C43">
        <w:rPr>
          <w:rFonts w:cs="Calibri"/>
          <w:b/>
          <w:sz w:val="24"/>
          <w:szCs w:val="24"/>
          <w:u w:val="single"/>
        </w:rPr>
        <w:t xml:space="preserve">Integration across resource types </w:t>
      </w:r>
    </w:p>
    <w:p w:rsidR="00AA7C43" w:rsidRPr="00AA7C43" w:rsidRDefault="00AA7C43" w:rsidP="00AA7C43">
      <w:pPr>
        <w:spacing w:after="0" w:line="240" w:lineRule="auto"/>
        <w:ind w:left="360"/>
        <w:rPr>
          <w:rFonts w:cs="Calibri"/>
          <w:sz w:val="24"/>
          <w:szCs w:val="24"/>
        </w:rPr>
      </w:pPr>
      <w:r w:rsidRPr="00AA7C43">
        <w:rPr>
          <w:rFonts w:cs="Calibri"/>
          <w:sz w:val="24"/>
          <w:szCs w:val="24"/>
        </w:rPr>
        <w:t>As discussed above, the program is looking to partner with relevant stakeholders to identify water, air quality, and waste-diversion opportunities.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1"/>
          <w:numId w:val="24"/>
        </w:numPr>
        <w:spacing w:after="0" w:line="240" w:lineRule="auto"/>
        <w:rPr>
          <w:rFonts w:cs="Calibri"/>
          <w:sz w:val="24"/>
          <w:szCs w:val="24"/>
          <w:u w:val="single"/>
        </w:rPr>
      </w:pPr>
      <w:r w:rsidRPr="00AA7C43">
        <w:rPr>
          <w:rFonts w:cs="Calibri"/>
          <w:b/>
          <w:sz w:val="24"/>
          <w:szCs w:val="24"/>
          <w:u w:val="single"/>
        </w:rPr>
        <w:t>Pilots</w:t>
      </w:r>
    </w:p>
    <w:p w:rsidR="00AA7C43" w:rsidRPr="00AA7C43" w:rsidRDefault="00AA7C43" w:rsidP="00AA7C43">
      <w:pPr>
        <w:spacing w:after="0" w:line="240" w:lineRule="auto"/>
        <w:ind w:left="360"/>
        <w:rPr>
          <w:rFonts w:cs="Calibri"/>
          <w:sz w:val="24"/>
          <w:szCs w:val="24"/>
        </w:rPr>
      </w:pPr>
      <w:r w:rsidRPr="00AA7C43">
        <w:rPr>
          <w:rFonts w:cs="Calibri"/>
          <w:sz w:val="24"/>
          <w:szCs w:val="24"/>
        </w:rPr>
        <w:t>During the course of the program cycle the IOUs may encounter the need to run pilot programs before an idea is introduced to the core program offerings.  At that time the utility will submit the plans for such pilots.</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1"/>
          <w:numId w:val="24"/>
        </w:numPr>
        <w:spacing w:after="0" w:line="240" w:lineRule="auto"/>
        <w:rPr>
          <w:rFonts w:cs="Calibri"/>
          <w:sz w:val="24"/>
          <w:szCs w:val="24"/>
        </w:rPr>
      </w:pPr>
      <w:r w:rsidRPr="00AA7C43">
        <w:rPr>
          <w:rFonts w:cs="Calibri"/>
          <w:b/>
          <w:sz w:val="24"/>
          <w:szCs w:val="24"/>
          <w:u w:val="single"/>
        </w:rPr>
        <w:t>EM&amp;V</w:t>
      </w:r>
    </w:p>
    <w:p w:rsidR="00AA7C43" w:rsidRPr="00AA7C43" w:rsidRDefault="00AA7C43" w:rsidP="00AA7C43">
      <w:pPr>
        <w:spacing w:after="0" w:line="240" w:lineRule="auto"/>
        <w:ind w:left="360"/>
        <w:rPr>
          <w:rFonts w:cs="Calibri"/>
          <w:sz w:val="24"/>
          <w:szCs w:val="24"/>
        </w:rPr>
      </w:pPr>
      <w:r w:rsidRPr="00AA7C43">
        <w:rPr>
          <w:rFonts w:cs="Calibri"/>
          <w:sz w:val="24"/>
          <w:szCs w:val="24"/>
        </w:rPr>
        <w:t>Under development in consultation with EM&amp;V team.</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b/>
          <w:sz w:val="24"/>
          <w:szCs w:val="24"/>
        </w:rPr>
      </w:pPr>
      <w:r w:rsidRPr="00AA7C43">
        <w:rPr>
          <w:rFonts w:cs="Calibri"/>
          <w:b/>
          <w:sz w:val="24"/>
          <w:szCs w:val="24"/>
        </w:rPr>
        <w:t>Diagram of Program</w:t>
      </w:r>
    </w:p>
    <w:p w:rsidR="00AA7C43" w:rsidRPr="00AA7C43" w:rsidRDefault="00AA7C43" w:rsidP="00AA7C43">
      <w:pPr>
        <w:spacing w:after="0" w:line="240" w:lineRule="auto"/>
        <w:ind w:left="-540"/>
        <w:rPr>
          <w:rFonts w:cs="Calibri"/>
          <w:sz w:val="24"/>
          <w:szCs w:val="24"/>
        </w:rPr>
      </w:pPr>
      <w:r w:rsidRPr="00AA7C43">
        <w:rPr>
          <w:rFonts w:cs="Calibri"/>
          <w:sz w:val="24"/>
          <w:szCs w:val="24"/>
        </w:rPr>
        <w:t xml:space="preserve"> </w:t>
      </w:r>
    </w:p>
    <w:p w:rsidR="00AA7C43" w:rsidRPr="00AA7C43" w:rsidRDefault="00C31CC0" w:rsidP="00AA7C43">
      <w:pPr>
        <w:tabs>
          <w:tab w:val="num" w:pos="0"/>
        </w:tabs>
        <w:spacing w:after="0" w:line="240" w:lineRule="auto"/>
        <w:rPr>
          <w:rFonts w:cs="Calibri"/>
          <w:sz w:val="24"/>
          <w:szCs w:val="24"/>
        </w:rPr>
      </w:pPr>
      <w:r>
        <w:rPr>
          <w:rFonts w:cs="Calibri"/>
          <w:noProof/>
          <w:sz w:val="24"/>
          <w:szCs w:val="24"/>
        </w:rPr>
        <w:lastRenderedPageBreak/>
        <mc:AlternateContent>
          <mc:Choice Requires="wpg">
            <w:drawing>
              <wp:inline distT="0" distB="0" distL="0" distR="0">
                <wp:extent cx="6649720" cy="4451350"/>
                <wp:effectExtent l="0" t="0" r="0" b="0"/>
                <wp:docPr id="4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4451350"/>
                          <a:chOff x="3048" y="4572"/>
                          <a:chExt cx="85344" cy="59435"/>
                        </a:xfrm>
                      </wpg:grpSpPr>
                      <pic:pic xmlns:pic="http://schemas.openxmlformats.org/drawingml/2006/picture">
                        <pic:nvPicPr>
                          <pic:cNvPr id="48"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48" y="4572"/>
                            <a:ext cx="85344" cy="59435"/>
                          </a:xfrm>
                          <a:prstGeom prst="rect">
                            <a:avLst/>
                          </a:prstGeom>
                          <a:noFill/>
                          <a:extLst>
                            <a:ext uri="{909E8E84-426E-40DD-AFC4-6F175D3DCCD1}">
                              <a14:hiddenFill xmlns:a14="http://schemas.microsoft.com/office/drawing/2010/main">
                                <a:solidFill>
                                  <a:srgbClr val="FFFFFF"/>
                                </a:solidFill>
                              </a14:hiddenFill>
                            </a:ext>
                          </a:extLst>
                        </pic:spPr>
                      </pic:pic>
                      <wps:wsp>
                        <wps:cNvPr id="50" name="TextBox 4"/>
                        <wps:cNvSpPr txBox="1">
                          <a:spLocks noChangeArrowheads="1"/>
                        </wps:cNvSpPr>
                        <wps:spPr bwMode="auto">
                          <a:xfrm>
                            <a:off x="6370" y="11399"/>
                            <a:ext cx="5436" cy="3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C43" w:rsidRDefault="00AA7C43" w:rsidP="00AA7C43">
                              <w:pPr>
                                <w:pStyle w:val="NormalWeb"/>
                                <w:spacing w:before="0" w:beforeAutospacing="0" w:after="0" w:afterAutospacing="0"/>
                              </w:pPr>
                              <w:r w:rsidRPr="00AA7C43">
                                <w:rPr>
                                  <w:rFonts w:ascii="Calibri" w:hAnsi="Calibri"/>
                                  <w:color w:val="000000"/>
                                  <w:kern w:val="24"/>
                                  <w:sz w:val="28"/>
                                  <w:szCs w:val="28"/>
                                </w:rPr>
                                <w:t>ESAP</w:t>
                              </w:r>
                            </w:p>
                          </w:txbxContent>
                        </wps:txbx>
                        <wps:bodyPr rot="0" vert="horz" wrap="square" lIns="91440" tIns="45720" rIns="91440" bIns="45720" anchor="t" anchorCtr="0" upright="1">
                          <a:noAutofit/>
                        </wps:bodyPr>
                      </wps:wsp>
                    </wpg:wgp>
                  </a:graphicData>
                </a:graphic>
              </wp:inline>
            </w:drawing>
          </mc:Choice>
          <mc:Fallback>
            <w:pict>
              <v:group id="Group 102" o:spid="_x0000_s1042" style="width:523.6pt;height:350.5pt;mso-position-horizontal-relative:char;mso-position-vertical-relative:line" coordorigin="3048,4572" coordsize="85344,594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">
                <v:shape id="Picture 111" o:spid="_x0000_s1043" type="#_x0000_t75" style="position:absolute;left:3048;top:4572;width:85344;height:59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w6m8AAAA2wAAAA8AAABkcnMvZG93bnJldi54bWxET0sKwjAQ3QveIYzgTlNFRKtRRBBEF+IH&#10;12MztsVmUpKo9fZmIbh8vP982ZhKvMj50rKCQT8BQZxZXXKu4HLe9CYgfEDWWFkmBR/ysFy0W3NM&#10;tX3zkV6nkIsYwj5FBUUIdSqlzwoy6Pu2Jo7c3TqDIUKXS+3wHcNNJYdJMpYGS44NBda0Lih7nJ5G&#10;gR/k683UPE15TJqrddXtsTvslep2mtUMRKAm/MU/91YrGMWx8Uv8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7sOpvAAAANsAAAAPAAAAAAAAAAAAAAAAAJ8CAABkcnMv&#10;ZG93bnJldi54bWxQSwUGAAAAAAQABAD3AAAAiAMAAAAA&#10;">
                  <v:imagedata r:id="rId63" o:title=""/>
                </v:shape>
                <v:shape id="TextBox 4" o:spid="_x0000_s1044" type="#_x0000_t202" style="position:absolute;left:6370;top:11399;width:5436;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AA7C43" w:rsidRDefault="00AA7C43" w:rsidP="00AA7C43">
                        <w:pPr>
                          <w:pStyle w:val="NormalWeb"/>
                          <w:spacing w:before="0" w:beforeAutospacing="0" w:after="0" w:afterAutospacing="0"/>
                        </w:pPr>
                        <w:r w:rsidRPr="00AA7C43">
                          <w:rPr>
                            <w:rFonts w:ascii="Calibri" w:hAnsi="Calibri"/>
                            <w:color w:val="000000"/>
                            <w:kern w:val="24"/>
                            <w:sz w:val="28"/>
                            <w:szCs w:val="28"/>
                          </w:rPr>
                          <w:t>ESAP</w:t>
                        </w:r>
                      </w:p>
                    </w:txbxContent>
                  </v:textbox>
                </v:shape>
                <w10:anchorlock/>
              </v:group>
            </w:pict>
          </mc:Fallback>
        </mc:AlternateContent>
      </w:r>
    </w:p>
    <w:p w:rsidR="00AA7C43" w:rsidRPr="00AA7C43" w:rsidRDefault="00AA7C43" w:rsidP="00AA7C43">
      <w:pPr>
        <w:spacing w:after="0" w:line="240" w:lineRule="auto"/>
        <w:rPr>
          <w:rFonts w:cs="Calibri"/>
          <w:b/>
          <w:sz w:val="24"/>
          <w:szCs w:val="24"/>
        </w:rPr>
      </w:pPr>
      <w:r w:rsidRPr="00AA7C43">
        <w:rPr>
          <w:rFonts w:cs="Calibri"/>
          <w:b/>
          <w:sz w:val="24"/>
          <w:szCs w:val="24"/>
          <w:u w:val="single"/>
        </w:rPr>
        <w:br w:type="page"/>
      </w:r>
      <w:r w:rsidRPr="00AA7C43">
        <w:rPr>
          <w:rFonts w:cs="Calibri"/>
          <w:b/>
          <w:sz w:val="24"/>
          <w:szCs w:val="24"/>
        </w:rPr>
        <w:lastRenderedPageBreak/>
        <w:t>Program Logic Model</w:t>
      </w:r>
    </w:p>
    <w:p w:rsidR="00AA7C43" w:rsidRPr="00AA7C43" w:rsidRDefault="00AA7C43" w:rsidP="00AA7C43">
      <w:pPr>
        <w:spacing w:after="0" w:line="240" w:lineRule="auto"/>
        <w:rPr>
          <w:rFonts w:cs="Calibri"/>
          <w:sz w:val="24"/>
          <w:szCs w:val="24"/>
          <w:u w:val="single"/>
        </w:rPr>
      </w:pPr>
      <w:r w:rsidRPr="00AA7C43">
        <w:rPr>
          <w:rFonts w:cs="Calibri"/>
          <w:color w:val="000000"/>
          <w:sz w:val="24"/>
          <w:szCs w:val="24"/>
        </w:rPr>
        <w:t>Note: On 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Below is the approved logic model for the CAHP and ZNE.</w:t>
      </w:r>
    </w:p>
    <w:p w:rsidR="00AA7C43" w:rsidRPr="00AA7C43" w:rsidRDefault="00AA7C43" w:rsidP="00AA7C43">
      <w:pPr>
        <w:spacing w:after="0" w:line="240" w:lineRule="auto"/>
        <w:rPr>
          <w:rFonts w:cs="Calibri"/>
          <w:sz w:val="24"/>
          <w:szCs w:val="24"/>
        </w:rPr>
      </w:pPr>
    </w:p>
    <w:p w:rsidR="00AA7C43" w:rsidRPr="00AA7C43" w:rsidRDefault="008D705C" w:rsidP="00AA7C43">
      <w:pPr>
        <w:spacing w:after="0" w:line="240" w:lineRule="auto"/>
        <w:ind w:left="-540"/>
        <w:rPr>
          <w:rFonts w:cs="Calibri"/>
          <w:sz w:val="24"/>
          <w:szCs w:val="24"/>
        </w:rPr>
      </w:pPr>
      <w:r w:rsidRPr="00C31CC0">
        <w:rPr>
          <w:rFonts w:cs="Calibri"/>
          <w:noProof/>
          <w:sz w:val="24"/>
          <w:szCs w:val="24"/>
        </w:rPr>
        <w:drawing>
          <wp:inline distT="0" distB="0" distL="0" distR="0" wp14:anchorId="76080F68" wp14:editId="2E43F162">
            <wp:extent cx="6765417" cy="4917515"/>
            <wp:effectExtent l="57150" t="0" r="54483" b="73585"/>
            <wp:docPr id="52" name="Picture 69" descr="Description: CAHP Logic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9" descr="CAHP Logic Model 2.jpg"/>
                    <pic:cNvPicPr/>
                  </pic:nvPicPr>
                  <pic:blipFill>
                    <a:blip r:embed="rId59" cstate="print"/>
                    <a:stretch>
                      <a:fillRect/>
                    </a:stretch>
                  </pic:blipFill>
                  <pic:spPr>
                    <a:xfrm>
                      <a:off x="0" y="0"/>
                      <a:ext cx="6765417" cy="4917515"/>
                    </a:xfrm>
                    <a:prstGeom prst="rect">
                      <a:avLst/>
                    </a:prstGeom>
                    <a:effectLst>
                      <a:outerShdw blurRad="50800" dist="50800" dir="5400000" algn="ctr" rotWithShape="0">
                        <a:schemeClr val="bg1">
                          <a:lumMod val="65000"/>
                        </a:schemeClr>
                      </a:outerShdw>
                    </a:effectLst>
                  </pic:spPr>
                </pic:pic>
              </a:graphicData>
            </a:graphic>
          </wp:inline>
        </w:drawing>
      </w:r>
    </w:p>
    <w:p w:rsidR="00AA7C43" w:rsidRPr="00AA7C43" w:rsidRDefault="00AA7C43" w:rsidP="00AA7C43">
      <w:pPr>
        <w:spacing w:after="0" w:line="240" w:lineRule="auto"/>
        <w:rPr>
          <w:rFonts w:cs="Calibri"/>
          <w:sz w:val="24"/>
          <w:szCs w:val="24"/>
        </w:rPr>
        <w:sectPr w:rsidR="00AA7C43" w:rsidRPr="00AA7C43" w:rsidSect="003425E2">
          <w:headerReference w:type="default" r:id="rId64"/>
          <w:pgSz w:w="12240" w:h="15840"/>
          <w:pgMar w:top="1440" w:right="1440" w:bottom="1440" w:left="1440" w:header="720" w:footer="720" w:gutter="0"/>
          <w:cols w:space="720"/>
          <w:docGrid w:linePitch="360"/>
        </w:sectPr>
      </w:pPr>
    </w:p>
    <w:p w:rsidR="00AA7C43" w:rsidRPr="00AA7C43" w:rsidRDefault="00AA7C43" w:rsidP="00AA7C43">
      <w:pPr>
        <w:spacing w:after="0" w:line="240" w:lineRule="auto"/>
        <w:rPr>
          <w:rFonts w:cs="Calibri"/>
          <w:sz w:val="24"/>
          <w:szCs w:val="24"/>
        </w:rPr>
      </w:pPr>
    </w:p>
    <w:p w:rsidR="00AA7C43" w:rsidRPr="00AA7C43" w:rsidRDefault="00AA7C43" w:rsidP="00AA7C43">
      <w:pPr>
        <w:tabs>
          <w:tab w:val="left" w:pos="360"/>
        </w:tabs>
        <w:spacing w:after="0" w:line="240" w:lineRule="auto"/>
        <w:ind w:left="360" w:hanging="360"/>
        <w:jc w:val="center"/>
        <w:rPr>
          <w:rFonts w:cs="Calibri"/>
          <w:b/>
          <w:sz w:val="28"/>
          <w:szCs w:val="28"/>
        </w:rPr>
      </w:pPr>
      <w:r w:rsidRPr="00AA7C43">
        <w:rPr>
          <w:rFonts w:cs="Calibri"/>
          <w:b/>
          <w:sz w:val="28"/>
          <w:szCs w:val="28"/>
        </w:rPr>
        <w:t>ESMH PIP</w:t>
      </w:r>
    </w:p>
    <w:p w:rsidR="00AA7C43" w:rsidRPr="00AA7C43" w:rsidRDefault="00AA7C43" w:rsidP="00AA7C43">
      <w:pPr>
        <w:tabs>
          <w:tab w:val="left" w:pos="360"/>
        </w:tabs>
        <w:spacing w:after="0" w:line="240" w:lineRule="auto"/>
        <w:ind w:left="360" w:hanging="360"/>
        <w:jc w:val="center"/>
        <w:rPr>
          <w:rFonts w:cs="Calibri"/>
          <w:b/>
          <w:sz w:val="24"/>
          <w:szCs w:val="24"/>
        </w:rPr>
      </w:pPr>
    </w:p>
    <w:p w:rsidR="00AA7C43" w:rsidRPr="00AA7C43" w:rsidRDefault="00AA7C43" w:rsidP="00AA7C43">
      <w:pPr>
        <w:tabs>
          <w:tab w:val="left" w:pos="360"/>
        </w:tabs>
        <w:spacing w:after="0" w:line="240" w:lineRule="auto"/>
        <w:ind w:left="360" w:hanging="360"/>
        <w:jc w:val="center"/>
        <w:rPr>
          <w:rFonts w:cs="Calibri"/>
          <w:b/>
          <w:sz w:val="24"/>
          <w:szCs w:val="24"/>
        </w:rPr>
      </w:pPr>
    </w:p>
    <w:p w:rsidR="00AA7C43" w:rsidRPr="00AA7C43" w:rsidRDefault="00AA7C43" w:rsidP="00AA7C43">
      <w:pPr>
        <w:tabs>
          <w:tab w:val="left" w:pos="360"/>
        </w:tabs>
        <w:spacing w:after="0" w:line="240" w:lineRule="auto"/>
        <w:ind w:left="360" w:hanging="360"/>
        <w:rPr>
          <w:rFonts w:cs="Calibri"/>
          <w:sz w:val="24"/>
          <w:szCs w:val="24"/>
        </w:rPr>
      </w:pPr>
      <w:r w:rsidRPr="00AA7C43">
        <w:rPr>
          <w:rFonts w:cs="Calibri"/>
          <w:b/>
          <w:sz w:val="24"/>
          <w:szCs w:val="24"/>
        </w:rPr>
        <w:t>1.</w:t>
      </w:r>
      <w:r w:rsidRPr="00AA7C43">
        <w:rPr>
          <w:rFonts w:cs="Calibri"/>
          <w:b/>
          <w:sz w:val="24"/>
          <w:szCs w:val="24"/>
        </w:rPr>
        <w:tab/>
        <w:t>Program Name:</w:t>
      </w:r>
      <w:r w:rsidRPr="00AA7C43">
        <w:rPr>
          <w:rFonts w:cs="Calibri"/>
          <w:sz w:val="24"/>
          <w:szCs w:val="24"/>
        </w:rPr>
        <w:tab/>
        <w:t>ENERGY STAR® Manufactured Homes Program</w:t>
      </w:r>
    </w:p>
    <w:p w:rsidR="00AA7C43" w:rsidRPr="00AA7C43" w:rsidRDefault="00AA7C43" w:rsidP="00AA7C43">
      <w:pPr>
        <w:spacing w:after="0" w:line="240" w:lineRule="auto"/>
        <w:ind w:left="360"/>
        <w:rPr>
          <w:rFonts w:cs="Calibri"/>
          <w:b/>
          <w:sz w:val="24"/>
          <w:szCs w:val="24"/>
        </w:rPr>
      </w:pPr>
      <w:r w:rsidRPr="00AA7C43">
        <w:rPr>
          <w:rFonts w:cs="Calibri"/>
          <w:b/>
          <w:sz w:val="24"/>
          <w:szCs w:val="24"/>
        </w:rPr>
        <w:t>Program Type:</w:t>
      </w:r>
      <w:r w:rsidRPr="00AA7C43">
        <w:rPr>
          <w:rFonts w:cs="Calibri"/>
          <w:sz w:val="24"/>
          <w:szCs w:val="24"/>
        </w:rPr>
        <w:tab/>
        <w:t>Core</w:t>
      </w:r>
    </w:p>
    <w:p w:rsidR="00AA7C43" w:rsidRPr="00AA7C43" w:rsidRDefault="00AA7C43" w:rsidP="00AA7C43">
      <w:pPr>
        <w:spacing w:after="0" w:line="240" w:lineRule="auto"/>
        <w:ind w:left="360" w:hanging="360"/>
        <w:rPr>
          <w:rFonts w:cs="Calibri"/>
          <w:sz w:val="24"/>
          <w:szCs w:val="24"/>
        </w:rPr>
      </w:pPr>
      <w:r w:rsidRPr="00AA7C43">
        <w:rPr>
          <w:rFonts w:cs="Calibri"/>
          <w:sz w:val="24"/>
          <w:szCs w:val="24"/>
        </w:rPr>
        <w:t xml:space="preserve"> </w:t>
      </w:r>
    </w:p>
    <w:p w:rsidR="00AA7C43" w:rsidRPr="00AA7C43" w:rsidRDefault="00AA7C43" w:rsidP="00AA7C43">
      <w:pPr>
        <w:spacing w:after="0" w:line="240" w:lineRule="auto"/>
        <w:ind w:left="360" w:hanging="360"/>
        <w:rPr>
          <w:rFonts w:cs="Calibri"/>
          <w:sz w:val="24"/>
          <w:szCs w:val="24"/>
        </w:rPr>
      </w:pPr>
    </w:p>
    <w:p w:rsidR="00AA7C43" w:rsidRPr="00AA7C43" w:rsidRDefault="00AA7C43" w:rsidP="00AA7C43">
      <w:pPr>
        <w:tabs>
          <w:tab w:val="left" w:pos="360"/>
        </w:tabs>
        <w:spacing w:after="0" w:line="240" w:lineRule="auto"/>
        <w:rPr>
          <w:rFonts w:cs="Calibri"/>
          <w:b/>
          <w:sz w:val="24"/>
          <w:szCs w:val="24"/>
        </w:rPr>
      </w:pPr>
      <w:r w:rsidRPr="00AA7C43">
        <w:rPr>
          <w:rFonts w:cs="Calibri"/>
          <w:b/>
          <w:sz w:val="24"/>
          <w:szCs w:val="24"/>
        </w:rPr>
        <w:t>2</w:t>
      </w:r>
      <w:r w:rsidRPr="00AA7C43">
        <w:rPr>
          <w:rFonts w:cs="Calibri"/>
          <w:sz w:val="24"/>
          <w:szCs w:val="24"/>
        </w:rPr>
        <w:t>.</w:t>
      </w:r>
      <w:r w:rsidRPr="00AA7C43">
        <w:rPr>
          <w:rFonts w:cs="Calibri"/>
          <w:sz w:val="24"/>
          <w:szCs w:val="24"/>
        </w:rPr>
        <w:tab/>
      </w:r>
      <w:r w:rsidRPr="00AA7C43">
        <w:rPr>
          <w:rFonts w:cs="Calibri"/>
          <w:b/>
          <w:sz w:val="24"/>
          <w:szCs w:val="24"/>
        </w:rPr>
        <w:t>Projected Program Budget Table</w:t>
      </w:r>
    </w:p>
    <w:p w:rsidR="00AA7C43" w:rsidRPr="00AA7C43" w:rsidRDefault="00AA7C43" w:rsidP="00AA7C43">
      <w:pPr>
        <w:spacing w:after="0" w:line="240" w:lineRule="auto"/>
        <w:ind w:firstLine="360"/>
        <w:rPr>
          <w:rFonts w:cs="Calibri"/>
          <w:b/>
          <w:sz w:val="24"/>
          <w:szCs w:val="24"/>
        </w:rPr>
      </w:pPr>
      <w:r w:rsidRPr="00AA7C43">
        <w:rPr>
          <w:rFonts w:cs="Calibri"/>
          <w:b/>
          <w:sz w:val="24"/>
          <w:szCs w:val="24"/>
        </w:rPr>
        <w:t xml:space="preserve">Table 1 – </w:t>
      </w:r>
      <w:r w:rsidRPr="00AA7C43">
        <w:rPr>
          <w:rFonts w:cs="Calibri"/>
          <w:sz w:val="24"/>
          <w:szCs w:val="24"/>
        </w:rPr>
        <w:t>See core program for budget details</w:t>
      </w:r>
    </w:p>
    <w:p w:rsidR="00AA7C43" w:rsidRPr="00AA7C43" w:rsidRDefault="00AA7C43" w:rsidP="00AA7C43">
      <w:pPr>
        <w:tabs>
          <w:tab w:val="num" w:pos="720"/>
        </w:tabs>
        <w:spacing w:after="0" w:line="240" w:lineRule="auto"/>
        <w:rPr>
          <w:rFonts w:cs="Calibri"/>
          <w:sz w:val="24"/>
          <w:szCs w:val="24"/>
        </w:rPr>
      </w:pPr>
    </w:p>
    <w:p w:rsidR="00AA7C43" w:rsidRPr="00AA7C43" w:rsidRDefault="00AA7C43" w:rsidP="00AA7C43">
      <w:pPr>
        <w:tabs>
          <w:tab w:val="num" w:pos="720"/>
        </w:tabs>
        <w:spacing w:after="0" w:line="240" w:lineRule="auto"/>
        <w:rPr>
          <w:rFonts w:cs="Calibri"/>
          <w:sz w:val="24"/>
          <w:szCs w:val="24"/>
        </w:rPr>
      </w:pPr>
    </w:p>
    <w:p w:rsidR="00AA7C43" w:rsidRPr="00AA7C43" w:rsidRDefault="00AA7C43" w:rsidP="00AA7C43">
      <w:pPr>
        <w:spacing w:after="0" w:line="240" w:lineRule="auto"/>
        <w:rPr>
          <w:rFonts w:cs="Calibri"/>
          <w:sz w:val="24"/>
          <w:szCs w:val="24"/>
        </w:rPr>
      </w:pPr>
      <w:r w:rsidRPr="00AA7C43">
        <w:rPr>
          <w:rFonts w:cs="Calibri"/>
          <w:b/>
          <w:sz w:val="24"/>
          <w:szCs w:val="24"/>
        </w:rPr>
        <w:t>3.   Projected Program Gross Impacts Table</w:t>
      </w:r>
      <w:r w:rsidRPr="00AA7C43">
        <w:rPr>
          <w:rFonts w:cs="Calibri"/>
          <w:sz w:val="24"/>
          <w:szCs w:val="24"/>
        </w:rPr>
        <w:t xml:space="preserve"> </w:t>
      </w:r>
    </w:p>
    <w:p w:rsidR="00AA7C43" w:rsidRPr="00AA7C43" w:rsidRDefault="00AA7C43" w:rsidP="00AA7C43">
      <w:pPr>
        <w:tabs>
          <w:tab w:val="num" w:pos="360"/>
        </w:tabs>
        <w:spacing w:after="0" w:line="240" w:lineRule="auto"/>
        <w:rPr>
          <w:rFonts w:cs="Calibri"/>
          <w:sz w:val="24"/>
          <w:szCs w:val="24"/>
        </w:rPr>
      </w:pPr>
      <w:r w:rsidRPr="00AA7C43">
        <w:rPr>
          <w:rFonts w:cs="Calibri"/>
          <w:b/>
          <w:sz w:val="24"/>
          <w:szCs w:val="24"/>
        </w:rPr>
        <w:tab/>
        <w:t xml:space="preserve">Table 2 – </w:t>
      </w:r>
      <w:r w:rsidRPr="00AA7C43">
        <w:rPr>
          <w:rFonts w:cs="Calibri"/>
          <w:sz w:val="24"/>
          <w:szCs w:val="24"/>
        </w:rPr>
        <w:t>See core program for projected gross impacts detail.</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hanging="360"/>
        <w:rPr>
          <w:rFonts w:cs="Calibri"/>
          <w:b/>
          <w:sz w:val="24"/>
          <w:szCs w:val="24"/>
        </w:rPr>
      </w:pPr>
      <w:r w:rsidRPr="00AA7C43">
        <w:rPr>
          <w:rFonts w:cs="Calibri"/>
          <w:b/>
          <w:sz w:val="24"/>
          <w:szCs w:val="24"/>
        </w:rPr>
        <w:t xml:space="preserve">4. </w:t>
      </w:r>
      <w:r w:rsidRPr="00AA7C43">
        <w:rPr>
          <w:rFonts w:cs="Calibri"/>
          <w:b/>
          <w:sz w:val="24"/>
          <w:szCs w:val="24"/>
        </w:rPr>
        <w:tab/>
        <w:t xml:space="preserve">Program Description </w:t>
      </w:r>
    </w:p>
    <w:p w:rsidR="00AA7C43" w:rsidRPr="00AA7C43" w:rsidRDefault="00AA7C43" w:rsidP="00C31CC0">
      <w:pPr>
        <w:numPr>
          <w:ilvl w:val="0"/>
          <w:numId w:val="25"/>
        </w:numPr>
        <w:tabs>
          <w:tab w:val="clear" w:pos="1440"/>
        </w:tabs>
        <w:spacing w:after="0" w:line="240" w:lineRule="auto"/>
        <w:ind w:left="720" w:hanging="360"/>
        <w:rPr>
          <w:rFonts w:cs="Calibri"/>
          <w:b/>
          <w:sz w:val="24"/>
          <w:szCs w:val="24"/>
          <w:u w:val="single"/>
        </w:rPr>
      </w:pPr>
      <w:r w:rsidRPr="00AA7C43">
        <w:rPr>
          <w:rFonts w:cs="Calibri"/>
          <w:b/>
          <w:sz w:val="24"/>
          <w:szCs w:val="24"/>
          <w:u w:val="single"/>
        </w:rPr>
        <w:t>Describe program</w:t>
      </w:r>
    </w:p>
    <w:p w:rsidR="00AA7C43" w:rsidRPr="00AA7C43" w:rsidRDefault="00AA7C43" w:rsidP="00AA7C43">
      <w:pPr>
        <w:spacing w:after="0" w:line="240" w:lineRule="auto"/>
        <w:ind w:left="360"/>
        <w:rPr>
          <w:rFonts w:cs="Calibri"/>
          <w:sz w:val="24"/>
          <w:szCs w:val="24"/>
        </w:rPr>
      </w:pPr>
      <w:r w:rsidRPr="00AA7C43">
        <w:rPr>
          <w:rFonts w:cs="Calibri"/>
          <w:sz w:val="24"/>
          <w:szCs w:val="24"/>
        </w:rPr>
        <w:t>The ENERGY STAR® Manufactured Homes Program (ESMH) is part of the statewide Residential New Construction (RNC) program offering.  The RNC program is itself one sixth of the CalSPREE core offering. ESMH addresses new factory-built housing, offered by Sempra and Southern California Edison.  The structure of the relevant New Construction program elements is as follows: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CalSPREE Program (Core)</w:t>
      </w:r>
    </w:p>
    <w:p w:rsidR="00AA7C43" w:rsidRPr="00AA7C43" w:rsidRDefault="00AA7C43" w:rsidP="00C31CC0">
      <w:pPr>
        <w:numPr>
          <w:ilvl w:val="0"/>
          <w:numId w:val="156"/>
        </w:numPr>
        <w:tabs>
          <w:tab w:val="clear" w:pos="1080"/>
        </w:tabs>
        <w:spacing w:after="0" w:line="240" w:lineRule="auto"/>
        <w:ind w:left="720"/>
        <w:rPr>
          <w:rFonts w:cs="Calibri"/>
          <w:sz w:val="24"/>
          <w:szCs w:val="24"/>
        </w:rPr>
        <w:pPrChange w:id="48" w:author="cerobins" w:date="2012-09-04T13:35:00Z">
          <w:pPr>
            <w:numPr>
              <w:numId w:val="166"/>
            </w:numPr>
            <w:spacing w:after="0" w:line="240" w:lineRule="auto"/>
            <w:ind w:left="720" w:hanging="360"/>
          </w:pPr>
        </w:pPrChange>
      </w:pPr>
      <w:r w:rsidRPr="00AA7C43">
        <w:rPr>
          <w:rFonts w:cs="Calibri"/>
          <w:sz w:val="24"/>
          <w:szCs w:val="24"/>
        </w:rPr>
        <w:t xml:space="preserve">Residential New Construction Sub-Program </w:t>
      </w:r>
    </w:p>
    <w:p w:rsidR="00AA7C43" w:rsidRPr="00AA7C43" w:rsidRDefault="00AA7C43" w:rsidP="00C31CC0">
      <w:pPr>
        <w:numPr>
          <w:ilvl w:val="1"/>
          <w:numId w:val="15"/>
        </w:numPr>
        <w:tabs>
          <w:tab w:val="clear" w:pos="1980"/>
        </w:tabs>
        <w:spacing w:after="0" w:line="240" w:lineRule="auto"/>
        <w:ind w:left="1620" w:hanging="540"/>
        <w:rPr>
          <w:rFonts w:cs="Calibri"/>
          <w:sz w:val="24"/>
          <w:szCs w:val="24"/>
        </w:rPr>
      </w:pPr>
      <w:r w:rsidRPr="00AA7C43">
        <w:rPr>
          <w:rFonts w:cs="Calibri"/>
          <w:sz w:val="24"/>
          <w:szCs w:val="24"/>
        </w:rPr>
        <w:t xml:space="preserve">Single-family/Multi-family Sub-Program (CAHP) </w:t>
      </w:r>
    </w:p>
    <w:p w:rsidR="00AA7C43" w:rsidRPr="00AA7C43" w:rsidRDefault="00AA7C43" w:rsidP="00C31CC0">
      <w:pPr>
        <w:numPr>
          <w:ilvl w:val="2"/>
          <w:numId w:val="15"/>
        </w:numPr>
        <w:tabs>
          <w:tab w:val="clear" w:pos="3960"/>
        </w:tabs>
        <w:spacing w:after="0" w:line="240" w:lineRule="auto"/>
        <w:ind w:left="2520" w:hanging="540"/>
        <w:rPr>
          <w:rFonts w:cs="Calibri"/>
          <w:sz w:val="24"/>
          <w:szCs w:val="24"/>
        </w:rPr>
      </w:pPr>
      <w:r w:rsidRPr="00AA7C43">
        <w:rPr>
          <w:rFonts w:cs="Calibri"/>
          <w:sz w:val="24"/>
          <w:szCs w:val="24"/>
        </w:rPr>
        <w:t xml:space="preserve">ZNE Sub-Program </w:t>
      </w:r>
    </w:p>
    <w:p w:rsidR="00AA7C43" w:rsidRPr="00AA7C43" w:rsidRDefault="00AA7C43" w:rsidP="00C31CC0">
      <w:pPr>
        <w:numPr>
          <w:ilvl w:val="1"/>
          <w:numId w:val="15"/>
        </w:numPr>
        <w:tabs>
          <w:tab w:val="clear" w:pos="1980"/>
        </w:tabs>
        <w:spacing w:after="0" w:line="240" w:lineRule="auto"/>
        <w:ind w:left="1620" w:hanging="540"/>
        <w:rPr>
          <w:rFonts w:cs="Calibri"/>
          <w:sz w:val="24"/>
          <w:szCs w:val="24"/>
        </w:rPr>
      </w:pPr>
      <w:r w:rsidRPr="00AA7C43">
        <w:rPr>
          <w:rFonts w:cs="Calibri"/>
          <w:sz w:val="24"/>
          <w:szCs w:val="24"/>
        </w:rPr>
        <w:t>Manufactured Homes Sub-Program for Sempra and SCE</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For the convenience of the reader, two other programs relevant to New Construction are also called out:</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157"/>
        </w:numPr>
        <w:tabs>
          <w:tab w:val="clear" w:pos="1080"/>
        </w:tabs>
        <w:spacing w:after="0" w:line="240" w:lineRule="auto"/>
        <w:ind w:left="720"/>
        <w:rPr>
          <w:rFonts w:cs="Calibri"/>
          <w:sz w:val="24"/>
          <w:szCs w:val="24"/>
        </w:rPr>
        <w:pPrChange w:id="49" w:author="cerobins" w:date="2012-09-04T13:35:00Z">
          <w:pPr>
            <w:numPr>
              <w:numId w:val="167"/>
            </w:numPr>
            <w:spacing w:after="0" w:line="240" w:lineRule="auto"/>
            <w:ind w:left="1080" w:hanging="360"/>
          </w:pPr>
        </w:pPrChange>
      </w:pPr>
      <w:r w:rsidRPr="00AA7C43">
        <w:rPr>
          <w:rFonts w:cs="Calibri"/>
          <w:sz w:val="24"/>
          <w:szCs w:val="24"/>
        </w:rPr>
        <w:t>Sustainable Communities Program  (Name / location differs by IOU) (Third party)</w:t>
      </w:r>
    </w:p>
    <w:p w:rsidR="00AA7C43" w:rsidRPr="00AA7C43" w:rsidRDefault="00AA7C43" w:rsidP="00AA7C43">
      <w:pPr>
        <w:spacing w:after="0" w:line="240" w:lineRule="auto"/>
        <w:ind w:left="720"/>
        <w:rPr>
          <w:rFonts w:cs="Calibri"/>
          <w:sz w:val="24"/>
          <w:szCs w:val="24"/>
        </w:rPr>
      </w:pPr>
      <w:r w:rsidRPr="00AA7C43">
        <w:rPr>
          <w:rFonts w:cs="Calibri"/>
          <w:sz w:val="24"/>
          <w:szCs w:val="24"/>
        </w:rPr>
        <w:t>Covering Master-planned communities, mixed-use projects, campuses, and commercial projects pursuing advanced energy efficiency and green targets.</w:t>
      </w:r>
      <w:r w:rsidRPr="00AA7C43">
        <w:rPr>
          <w:rFonts w:cs="Calibri"/>
          <w:sz w:val="24"/>
          <w:szCs w:val="24"/>
        </w:rPr>
        <w:br/>
      </w:r>
    </w:p>
    <w:p w:rsidR="00AA7C43" w:rsidRPr="00AA7C43" w:rsidRDefault="00AA7C43" w:rsidP="00C31CC0">
      <w:pPr>
        <w:numPr>
          <w:ilvl w:val="0"/>
          <w:numId w:val="157"/>
        </w:numPr>
        <w:tabs>
          <w:tab w:val="clear" w:pos="1080"/>
        </w:tabs>
        <w:spacing w:after="0" w:line="240" w:lineRule="auto"/>
        <w:ind w:left="720"/>
        <w:rPr>
          <w:rFonts w:cs="Calibri"/>
          <w:sz w:val="24"/>
          <w:szCs w:val="24"/>
        </w:rPr>
        <w:pPrChange w:id="50" w:author="cerobins" w:date="2012-09-04T13:35:00Z">
          <w:pPr>
            <w:numPr>
              <w:numId w:val="167"/>
            </w:numPr>
            <w:spacing w:after="0" w:line="240" w:lineRule="auto"/>
            <w:ind w:left="1080" w:hanging="360"/>
          </w:pPr>
        </w:pPrChange>
      </w:pPr>
      <w:r w:rsidRPr="00AA7C43">
        <w:rPr>
          <w:rFonts w:cs="Calibri"/>
          <w:sz w:val="24"/>
          <w:szCs w:val="24"/>
        </w:rPr>
        <w:t>Partnership Programs (Core)</w:t>
      </w:r>
    </w:p>
    <w:p w:rsidR="00AA7C43" w:rsidRPr="00AA7C43" w:rsidRDefault="00AA7C43" w:rsidP="00AA7C43">
      <w:pPr>
        <w:spacing w:after="0" w:line="240" w:lineRule="auto"/>
        <w:ind w:left="720"/>
        <w:rPr>
          <w:rFonts w:cs="Calibri"/>
          <w:sz w:val="24"/>
          <w:szCs w:val="24"/>
        </w:rPr>
      </w:pPr>
      <w:r w:rsidRPr="00AA7C43">
        <w:rPr>
          <w:rFonts w:cs="Calibri"/>
          <w:sz w:val="24"/>
          <w:szCs w:val="24"/>
        </w:rPr>
        <w:t>Strategic Planning Sub-Program (Energy Leader Partnership Strategic Support) - Trains cities and counties to procure city projects to meet energy efficiency standards, to identify funding sources, to share best practices, and recognizes them for their achievements.</w:t>
      </w:r>
    </w:p>
    <w:p w:rsidR="00AA7C43" w:rsidRPr="00AA7C43" w:rsidRDefault="00AA7C43" w:rsidP="00AA7C43">
      <w:pPr>
        <w:spacing w:after="0" w:line="240" w:lineRule="auto"/>
        <w:ind w:left="1080"/>
        <w:rPr>
          <w:rFonts w:cs="Calibri"/>
          <w:sz w:val="24"/>
          <w:szCs w:val="24"/>
        </w:rPr>
      </w:pPr>
    </w:p>
    <w:p w:rsidR="00AA7C43" w:rsidRPr="00AA7C43" w:rsidRDefault="00C31CC0" w:rsidP="00AA7C43">
      <w:pPr>
        <w:spacing w:after="0" w:line="240" w:lineRule="auto"/>
        <w:ind w:left="360"/>
        <w:rPr>
          <w:rFonts w:cs="Calibri"/>
          <w:sz w:val="24"/>
          <w:szCs w:val="24"/>
        </w:rPr>
      </w:pPr>
      <w:r>
        <w:rPr>
          <w:rFonts w:cs="Calibri"/>
          <w:noProof/>
          <w:sz w:val="24"/>
          <w:szCs w:val="24"/>
        </w:rPr>
        <w:lastRenderedPageBreak/>
        <mc:AlternateContent>
          <mc:Choice Requires="wpc">
            <w:drawing>
              <wp:inline distT="0" distB="0" distL="0" distR="0">
                <wp:extent cx="5943600" cy="3314700"/>
                <wp:effectExtent l="0" t="0" r="0" b="0"/>
                <wp:docPr id="129"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8" name="_s1102"/>
                        <wps:cNvSpPr>
                          <a:spLocks noChangeArrowheads="1"/>
                        </wps:cNvSpPr>
                        <wps:spPr bwMode="auto">
                          <a:xfrm>
                            <a:off x="4000500" y="2286000"/>
                            <a:ext cx="1817400" cy="862300"/>
                          </a:xfrm>
                          <a:prstGeom prst="roundRect">
                            <a:avLst>
                              <a:gd name="adj" fmla="val 16667"/>
                            </a:avLst>
                          </a:prstGeom>
                          <a:solidFill>
                            <a:srgbClr val="BBE0E3"/>
                          </a:solidFill>
                          <a:ln w="9525">
                            <a:solidFill>
                              <a:srgbClr val="333333"/>
                            </a:solidFill>
                            <a:round/>
                            <a:headEnd/>
                            <a:tailEnd/>
                          </a:ln>
                        </wps:spPr>
                        <wps:txbx>
                          <w:txbxContent>
                            <w:p w:rsidR="00AA7C43" w:rsidRDefault="00AA7C43" w:rsidP="00AA7C43">
                              <w:pPr>
                                <w:jc w:val="center"/>
                                <w:rPr>
                                  <w:color w:val="808080"/>
                                  <w:u w:val="single"/>
                                </w:rPr>
                              </w:pPr>
                              <w:r>
                                <w:rPr>
                                  <w:color w:val="808080"/>
                                  <w:u w:val="single"/>
                                </w:rPr>
                                <w:t>Sub-Program #1.2</w:t>
                              </w:r>
                            </w:p>
                            <w:p w:rsidR="00AA7C43" w:rsidRDefault="00AA7C43" w:rsidP="00AA7C43">
                              <w:pPr>
                                <w:jc w:val="center"/>
                                <w:rPr>
                                  <w:b/>
                                  <w:color w:val="808080"/>
                                </w:rPr>
                              </w:pPr>
                              <w:r>
                                <w:rPr>
                                  <w:b/>
                                  <w:color w:val="808080"/>
                                </w:rPr>
                                <w:t>ENERGY STAR Manufactured Homes</w:t>
                              </w:r>
                            </w:p>
                            <w:p w:rsidR="00AA7C43" w:rsidRDefault="00AA7C43" w:rsidP="00AA7C43"/>
                          </w:txbxContent>
                        </wps:txbx>
                        <wps:bodyPr rot="0" vert="horz" wrap="square" lIns="0" tIns="0" rIns="0" bIns="0" anchor="ctr" anchorCtr="0" upright="1">
                          <a:noAutofit/>
                        </wps:bodyPr>
                      </wps:wsp>
                      <wps:wsp>
                        <wps:cNvPr id="80" name="Line 34"/>
                        <wps:cNvCnPr/>
                        <wps:spPr bwMode="auto">
                          <a:xfrm>
                            <a:off x="2971800" y="800100"/>
                            <a:ext cx="6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_s1067"/>
                        <wps:cNvSpPr>
                          <a:spLocks noChangeArrowheads="1"/>
                        </wps:cNvSpPr>
                        <wps:spPr bwMode="auto">
                          <a:xfrm>
                            <a:off x="1714500" y="114300"/>
                            <a:ext cx="2286000" cy="685800"/>
                          </a:xfrm>
                          <a:prstGeom prst="roundRect">
                            <a:avLst>
                              <a:gd name="adj" fmla="val 16667"/>
                            </a:avLst>
                          </a:prstGeom>
                          <a:solidFill>
                            <a:srgbClr val="BBE0E3"/>
                          </a:solidFill>
                          <a:ln w="9525">
                            <a:solidFill>
                              <a:srgbClr val="000000"/>
                            </a:solidFill>
                            <a:round/>
                            <a:headEnd/>
                            <a:tailEnd/>
                          </a:ln>
                        </wps:spPr>
                        <wps:txbx>
                          <w:txbxContent>
                            <w:p w:rsidR="00AA7C43" w:rsidRDefault="00AA7C43" w:rsidP="00AA7C43">
                              <w:pPr>
                                <w:jc w:val="center"/>
                                <w:rPr>
                                  <w:color w:val="808080"/>
                                  <w:u w:val="single"/>
                                </w:rPr>
                              </w:pPr>
                              <w:r>
                                <w:rPr>
                                  <w:color w:val="808080"/>
                                  <w:u w:val="single"/>
                                </w:rPr>
                                <w:t>Core Program</w:t>
                              </w:r>
                            </w:p>
                            <w:p w:rsidR="00AA7C43" w:rsidRDefault="00AA7C43" w:rsidP="00AA7C43">
                              <w:pPr>
                                <w:jc w:val="center"/>
                                <w:rPr>
                                  <w:b/>
                                  <w:color w:val="808080"/>
                                </w:rPr>
                              </w:pPr>
                              <w:r>
                                <w:rPr>
                                  <w:b/>
                                  <w:color w:val="808080"/>
                                </w:rPr>
                                <w:t>CalSPREE</w:t>
                              </w:r>
                            </w:p>
                            <w:p w:rsidR="00AA7C43" w:rsidRDefault="00AA7C43" w:rsidP="00AA7C43">
                              <w:pPr>
                                <w:jc w:val="center"/>
                                <w:rPr>
                                  <w:szCs w:val="20"/>
                                </w:rPr>
                              </w:pPr>
                            </w:p>
                          </w:txbxContent>
                        </wps:txbx>
                        <wps:bodyPr rot="0" vert="horz" wrap="square" lIns="0" tIns="0" rIns="0" bIns="0" anchor="ctr" anchorCtr="0" upright="1">
                          <a:noAutofit/>
                        </wps:bodyPr>
                      </wps:wsp>
                      <wps:wsp>
                        <wps:cNvPr id="82" name="Line 38"/>
                        <wps:cNvCnPr/>
                        <wps:spPr bwMode="auto">
                          <a:xfrm>
                            <a:off x="2971800" y="1028700"/>
                            <a:ext cx="6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39"/>
                        <wps:cNvCnPr/>
                        <wps:spPr bwMode="auto">
                          <a:xfrm>
                            <a:off x="2971800" y="1828800"/>
                            <a:ext cx="6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40"/>
                        <wps:cNvCnPr/>
                        <wps:spPr bwMode="auto">
                          <a:xfrm>
                            <a:off x="4914900" y="2057400"/>
                            <a:ext cx="6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41"/>
                        <wps:cNvCnPr/>
                        <wps:spPr bwMode="auto">
                          <a:xfrm>
                            <a:off x="2971800" y="2056700"/>
                            <a:ext cx="1943100" cy="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_s1102"/>
                        <wps:cNvSpPr>
                          <a:spLocks noChangeArrowheads="1"/>
                        </wps:cNvSpPr>
                        <wps:spPr bwMode="auto">
                          <a:xfrm>
                            <a:off x="2057400" y="1257300"/>
                            <a:ext cx="1818000" cy="642600"/>
                          </a:xfrm>
                          <a:prstGeom prst="roundRect">
                            <a:avLst>
                              <a:gd name="adj" fmla="val 16667"/>
                            </a:avLst>
                          </a:prstGeom>
                          <a:solidFill>
                            <a:srgbClr val="BBE0E3"/>
                          </a:solidFill>
                          <a:ln w="9525">
                            <a:solidFill>
                              <a:srgbClr val="333333"/>
                            </a:solidFill>
                            <a:round/>
                            <a:headEnd/>
                            <a:tailEnd/>
                          </a:ln>
                        </wps:spPr>
                        <wps:txbx>
                          <w:txbxContent>
                            <w:p w:rsidR="00AA7C43" w:rsidRDefault="00AA7C43" w:rsidP="00AA7C43">
                              <w:pPr>
                                <w:jc w:val="center"/>
                                <w:rPr>
                                  <w:color w:val="808080"/>
                                  <w:u w:val="single"/>
                                </w:rPr>
                              </w:pPr>
                              <w:r>
                                <w:rPr>
                                  <w:color w:val="808080"/>
                                  <w:u w:val="single"/>
                                </w:rPr>
                                <w:t>Sub-Program #1</w:t>
                              </w:r>
                            </w:p>
                            <w:p w:rsidR="00AA7C43" w:rsidRDefault="00AA7C43" w:rsidP="00AA7C43">
                              <w:pPr>
                                <w:jc w:val="center"/>
                                <w:rPr>
                                  <w:b/>
                                  <w:color w:val="808080"/>
                                </w:rPr>
                              </w:pPr>
                              <w:r>
                                <w:rPr>
                                  <w:b/>
                                  <w:color w:val="808080"/>
                                </w:rPr>
                                <w:t>Residential New Construction</w:t>
                              </w:r>
                            </w:p>
                          </w:txbxContent>
                        </wps:txbx>
                        <wps:bodyPr rot="0" vert="horz" wrap="square" lIns="0" tIns="0" rIns="0" bIns="0" anchor="ctr" anchorCtr="0" upright="1">
                          <a:noAutofit/>
                        </wps:bodyPr>
                      </wps:wsp>
                      <wps:wsp>
                        <wps:cNvPr id="89" name="_s1102"/>
                        <wps:cNvSpPr>
                          <a:spLocks noChangeArrowheads="1"/>
                        </wps:cNvSpPr>
                        <wps:spPr bwMode="auto">
                          <a:xfrm>
                            <a:off x="2062400" y="2286000"/>
                            <a:ext cx="1823800" cy="800100"/>
                          </a:xfrm>
                          <a:prstGeom prst="roundRect">
                            <a:avLst>
                              <a:gd name="adj" fmla="val 16667"/>
                            </a:avLst>
                          </a:prstGeom>
                          <a:solidFill>
                            <a:srgbClr val="BBE0E3"/>
                          </a:solidFill>
                          <a:ln w="9525">
                            <a:solidFill>
                              <a:srgbClr val="333333"/>
                            </a:solidFill>
                            <a:round/>
                            <a:headEnd/>
                            <a:tailEnd/>
                          </a:ln>
                        </wps:spPr>
                        <wps:txbx>
                          <w:txbxContent>
                            <w:p w:rsidR="00AA7C43" w:rsidRDefault="00AA7C43" w:rsidP="00AA7C43">
                              <w:pPr>
                                <w:jc w:val="center"/>
                                <w:rPr>
                                  <w:color w:val="808080"/>
                                  <w:u w:val="single"/>
                                </w:rPr>
                              </w:pPr>
                              <w:r>
                                <w:rPr>
                                  <w:color w:val="808080"/>
                                  <w:u w:val="single"/>
                                </w:rPr>
                                <w:t>Sub-Program #1.1</w:t>
                              </w:r>
                            </w:p>
                            <w:p w:rsidR="00AA7C43" w:rsidRDefault="00AA7C43" w:rsidP="00AA7C43">
                              <w:pPr>
                                <w:jc w:val="center"/>
                                <w:rPr>
                                  <w:b/>
                                  <w:color w:val="808080"/>
                                </w:rPr>
                              </w:pPr>
                              <w:r>
                                <w:rPr>
                                  <w:b/>
                                  <w:color w:val="808080"/>
                                </w:rPr>
                                <w:t>California Advanced Homes (&amp; ZNE)</w:t>
                              </w:r>
                            </w:p>
                          </w:txbxContent>
                        </wps:txbx>
                        <wps:bodyPr rot="0" vert="horz" wrap="square" lIns="0" tIns="0" rIns="0" bIns="0" anchor="ctr" anchorCtr="0" upright="1">
                          <a:noAutofit/>
                        </wps:bodyPr>
                      </wps:wsp>
                    </wpc:wpc>
                  </a:graphicData>
                </a:graphic>
              </wp:inline>
            </w:drawing>
          </mc:Choice>
          <mc:Fallback>
            <w:pict>
              <v:group id="Canvas 30" o:spid="_x0000_s1045" editas="canvas" style="width:468pt;height:261pt;mso-position-horizontal-relative:char;mso-position-vertical-relative:line" coordsize="5943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">
                <v:shape id="_x0000_s1046" type="#_x0000_t75" style="position:absolute;width:59436;height:33147;visibility:visible;mso-wrap-style:square">
                  <v:fill o:detectmouseclick="t"/>
                  <v:path o:connecttype="none"/>
                </v:shape>
                <v:roundrect id="_s1102" o:spid="_x0000_s1047" style="position:absolute;left:40005;top:22860;width:18174;height:8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sJsEA&#10;AADbAAAADwAAAGRycy9kb3ducmV2LnhtbERPPW/CMBDdkfgP1iGxoOLAUKIUgwCpFSOltF1P8TUO&#10;jc8hNsH8+3qoxPj0vpfraBvRU+drxwpm0wwEcel0zZWC08frUw7CB2SNjWNScCcP69VwsMRCuxu/&#10;U38MlUgh7AtUYEJoCyl9aciin7qWOHE/rrMYEuwqqTu8pXDbyHmWPUuLNacGgy3tDJW/x6tV8H2+&#10;3Ps4O78trvHzlB9yM6GvrVLjUdy8gAgUw0P8795rBYs0N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7LCbBAAAA2wAAAA8AAAAAAAAAAAAAAAAAmAIAAGRycy9kb3du&#10;cmV2LnhtbFBLBQYAAAAABAAEAPUAAACGAwAAAAA=&#10;" fillcolor="#bbe0e3" strokecolor="#333">
                  <v:textbox inset="0,0,0,0">
                    <w:txbxContent>
                      <w:p w:rsidR="00AA7C43" w:rsidRDefault="00AA7C43" w:rsidP="00AA7C43">
                        <w:pPr>
                          <w:jc w:val="center"/>
                          <w:rPr>
                            <w:color w:val="808080"/>
                            <w:u w:val="single"/>
                          </w:rPr>
                        </w:pPr>
                        <w:r>
                          <w:rPr>
                            <w:color w:val="808080"/>
                            <w:u w:val="single"/>
                          </w:rPr>
                          <w:t>Sub-Program #1.2</w:t>
                        </w:r>
                      </w:p>
                      <w:p w:rsidR="00AA7C43" w:rsidRDefault="00AA7C43" w:rsidP="00AA7C43">
                        <w:pPr>
                          <w:jc w:val="center"/>
                          <w:rPr>
                            <w:b/>
                            <w:color w:val="808080"/>
                          </w:rPr>
                        </w:pPr>
                        <w:r>
                          <w:rPr>
                            <w:b/>
                            <w:color w:val="808080"/>
                          </w:rPr>
                          <w:t>ENERGY STAR Manufactured Homes</w:t>
                        </w:r>
                      </w:p>
                      <w:p w:rsidR="00AA7C43" w:rsidRDefault="00AA7C43" w:rsidP="00AA7C43"/>
                    </w:txbxContent>
                  </v:textbox>
                </v:roundrect>
                <v:line id="Line 34" o:spid="_x0000_s1048" style="position:absolute;visibility:visible;mso-wrap-style:square" from="29718,8001" to="297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roundrect id="_s1067" o:spid="_x0000_s1049" style="position:absolute;left:17145;top:1143;width:22860;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kKMUA&#10;AADbAAAADwAAAGRycy9kb3ducmV2LnhtbESPT2vCQBTE7wW/w/KEXopurLRIdJUa+seTUBXx+Mw+&#10;N6HZtyG7TeK37wpCj8PM/IZZrHpbiZYaXzpWMBknIIhzp0s2Cg77j9EMhA/IGivHpOBKHlbLwcMC&#10;U+06/qZ2F4yIEPYpKihCqFMpfV6QRT92NXH0Lq6xGKJsjNQNdhFuK/mcJK/SYslxocCasoLyn92v&#10;VZBl7y+nLj/qT5oa87Rt11/n7Vqpx2H/NgcRqA//4Xt7oxXMJn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GQoxQAAANsAAAAPAAAAAAAAAAAAAAAAAJgCAABkcnMv&#10;ZG93bnJldi54bWxQSwUGAAAAAAQABAD1AAAAigMAAAAA&#10;" fillcolor="#bbe0e3">
                  <v:textbox inset="0,0,0,0">
                    <w:txbxContent>
                      <w:p w:rsidR="00AA7C43" w:rsidRDefault="00AA7C43" w:rsidP="00AA7C43">
                        <w:pPr>
                          <w:jc w:val="center"/>
                          <w:rPr>
                            <w:color w:val="808080"/>
                            <w:u w:val="single"/>
                          </w:rPr>
                        </w:pPr>
                        <w:r>
                          <w:rPr>
                            <w:color w:val="808080"/>
                            <w:u w:val="single"/>
                          </w:rPr>
                          <w:t>Core Program</w:t>
                        </w:r>
                      </w:p>
                      <w:p w:rsidR="00AA7C43" w:rsidRDefault="00AA7C43" w:rsidP="00AA7C43">
                        <w:pPr>
                          <w:jc w:val="center"/>
                          <w:rPr>
                            <w:b/>
                            <w:color w:val="808080"/>
                          </w:rPr>
                        </w:pPr>
                        <w:r>
                          <w:rPr>
                            <w:b/>
                            <w:color w:val="808080"/>
                          </w:rPr>
                          <w:t>CalSPREE</w:t>
                        </w:r>
                      </w:p>
                      <w:p w:rsidR="00AA7C43" w:rsidRDefault="00AA7C43" w:rsidP="00AA7C43">
                        <w:pPr>
                          <w:jc w:val="center"/>
                          <w:rPr>
                            <w:szCs w:val="20"/>
                          </w:rPr>
                        </w:pPr>
                      </w:p>
                    </w:txbxContent>
                  </v:textbox>
                </v:roundrect>
                <v:line id="Line 38" o:spid="_x0000_s1050" style="position:absolute;visibility:visible;mso-wrap-style:square" from="29718,10287" to="2972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6BcMAAADbAAAADwAAAGRycy9kb3ducmV2LnhtbESPT4vCMBTE7wt+h/AEb2uqwiLVKCL4&#10;B2/bFcHbo3m2tc1LTVLtfvvNwsIeh5n5DbNc96YRT3K+sqxgMk5AEOdWV1woOH/t3ucgfEDW2Fgm&#10;Bd/kYb0avC0x1fbFn/TMQiEihH2KCsoQ2lRKn5dk0I9tSxy9m3UGQ5SukNrhK8JNI6dJ8iE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ugXDAAAA2wAAAA8AAAAAAAAAAAAA&#10;AAAAoQIAAGRycy9kb3ducmV2LnhtbFBLBQYAAAAABAAEAPkAAACRAwAAAAA=&#10;" strokeweight="1.5pt"/>
                <v:line id="Line 39" o:spid="_x0000_s1051" style="position:absolute;visibility:visible;mso-wrap-style:square" from="29718,18288" to="2972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fnsQAAADbAAAADwAAAGRycy9kb3ducmV2LnhtbESPzWrDMBCE74W8g9hAbo3cBkpwI4dQ&#10;SFNyqxMMvS3W+ie2Vq4kJ+7bV4VCjsPMfMNstpPpxZWcby0reFomIIhLq1uuFZxP+8c1CB+QNfaW&#10;ScEPedhms4cNptre+JOueahFhLBPUUETwpBK6cuGDPqlHYijV1lnMETpaqkd3iLc9PI5SV6kwZbj&#10;QoMDvTVUdvloFBRjzl+Xbu96HN8Ph6r47vzqqNRiPu1eQQSawj383/7QCtYr+PsSf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exAAAANsAAAAPAAAAAAAAAAAA&#10;AAAAAKECAABkcnMvZG93bnJldi54bWxQSwUGAAAAAAQABAD5AAAAkgMAAAAA&#10;" strokeweight="1.5pt"/>
                <v:line id="Line 40" o:spid="_x0000_s1052" style="position:absolute;visibility:visible;mso-wrap-style:square" from="49149,20574" to="4915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H6sMAAADbAAAADwAAAGRycy9kb3ducmV2LnhtbESPQWvCQBSE7wX/w/IEb3VjL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h+rDAAAA2wAAAA8AAAAAAAAAAAAA&#10;AAAAoQIAAGRycy9kb3ducmV2LnhtbFBLBQYAAAAABAAEAPkAAACRAwAAAAA=&#10;" strokeweight="1.5pt"/>
                <v:line id="Line 41" o:spid="_x0000_s1053" style="position:absolute;visibility:visible;mso-wrap-style:square" from="29718,20567" to="4914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iccMAAADbAAAADwAAAGRycy9kb3ducmV2LnhtbESPQWvCQBSE7wX/w/IEb3Vjp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InHDAAAA2wAAAA8AAAAAAAAAAAAA&#10;AAAAoQIAAGRycy9kb3ducmV2LnhtbFBLBQYAAAAABAAEAPkAAACRAwAAAAA=&#10;" strokeweight="1.5pt"/>
                <v:roundrect id="_s1102" o:spid="_x0000_s1054" style="position:absolute;left:20574;top:12573;width:18180;height:6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cAcAA&#10;AADbAAAADwAAAGRycy9kb3ducmV2LnhtbERPu27CMBTdK/EP1kXqUoFDhzYKGEQrtepY3utVfIkD&#10;8XUam2D+Hg+VGI/Oe7aIthE9db52rGAyzkAQl07XXCnYbr5GOQgfkDU2jknBjTws5oOnGRbaXXlF&#10;/TpUIoWwL1CBCaEtpPSlIYt+7FrixB1dZzEk2FVSd3hN4baRr1n2Ji3WnBoMtvRpqDyvL1bB4fR3&#10;6+Pk9P1+ibtt/pubF9p/KPU8jMspiEAxPMT/7h+tIE9j05f0A+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5cAcAAAADbAAAADwAAAAAAAAAAAAAAAACYAgAAZHJzL2Rvd25y&#10;ZXYueG1sUEsFBgAAAAAEAAQA9QAAAIUDAAAAAA==&#10;" fillcolor="#bbe0e3" strokecolor="#333">
                  <v:textbox inset="0,0,0,0">
                    <w:txbxContent>
                      <w:p w:rsidR="00AA7C43" w:rsidRDefault="00AA7C43" w:rsidP="00AA7C43">
                        <w:pPr>
                          <w:jc w:val="center"/>
                          <w:rPr>
                            <w:color w:val="808080"/>
                            <w:u w:val="single"/>
                          </w:rPr>
                        </w:pPr>
                        <w:r>
                          <w:rPr>
                            <w:color w:val="808080"/>
                            <w:u w:val="single"/>
                          </w:rPr>
                          <w:t>Sub-Program #1</w:t>
                        </w:r>
                      </w:p>
                      <w:p w:rsidR="00AA7C43" w:rsidRDefault="00AA7C43" w:rsidP="00AA7C43">
                        <w:pPr>
                          <w:jc w:val="center"/>
                          <w:rPr>
                            <w:b/>
                            <w:color w:val="808080"/>
                          </w:rPr>
                        </w:pPr>
                        <w:r>
                          <w:rPr>
                            <w:b/>
                            <w:color w:val="808080"/>
                          </w:rPr>
                          <w:t>Residential New Construction</w:t>
                        </w:r>
                      </w:p>
                    </w:txbxContent>
                  </v:textbox>
                </v:roundrect>
                <v:roundrect id="_s1102" o:spid="_x0000_s1055" style="position:absolute;left:20624;top:22860;width:18238;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5msUA&#10;AADbAAAADwAAAGRycy9kb3ducmV2LnhtbESPzW7CMBCE70h9B2uRuKDiwKFNUwxqkah6bPlpr6t4&#10;GwfidRqbYN6+roTEcTQz32jmy2gb0VPna8cKppMMBHHpdM2Vgt12fZ+D8AFZY+OYFFzIw3JxN5hj&#10;od2ZP6nfhEokCPsCFZgQ2kJKXxqy6CeuJU7ej+sshiS7SuoOzwluGznLsgdpsea0YLCllaHyuDlZ&#10;Bd+H30sfp4e3x1Pc7/KP3Izp61Wp0TC+PIMIFMMtfG2/awX5E/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4vmaxQAAANsAAAAPAAAAAAAAAAAAAAAAAJgCAABkcnMv&#10;ZG93bnJldi54bWxQSwUGAAAAAAQABAD1AAAAigMAAAAA&#10;" fillcolor="#bbe0e3" strokecolor="#333">
                  <v:textbox inset="0,0,0,0">
                    <w:txbxContent>
                      <w:p w:rsidR="00AA7C43" w:rsidRDefault="00AA7C43" w:rsidP="00AA7C43">
                        <w:pPr>
                          <w:jc w:val="center"/>
                          <w:rPr>
                            <w:color w:val="808080"/>
                            <w:u w:val="single"/>
                          </w:rPr>
                        </w:pPr>
                        <w:r>
                          <w:rPr>
                            <w:color w:val="808080"/>
                            <w:u w:val="single"/>
                          </w:rPr>
                          <w:t>Sub-Program #1.1</w:t>
                        </w:r>
                      </w:p>
                      <w:p w:rsidR="00AA7C43" w:rsidRDefault="00AA7C43" w:rsidP="00AA7C43">
                        <w:pPr>
                          <w:jc w:val="center"/>
                          <w:rPr>
                            <w:b/>
                            <w:color w:val="808080"/>
                          </w:rPr>
                        </w:pPr>
                        <w:r>
                          <w:rPr>
                            <w:b/>
                            <w:color w:val="808080"/>
                          </w:rPr>
                          <w:t>California Advanced Homes (&amp; ZNE)</w:t>
                        </w:r>
                      </w:p>
                    </w:txbxContent>
                  </v:textbox>
                </v:roundrect>
                <w10:anchorlock/>
              </v:group>
            </w:pict>
          </mc:Fallback>
        </mc:AlternateConten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goal of energy-efficient RNC will be achieved through a combination of incentives, technical education, design assistance, and verification.  CAHP supports the ambitious goals of the Strategic Plan, and works in close coordination with the ZNE sub-element. Together these elements seek to raise plug load efficiency, focus on whole-house solutions, drive occupant behavior through in-home monitoring and visual display tools, and leverage market demand for green building standards.  CAHP is also coordinated with demand response programs, Emerging Technology, and the NSHP.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As explored in greater detail below, CAHP will work closely together with the ZNE sub-element to adopt the following strategies toward achieving the Strategic Plan goals. As program technologies and approaches are developed and demonstrated in ZNE, they will be incorporated into the CAHP.  The lead program is listed in parentheses after each strategy.</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Raise plug load efficiency (ZNE)</w:t>
      </w: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Promote whole house solutions, with a particular focus on zero peak homes as an interim step toward zero net homes (CAHP)</w:t>
      </w:r>
    </w:p>
    <w:p w:rsidR="00AA7C43" w:rsidRPr="00AA7C43" w:rsidRDefault="00AA7C43" w:rsidP="00C31CC0">
      <w:pPr>
        <w:numPr>
          <w:ilvl w:val="0"/>
          <w:numId w:val="7"/>
        </w:numPr>
        <w:tabs>
          <w:tab w:val="clear" w:pos="3240"/>
          <w:tab w:val="num" w:pos="360"/>
        </w:tabs>
        <w:spacing w:after="0" w:line="240" w:lineRule="auto"/>
        <w:ind w:left="720"/>
        <w:rPr>
          <w:rFonts w:cs="Calibri"/>
          <w:sz w:val="24"/>
          <w:szCs w:val="24"/>
        </w:rPr>
      </w:pPr>
      <w:r w:rsidRPr="00AA7C43">
        <w:rPr>
          <w:rFonts w:cs="Calibri"/>
          <w:sz w:val="24"/>
          <w:szCs w:val="24"/>
        </w:rPr>
        <w:t>Encourage in-home monitoring and visual display tools (ZNE)</w:t>
      </w:r>
    </w:p>
    <w:p w:rsidR="00AA7C43" w:rsidRPr="00AA7C43" w:rsidRDefault="00AA7C43" w:rsidP="00C31CC0">
      <w:pPr>
        <w:numPr>
          <w:ilvl w:val="0"/>
          <w:numId w:val="7"/>
        </w:numPr>
        <w:tabs>
          <w:tab w:val="clear" w:pos="3240"/>
          <w:tab w:val="num" w:pos="360"/>
        </w:tabs>
        <w:spacing w:after="0" w:line="240" w:lineRule="auto"/>
        <w:ind w:left="720"/>
        <w:rPr>
          <w:rFonts w:cs="Calibri"/>
          <w:sz w:val="24"/>
          <w:szCs w:val="24"/>
        </w:rPr>
      </w:pPr>
      <w:r w:rsidRPr="00AA7C43">
        <w:rPr>
          <w:rFonts w:cs="Calibri"/>
          <w:sz w:val="24"/>
          <w:szCs w:val="24"/>
        </w:rPr>
        <w:t>Encourage incorporation of Green Building Standards (ZNE)</w:t>
      </w:r>
    </w:p>
    <w:p w:rsidR="00AA7C43" w:rsidRPr="00AA7C43" w:rsidRDefault="00AA7C43" w:rsidP="00C31CC0">
      <w:pPr>
        <w:numPr>
          <w:ilvl w:val="0"/>
          <w:numId w:val="7"/>
        </w:numPr>
        <w:tabs>
          <w:tab w:val="clear" w:pos="3240"/>
        </w:tabs>
        <w:spacing w:after="0" w:line="240" w:lineRule="auto"/>
        <w:ind w:left="720"/>
        <w:rPr>
          <w:rFonts w:cs="Calibri"/>
          <w:sz w:val="24"/>
          <w:szCs w:val="24"/>
        </w:rPr>
      </w:pPr>
      <w:r w:rsidRPr="00AA7C43">
        <w:rPr>
          <w:rFonts w:cs="Calibri"/>
          <w:sz w:val="24"/>
          <w:szCs w:val="24"/>
        </w:rPr>
        <w:t>Coordinate CAHP with demand response programs (CAHP)</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u w:val="words"/>
        </w:rPr>
      </w:pPr>
      <w:r w:rsidRPr="00AA7C43">
        <w:rPr>
          <w:rFonts w:cs="Calibri"/>
          <w:sz w:val="24"/>
          <w:szCs w:val="24"/>
        </w:rPr>
        <w:t>Specific strategies for achieving net zero homes will be reviewed in more detail below.  Moreover, as outlined above, where strategies enter the market more rapidly than anticipated, they will be rolled into the core CAHP.</w:t>
      </w:r>
      <w:r w:rsidRPr="00AA7C43">
        <w:rPr>
          <w:rFonts w:cs="Calibri"/>
          <w:sz w:val="24"/>
          <w:szCs w:val="24"/>
        </w:rPr>
        <w:tab/>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25"/>
        </w:numPr>
        <w:tabs>
          <w:tab w:val="clear" w:pos="1440"/>
        </w:tabs>
        <w:spacing w:after="0" w:line="240" w:lineRule="auto"/>
        <w:ind w:left="1080"/>
        <w:rPr>
          <w:rFonts w:cs="Calibri"/>
          <w:b/>
          <w:sz w:val="24"/>
          <w:szCs w:val="24"/>
          <w:u w:val="single"/>
        </w:rPr>
      </w:pPr>
      <w:r w:rsidRPr="00AA7C43">
        <w:rPr>
          <w:rFonts w:cs="Calibri"/>
          <w:b/>
          <w:sz w:val="24"/>
          <w:szCs w:val="24"/>
          <w:u w:val="single"/>
        </w:rPr>
        <w:lastRenderedPageBreak/>
        <w:t xml:space="preserve">List measures </w:t>
      </w:r>
    </w:p>
    <w:p w:rsidR="00AA7C43" w:rsidRPr="00AA7C43" w:rsidRDefault="00AA7C43" w:rsidP="00C31CC0">
      <w:pPr>
        <w:numPr>
          <w:ilvl w:val="0"/>
          <w:numId w:val="10"/>
        </w:numPr>
        <w:tabs>
          <w:tab w:val="clear" w:pos="2223"/>
        </w:tabs>
        <w:spacing w:after="0" w:line="240" w:lineRule="auto"/>
        <w:ind w:left="1080"/>
        <w:rPr>
          <w:rFonts w:cs="Calibri"/>
          <w:sz w:val="24"/>
          <w:szCs w:val="24"/>
        </w:rPr>
      </w:pPr>
      <w:r w:rsidRPr="00AA7C43">
        <w:rPr>
          <w:rFonts w:cs="Calibri"/>
          <w:sz w:val="24"/>
          <w:szCs w:val="24"/>
        </w:rPr>
        <w:t>$500 per gas heated home</w:t>
      </w:r>
    </w:p>
    <w:p w:rsidR="00AA7C43" w:rsidRPr="00AA7C43" w:rsidRDefault="00AA7C43" w:rsidP="00C31CC0">
      <w:pPr>
        <w:numPr>
          <w:ilvl w:val="0"/>
          <w:numId w:val="10"/>
        </w:numPr>
        <w:tabs>
          <w:tab w:val="clear" w:pos="2223"/>
        </w:tabs>
        <w:spacing w:after="0" w:line="240" w:lineRule="auto"/>
        <w:ind w:left="1080"/>
        <w:rPr>
          <w:rFonts w:cs="Calibri"/>
          <w:sz w:val="24"/>
          <w:szCs w:val="24"/>
        </w:rPr>
      </w:pPr>
      <w:r w:rsidRPr="00AA7C43">
        <w:rPr>
          <w:rFonts w:cs="Calibri"/>
          <w:sz w:val="24"/>
          <w:szCs w:val="24"/>
        </w:rPr>
        <w:t>$500 per electric heated home</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0"/>
          <w:numId w:val="25"/>
        </w:numPr>
        <w:tabs>
          <w:tab w:val="clear" w:pos="1440"/>
        </w:tabs>
        <w:spacing w:after="0" w:line="240" w:lineRule="auto"/>
        <w:ind w:left="720" w:hanging="360"/>
        <w:rPr>
          <w:rFonts w:cs="Calibri"/>
          <w:b/>
          <w:sz w:val="24"/>
          <w:szCs w:val="24"/>
          <w:u w:val="single"/>
        </w:rPr>
      </w:pPr>
      <w:r w:rsidRPr="00AA7C43">
        <w:rPr>
          <w:rFonts w:cs="Calibri"/>
          <w:b/>
          <w:sz w:val="24"/>
          <w:szCs w:val="24"/>
          <w:u w:val="single"/>
        </w:rPr>
        <w:t>List non-incentive customer services</w:t>
      </w:r>
    </w:p>
    <w:p w:rsidR="00AA7C43" w:rsidRPr="00AA7C43" w:rsidRDefault="00AA7C43" w:rsidP="00C31CC0">
      <w:pPr>
        <w:numPr>
          <w:ilvl w:val="1"/>
          <w:numId w:val="25"/>
        </w:numPr>
        <w:tabs>
          <w:tab w:val="clear" w:pos="1440"/>
        </w:tabs>
        <w:spacing w:after="0" w:line="240" w:lineRule="auto"/>
        <w:ind w:left="1080"/>
        <w:rPr>
          <w:rFonts w:cs="Calibri"/>
          <w:sz w:val="24"/>
          <w:szCs w:val="24"/>
        </w:rPr>
      </w:pPr>
      <w:r w:rsidRPr="00AA7C43">
        <w:rPr>
          <w:rFonts w:cs="Calibri"/>
          <w:sz w:val="24"/>
          <w:szCs w:val="24"/>
        </w:rPr>
        <w:t>Technical support to Energy Analysts and Design Teams</w:t>
      </w:r>
      <w:r w:rsidRPr="00AA7C43">
        <w:rPr>
          <w:rStyle w:val="FootnoteReference"/>
          <w:rFonts w:cs="Calibri"/>
          <w:sz w:val="24"/>
          <w:szCs w:val="24"/>
        </w:rPr>
        <w:footnoteReference w:id="70"/>
      </w:r>
    </w:p>
    <w:p w:rsidR="00AA7C43" w:rsidRPr="00AA7C43" w:rsidRDefault="00AA7C43" w:rsidP="00C31CC0">
      <w:pPr>
        <w:numPr>
          <w:ilvl w:val="1"/>
          <w:numId w:val="25"/>
        </w:numPr>
        <w:tabs>
          <w:tab w:val="clear" w:pos="1440"/>
        </w:tabs>
        <w:spacing w:after="0" w:line="240" w:lineRule="auto"/>
        <w:ind w:left="1080"/>
        <w:rPr>
          <w:rFonts w:cs="Calibri"/>
          <w:sz w:val="24"/>
          <w:szCs w:val="24"/>
        </w:rPr>
      </w:pPr>
      <w:r w:rsidRPr="00AA7C43">
        <w:rPr>
          <w:rFonts w:cs="Calibri"/>
          <w:sz w:val="24"/>
          <w:szCs w:val="24"/>
        </w:rPr>
        <w:t>Economic modeling/measure selection support to builder/construction managers</w:t>
      </w:r>
    </w:p>
    <w:p w:rsidR="00AA7C43" w:rsidRPr="00AA7C43" w:rsidRDefault="00AA7C43" w:rsidP="00C31CC0">
      <w:pPr>
        <w:numPr>
          <w:ilvl w:val="1"/>
          <w:numId w:val="25"/>
        </w:numPr>
        <w:tabs>
          <w:tab w:val="clear" w:pos="1440"/>
        </w:tabs>
        <w:spacing w:after="0" w:line="240" w:lineRule="auto"/>
        <w:ind w:left="1080"/>
        <w:rPr>
          <w:rFonts w:cs="Calibri"/>
          <w:sz w:val="24"/>
          <w:szCs w:val="24"/>
        </w:rPr>
      </w:pPr>
      <w:r w:rsidRPr="00AA7C43">
        <w:rPr>
          <w:rFonts w:cs="Calibri"/>
          <w:sz w:val="24"/>
          <w:szCs w:val="24"/>
        </w:rPr>
        <w:t>Marketing support to builders (sales agent training, marketing materials)</w:t>
      </w:r>
    </w:p>
    <w:p w:rsidR="00AA7C43" w:rsidRPr="00AA7C43" w:rsidRDefault="00AA7C43" w:rsidP="00C31CC0">
      <w:pPr>
        <w:numPr>
          <w:ilvl w:val="1"/>
          <w:numId w:val="25"/>
        </w:numPr>
        <w:tabs>
          <w:tab w:val="clear" w:pos="1440"/>
        </w:tabs>
        <w:spacing w:after="0" w:line="240" w:lineRule="auto"/>
        <w:ind w:left="1080"/>
        <w:rPr>
          <w:rFonts w:cs="Calibri"/>
          <w:sz w:val="24"/>
          <w:szCs w:val="24"/>
        </w:rPr>
      </w:pPr>
      <w:r w:rsidRPr="00AA7C43">
        <w:rPr>
          <w:rFonts w:cs="Calibri"/>
          <w:sz w:val="24"/>
          <w:szCs w:val="24"/>
        </w:rPr>
        <w:t>DSM coordination (PV, DR, AMI, ET) for builders to maximize demand-side reductions.</w:t>
      </w:r>
    </w:p>
    <w:p w:rsidR="00AA7C43" w:rsidRPr="00AA7C43" w:rsidRDefault="00AA7C43" w:rsidP="00AA7C43">
      <w:pPr>
        <w:spacing w:after="0" w:line="240" w:lineRule="auto"/>
        <w:rPr>
          <w:rFonts w:cs="Calibri"/>
          <w:sz w:val="24"/>
          <w:szCs w:val="24"/>
          <w:u w:val="single"/>
        </w:rPr>
      </w:pPr>
    </w:p>
    <w:p w:rsidR="00AA7C43" w:rsidRPr="00AA7C43" w:rsidRDefault="00AA7C43" w:rsidP="00AA7C43">
      <w:pPr>
        <w:spacing w:after="0" w:line="240" w:lineRule="auto"/>
        <w:ind w:left="360"/>
        <w:rPr>
          <w:rFonts w:cs="Calibri"/>
          <w:b/>
          <w:sz w:val="24"/>
          <w:szCs w:val="24"/>
          <w:u w:val="single"/>
        </w:rPr>
      </w:pPr>
      <w:r w:rsidRPr="00AA7C43">
        <w:rPr>
          <w:rFonts w:cs="Calibri"/>
          <w:b/>
          <w:sz w:val="24"/>
          <w:szCs w:val="24"/>
          <w:u w:val="single"/>
        </w:rPr>
        <w:t xml:space="preserve">ENERGY STAR® Manufactured Homes </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In addition to the performance approach cited above, CAHP will retain a deemed prescriptive approach for the manufactured home market segment.  Homes will have the flexibility to include the entire ENERGY STAR® package for manufactured housing or to incorporate elements within those standards, such as improved windows.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The ENERGY STAR® Manufactured Homes sub-program is designed to promote the construction of new manufactured homes in SCE’s service territory that comply with ENERGY STAR® ® energy efficiency standards.  The program targets manufacturers, retailers, and homebuyers of new manufactured homes.  The current baseline for manufactured homes is the HUD standard specification.  The program encourages manufacturers to install “right-size” HVAC, install high-efficiency HVAC equipment, and evaluate homes on a whole-building basis covering windows, insulation levels, and quality installation inspections.  The program works in coordination with the ZNE program element.</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The program is a logical fit in Sempra and SCE’s Residential New Construction portfolio of programs and will be another market segment within CAHP, alongside single family and multi-family dwellings.  Likewise, the ZNE element will also look to leverage consumer interest in green building in promoting zero peak homes and market transformation.</w:t>
      </w:r>
    </w:p>
    <w:p w:rsidR="00AA7C43" w:rsidRPr="00AA7C43" w:rsidRDefault="00AA7C43" w:rsidP="00AA7C43">
      <w:pPr>
        <w:spacing w:after="0" w:line="240" w:lineRule="auto"/>
        <w:ind w:left="360"/>
        <w:rPr>
          <w:rFonts w:cs="Calibri"/>
          <w:sz w:val="24"/>
          <w:szCs w:val="24"/>
        </w:rPr>
      </w:pPr>
      <w:r w:rsidRPr="00AA7C43">
        <w:rPr>
          <w:rFonts w:cs="Calibri"/>
          <w:sz w:val="24"/>
          <w:szCs w:val="24"/>
        </w:rPr>
        <w:t>The objectives of the program are:</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16"/>
        </w:numPr>
        <w:tabs>
          <w:tab w:val="clear" w:pos="1080"/>
        </w:tabs>
        <w:spacing w:after="0" w:line="240" w:lineRule="auto"/>
        <w:ind w:left="720"/>
        <w:rPr>
          <w:rFonts w:cs="Calibri"/>
          <w:sz w:val="24"/>
          <w:szCs w:val="24"/>
        </w:rPr>
      </w:pPr>
      <w:r w:rsidRPr="00AA7C43">
        <w:rPr>
          <w:rFonts w:cs="Calibri"/>
          <w:sz w:val="24"/>
          <w:szCs w:val="24"/>
        </w:rPr>
        <w:t>To capture cost effective energy savings and demand reduction opportunities</w:t>
      </w:r>
    </w:p>
    <w:p w:rsidR="00AA7C43" w:rsidRPr="00AA7C43" w:rsidRDefault="00AA7C43" w:rsidP="00C31CC0">
      <w:pPr>
        <w:numPr>
          <w:ilvl w:val="0"/>
          <w:numId w:val="16"/>
        </w:numPr>
        <w:tabs>
          <w:tab w:val="clear" w:pos="1080"/>
        </w:tabs>
        <w:spacing w:after="0" w:line="240" w:lineRule="auto"/>
        <w:ind w:left="720"/>
        <w:rPr>
          <w:rFonts w:cs="Calibri"/>
          <w:sz w:val="24"/>
          <w:szCs w:val="24"/>
        </w:rPr>
      </w:pPr>
      <w:r w:rsidRPr="00AA7C43">
        <w:rPr>
          <w:rFonts w:cs="Calibri"/>
          <w:sz w:val="24"/>
          <w:szCs w:val="24"/>
        </w:rPr>
        <w:t>To move the industry toward coordinated demand side management (c-DSM), including self-generation and SCE’s AMI (SmartConnect™)</w:t>
      </w:r>
    </w:p>
    <w:p w:rsidR="00AA7C43" w:rsidRPr="00AA7C43" w:rsidRDefault="00AA7C43" w:rsidP="00C31CC0">
      <w:pPr>
        <w:numPr>
          <w:ilvl w:val="0"/>
          <w:numId w:val="16"/>
        </w:numPr>
        <w:tabs>
          <w:tab w:val="clear" w:pos="1080"/>
        </w:tabs>
        <w:spacing w:after="0" w:line="240" w:lineRule="auto"/>
        <w:ind w:left="720"/>
        <w:rPr>
          <w:rFonts w:cs="Calibri"/>
          <w:sz w:val="24"/>
          <w:szCs w:val="24"/>
        </w:rPr>
      </w:pPr>
      <w:r w:rsidRPr="00AA7C43">
        <w:rPr>
          <w:rFonts w:cs="Calibri"/>
          <w:sz w:val="24"/>
          <w:szCs w:val="24"/>
        </w:rPr>
        <w:t xml:space="preserve">To move the industry toward zero-net energy as identified in the BBEES and advanced in the Strategic Plan </w:t>
      </w:r>
    </w:p>
    <w:p w:rsidR="00AA7C43" w:rsidRPr="00AA7C43" w:rsidRDefault="00AA7C43" w:rsidP="00C31CC0">
      <w:pPr>
        <w:numPr>
          <w:ilvl w:val="0"/>
          <w:numId w:val="16"/>
        </w:numPr>
        <w:tabs>
          <w:tab w:val="clear" w:pos="1080"/>
        </w:tabs>
        <w:spacing w:after="0" w:line="240" w:lineRule="auto"/>
        <w:ind w:left="720"/>
        <w:rPr>
          <w:rFonts w:cs="Calibri"/>
          <w:sz w:val="24"/>
          <w:szCs w:val="24"/>
        </w:rPr>
      </w:pPr>
      <w:r w:rsidRPr="00AA7C43">
        <w:rPr>
          <w:rFonts w:cs="Calibri"/>
          <w:sz w:val="24"/>
          <w:szCs w:val="24"/>
        </w:rPr>
        <w:t>To move the market segment from HUD compliant to ENERGY STAR®  and provide savings for customers purchasing energy-efficient, manufactured homes</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lastRenderedPageBreak/>
        <w:t xml:space="preserve">The program encourages manufacturers to: </w:t>
      </w:r>
    </w:p>
    <w:p w:rsidR="00AA7C43" w:rsidRPr="00AA7C43" w:rsidRDefault="00AA7C43" w:rsidP="00C31CC0">
      <w:pPr>
        <w:numPr>
          <w:ilvl w:val="0"/>
          <w:numId w:val="17"/>
        </w:numPr>
        <w:tabs>
          <w:tab w:val="clear" w:pos="720"/>
        </w:tabs>
        <w:spacing w:after="0" w:line="240" w:lineRule="auto"/>
        <w:rPr>
          <w:rFonts w:cs="Calibri"/>
          <w:sz w:val="24"/>
          <w:szCs w:val="24"/>
        </w:rPr>
      </w:pPr>
      <w:r w:rsidRPr="00AA7C43">
        <w:rPr>
          <w:rFonts w:cs="Calibri"/>
          <w:sz w:val="24"/>
          <w:szCs w:val="24"/>
        </w:rPr>
        <w:t xml:space="preserve">Install “right-size” HVAC equipment </w:t>
      </w:r>
    </w:p>
    <w:p w:rsidR="00AA7C43" w:rsidRPr="00AA7C43" w:rsidRDefault="00AA7C43" w:rsidP="00C31CC0">
      <w:pPr>
        <w:numPr>
          <w:ilvl w:val="0"/>
          <w:numId w:val="17"/>
        </w:numPr>
        <w:tabs>
          <w:tab w:val="clear" w:pos="720"/>
        </w:tabs>
        <w:spacing w:after="0" w:line="240" w:lineRule="auto"/>
        <w:rPr>
          <w:rFonts w:cs="Calibri"/>
          <w:sz w:val="24"/>
          <w:szCs w:val="24"/>
        </w:rPr>
      </w:pPr>
      <w:r w:rsidRPr="00AA7C43">
        <w:rPr>
          <w:rFonts w:cs="Calibri"/>
          <w:sz w:val="24"/>
          <w:szCs w:val="24"/>
        </w:rPr>
        <w:t>Install high-efficiency HVAC equipment</w:t>
      </w:r>
    </w:p>
    <w:p w:rsidR="00AA7C43" w:rsidRPr="00AA7C43" w:rsidRDefault="00AA7C43" w:rsidP="00C31CC0">
      <w:pPr>
        <w:numPr>
          <w:ilvl w:val="0"/>
          <w:numId w:val="17"/>
        </w:numPr>
        <w:tabs>
          <w:tab w:val="clear" w:pos="720"/>
        </w:tabs>
        <w:spacing w:after="0" w:line="240" w:lineRule="auto"/>
        <w:rPr>
          <w:rFonts w:cs="Calibri"/>
          <w:sz w:val="24"/>
          <w:szCs w:val="24"/>
        </w:rPr>
      </w:pPr>
      <w:r w:rsidRPr="00AA7C43">
        <w:rPr>
          <w:rFonts w:cs="Calibri"/>
          <w:sz w:val="24"/>
          <w:szCs w:val="24"/>
        </w:rPr>
        <w:t>Evaluate homes on a whole-building basis covering windows, insulation levels, and quality installation inspections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The program will also include an education and outreach component as a means to promote awareness of energy-efficient practices in the construction of ENERGY STAR® manufactured homes.  All segments related to the sale and construction of a manufactured home, including retailers, customers and manufacturers will be engaged.  The marketing plan will also target new retailers to inform them of the program benefits and encourage their participation in the program.</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Market-actors include manufacturers, retailers and homebuyers.  As the primary focus is on retailers, the program is considered a midstream program.  Incentives are offered to help induce retailers to promote ENERGY STAR® qualified manufactured homes.</w:t>
      </w:r>
    </w:p>
    <w:p w:rsidR="00AA7C43" w:rsidRPr="00AA7C43" w:rsidRDefault="00AA7C43" w:rsidP="00AA7C43">
      <w:pPr>
        <w:spacing w:after="0" w:line="240" w:lineRule="auto"/>
        <w:ind w:left="360"/>
        <w:rPr>
          <w:rStyle w:val="CommentReference"/>
          <w:rFonts w:cs="Calibri"/>
          <w:vanish/>
          <w:sz w:val="24"/>
          <w:szCs w:val="24"/>
        </w:rPr>
      </w:pPr>
    </w:p>
    <w:p w:rsidR="00AA7C43" w:rsidRPr="00AA7C43" w:rsidRDefault="00AA7C43" w:rsidP="00AA7C43">
      <w:pPr>
        <w:spacing w:after="0" w:line="240" w:lineRule="auto"/>
        <w:rPr>
          <w:rFonts w:cs="Calibri"/>
          <w:sz w:val="24"/>
          <w:szCs w:val="24"/>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130"/>
      </w:tblGrid>
      <w:tr w:rsidR="00AA7C43" w:rsidRPr="00F50F8B" w:rsidTr="00F404C2">
        <w:trPr>
          <w:tblHeader/>
        </w:trPr>
        <w:tc>
          <w:tcPr>
            <w:tcW w:w="4230" w:type="dxa"/>
            <w:vAlign w:val="bottom"/>
          </w:tcPr>
          <w:p w:rsidR="00AA7C43" w:rsidRPr="00AA7C43" w:rsidRDefault="00AA7C43" w:rsidP="00F404C2">
            <w:pPr>
              <w:spacing w:after="0" w:line="240" w:lineRule="auto"/>
              <w:jc w:val="center"/>
              <w:rPr>
                <w:rFonts w:cs="Calibri"/>
                <w:b/>
                <w:sz w:val="24"/>
                <w:szCs w:val="24"/>
              </w:rPr>
            </w:pPr>
            <w:r w:rsidRPr="00AA7C43">
              <w:rPr>
                <w:rFonts w:cs="Calibri"/>
                <w:b/>
                <w:sz w:val="24"/>
                <w:szCs w:val="24"/>
              </w:rPr>
              <w:t>Program Criterion</w:t>
            </w:r>
          </w:p>
        </w:tc>
        <w:tc>
          <w:tcPr>
            <w:tcW w:w="5130" w:type="dxa"/>
            <w:vAlign w:val="bottom"/>
          </w:tcPr>
          <w:p w:rsidR="00AA7C43" w:rsidRPr="00AA7C43" w:rsidRDefault="00AA7C43" w:rsidP="00F404C2">
            <w:pPr>
              <w:spacing w:after="0" w:line="240" w:lineRule="auto"/>
              <w:jc w:val="center"/>
              <w:rPr>
                <w:rFonts w:cs="Calibri"/>
                <w:b/>
                <w:sz w:val="24"/>
                <w:szCs w:val="24"/>
              </w:rPr>
            </w:pPr>
            <w:r w:rsidRPr="00AA7C43">
              <w:rPr>
                <w:rFonts w:cs="Calibri"/>
                <w:b/>
                <w:sz w:val="24"/>
                <w:szCs w:val="24"/>
              </w:rPr>
              <w:t>Incentive</w:t>
            </w:r>
          </w:p>
        </w:tc>
      </w:tr>
      <w:tr w:rsidR="00AA7C43" w:rsidRPr="00F50F8B" w:rsidTr="00F404C2">
        <w:trPr>
          <w:trHeight w:val="503"/>
        </w:trPr>
        <w:tc>
          <w:tcPr>
            <w:tcW w:w="4230" w:type="dxa"/>
          </w:tcPr>
          <w:p w:rsidR="00AA7C43" w:rsidRPr="00AA7C43" w:rsidRDefault="00AA7C43" w:rsidP="00F404C2">
            <w:pPr>
              <w:spacing w:after="0" w:line="240" w:lineRule="auto"/>
              <w:ind w:left="72"/>
              <w:rPr>
                <w:rFonts w:cs="Calibri"/>
                <w:sz w:val="24"/>
                <w:szCs w:val="24"/>
              </w:rPr>
            </w:pPr>
            <w:r w:rsidRPr="00AA7C43">
              <w:rPr>
                <w:rFonts w:cs="Calibri"/>
                <w:sz w:val="24"/>
                <w:szCs w:val="24"/>
              </w:rPr>
              <w:t>Prescriptive elements, e.g. windows, add’l insulation</w:t>
            </w:r>
          </w:p>
        </w:tc>
        <w:tc>
          <w:tcPr>
            <w:tcW w:w="5130" w:type="dxa"/>
          </w:tcPr>
          <w:p w:rsidR="00AA7C43" w:rsidRPr="00AA7C43" w:rsidRDefault="00AA7C43" w:rsidP="00F404C2">
            <w:pPr>
              <w:spacing w:after="0" w:line="240" w:lineRule="auto"/>
              <w:rPr>
                <w:rFonts w:cs="Calibri"/>
                <w:sz w:val="24"/>
                <w:szCs w:val="24"/>
              </w:rPr>
            </w:pPr>
            <w:r w:rsidRPr="00AA7C43">
              <w:rPr>
                <w:rFonts w:cs="Calibri"/>
                <w:sz w:val="24"/>
                <w:szCs w:val="24"/>
              </w:rPr>
              <w:t>TBD, deemed rather than calculated per CZ</w:t>
            </w:r>
          </w:p>
        </w:tc>
      </w:tr>
      <w:tr w:rsidR="00AA7C43" w:rsidRPr="00F50F8B" w:rsidTr="00F404C2">
        <w:trPr>
          <w:trHeight w:val="503"/>
        </w:trPr>
        <w:tc>
          <w:tcPr>
            <w:tcW w:w="4230" w:type="dxa"/>
          </w:tcPr>
          <w:p w:rsidR="00AA7C43" w:rsidRPr="00AA7C43" w:rsidRDefault="00AA7C43" w:rsidP="00F404C2">
            <w:pPr>
              <w:spacing w:after="0" w:line="240" w:lineRule="auto"/>
              <w:ind w:left="72"/>
              <w:rPr>
                <w:rFonts w:cs="Calibri"/>
                <w:sz w:val="24"/>
                <w:szCs w:val="24"/>
              </w:rPr>
            </w:pPr>
            <w:r w:rsidRPr="00AA7C43">
              <w:rPr>
                <w:rFonts w:cs="Calibri"/>
                <w:sz w:val="24"/>
                <w:szCs w:val="24"/>
              </w:rPr>
              <w:t>ENERGY STAR®  Manufactured Home – Gas Heat</w:t>
            </w:r>
          </w:p>
        </w:tc>
        <w:tc>
          <w:tcPr>
            <w:tcW w:w="5130" w:type="dxa"/>
          </w:tcPr>
          <w:p w:rsidR="00AA7C43" w:rsidRPr="00AA7C43" w:rsidRDefault="00AA7C43" w:rsidP="00F404C2">
            <w:pPr>
              <w:spacing w:after="0" w:line="240" w:lineRule="auto"/>
              <w:rPr>
                <w:rFonts w:cs="Calibri"/>
                <w:sz w:val="24"/>
                <w:szCs w:val="24"/>
              </w:rPr>
            </w:pPr>
            <w:r w:rsidRPr="00AA7C43">
              <w:rPr>
                <w:rFonts w:cs="Calibri"/>
                <w:sz w:val="24"/>
                <w:szCs w:val="24"/>
              </w:rPr>
              <w:t>$500/Home (total of prescriptive elements)</w:t>
            </w:r>
          </w:p>
        </w:tc>
      </w:tr>
      <w:tr w:rsidR="00AA7C43" w:rsidRPr="00F50F8B" w:rsidTr="00F404C2">
        <w:trPr>
          <w:trHeight w:val="530"/>
        </w:trPr>
        <w:tc>
          <w:tcPr>
            <w:tcW w:w="4230" w:type="dxa"/>
          </w:tcPr>
          <w:p w:rsidR="00AA7C43" w:rsidRPr="00AA7C43" w:rsidRDefault="00AA7C43" w:rsidP="00F404C2">
            <w:pPr>
              <w:spacing w:after="0" w:line="240" w:lineRule="auto"/>
              <w:ind w:left="72"/>
              <w:rPr>
                <w:rFonts w:cs="Calibri"/>
                <w:sz w:val="24"/>
                <w:szCs w:val="24"/>
              </w:rPr>
            </w:pPr>
            <w:r w:rsidRPr="00AA7C43">
              <w:rPr>
                <w:rFonts w:cs="Calibri"/>
                <w:sz w:val="24"/>
                <w:szCs w:val="24"/>
              </w:rPr>
              <w:t>ENERGY STAR®  Manufactured Home – Electric Heat</w:t>
            </w:r>
          </w:p>
        </w:tc>
        <w:tc>
          <w:tcPr>
            <w:tcW w:w="5130" w:type="dxa"/>
          </w:tcPr>
          <w:p w:rsidR="00AA7C43" w:rsidRPr="00AA7C43" w:rsidRDefault="00AA7C43" w:rsidP="00F404C2">
            <w:pPr>
              <w:spacing w:after="0" w:line="240" w:lineRule="auto"/>
              <w:rPr>
                <w:rFonts w:cs="Calibri"/>
                <w:sz w:val="24"/>
                <w:szCs w:val="24"/>
              </w:rPr>
            </w:pPr>
            <w:r w:rsidRPr="00AA7C43">
              <w:rPr>
                <w:rFonts w:cs="Calibri"/>
                <w:sz w:val="24"/>
                <w:szCs w:val="24"/>
              </w:rPr>
              <w:t>$500/Home (total of prescriptive elements)</w:t>
            </w:r>
          </w:p>
        </w:tc>
      </w:tr>
      <w:tr w:rsidR="00AA7C43" w:rsidRPr="00F50F8B" w:rsidTr="00F404C2">
        <w:trPr>
          <w:trHeight w:val="467"/>
        </w:trPr>
        <w:tc>
          <w:tcPr>
            <w:tcW w:w="4230" w:type="dxa"/>
          </w:tcPr>
          <w:p w:rsidR="00AA7C43" w:rsidRPr="00AA7C43" w:rsidRDefault="00AA7C43" w:rsidP="00F404C2">
            <w:pPr>
              <w:spacing w:after="0" w:line="240" w:lineRule="auto"/>
              <w:ind w:left="72"/>
              <w:rPr>
                <w:rFonts w:cs="Calibri"/>
                <w:sz w:val="24"/>
                <w:szCs w:val="24"/>
              </w:rPr>
            </w:pPr>
            <w:r w:rsidRPr="00AA7C43">
              <w:rPr>
                <w:rFonts w:cs="Calibri"/>
                <w:sz w:val="24"/>
                <w:szCs w:val="24"/>
              </w:rPr>
              <w:t xml:space="preserve">Zero-peak Home </w:t>
            </w:r>
          </w:p>
        </w:tc>
        <w:tc>
          <w:tcPr>
            <w:tcW w:w="5130" w:type="dxa"/>
          </w:tcPr>
          <w:p w:rsidR="00AA7C43" w:rsidRPr="00AA7C43" w:rsidRDefault="00AA7C43" w:rsidP="00F404C2">
            <w:pPr>
              <w:spacing w:after="0" w:line="240" w:lineRule="auto"/>
              <w:rPr>
                <w:rFonts w:cs="Calibri"/>
                <w:sz w:val="24"/>
                <w:szCs w:val="24"/>
              </w:rPr>
            </w:pPr>
            <w:r w:rsidRPr="00AA7C43">
              <w:rPr>
                <w:rFonts w:cs="Calibri"/>
                <w:sz w:val="24"/>
                <w:szCs w:val="24"/>
              </w:rPr>
              <w:t>$75 for each peak kW reduction due to on-site photovoltaic system</w:t>
            </w:r>
          </w:p>
        </w:tc>
      </w:tr>
    </w:tbl>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Financial incentives will take the form of fixed rebates (deemed) or may be calculated on a project by project basis.</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  </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RNC will pursue zero-peak homes as a reasonable milestone on the way to achieving the Strategic Plan’s ZNE homes.  The addition of a zero- peak photovoltaic kicker is part of the effort toward achieving zero-peak homes.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As part of the effort to address plug loads, ESMH is exploring such technologies as master plug shut-off switches (smart outlets that shut off when they detect only parasitic loads).  Additionally, and as part of the integrated demand side management (DSM) approach recommended by the Strategic Plan, ESMH will reward builders for installing demand response offerings such as PCTs and A/C Cycling controllers.  CAHP will deliver demand response measures paid for by the demand response programs.  CAHP intends to reward builders for these items based on a deemed amount rather than a performance-based incentive.</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CAHP will work with their AMI metering infrastructure teams to test and develop in-home displays to both drive plug load usage down and give customers both financial and social </w:t>
      </w:r>
      <w:r w:rsidRPr="00AA7C43">
        <w:rPr>
          <w:rFonts w:cs="Calibri"/>
          <w:sz w:val="24"/>
          <w:szCs w:val="24"/>
        </w:rPr>
        <w:lastRenderedPageBreak/>
        <w:t>reasons to conserve energy</w:t>
      </w:r>
      <w:r w:rsidRPr="00AA7C43">
        <w:rPr>
          <w:rStyle w:val="FootnoteReference"/>
          <w:rFonts w:cs="Calibri"/>
          <w:sz w:val="24"/>
          <w:szCs w:val="24"/>
        </w:rPr>
        <w:footnoteReference w:id="71"/>
      </w:r>
      <w:r w:rsidRPr="00AA7C43">
        <w:rPr>
          <w:rFonts w:cs="Calibri"/>
          <w:sz w:val="24"/>
          <w:szCs w:val="24"/>
        </w:rPr>
        <w:t>.  In addition to financial savings, the rationale is that customers will gain social status and personal satisfaction by being the most conserving, much as Prius current owners compete to outperform each other and the EPA’s expected miles per gallon.</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Marketing efforts will target manufactured home retailers as well as customers.</w:t>
      </w:r>
    </w:p>
    <w:p w:rsidR="00AA7C43" w:rsidRPr="00AA7C43" w:rsidRDefault="00AA7C43" w:rsidP="00AA7C43">
      <w:pPr>
        <w:spacing w:after="0" w:line="240" w:lineRule="auto"/>
        <w:ind w:left="360"/>
        <w:rPr>
          <w:rFonts w:cs="Calibri"/>
          <w:sz w:val="24"/>
          <w:szCs w:val="24"/>
        </w:rPr>
      </w:pPr>
      <w:r w:rsidRPr="00AA7C43">
        <w:rPr>
          <w:rFonts w:cs="Calibri"/>
          <w:sz w:val="24"/>
          <w:szCs w:val="24"/>
        </w:rPr>
        <w:t>Desired program outcomes are:</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8"/>
        </w:numPr>
        <w:tabs>
          <w:tab w:val="clear" w:pos="360"/>
        </w:tabs>
        <w:autoSpaceDE w:val="0"/>
        <w:autoSpaceDN w:val="0"/>
        <w:adjustRightInd w:val="0"/>
        <w:spacing w:after="0" w:line="240" w:lineRule="auto"/>
        <w:ind w:left="720"/>
        <w:rPr>
          <w:rFonts w:cs="Calibri"/>
          <w:sz w:val="24"/>
          <w:szCs w:val="24"/>
        </w:rPr>
      </w:pPr>
      <w:r w:rsidRPr="00AA7C43">
        <w:rPr>
          <w:rFonts w:cs="Calibri"/>
          <w:sz w:val="24"/>
          <w:szCs w:val="24"/>
        </w:rPr>
        <w:t>To achieve short and long term energy savings and demand reduction in the most cost effective manner possible.</w:t>
      </w:r>
    </w:p>
    <w:p w:rsidR="00AA7C43" w:rsidRPr="00AA7C43" w:rsidRDefault="00AA7C43" w:rsidP="00C31CC0">
      <w:pPr>
        <w:numPr>
          <w:ilvl w:val="0"/>
          <w:numId w:val="8"/>
        </w:numPr>
        <w:tabs>
          <w:tab w:val="clear" w:pos="360"/>
        </w:tabs>
        <w:autoSpaceDE w:val="0"/>
        <w:autoSpaceDN w:val="0"/>
        <w:adjustRightInd w:val="0"/>
        <w:spacing w:after="0" w:line="240" w:lineRule="auto"/>
        <w:ind w:left="720"/>
        <w:rPr>
          <w:rFonts w:cs="Calibri"/>
          <w:sz w:val="24"/>
          <w:szCs w:val="24"/>
        </w:rPr>
      </w:pPr>
      <w:r w:rsidRPr="00AA7C43">
        <w:rPr>
          <w:rFonts w:cs="Calibri"/>
          <w:sz w:val="24"/>
          <w:szCs w:val="24"/>
        </w:rPr>
        <w:t xml:space="preserve">To increase the penetration of ENERGY STAR® manufactured homes within California, and to make ENERGY STAR® the customer’s preferred choice.  </w:t>
      </w:r>
    </w:p>
    <w:p w:rsidR="00AA7C43" w:rsidRPr="00AA7C43" w:rsidRDefault="00AA7C43" w:rsidP="00C31CC0">
      <w:pPr>
        <w:numPr>
          <w:ilvl w:val="0"/>
          <w:numId w:val="8"/>
        </w:numPr>
        <w:tabs>
          <w:tab w:val="clear" w:pos="360"/>
        </w:tabs>
        <w:autoSpaceDE w:val="0"/>
        <w:autoSpaceDN w:val="0"/>
        <w:adjustRightInd w:val="0"/>
        <w:spacing w:after="0" w:line="240" w:lineRule="auto"/>
        <w:ind w:left="720"/>
        <w:rPr>
          <w:rFonts w:cs="Calibri"/>
          <w:sz w:val="24"/>
          <w:szCs w:val="24"/>
        </w:rPr>
      </w:pPr>
      <w:r w:rsidRPr="00AA7C43">
        <w:rPr>
          <w:rFonts w:cs="Calibri"/>
          <w:sz w:val="24"/>
          <w:szCs w:val="24"/>
        </w:rPr>
        <w:t xml:space="preserve">To transform the marketplace by promoting ENERGY STAR® qualified manufactured homes the new standard choice instead of homes that meet the existing HUD standards. </w:t>
      </w:r>
    </w:p>
    <w:p w:rsidR="00AA7C43" w:rsidRPr="00AA7C43" w:rsidRDefault="00AA7C43" w:rsidP="00C31CC0">
      <w:pPr>
        <w:numPr>
          <w:ilvl w:val="0"/>
          <w:numId w:val="8"/>
        </w:numPr>
        <w:tabs>
          <w:tab w:val="clear" w:pos="360"/>
        </w:tabs>
        <w:autoSpaceDE w:val="0"/>
        <w:autoSpaceDN w:val="0"/>
        <w:adjustRightInd w:val="0"/>
        <w:spacing w:after="0" w:line="240" w:lineRule="auto"/>
        <w:ind w:left="720"/>
        <w:rPr>
          <w:rFonts w:cs="Calibri"/>
          <w:sz w:val="24"/>
          <w:szCs w:val="24"/>
        </w:rPr>
      </w:pPr>
      <w:r w:rsidRPr="00AA7C43">
        <w:rPr>
          <w:rFonts w:cs="Calibri"/>
          <w:sz w:val="24"/>
          <w:szCs w:val="24"/>
        </w:rPr>
        <w:t xml:space="preserve">To establish a strong working relationship with manufactured home retailers. </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A finished project is defined as the completion and assembly of a manufactured home.  The process of purchasing and installing an ENERGY STAR® qualified home can be lengthy, so projects need to be monitored closely throughout the program cycle.</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The program will include a quality assurance plan with a field inspection component to verify that the manufactured home(s) meets ENERGY STAR® and program’s requirements.  The program will also have a mechanism to verify that the assembly of the home is in accordance with these standards.  This will include ducting work and installation of end-use equipment (for example, HVAC).  Many ENERGY STAR® components are assembled on-site and the compliance must be verified once assembled.</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Customer information will be captured once a project is complete to allow IOUs to integrate delivery of other program offerings to these customers as well as tracking any possible double-dipping.  Information on parties receiving incentives will be tracked and reported.</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rPr>
          <w:rFonts w:cs="Calibri"/>
          <w:b/>
          <w:sz w:val="24"/>
          <w:szCs w:val="24"/>
        </w:rPr>
      </w:pPr>
      <w:r w:rsidRPr="00AA7C43">
        <w:rPr>
          <w:rFonts w:cs="Calibri"/>
          <w:b/>
          <w:sz w:val="24"/>
          <w:szCs w:val="24"/>
        </w:rPr>
        <w:br w:type="page"/>
      </w:r>
    </w:p>
    <w:p w:rsidR="00AA7C43" w:rsidRPr="00AA7C43" w:rsidRDefault="00AA7C43" w:rsidP="00AA7C43">
      <w:pPr>
        <w:spacing w:after="0" w:line="240" w:lineRule="auto"/>
        <w:ind w:left="360" w:hanging="360"/>
        <w:rPr>
          <w:rFonts w:cs="Calibri"/>
          <w:b/>
          <w:sz w:val="24"/>
          <w:szCs w:val="24"/>
        </w:rPr>
      </w:pPr>
      <w:r w:rsidRPr="00AA7C43">
        <w:rPr>
          <w:rFonts w:cs="Calibri"/>
          <w:b/>
          <w:sz w:val="24"/>
          <w:szCs w:val="24"/>
        </w:rPr>
        <w:lastRenderedPageBreak/>
        <w:t xml:space="preserve">5. </w:t>
      </w:r>
      <w:r w:rsidRPr="00AA7C43">
        <w:rPr>
          <w:rFonts w:cs="Calibri"/>
          <w:b/>
          <w:sz w:val="24"/>
          <w:szCs w:val="24"/>
        </w:rPr>
        <w:tab/>
        <w:t xml:space="preserve">Program Rationale and Expected Outcome </w:t>
      </w:r>
    </w:p>
    <w:p w:rsidR="00AA7C43" w:rsidRPr="00AA7C43" w:rsidRDefault="00AA7C43" w:rsidP="00AA7C43">
      <w:pPr>
        <w:spacing w:after="0" w:line="240" w:lineRule="auto"/>
        <w:ind w:left="720" w:hanging="360"/>
        <w:rPr>
          <w:rFonts w:cs="Calibri"/>
          <w:b/>
          <w:sz w:val="24"/>
          <w:szCs w:val="24"/>
        </w:rPr>
      </w:pPr>
    </w:p>
    <w:p w:rsidR="00AA7C43" w:rsidRPr="00AA7C43" w:rsidRDefault="00AA7C43" w:rsidP="00AA7C43">
      <w:pPr>
        <w:spacing w:after="0" w:line="240" w:lineRule="auto"/>
        <w:ind w:left="720" w:hanging="360"/>
        <w:rPr>
          <w:rFonts w:cs="Calibri"/>
          <w:sz w:val="24"/>
          <w:szCs w:val="24"/>
        </w:rPr>
      </w:pPr>
      <w:r w:rsidRPr="00AA7C43">
        <w:rPr>
          <w:rFonts w:cs="Calibri"/>
          <w:b/>
          <w:sz w:val="24"/>
          <w:szCs w:val="24"/>
        </w:rPr>
        <w:t>a)</w:t>
      </w:r>
      <w:r w:rsidRPr="00AA7C43">
        <w:rPr>
          <w:rFonts w:cs="Calibri"/>
          <w:b/>
          <w:sz w:val="24"/>
          <w:szCs w:val="24"/>
        </w:rPr>
        <w:tab/>
      </w:r>
      <w:r w:rsidRPr="00AA7C43">
        <w:rPr>
          <w:rFonts w:cs="Calibri"/>
          <w:b/>
          <w:sz w:val="24"/>
          <w:szCs w:val="24"/>
          <w:u w:val="single"/>
        </w:rPr>
        <w:t>Quantitative Baseline and Market Transformation Information</w:t>
      </w:r>
    </w:p>
    <w:p w:rsidR="00AA7C43" w:rsidRPr="00AA7C43" w:rsidRDefault="00AA7C43" w:rsidP="00AA7C43">
      <w:pPr>
        <w:autoSpaceDE w:val="0"/>
        <w:autoSpaceDN w:val="0"/>
        <w:adjustRightInd w:val="0"/>
        <w:spacing w:after="0" w:line="240" w:lineRule="auto"/>
        <w:ind w:left="360"/>
        <w:rPr>
          <w:rFonts w:cs="Calibri"/>
          <w:sz w:val="24"/>
          <w:szCs w:val="24"/>
        </w:rPr>
      </w:pPr>
      <w:r w:rsidRPr="00AA7C43">
        <w:rPr>
          <w:rFonts w:cs="Calibri"/>
          <w:sz w:val="24"/>
          <w:szCs w:val="24"/>
        </w:rPr>
        <w:t>On December 2, 2010, the Commission issued Resolution E-4385, approving Program Performance Metrics (PPMs) for Pacific Gas and Electric Company, Southern California Edison Company, Southern California Gas Company and San Diego Gas and Electric Company for 2010-2012 statewide energy efficiency programs and subprograms.  The Commission gave each PPM a metric type which indicated the reporting frequency:  Metric type 2a indicates that the IOUs should report on the metric on an annual basis (unless indicated otherwise).  Metric type 2b indicates the IOUs should report on the metric at the end of the program cycle.</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Below are the approved PPMs and metric types for the Lighting Market Transformation Statewide Program (Resolution E-4385, Appendix A):</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ind w:left="360"/>
        <w:rPr>
          <w:rFonts w:cs="Calibri"/>
          <w:b/>
          <w:sz w:val="24"/>
          <w:szCs w:val="24"/>
        </w:rPr>
      </w:pPr>
      <w:r w:rsidRPr="00AA7C43">
        <w:rPr>
          <w:rFonts w:cs="Calibri"/>
          <w:b/>
          <w:sz w:val="24"/>
          <w:szCs w:val="24"/>
        </w:rPr>
        <w:t>Table 3</w:t>
      </w:r>
    </w:p>
    <w:tbl>
      <w:tblPr>
        <w:tblW w:w="1026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95"/>
        <w:gridCol w:w="7372"/>
        <w:gridCol w:w="993"/>
      </w:tblGrid>
      <w:tr w:rsidR="00AA7C43" w:rsidRPr="00F50F8B" w:rsidTr="00F404C2">
        <w:trPr>
          <w:tblHeader/>
        </w:trPr>
        <w:tc>
          <w:tcPr>
            <w:tcW w:w="1895" w:type="dxa"/>
            <w:shd w:val="clear" w:color="auto" w:fill="808080"/>
            <w:tcMar>
              <w:left w:w="14" w:type="dxa"/>
              <w:right w:w="14" w:type="dxa"/>
            </w:tcMar>
          </w:tcPr>
          <w:p w:rsidR="00AA7C43" w:rsidRPr="00AA7C43" w:rsidRDefault="00AA7C43" w:rsidP="00F404C2">
            <w:pPr>
              <w:spacing w:after="0" w:line="240" w:lineRule="auto"/>
              <w:rPr>
                <w:rFonts w:cs="Calibri"/>
                <w:b/>
                <w:color w:val="FFFFFF"/>
                <w:sz w:val="24"/>
                <w:szCs w:val="24"/>
              </w:rPr>
            </w:pPr>
            <w:r w:rsidRPr="00AA7C43">
              <w:rPr>
                <w:rFonts w:cs="Calibri"/>
                <w:b/>
                <w:color w:val="FFFFFF"/>
                <w:sz w:val="24"/>
                <w:szCs w:val="24"/>
              </w:rPr>
              <w:t xml:space="preserve">SW PROGRAM / </w:t>
            </w:r>
          </w:p>
          <w:p w:rsidR="00AA7C43" w:rsidRPr="00AA7C43" w:rsidRDefault="00AA7C43" w:rsidP="00F404C2">
            <w:pPr>
              <w:spacing w:after="0" w:line="240" w:lineRule="auto"/>
              <w:rPr>
                <w:rFonts w:cs="Calibri"/>
                <w:b/>
                <w:color w:val="FFFFFF"/>
                <w:sz w:val="24"/>
                <w:szCs w:val="24"/>
              </w:rPr>
            </w:pPr>
            <w:r w:rsidRPr="00AA7C43">
              <w:rPr>
                <w:rFonts w:cs="Calibri"/>
                <w:b/>
                <w:i/>
                <w:color w:val="FFFFFF"/>
                <w:sz w:val="24"/>
                <w:szCs w:val="24"/>
              </w:rPr>
              <w:t>Sub-Program</w:t>
            </w:r>
          </w:p>
        </w:tc>
        <w:tc>
          <w:tcPr>
            <w:tcW w:w="7372" w:type="dxa"/>
            <w:shd w:val="clear" w:color="auto" w:fill="808080"/>
            <w:tcMar>
              <w:left w:w="14" w:type="dxa"/>
              <w:right w:w="14" w:type="dxa"/>
            </w:tcMar>
          </w:tcPr>
          <w:p w:rsidR="00AA7C43" w:rsidRPr="00AA7C43" w:rsidRDefault="00AA7C43" w:rsidP="00F404C2">
            <w:pPr>
              <w:spacing w:after="0" w:line="240" w:lineRule="auto"/>
              <w:jc w:val="center"/>
              <w:rPr>
                <w:rFonts w:cs="Calibri"/>
                <w:b/>
                <w:color w:val="FFFFFF"/>
                <w:sz w:val="24"/>
                <w:szCs w:val="24"/>
              </w:rPr>
            </w:pPr>
            <w:r w:rsidRPr="00AA7C43">
              <w:rPr>
                <w:rFonts w:cs="Calibri"/>
                <w:b/>
                <w:color w:val="FFFFFF"/>
                <w:sz w:val="24"/>
                <w:szCs w:val="24"/>
              </w:rPr>
              <w:t>PROGRAM PERFORMANCE METRIC (PPM)</w:t>
            </w:r>
          </w:p>
        </w:tc>
        <w:tc>
          <w:tcPr>
            <w:tcW w:w="993" w:type="dxa"/>
            <w:shd w:val="clear" w:color="auto" w:fill="808080"/>
            <w:tcMar>
              <w:left w:w="14" w:type="dxa"/>
              <w:right w:w="14" w:type="dxa"/>
            </w:tcMar>
          </w:tcPr>
          <w:p w:rsidR="00AA7C43" w:rsidRPr="00AA7C43" w:rsidRDefault="00AA7C43" w:rsidP="00F404C2">
            <w:pPr>
              <w:spacing w:after="0" w:line="240" w:lineRule="auto"/>
              <w:jc w:val="center"/>
              <w:rPr>
                <w:rFonts w:cs="Calibri"/>
                <w:b/>
                <w:color w:val="FFFFFF"/>
                <w:sz w:val="24"/>
                <w:szCs w:val="24"/>
              </w:rPr>
            </w:pPr>
            <w:r w:rsidRPr="00AA7C43">
              <w:rPr>
                <w:rFonts w:cs="Calibri"/>
                <w:b/>
                <w:color w:val="FFFFFF"/>
                <w:sz w:val="24"/>
                <w:szCs w:val="24"/>
              </w:rPr>
              <w:t>Metric Type</w:t>
            </w:r>
          </w:p>
        </w:tc>
      </w:tr>
    </w:tbl>
    <w:p w:rsidR="00AA7C43" w:rsidRPr="00AA7C43" w:rsidRDefault="00AA7C43" w:rsidP="00AA7C43">
      <w:pPr>
        <w:spacing w:after="0" w:line="240" w:lineRule="auto"/>
        <w:ind w:left="360"/>
        <w:rPr>
          <w:rFonts w:cs="Calibri"/>
          <w:b/>
          <w:sz w:val="24"/>
          <w:szCs w:val="24"/>
        </w:rPr>
      </w:pPr>
    </w:p>
    <w:tbl>
      <w:tblPr>
        <w:tblW w:w="10264"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5"/>
        <w:gridCol w:w="7469"/>
        <w:gridCol w:w="990"/>
      </w:tblGrid>
      <w:tr w:rsidR="00AA7C43" w:rsidRPr="00F50F8B" w:rsidTr="00F404C2">
        <w:tc>
          <w:tcPr>
            <w:tcW w:w="1805" w:type="dxa"/>
            <w:vMerge w:val="restart"/>
          </w:tcPr>
          <w:p w:rsidR="00AA7C43" w:rsidRPr="00AA7C43" w:rsidRDefault="00AA7C43" w:rsidP="00F404C2">
            <w:pPr>
              <w:spacing w:after="0" w:line="240" w:lineRule="auto"/>
              <w:rPr>
                <w:rFonts w:cs="Calibri"/>
                <w:b/>
                <w:i/>
                <w:sz w:val="24"/>
                <w:szCs w:val="24"/>
              </w:rPr>
            </w:pPr>
            <w:r w:rsidRPr="00AA7C43">
              <w:rPr>
                <w:rFonts w:cs="Calibri"/>
                <w:b/>
                <w:i/>
                <w:sz w:val="24"/>
                <w:szCs w:val="24"/>
              </w:rPr>
              <w:t>Residential ENERGY STAR® Manufactured Housing</w:t>
            </w:r>
          </w:p>
          <w:p w:rsidR="00AA7C43" w:rsidRPr="00AA7C43" w:rsidRDefault="00AA7C43" w:rsidP="00F404C2">
            <w:pPr>
              <w:spacing w:after="0" w:line="240" w:lineRule="auto"/>
              <w:rPr>
                <w:rFonts w:cs="Calibri"/>
                <w:b/>
                <w:i/>
                <w:sz w:val="24"/>
                <w:szCs w:val="24"/>
              </w:rPr>
            </w:pPr>
          </w:p>
        </w:tc>
        <w:tc>
          <w:tcPr>
            <w:tcW w:w="7469" w:type="dxa"/>
          </w:tcPr>
          <w:p w:rsidR="00AA7C43" w:rsidRPr="00AA7C43" w:rsidRDefault="00AA7C43" w:rsidP="00F404C2">
            <w:pPr>
              <w:spacing w:after="0" w:line="240" w:lineRule="auto"/>
              <w:rPr>
                <w:rFonts w:cs="Calibri"/>
                <w:sz w:val="24"/>
                <w:szCs w:val="24"/>
              </w:rPr>
            </w:pPr>
            <w:r w:rsidRPr="00AA7C43">
              <w:rPr>
                <w:rFonts w:cs="Calibri"/>
                <w:sz w:val="24"/>
                <w:szCs w:val="24"/>
              </w:rPr>
              <w:t>1. Number of manufactured housing units sold in IOU service territories (via retailers and/or manufacturers) participating in program</w:t>
            </w:r>
          </w:p>
          <w:p w:rsidR="00AA7C43" w:rsidRPr="00AA7C43" w:rsidRDefault="00AA7C43" w:rsidP="00F404C2">
            <w:pPr>
              <w:spacing w:after="0" w:line="240" w:lineRule="auto"/>
              <w:rPr>
                <w:rFonts w:cs="Calibri"/>
                <w:sz w:val="24"/>
                <w:szCs w:val="24"/>
              </w:rPr>
            </w:pPr>
          </w:p>
        </w:tc>
        <w:tc>
          <w:tcPr>
            <w:tcW w:w="990" w:type="dxa"/>
          </w:tcPr>
          <w:p w:rsidR="00AA7C43" w:rsidRPr="00AA7C43" w:rsidRDefault="00AA7C43" w:rsidP="00F404C2">
            <w:pPr>
              <w:spacing w:after="0" w:line="240" w:lineRule="auto"/>
              <w:jc w:val="center"/>
              <w:rPr>
                <w:rFonts w:cs="Calibri"/>
                <w:sz w:val="24"/>
                <w:szCs w:val="24"/>
              </w:rPr>
            </w:pPr>
            <w:r w:rsidRPr="00AA7C43">
              <w:rPr>
                <w:rFonts w:cs="Calibri"/>
                <w:sz w:val="24"/>
                <w:szCs w:val="24"/>
              </w:rPr>
              <w:t>2a</w:t>
            </w:r>
          </w:p>
        </w:tc>
      </w:tr>
      <w:tr w:rsidR="00AA7C43" w:rsidRPr="00F50F8B" w:rsidTr="00F404C2">
        <w:tc>
          <w:tcPr>
            <w:tcW w:w="1805" w:type="dxa"/>
            <w:vMerge/>
          </w:tcPr>
          <w:p w:rsidR="00AA7C43" w:rsidRPr="00AA7C43" w:rsidRDefault="00AA7C43" w:rsidP="00F404C2">
            <w:pPr>
              <w:spacing w:after="0" w:line="240" w:lineRule="auto"/>
              <w:rPr>
                <w:rFonts w:cs="Calibri"/>
                <w:b/>
                <w:sz w:val="24"/>
                <w:szCs w:val="24"/>
              </w:rPr>
            </w:pPr>
          </w:p>
        </w:tc>
        <w:tc>
          <w:tcPr>
            <w:tcW w:w="7469" w:type="dxa"/>
          </w:tcPr>
          <w:p w:rsidR="00AA7C43" w:rsidRPr="00AA7C43" w:rsidRDefault="00AA7C43" w:rsidP="00F404C2">
            <w:pPr>
              <w:spacing w:after="0" w:line="240" w:lineRule="auto"/>
              <w:rPr>
                <w:rFonts w:cs="Calibri"/>
                <w:sz w:val="24"/>
                <w:szCs w:val="24"/>
              </w:rPr>
            </w:pPr>
            <w:r w:rsidRPr="00AA7C43">
              <w:rPr>
                <w:rFonts w:cs="Calibri"/>
                <w:sz w:val="24"/>
                <w:szCs w:val="24"/>
              </w:rPr>
              <w:t>2. Number and percentage of participating projects utilizing:  (a) whole house incentive for gas heat; (b) whole house incentive for electric heat</w:t>
            </w:r>
          </w:p>
          <w:p w:rsidR="00AA7C43" w:rsidRPr="00AA7C43" w:rsidRDefault="00AA7C43" w:rsidP="00F404C2">
            <w:pPr>
              <w:spacing w:after="0" w:line="240" w:lineRule="auto"/>
              <w:rPr>
                <w:rFonts w:cs="Calibri"/>
                <w:sz w:val="24"/>
                <w:szCs w:val="24"/>
              </w:rPr>
            </w:pPr>
          </w:p>
        </w:tc>
        <w:tc>
          <w:tcPr>
            <w:tcW w:w="990" w:type="dxa"/>
          </w:tcPr>
          <w:p w:rsidR="00AA7C43" w:rsidRPr="00AA7C43" w:rsidRDefault="00AA7C43" w:rsidP="00F404C2">
            <w:pPr>
              <w:spacing w:after="0" w:line="240" w:lineRule="auto"/>
              <w:jc w:val="center"/>
              <w:rPr>
                <w:rFonts w:cs="Calibri"/>
                <w:sz w:val="24"/>
                <w:szCs w:val="24"/>
              </w:rPr>
            </w:pPr>
            <w:r w:rsidRPr="00AA7C43">
              <w:rPr>
                <w:rFonts w:cs="Calibri"/>
                <w:sz w:val="24"/>
                <w:szCs w:val="24"/>
              </w:rPr>
              <w:t>2a</w:t>
            </w:r>
          </w:p>
        </w:tc>
      </w:tr>
    </w:tbl>
    <w:p w:rsidR="00AA7C43" w:rsidRPr="00AA7C43" w:rsidRDefault="00AA7C43" w:rsidP="00AA7C43">
      <w:pPr>
        <w:spacing w:after="0" w:line="240" w:lineRule="auto"/>
        <w:rPr>
          <w:rFonts w:cs="Calibri"/>
          <w:b/>
          <w:sz w:val="24"/>
          <w:szCs w:val="24"/>
        </w:rPr>
      </w:pPr>
    </w:p>
    <w:p w:rsidR="00AA7C43" w:rsidRPr="00AA7C43" w:rsidRDefault="00AA7C43" w:rsidP="00C31CC0">
      <w:pPr>
        <w:numPr>
          <w:ilvl w:val="0"/>
          <w:numId w:val="155"/>
        </w:numPr>
        <w:tabs>
          <w:tab w:val="clear" w:pos="1080"/>
        </w:tabs>
        <w:spacing w:after="0" w:line="240" w:lineRule="auto"/>
        <w:ind w:left="720"/>
        <w:rPr>
          <w:rFonts w:cs="Calibri"/>
          <w:b/>
          <w:sz w:val="24"/>
          <w:szCs w:val="24"/>
        </w:rPr>
        <w:pPrChange w:id="51" w:author="cerobins" w:date="2012-09-04T13:35:00Z">
          <w:pPr>
            <w:numPr>
              <w:numId w:val="165"/>
            </w:numPr>
            <w:spacing w:after="0" w:line="240" w:lineRule="auto"/>
            <w:ind w:left="720" w:hanging="360"/>
          </w:pPr>
        </w:pPrChange>
      </w:pPr>
      <w:r w:rsidRPr="00AA7C43">
        <w:rPr>
          <w:rFonts w:cs="Calibri"/>
          <w:b/>
          <w:sz w:val="24"/>
          <w:szCs w:val="24"/>
          <w:u w:val="single"/>
        </w:rPr>
        <w:t>Market Transformation Information</w:t>
      </w:r>
    </w:p>
    <w:p w:rsidR="00AA7C43" w:rsidRPr="00AA7C43" w:rsidRDefault="00AA7C43" w:rsidP="00AA7C43">
      <w:pPr>
        <w:spacing w:after="0" w:line="240" w:lineRule="auto"/>
        <w:ind w:left="360"/>
        <w:rPr>
          <w:rFonts w:cs="Calibri"/>
          <w:color w:val="000000"/>
          <w:sz w:val="24"/>
          <w:szCs w:val="24"/>
        </w:rPr>
      </w:pPr>
      <w:r w:rsidRPr="00AA7C43">
        <w:rPr>
          <w:rFonts w:cs="Calibri"/>
          <w:color w:val="000000"/>
          <w:sz w:val="24"/>
          <w:szCs w:val="24"/>
        </w:rPr>
        <w:t>Resolution E-4385 identifies a preliminary list of objectives and market transformation indicators (MTIs) for statewide energy efficiency programs and subprograms.  These MTIs will be presented at a public workshop to allow for public comments and discussion before being finalized.  The Resolution further directs the Joint Utilities to work collaboratively with Energy Division staff to select a subset of these MTIs for data collection, tracking and reporting as part of the 2010-2012 energy efficiency evaluation, monitoring and verification (EM&amp;V) activities.</w:t>
      </w:r>
    </w:p>
    <w:p w:rsidR="00AA7C43" w:rsidRPr="00AA7C43" w:rsidRDefault="00AA7C43" w:rsidP="00AA7C43">
      <w:pPr>
        <w:spacing w:after="0" w:line="240" w:lineRule="auto"/>
        <w:ind w:left="360"/>
        <w:rPr>
          <w:rFonts w:cs="Calibri"/>
          <w:color w:val="000000"/>
          <w:sz w:val="24"/>
          <w:szCs w:val="24"/>
        </w:rPr>
      </w:pPr>
    </w:p>
    <w:p w:rsidR="00AA7C43" w:rsidRPr="00AA7C43" w:rsidRDefault="00AA7C43" w:rsidP="00C31CC0">
      <w:pPr>
        <w:numPr>
          <w:ilvl w:val="0"/>
          <w:numId w:val="155"/>
        </w:numPr>
        <w:tabs>
          <w:tab w:val="clear" w:pos="1080"/>
          <w:tab w:val="num" w:pos="720"/>
        </w:tabs>
        <w:spacing w:after="0" w:line="240" w:lineRule="auto"/>
        <w:ind w:left="360"/>
        <w:rPr>
          <w:rFonts w:cs="Calibri"/>
          <w:b/>
          <w:sz w:val="24"/>
          <w:szCs w:val="24"/>
          <w:u w:val="single"/>
        </w:rPr>
        <w:pPrChange w:id="52" w:author="cerobins" w:date="2012-09-04T13:35:00Z">
          <w:pPr>
            <w:numPr>
              <w:numId w:val="165"/>
            </w:numPr>
            <w:tabs>
              <w:tab w:val="num" w:pos="720"/>
            </w:tabs>
            <w:spacing w:after="0" w:line="240" w:lineRule="auto"/>
            <w:ind w:left="720" w:hanging="360"/>
          </w:pPr>
        </w:pPrChange>
      </w:pPr>
      <w:r w:rsidRPr="00AA7C43">
        <w:rPr>
          <w:rFonts w:cs="Calibri"/>
          <w:b/>
          <w:sz w:val="24"/>
          <w:szCs w:val="24"/>
          <w:u w:val="single"/>
        </w:rPr>
        <w:t>Program Design to Overcome Barriers (Priority Barrier: Homebuyers)</w:t>
      </w: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The energy used in the average home produces roughly twice the greenhouse gas emissions as the average automobile.  In fact, 16% of U.S. greenhouse gas emissions result from the generation of energy used in houses nationwide (U.S. EPA).  However, there is little consumer awareness of the impact their homes have on the environment. CAHP is working with IOU marketing efforts, statewide partners (e.g. Flex Your Power), ENERGY STAR® campaigns, and builder’s own messaging to increase consumer awareness of this idea.  Moreover, there is scant evidence that energy efficiency drives decision- making among homebuyers, whose access to capital is more difficult in a constrained capital market.</w:t>
      </w:r>
    </w:p>
    <w:p w:rsidR="00AA7C43" w:rsidRPr="00AA7C43" w:rsidRDefault="00AA7C43" w:rsidP="00AA7C43">
      <w:pPr>
        <w:tabs>
          <w:tab w:val="left" w:pos="0"/>
        </w:tabs>
        <w:spacing w:after="0" w:line="240" w:lineRule="auto"/>
        <w:ind w:left="360"/>
        <w:rPr>
          <w:rFonts w:cs="Calibri"/>
          <w:b/>
          <w:sz w:val="24"/>
          <w:szCs w:val="24"/>
          <w:u w:val="single"/>
        </w:rPr>
      </w:pPr>
      <w:r w:rsidRPr="00AA7C43">
        <w:rPr>
          <w:rFonts w:cs="Calibri"/>
          <w:b/>
          <w:sz w:val="24"/>
          <w:szCs w:val="24"/>
          <w:u w:val="single"/>
        </w:rPr>
        <w:t>Manufactured Housing: a potential opportunity</w:t>
      </w:r>
    </w:p>
    <w:p w:rsidR="00AA7C43" w:rsidRPr="00AA7C43" w:rsidRDefault="00AA7C43" w:rsidP="00AA7C43">
      <w:pPr>
        <w:tabs>
          <w:tab w:val="left" w:pos="0"/>
        </w:tabs>
        <w:spacing w:after="0" w:line="240" w:lineRule="auto"/>
        <w:ind w:left="360"/>
        <w:rPr>
          <w:rFonts w:cs="Calibri"/>
          <w:sz w:val="24"/>
          <w:szCs w:val="24"/>
        </w:rPr>
      </w:pPr>
      <w:r w:rsidRPr="00AA7C43">
        <w:rPr>
          <w:rFonts w:cs="Calibri"/>
          <w:sz w:val="24"/>
          <w:szCs w:val="24"/>
        </w:rPr>
        <w:lastRenderedPageBreak/>
        <w:t xml:space="preserve">The current decline in the housing industry, the high cost of Residential housing, and increasing customer awareness of energy efficiency all make this a good time to address this underserved market segment. The manufactured housing industry is somewhat counter-cyclical to the site-built home market. As buyers are priced out of site-built homes, manufactured housing has become an affordable alternative. </w:t>
      </w:r>
    </w:p>
    <w:p w:rsidR="00AA7C43" w:rsidRPr="00AA7C43" w:rsidRDefault="00AA7C43" w:rsidP="00AA7C43">
      <w:pPr>
        <w:tabs>
          <w:tab w:val="left" w:pos="0"/>
        </w:tabs>
        <w:spacing w:after="0" w:line="240" w:lineRule="auto"/>
        <w:ind w:left="360"/>
        <w:rPr>
          <w:rFonts w:cs="Calibri"/>
          <w:sz w:val="24"/>
          <w:szCs w:val="24"/>
        </w:rPr>
      </w:pPr>
    </w:p>
    <w:p w:rsidR="00AA7C43" w:rsidRPr="00AA7C43" w:rsidRDefault="00AA7C43" w:rsidP="00AA7C43">
      <w:pPr>
        <w:tabs>
          <w:tab w:val="left" w:pos="0"/>
        </w:tabs>
        <w:spacing w:after="0" w:line="240" w:lineRule="auto"/>
        <w:ind w:left="360"/>
        <w:rPr>
          <w:rFonts w:cs="Calibri"/>
          <w:sz w:val="24"/>
          <w:szCs w:val="24"/>
        </w:rPr>
      </w:pPr>
      <w:r w:rsidRPr="00AA7C43">
        <w:rPr>
          <w:rFonts w:cs="Calibri"/>
          <w:sz w:val="24"/>
          <w:szCs w:val="24"/>
        </w:rPr>
        <w:t>Historically, manufactured housing has been considered a lost opportunity.  However, as SCE found in the 2006-2008 IDEEA program, there is significant interest among manufacturers in promoting the ENERGY STAR® brand.  Manufacturers recognize that ENERGY STAR® manufactured homes address both the high cost of purchasing a traditional new home and the high cost of energy bills.   However, without IOU intervention in the market, retailers are not pushing ENERGY STAR® homes and there is not enough demand for manufacturers to justify building them.</w:t>
      </w:r>
    </w:p>
    <w:p w:rsidR="00AA7C43" w:rsidRPr="00AA7C43" w:rsidRDefault="00AA7C43" w:rsidP="00AA7C43">
      <w:pPr>
        <w:pStyle w:val="Heading3"/>
        <w:keepNext w:val="0"/>
        <w:spacing w:before="0" w:after="0"/>
        <w:rPr>
          <w:rFonts w:ascii="Calibri" w:hAnsi="Calibri" w:cs="Calibri"/>
          <w:sz w:val="24"/>
          <w:szCs w:val="24"/>
        </w:rPr>
      </w:pPr>
    </w:p>
    <w:p w:rsidR="00AA7C43" w:rsidRPr="00AA7C43" w:rsidRDefault="00AA7C43" w:rsidP="00AA7C43">
      <w:pPr>
        <w:pStyle w:val="Heading3"/>
        <w:keepNext w:val="0"/>
        <w:spacing w:before="0" w:after="0"/>
        <w:ind w:firstLine="360"/>
        <w:rPr>
          <w:rFonts w:ascii="Calibri" w:hAnsi="Calibri" w:cs="Calibri"/>
          <w:sz w:val="24"/>
          <w:szCs w:val="24"/>
        </w:rPr>
      </w:pPr>
      <w:r w:rsidRPr="00AA7C43">
        <w:rPr>
          <w:rFonts w:ascii="Calibri" w:hAnsi="Calibri" w:cs="Calibri"/>
          <w:sz w:val="24"/>
          <w:szCs w:val="24"/>
        </w:rPr>
        <w:t>Overcoming Market Failure: CAHP</w:t>
      </w: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 xml:space="preserve">In a buyer’s market, builders are looking to differentiate themselves from competition.  This presents a opportunity for CAHP to assist builders in overcoming cost barriers, minimizing lost opportunities, and working collaboratively to help meet the state’s and IOUs’ goals for the reduction of greenhouse gas emissions and utility source demand. </w:t>
      </w:r>
    </w:p>
    <w:p w:rsidR="00AA7C43" w:rsidRPr="00AA7C43" w:rsidRDefault="00AA7C43" w:rsidP="00AA7C43">
      <w:pPr>
        <w:tabs>
          <w:tab w:val="left" w:pos="1800"/>
        </w:tabs>
        <w:spacing w:after="0" w:line="240" w:lineRule="auto"/>
        <w:ind w:left="360"/>
        <w:rPr>
          <w:rFonts w:cs="Calibri"/>
          <w:sz w:val="24"/>
          <w:szCs w:val="24"/>
        </w:rPr>
      </w:pP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 xml:space="preserve">The Residential New Construction market without IOU intervention is a lost opportunity for long-term energy savings.  However, with IOU intervention in the form of incentives and design support, the new construction market is well placed to demonstrate innovative approaches and cost-effective energy savings technologies.  </w:t>
      </w:r>
    </w:p>
    <w:p w:rsidR="00AA7C43" w:rsidRPr="00AA7C43" w:rsidRDefault="00AA7C43" w:rsidP="00AA7C43">
      <w:pPr>
        <w:tabs>
          <w:tab w:val="left" w:pos="1800"/>
        </w:tabs>
        <w:spacing w:after="0" w:line="240" w:lineRule="auto"/>
        <w:rPr>
          <w:rFonts w:cs="Calibri"/>
          <w:sz w:val="24"/>
          <w:szCs w:val="24"/>
        </w:rPr>
      </w:pPr>
    </w:p>
    <w:p w:rsidR="00AA7C43" w:rsidRPr="00AA7C43" w:rsidRDefault="00AA7C43" w:rsidP="00AA7C43">
      <w:pPr>
        <w:tabs>
          <w:tab w:val="left" w:pos="0"/>
        </w:tabs>
        <w:spacing w:after="0" w:line="240" w:lineRule="auto"/>
        <w:ind w:left="360"/>
        <w:rPr>
          <w:rFonts w:cs="Calibri"/>
          <w:b/>
          <w:sz w:val="24"/>
          <w:szCs w:val="24"/>
          <w:u w:val="single"/>
        </w:rPr>
      </w:pPr>
      <w:r w:rsidRPr="00AA7C43">
        <w:rPr>
          <w:rFonts w:cs="Calibri"/>
          <w:b/>
          <w:sz w:val="24"/>
          <w:szCs w:val="24"/>
          <w:u w:val="single"/>
        </w:rPr>
        <w:t>Overcoming Market Failure: Manufactured Housing</w:t>
      </w:r>
    </w:p>
    <w:p w:rsidR="00AA7C43" w:rsidRPr="00AA7C43" w:rsidRDefault="00AA7C43" w:rsidP="00AA7C43">
      <w:pPr>
        <w:spacing w:after="0" w:line="240" w:lineRule="auto"/>
        <w:ind w:left="360"/>
        <w:rPr>
          <w:rFonts w:cs="Calibri"/>
          <w:sz w:val="24"/>
          <w:szCs w:val="24"/>
        </w:rPr>
      </w:pPr>
      <w:r w:rsidRPr="00AA7C43">
        <w:rPr>
          <w:rFonts w:cs="Calibri"/>
          <w:sz w:val="24"/>
          <w:szCs w:val="24"/>
        </w:rPr>
        <w:t>The program provides an incentive to manufactured home retailers when they sell a manufactured home that meets or exceeds the current ENERGY STAR® standards.  These standards extend to the ducting and installation guidelines for heating/cooling equipment, be tracked and reported.</w:t>
      </w:r>
    </w:p>
    <w:p w:rsidR="00AA7C43" w:rsidRPr="00AA7C43" w:rsidRDefault="00AA7C43" w:rsidP="00AA7C43">
      <w:pPr>
        <w:tabs>
          <w:tab w:val="left" w:pos="0"/>
        </w:tabs>
        <w:spacing w:after="0" w:line="240" w:lineRule="auto"/>
        <w:ind w:left="360"/>
        <w:rPr>
          <w:rFonts w:cs="Calibri"/>
          <w:sz w:val="24"/>
          <w:szCs w:val="24"/>
        </w:rPr>
      </w:pPr>
    </w:p>
    <w:p w:rsidR="00AA7C43" w:rsidRPr="00AA7C43" w:rsidRDefault="00AA7C43" w:rsidP="00AA7C43">
      <w:pPr>
        <w:tabs>
          <w:tab w:val="left" w:pos="0"/>
        </w:tabs>
        <w:spacing w:after="0" w:line="240" w:lineRule="auto"/>
        <w:ind w:left="360"/>
        <w:rPr>
          <w:rFonts w:cs="Calibri"/>
          <w:sz w:val="24"/>
          <w:szCs w:val="24"/>
        </w:rPr>
      </w:pPr>
      <w:r w:rsidRPr="00AA7C43">
        <w:rPr>
          <w:rFonts w:cs="Calibri"/>
          <w:sz w:val="24"/>
          <w:szCs w:val="24"/>
        </w:rPr>
        <w:t>ENERGY STAR® qualified manufactured homes will generate energy savings and demand reduction. In addition to leveraging retailers of manufactured homes, the program will leverage the Partnerships Program to reach out to local governments where the homes will be built.</w:t>
      </w:r>
    </w:p>
    <w:p w:rsidR="00AA7C43" w:rsidRPr="00AA7C43" w:rsidRDefault="00AA7C43" w:rsidP="00AA7C43">
      <w:pPr>
        <w:tabs>
          <w:tab w:val="left" w:pos="0"/>
        </w:tabs>
        <w:spacing w:after="0" w:line="240" w:lineRule="auto"/>
        <w:ind w:left="360"/>
        <w:rPr>
          <w:rFonts w:cs="Calibri"/>
          <w:sz w:val="24"/>
          <w:szCs w:val="24"/>
        </w:rPr>
      </w:pPr>
    </w:p>
    <w:p w:rsidR="00AA7C43" w:rsidRPr="00AA7C43" w:rsidRDefault="00AA7C43" w:rsidP="00AA7C43">
      <w:pPr>
        <w:tabs>
          <w:tab w:val="left" w:pos="0"/>
        </w:tabs>
        <w:spacing w:after="0" w:line="240" w:lineRule="auto"/>
        <w:ind w:left="360"/>
        <w:rPr>
          <w:rFonts w:cs="Calibri"/>
          <w:sz w:val="24"/>
          <w:szCs w:val="24"/>
        </w:rPr>
      </w:pPr>
      <w:r w:rsidRPr="00AA7C43">
        <w:rPr>
          <w:rFonts w:cs="Calibri"/>
          <w:sz w:val="24"/>
          <w:szCs w:val="24"/>
        </w:rPr>
        <w:t>Manufactured homes have a higher potential for market transformation than the site-built industry due to factory standardization, and the fact that recent research indicates that eight manufacturers control approximately 98%</w:t>
      </w:r>
      <w:r w:rsidRPr="00AA7C43">
        <w:rPr>
          <w:rStyle w:val="FootnoteReference"/>
          <w:rFonts w:cs="Calibri"/>
          <w:sz w:val="24"/>
          <w:szCs w:val="24"/>
        </w:rPr>
        <w:footnoteReference w:id="72"/>
      </w:r>
      <w:r w:rsidRPr="00AA7C43">
        <w:rPr>
          <w:rFonts w:cs="Calibri"/>
          <w:sz w:val="24"/>
          <w:szCs w:val="24"/>
        </w:rPr>
        <w:t xml:space="preserve"> of the manufactured housing market.</w:t>
      </w:r>
    </w:p>
    <w:p w:rsidR="00AA7C43" w:rsidRPr="00AA7C43" w:rsidRDefault="00AA7C43" w:rsidP="00AA7C43">
      <w:pPr>
        <w:tabs>
          <w:tab w:val="left" w:pos="0"/>
        </w:tabs>
        <w:spacing w:after="0" w:line="240" w:lineRule="auto"/>
        <w:ind w:left="360"/>
        <w:rPr>
          <w:rFonts w:cs="Calibri"/>
          <w:sz w:val="24"/>
          <w:szCs w:val="24"/>
        </w:rPr>
      </w:pPr>
      <w:r w:rsidRPr="00AA7C43">
        <w:rPr>
          <w:rFonts w:cs="Calibri"/>
          <w:sz w:val="24"/>
          <w:szCs w:val="24"/>
        </w:rPr>
        <w:lastRenderedPageBreak/>
        <w:t>Customers may also receive incentives for purchasing an ENERGY STAR® manufactured home.  The incentives are paid directly to the customer after successful construction, assembly, and inspection of the home site.</w:t>
      </w:r>
    </w:p>
    <w:p w:rsidR="00AA7C43" w:rsidRPr="00AA7C43" w:rsidRDefault="00AA7C43" w:rsidP="00AA7C43">
      <w:pPr>
        <w:tabs>
          <w:tab w:val="left" w:pos="0"/>
        </w:tabs>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u w:val="single"/>
        </w:rPr>
      </w:pPr>
      <w:r w:rsidRPr="00AA7C43">
        <w:rPr>
          <w:rFonts w:cs="Calibri"/>
          <w:b/>
          <w:sz w:val="24"/>
          <w:szCs w:val="24"/>
          <w:u w:val="single"/>
        </w:rPr>
        <w:t>Current Program Baseline: Manufactured Housing</w:t>
      </w:r>
      <w:r w:rsidRPr="00AA7C43">
        <w:rPr>
          <w:rFonts w:cs="Calibri"/>
          <w:sz w:val="24"/>
          <w:szCs w:val="24"/>
          <w:u w:val="single"/>
        </w:rPr>
        <w:t>:</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construction of manufactured homes that meet ENERGY STAR® program standards, as opposed to the less stringent HUD standards, will result in demand reduction, energy savings, and the reduction of greenhouse gas emissions.  Prior to IOUs’ intervention in the market, there was no ENERGY STAR® qualified manufactured homes sold in our service territory.  </w:t>
      </w:r>
    </w:p>
    <w:p w:rsidR="00AA7C43" w:rsidRPr="00AA7C43" w:rsidRDefault="00AA7C43" w:rsidP="00AA7C43">
      <w:pPr>
        <w:tabs>
          <w:tab w:val="left" w:pos="0"/>
        </w:tabs>
        <w:spacing w:after="0" w:line="240" w:lineRule="auto"/>
        <w:ind w:left="360"/>
        <w:rPr>
          <w:rFonts w:cs="Calibri"/>
          <w:sz w:val="24"/>
          <w:szCs w:val="24"/>
        </w:rPr>
      </w:pPr>
    </w:p>
    <w:p w:rsidR="00AA7C43" w:rsidRPr="00AA7C43" w:rsidRDefault="00AA7C43" w:rsidP="00AA7C43">
      <w:pPr>
        <w:tabs>
          <w:tab w:val="left" w:pos="0"/>
        </w:tabs>
        <w:spacing w:after="0" w:line="240" w:lineRule="auto"/>
        <w:ind w:left="360"/>
        <w:rPr>
          <w:rFonts w:cs="Calibri"/>
          <w:sz w:val="24"/>
          <w:szCs w:val="24"/>
        </w:rPr>
      </w:pPr>
      <w:r w:rsidRPr="00AA7C43">
        <w:rPr>
          <w:rFonts w:cs="Calibri"/>
          <w:sz w:val="24"/>
          <w:szCs w:val="24"/>
        </w:rPr>
        <w:t>The energy savings will result from a combination of improved envelope efficiency (thermal and air tightness), use of high efficiency equipment, and the proper sizing (downsizing) of the cooling equipment. This program is statewide among all the IOUs, to provide continuity and better service to the builder at reduced costs.</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0"/>
          <w:numId w:val="155"/>
        </w:numPr>
        <w:tabs>
          <w:tab w:val="clear" w:pos="1080"/>
        </w:tabs>
        <w:spacing w:after="0" w:line="240" w:lineRule="auto"/>
        <w:ind w:left="720"/>
        <w:rPr>
          <w:rFonts w:cs="Calibri"/>
          <w:b/>
          <w:sz w:val="24"/>
          <w:szCs w:val="24"/>
        </w:rPr>
        <w:pPrChange w:id="53" w:author="cerobins" w:date="2012-09-04T13:35:00Z">
          <w:pPr>
            <w:numPr>
              <w:numId w:val="165"/>
            </w:numPr>
            <w:spacing w:after="0" w:line="240" w:lineRule="auto"/>
            <w:ind w:left="720" w:hanging="360"/>
          </w:pPr>
        </w:pPrChange>
      </w:pPr>
      <w:r w:rsidRPr="00AA7C43">
        <w:rPr>
          <w:rFonts w:cs="Calibri"/>
          <w:b/>
          <w:sz w:val="24"/>
          <w:szCs w:val="24"/>
          <w:u w:val="single"/>
        </w:rPr>
        <w:t>Quantitative Program Targets</w:t>
      </w:r>
    </w:p>
    <w:p w:rsidR="00AA7C43" w:rsidRPr="00AA7C43" w:rsidRDefault="00AA7C43" w:rsidP="00AA7C43">
      <w:pPr>
        <w:spacing w:after="0" w:line="240" w:lineRule="auto"/>
        <w:ind w:left="360"/>
        <w:rPr>
          <w:rFonts w:cs="Calibri"/>
          <w:sz w:val="24"/>
          <w:szCs w:val="24"/>
        </w:rPr>
      </w:pPr>
      <w:r w:rsidRPr="00AA7C43">
        <w:rPr>
          <w:rFonts w:cs="Calibri"/>
          <w:sz w:val="24"/>
          <w:szCs w:val="24"/>
        </w:rPr>
        <w:t>The targets provided herein are best estimates, but nonetheless are forecasts.</w:t>
      </w:r>
    </w:p>
    <w:p w:rsidR="00AA7C43" w:rsidRPr="00AA7C43" w:rsidRDefault="00AA7C43" w:rsidP="00AA7C43">
      <w:pPr>
        <w:spacing w:after="0" w:line="240" w:lineRule="auto"/>
        <w:rPr>
          <w:rFonts w:cs="Calibri"/>
          <w:b/>
          <w:sz w:val="24"/>
          <w:szCs w:val="24"/>
        </w:rPr>
      </w:pPr>
      <w:r w:rsidRPr="00AA7C43">
        <w:rPr>
          <w:rFonts w:cs="Calibri"/>
          <w:b/>
          <w:sz w:val="24"/>
          <w:szCs w:val="24"/>
        </w:rPr>
        <w:t xml:space="preserve">           </w:t>
      </w:r>
    </w:p>
    <w:p w:rsidR="00AA7C43" w:rsidRPr="00AA7C43" w:rsidRDefault="00AA7C43" w:rsidP="00AA7C43">
      <w:pPr>
        <w:spacing w:after="0" w:line="240" w:lineRule="auto"/>
        <w:rPr>
          <w:rFonts w:cs="Calibri"/>
          <w:sz w:val="24"/>
          <w:szCs w:val="24"/>
        </w:rPr>
      </w:pPr>
      <w:r w:rsidRPr="00AA7C43">
        <w:rPr>
          <w:rFonts w:cs="Calibri"/>
          <w:b/>
          <w:sz w:val="24"/>
          <w:szCs w:val="24"/>
        </w:rPr>
        <w:t xml:space="preserve">      Table 5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2430"/>
        <w:gridCol w:w="2430"/>
      </w:tblGrid>
      <w:tr w:rsidR="00AA7C43" w:rsidRPr="00F50F8B" w:rsidTr="00F404C2">
        <w:trPr>
          <w:trHeight w:val="329"/>
        </w:trPr>
        <w:tc>
          <w:tcPr>
            <w:tcW w:w="4140" w:type="dxa"/>
            <w:noWrap/>
            <w:vAlign w:val="bottom"/>
          </w:tcPr>
          <w:p w:rsidR="00AA7C43" w:rsidRPr="00AA7C43" w:rsidRDefault="00AA7C43" w:rsidP="00F404C2">
            <w:pPr>
              <w:spacing w:after="0" w:line="240" w:lineRule="auto"/>
              <w:rPr>
                <w:rFonts w:cs="Calibri"/>
                <w:b/>
                <w:sz w:val="24"/>
                <w:szCs w:val="24"/>
              </w:rPr>
            </w:pPr>
            <w:r w:rsidRPr="00AA7C43">
              <w:rPr>
                <w:rFonts w:cs="Calibri"/>
                <w:b/>
                <w:sz w:val="24"/>
                <w:szCs w:val="24"/>
              </w:rPr>
              <w:t>ENERGY STAR® Manufactured Homes</w:t>
            </w:r>
          </w:p>
        </w:tc>
        <w:tc>
          <w:tcPr>
            <w:tcW w:w="2430" w:type="dxa"/>
            <w:vAlign w:val="bottom"/>
          </w:tcPr>
          <w:p w:rsidR="00AA7C43" w:rsidRPr="00AA7C43" w:rsidRDefault="00AA7C43" w:rsidP="00F404C2">
            <w:pPr>
              <w:spacing w:after="0" w:line="240" w:lineRule="auto"/>
              <w:jc w:val="center"/>
              <w:rPr>
                <w:rFonts w:cs="Calibri"/>
                <w:b/>
                <w:sz w:val="24"/>
                <w:szCs w:val="24"/>
              </w:rPr>
            </w:pPr>
            <w:r w:rsidRPr="00AA7C43">
              <w:rPr>
                <w:rFonts w:cs="Calibri"/>
                <w:b/>
                <w:sz w:val="24"/>
                <w:szCs w:val="24"/>
              </w:rPr>
              <w:t>Program Target 2013</w:t>
            </w:r>
          </w:p>
        </w:tc>
        <w:tc>
          <w:tcPr>
            <w:tcW w:w="2430" w:type="dxa"/>
            <w:noWrap/>
            <w:vAlign w:val="bottom"/>
          </w:tcPr>
          <w:p w:rsidR="00AA7C43" w:rsidRPr="00AA7C43" w:rsidRDefault="00AA7C43" w:rsidP="00F404C2">
            <w:pPr>
              <w:spacing w:after="0" w:line="240" w:lineRule="auto"/>
              <w:jc w:val="center"/>
              <w:rPr>
                <w:rFonts w:cs="Calibri"/>
                <w:b/>
                <w:sz w:val="24"/>
                <w:szCs w:val="24"/>
              </w:rPr>
            </w:pPr>
            <w:r w:rsidRPr="00AA7C43">
              <w:rPr>
                <w:rFonts w:cs="Calibri"/>
                <w:b/>
                <w:sz w:val="24"/>
                <w:szCs w:val="24"/>
              </w:rPr>
              <w:t>Program Target 2014</w:t>
            </w:r>
          </w:p>
        </w:tc>
      </w:tr>
      <w:tr w:rsidR="00AA7C43" w:rsidRPr="00F50F8B" w:rsidTr="00F404C2">
        <w:trPr>
          <w:trHeight w:val="329"/>
        </w:trPr>
        <w:tc>
          <w:tcPr>
            <w:tcW w:w="4140" w:type="dxa"/>
            <w:noWrap/>
            <w:vAlign w:val="bottom"/>
          </w:tcPr>
          <w:p w:rsidR="00AA7C43" w:rsidRPr="00AA7C43" w:rsidRDefault="00AA7C43" w:rsidP="00F404C2">
            <w:pPr>
              <w:spacing w:after="0" w:line="240" w:lineRule="auto"/>
              <w:rPr>
                <w:rFonts w:cs="Calibri"/>
                <w:sz w:val="24"/>
                <w:szCs w:val="24"/>
              </w:rPr>
            </w:pPr>
            <w:r w:rsidRPr="00AA7C43">
              <w:rPr>
                <w:rFonts w:cs="Calibri"/>
                <w:sz w:val="24"/>
                <w:szCs w:val="24"/>
              </w:rPr>
              <w:t>Units Paid</w:t>
            </w:r>
          </w:p>
        </w:tc>
        <w:tc>
          <w:tcPr>
            <w:tcW w:w="2430" w:type="dxa"/>
            <w:vAlign w:val="bottom"/>
          </w:tcPr>
          <w:p w:rsidR="00AA7C43" w:rsidRPr="00AA7C43" w:rsidRDefault="00AA7C43" w:rsidP="00F404C2">
            <w:pPr>
              <w:spacing w:after="0" w:line="240" w:lineRule="auto"/>
              <w:jc w:val="center"/>
              <w:rPr>
                <w:rFonts w:cs="Calibri"/>
                <w:sz w:val="24"/>
                <w:szCs w:val="24"/>
              </w:rPr>
            </w:pPr>
            <w:r w:rsidRPr="00AA7C43">
              <w:rPr>
                <w:rFonts w:cs="Calibri"/>
                <w:sz w:val="24"/>
                <w:szCs w:val="24"/>
              </w:rPr>
              <w:t>TBD</w:t>
            </w:r>
          </w:p>
        </w:tc>
        <w:tc>
          <w:tcPr>
            <w:tcW w:w="2430" w:type="dxa"/>
            <w:noWrap/>
            <w:vAlign w:val="bottom"/>
          </w:tcPr>
          <w:p w:rsidR="00AA7C43" w:rsidRPr="00AA7C43" w:rsidRDefault="00AA7C43" w:rsidP="00F404C2">
            <w:pPr>
              <w:spacing w:after="0" w:line="240" w:lineRule="auto"/>
              <w:jc w:val="center"/>
              <w:rPr>
                <w:rFonts w:cs="Calibri"/>
                <w:sz w:val="24"/>
                <w:szCs w:val="24"/>
              </w:rPr>
            </w:pPr>
            <w:r w:rsidRPr="00AA7C43">
              <w:rPr>
                <w:rFonts w:cs="Calibri"/>
                <w:sz w:val="24"/>
                <w:szCs w:val="24"/>
              </w:rPr>
              <w:t>TBD</w:t>
            </w:r>
          </w:p>
        </w:tc>
      </w:tr>
    </w:tbl>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55"/>
        </w:numPr>
        <w:tabs>
          <w:tab w:val="clear" w:pos="1080"/>
        </w:tabs>
        <w:spacing w:after="0" w:line="240" w:lineRule="auto"/>
        <w:ind w:left="720"/>
        <w:rPr>
          <w:rFonts w:cs="Calibri"/>
          <w:b/>
          <w:sz w:val="24"/>
          <w:szCs w:val="24"/>
        </w:rPr>
        <w:pPrChange w:id="54" w:author="cerobins" w:date="2012-09-04T13:35:00Z">
          <w:pPr>
            <w:numPr>
              <w:numId w:val="165"/>
            </w:numPr>
            <w:spacing w:after="0" w:line="240" w:lineRule="auto"/>
            <w:ind w:left="720" w:hanging="360"/>
          </w:pPr>
        </w:pPrChange>
      </w:pPr>
      <w:r w:rsidRPr="00AA7C43">
        <w:rPr>
          <w:rFonts w:cs="Calibri"/>
          <w:b/>
          <w:sz w:val="24"/>
          <w:szCs w:val="24"/>
          <w:u w:val="single"/>
        </w:rPr>
        <w:t>Advancing Strategic Plan goals and objectives</w:t>
      </w:r>
    </w:p>
    <w:p w:rsidR="00AA7C43" w:rsidRPr="00AA7C43" w:rsidRDefault="00AA7C43" w:rsidP="00AA7C43">
      <w:pPr>
        <w:tabs>
          <w:tab w:val="left" w:pos="1800"/>
        </w:tabs>
        <w:spacing w:after="0" w:line="240" w:lineRule="auto"/>
        <w:ind w:left="360"/>
        <w:rPr>
          <w:rFonts w:cs="Calibri"/>
          <w:sz w:val="24"/>
          <w:szCs w:val="24"/>
        </w:rPr>
      </w:pPr>
      <w:r w:rsidRPr="00AA7C43">
        <w:rPr>
          <w:rFonts w:cs="Calibri"/>
          <w:sz w:val="24"/>
          <w:szCs w:val="24"/>
        </w:rPr>
        <w:t>Since its inception in 2002, CAHP has had a substantial impact on the homebuilding market.  There is a significant opportunity to continue to influence builders, architects and other players in the Residential New Construction industry.</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RNC sub-program is designed to enable the achievement of several goals and strategies identified in the Strategic Plan.  The Strategic Plan envisions a transformation of the core Residential sector to ultra-high levels of energy efficiency, resulting in ZNE new construction standards by 2020. It spells out several goals and strategies to address energy reduction in Residential New Construction.    </w:t>
      </w:r>
    </w:p>
    <w:p w:rsidR="00AA7C43" w:rsidRPr="00AA7C43" w:rsidRDefault="00AA7C43" w:rsidP="00AA7C43">
      <w:pPr>
        <w:spacing w:after="0" w:line="240" w:lineRule="auto"/>
        <w:ind w:left="360"/>
        <w:rPr>
          <w:rFonts w:cs="Calibri"/>
          <w:b/>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rPr>
        <w:t>Goal #1</w:t>
      </w:r>
      <w:r w:rsidRPr="00AA7C43">
        <w:rPr>
          <w:rFonts w:cs="Calibri"/>
          <w:sz w:val="24"/>
          <w:szCs w:val="24"/>
        </w:rPr>
        <w:t>: New Construction will deliver “ZNE” performance for all new single and multi family homes by 2020.</w:t>
      </w:r>
    </w:p>
    <w:p w:rsidR="00AA7C43" w:rsidRPr="00AA7C43" w:rsidRDefault="00AA7C43" w:rsidP="00C31CC0">
      <w:pPr>
        <w:numPr>
          <w:ilvl w:val="2"/>
          <w:numId w:val="3"/>
        </w:numPr>
        <w:tabs>
          <w:tab w:val="clear" w:pos="2520"/>
        </w:tabs>
        <w:spacing w:after="0" w:line="240" w:lineRule="auto"/>
        <w:ind w:left="1080"/>
        <w:rPr>
          <w:rFonts w:cs="Calibri"/>
          <w:sz w:val="24"/>
          <w:szCs w:val="24"/>
        </w:rPr>
      </w:pPr>
      <w:r w:rsidRPr="00AA7C43">
        <w:rPr>
          <w:rFonts w:cs="Calibri"/>
          <w:sz w:val="24"/>
          <w:szCs w:val="24"/>
        </w:rPr>
        <w:t>By 2012, 50% of New Homes will exceed 2008 Title 24 energy efficiency standards by 20%; 10% will surpass 2008 Title 24 standards by 40% (Strategy 1-1)</w:t>
      </w:r>
      <w:r w:rsidRPr="00AA7C43">
        <w:rPr>
          <w:rStyle w:val="FootnoteReference"/>
          <w:rFonts w:cs="Calibri"/>
          <w:sz w:val="24"/>
          <w:szCs w:val="24"/>
        </w:rPr>
        <w:footnoteReference w:id="73"/>
      </w:r>
    </w:p>
    <w:p w:rsidR="00AA7C43" w:rsidRPr="00AA7C43" w:rsidRDefault="00AA7C43" w:rsidP="00AA7C43">
      <w:pPr>
        <w:spacing w:after="0" w:line="240" w:lineRule="auto"/>
        <w:ind w:left="180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b/>
          <w:sz w:val="24"/>
          <w:szCs w:val="24"/>
        </w:rPr>
        <w:t>Goal #2:</w:t>
      </w:r>
      <w:r w:rsidRPr="00AA7C43">
        <w:rPr>
          <w:rFonts w:cs="Calibri"/>
          <w:sz w:val="24"/>
          <w:szCs w:val="24"/>
        </w:rPr>
        <w:t xml:space="preserve"> Home buyers, owners and renovators will implement a whole house approach to energy consumption that will guide their purchase and use of existing and new homes, home equipment household appliances, and plug load amenities</w:t>
      </w:r>
    </w:p>
    <w:p w:rsidR="00AA7C43" w:rsidRPr="00AA7C43" w:rsidRDefault="00AA7C43" w:rsidP="00AA7C43">
      <w:pPr>
        <w:spacing w:after="0" w:line="240" w:lineRule="auto"/>
        <w:ind w:left="360"/>
        <w:rPr>
          <w:rFonts w:cs="Calibri"/>
          <w:sz w:val="24"/>
          <w:szCs w:val="24"/>
        </w:rPr>
      </w:pPr>
      <w:r w:rsidRPr="00AA7C43">
        <w:rPr>
          <w:rFonts w:cs="Calibri"/>
          <w:b/>
          <w:sz w:val="24"/>
          <w:szCs w:val="24"/>
        </w:rPr>
        <w:lastRenderedPageBreak/>
        <w:t>Goal #3</w:t>
      </w:r>
      <w:r w:rsidRPr="00AA7C43">
        <w:rPr>
          <w:rFonts w:cs="Calibri"/>
          <w:sz w:val="24"/>
          <w:szCs w:val="24"/>
        </w:rPr>
        <w:t>: Plug load will grow at a slower rate and then decline through technological innovation spurred by market transformation and customer demand for energy-efficient products.</w:t>
      </w:r>
    </w:p>
    <w:p w:rsidR="00AA7C43" w:rsidRPr="00AA7C43" w:rsidRDefault="00AA7C43" w:rsidP="00AA7C43">
      <w:pPr>
        <w:spacing w:after="0" w:line="240" w:lineRule="auto"/>
        <w:ind w:left="360"/>
        <w:rPr>
          <w:rFonts w:cs="Calibri"/>
          <w:sz w:val="24"/>
          <w:szCs w:val="24"/>
        </w:rPr>
      </w:pPr>
    </w:p>
    <w:p w:rsidR="00AA7C43" w:rsidRPr="00AA7C43" w:rsidRDefault="00AA7C43" w:rsidP="00AA7C43">
      <w:pPr>
        <w:spacing w:after="0" w:line="240" w:lineRule="auto"/>
        <w:ind w:left="360"/>
        <w:rPr>
          <w:rFonts w:cs="Calibri"/>
          <w:sz w:val="24"/>
          <w:szCs w:val="24"/>
        </w:rPr>
      </w:pPr>
      <w:r w:rsidRPr="00AA7C43">
        <w:rPr>
          <w:rFonts w:cs="Calibri"/>
          <w:sz w:val="24"/>
          <w:szCs w:val="24"/>
        </w:rPr>
        <w:t>The goal of energy-efficient Residential New Construction will be achieved through a combination of incentives, technical education, design assistance, and verification.  CAHP supports the ambitious goals of the Strategic Plan, and works in close coordination with the ZNE sub-element. Together these elements seek to raise plug load efficiency, focus on whole-house solutions, drive occupant behavior through in-home monitoring and visual display tools, and leverage market demand for green building standards.  CAHP is also coordinated with demand response programs, Emerging Technology, and the NSHP.  In fully aligning itself with the Strategic Plan, the CAHP targets an interim goal of 50% of RNC to Tier II (2005) by 2011, 10 per cent of RNC to 55% by 2011, and a final goal of 100% of Residential New Construction to be net zero by 2020.  In fully aligning itself with the Strategic Plan, as modified by Decision 09-09-047, the CAHP targets an interim goal of 50 percent of RNC to be 20% better than the 2008 Title 24 Standards by 2012, and 10% of RNC to be 40% better than the 2008 Title 24 Standards by 2012, and a final goal of 100 percent of residential new construction to be net zero by 2020.</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sz w:val="24"/>
          <w:szCs w:val="24"/>
        </w:rPr>
      </w:pPr>
    </w:p>
    <w:p w:rsidR="00AA7C43" w:rsidRPr="00AA7C43" w:rsidRDefault="00AA7C43" w:rsidP="00C31CC0">
      <w:pPr>
        <w:numPr>
          <w:ilvl w:val="0"/>
          <w:numId w:val="160"/>
        </w:numPr>
        <w:tabs>
          <w:tab w:val="clear" w:pos="1080"/>
          <w:tab w:val="num" w:pos="360"/>
        </w:tabs>
        <w:spacing w:after="0" w:line="240" w:lineRule="auto"/>
        <w:ind w:left="0" w:firstLine="0"/>
        <w:rPr>
          <w:rFonts w:cs="Calibri"/>
          <w:b/>
          <w:sz w:val="24"/>
          <w:szCs w:val="24"/>
        </w:rPr>
        <w:pPrChange w:id="55" w:author="cerobins" w:date="2012-09-04T13:35:00Z">
          <w:pPr>
            <w:numPr>
              <w:numId w:val="170"/>
            </w:numPr>
            <w:tabs>
              <w:tab w:val="num" w:pos="360"/>
            </w:tabs>
            <w:spacing w:after="0" w:line="240" w:lineRule="auto"/>
            <w:ind w:left="1306" w:hanging="360"/>
          </w:pPr>
        </w:pPrChange>
      </w:pPr>
      <w:r w:rsidRPr="00AA7C43">
        <w:rPr>
          <w:rFonts w:cs="Calibri"/>
          <w:b/>
          <w:sz w:val="24"/>
          <w:szCs w:val="24"/>
        </w:rPr>
        <w:t>Program Implementation IOU-specific elements</w:t>
      </w:r>
    </w:p>
    <w:p w:rsidR="00AA7C43" w:rsidRPr="00AA7C43" w:rsidRDefault="00AA7C43" w:rsidP="00AA7C43">
      <w:pPr>
        <w:spacing w:after="0" w:line="240" w:lineRule="auto"/>
        <w:rPr>
          <w:rFonts w:cs="Calibri"/>
          <w:b/>
          <w:sz w:val="24"/>
          <w:szCs w:val="24"/>
        </w:rPr>
      </w:pPr>
    </w:p>
    <w:p w:rsidR="00AA7C43" w:rsidRPr="00AA7C43" w:rsidRDefault="00AA7C43" w:rsidP="00C31CC0">
      <w:pPr>
        <w:numPr>
          <w:ilvl w:val="0"/>
          <w:numId w:val="158"/>
        </w:numPr>
        <w:spacing w:after="0" w:line="240" w:lineRule="auto"/>
        <w:rPr>
          <w:rFonts w:cs="Calibri"/>
          <w:b/>
          <w:sz w:val="24"/>
          <w:szCs w:val="24"/>
        </w:rPr>
        <w:pPrChange w:id="56" w:author="cerobins" w:date="2012-09-04T13:35:00Z">
          <w:pPr>
            <w:numPr>
              <w:numId w:val="168"/>
            </w:numPr>
            <w:spacing w:after="0" w:line="240" w:lineRule="auto"/>
            <w:ind w:left="2160" w:hanging="360"/>
          </w:pPr>
        </w:pPrChange>
      </w:pPr>
      <w:r w:rsidRPr="00AA7C43">
        <w:rPr>
          <w:rFonts w:cs="Calibri"/>
          <w:b/>
          <w:sz w:val="24"/>
          <w:szCs w:val="24"/>
          <w:u w:val="single"/>
        </w:rPr>
        <w:t>Statewide IOU coordination</w:t>
      </w:r>
    </w:p>
    <w:p w:rsidR="00AA7C43" w:rsidRPr="00AA7C43" w:rsidRDefault="00AA7C43" w:rsidP="00AA7C43">
      <w:pPr>
        <w:spacing w:after="0" w:line="240" w:lineRule="auto"/>
        <w:ind w:left="360"/>
        <w:rPr>
          <w:rFonts w:cs="Calibri"/>
          <w:sz w:val="24"/>
          <w:szCs w:val="24"/>
        </w:rPr>
      </w:pPr>
      <w:r w:rsidRPr="00AA7C43">
        <w:rPr>
          <w:rFonts w:cs="Calibri"/>
          <w:sz w:val="24"/>
          <w:szCs w:val="24"/>
        </w:rPr>
        <w:t>Given the success of the collaborative process that led to the production of this PIP, the statewide RNC team plans to meet on at least a quarterly basis going forward in order to review progress toward the goals and make corrections need to achieve them.</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2"/>
          <w:numId w:val="22"/>
        </w:numPr>
        <w:tabs>
          <w:tab w:val="clear" w:pos="2160"/>
        </w:tabs>
        <w:spacing w:after="0" w:line="240" w:lineRule="auto"/>
        <w:ind w:left="1094" w:hanging="187"/>
        <w:rPr>
          <w:rFonts w:cs="Calibri"/>
          <w:b/>
          <w:sz w:val="24"/>
          <w:szCs w:val="24"/>
        </w:rPr>
      </w:pPr>
      <w:r w:rsidRPr="00AA7C43">
        <w:rPr>
          <w:rFonts w:cs="Calibri"/>
          <w:b/>
          <w:sz w:val="24"/>
          <w:szCs w:val="24"/>
        </w:rPr>
        <w:t>Program name</w:t>
      </w:r>
    </w:p>
    <w:p w:rsidR="00AA7C43" w:rsidRPr="00AA7C43" w:rsidRDefault="00AA7C43" w:rsidP="00AA7C43">
      <w:pPr>
        <w:spacing w:after="0" w:line="240" w:lineRule="auto"/>
        <w:ind w:left="720"/>
        <w:rPr>
          <w:rFonts w:cs="Calibri"/>
          <w:sz w:val="24"/>
          <w:szCs w:val="24"/>
        </w:rPr>
      </w:pPr>
      <w:r w:rsidRPr="00AA7C43">
        <w:rPr>
          <w:rFonts w:cs="Calibri"/>
          <w:sz w:val="24"/>
          <w:szCs w:val="24"/>
        </w:rPr>
        <w:t>The single-family and multi-family programs will be implemented under the common name of California Advanced Home Program.  The zero peak pilots will be referred to as ZNE Homes, although the details differ somewhat by utility. Factory-built housing will be referred to as ENERGY STAR® Manufactured Homes.</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2"/>
          <w:numId w:val="22"/>
        </w:numPr>
        <w:tabs>
          <w:tab w:val="clear" w:pos="2160"/>
        </w:tabs>
        <w:spacing w:after="0" w:line="240" w:lineRule="auto"/>
        <w:ind w:left="1094" w:hanging="187"/>
        <w:rPr>
          <w:rFonts w:cs="Calibri"/>
          <w:b/>
          <w:sz w:val="24"/>
          <w:szCs w:val="24"/>
        </w:rPr>
      </w:pPr>
      <w:r w:rsidRPr="00AA7C43">
        <w:rPr>
          <w:rFonts w:cs="Calibri"/>
          <w:b/>
          <w:sz w:val="24"/>
          <w:szCs w:val="24"/>
        </w:rPr>
        <w:t>Program delivery mechanisms</w:t>
      </w:r>
    </w:p>
    <w:p w:rsidR="00AA7C43" w:rsidRPr="00AA7C43" w:rsidRDefault="00AA7C43" w:rsidP="00AA7C43">
      <w:pPr>
        <w:widowControl w:val="0"/>
        <w:spacing w:after="0" w:line="240" w:lineRule="auto"/>
        <w:ind w:left="720"/>
        <w:rPr>
          <w:rFonts w:cs="Calibri"/>
          <w:sz w:val="24"/>
          <w:szCs w:val="24"/>
        </w:rPr>
      </w:pPr>
      <w:r w:rsidRPr="00AA7C43">
        <w:rPr>
          <w:rFonts w:cs="Calibri"/>
          <w:sz w:val="24"/>
          <w:szCs w:val="24"/>
        </w:rPr>
        <w:t>Sempra delivers the program primarily through in-house account executives with some outside technical support for specific analysis or niche.  SCE leverages third-party implementers and in-house account executives.</w: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2"/>
          <w:numId w:val="22"/>
        </w:numPr>
        <w:tabs>
          <w:tab w:val="clear" w:pos="2160"/>
        </w:tabs>
        <w:spacing w:after="0" w:line="240" w:lineRule="auto"/>
        <w:ind w:left="1094" w:hanging="187"/>
        <w:rPr>
          <w:rFonts w:cs="Calibri"/>
          <w:b/>
          <w:sz w:val="24"/>
          <w:szCs w:val="24"/>
        </w:rPr>
      </w:pPr>
      <w:r w:rsidRPr="00AA7C43">
        <w:rPr>
          <w:rFonts w:cs="Calibri"/>
          <w:b/>
          <w:sz w:val="24"/>
          <w:szCs w:val="24"/>
        </w:rPr>
        <w:t>Incentive levels</w:t>
      </w:r>
    </w:p>
    <w:p w:rsidR="00AA7C43" w:rsidRPr="00AA7C43" w:rsidRDefault="00AA7C43" w:rsidP="00AA7C43">
      <w:pPr>
        <w:spacing w:after="0" w:line="240" w:lineRule="auto"/>
        <w:ind w:left="720"/>
        <w:rPr>
          <w:rFonts w:cs="Calibri"/>
          <w:sz w:val="24"/>
          <w:szCs w:val="24"/>
        </w:rPr>
      </w:pPr>
      <w:r w:rsidRPr="00AA7C43">
        <w:rPr>
          <w:rFonts w:cs="Calibri"/>
          <w:sz w:val="24"/>
          <w:szCs w:val="24"/>
        </w:rPr>
        <w:t>The IOUs have agreed upon a common incentive methodology that will be implemented throughout the service territories.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2"/>
          <w:numId w:val="22"/>
        </w:numPr>
        <w:tabs>
          <w:tab w:val="clear" w:pos="2160"/>
        </w:tabs>
        <w:spacing w:after="0" w:line="240" w:lineRule="auto"/>
        <w:ind w:left="1094" w:hanging="187"/>
        <w:rPr>
          <w:rFonts w:cs="Calibri"/>
          <w:b/>
          <w:sz w:val="24"/>
          <w:szCs w:val="24"/>
        </w:rPr>
      </w:pPr>
      <w:r w:rsidRPr="00AA7C43">
        <w:rPr>
          <w:rFonts w:cs="Calibri"/>
          <w:b/>
          <w:sz w:val="24"/>
          <w:szCs w:val="24"/>
        </w:rPr>
        <w:t>Marketing and outreach plans</w:t>
      </w:r>
    </w:p>
    <w:p w:rsidR="00AA7C43" w:rsidRPr="00AA7C43" w:rsidRDefault="00AA7C43" w:rsidP="00AA7C43">
      <w:pPr>
        <w:spacing w:after="0" w:line="240" w:lineRule="auto"/>
        <w:ind w:left="720"/>
        <w:rPr>
          <w:rFonts w:cs="Calibri"/>
          <w:sz w:val="24"/>
          <w:szCs w:val="24"/>
        </w:rPr>
      </w:pPr>
      <w:r w:rsidRPr="00AA7C43">
        <w:rPr>
          <w:rFonts w:cs="Calibri"/>
          <w:sz w:val="24"/>
          <w:szCs w:val="24"/>
        </w:rPr>
        <w:lastRenderedPageBreak/>
        <w:t>CAHP offers financial incentives, training opportunities, technical support, and marketing resources to single-family and multi-family Residential builders who construct homes that exceed California’s energy efficiency standards for new construction.  All types of Residential builders are welcome to participate</w:t>
      </w:r>
      <w:r w:rsidRPr="00AA7C43">
        <w:rPr>
          <w:rStyle w:val="FootnoteReference"/>
          <w:rFonts w:cs="Calibri"/>
          <w:sz w:val="24"/>
          <w:szCs w:val="24"/>
        </w:rPr>
        <w:footnoteReference w:id="74"/>
      </w:r>
      <w:r w:rsidRPr="00AA7C43">
        <w:rPr>
          <w:rFonts w:cs="Calibri"/>
          <w:sz w:val="24"/>
          <w:szCs w:val="24"/>
        </w:rPr>
        <w:t xml:space="preserve">.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There will be closer coordination of marketing efforts to synergize wherever possible. While each utility would like to leverage on their strengths and existing relationships within their service territories, certain marketing elements can be launched on a common platform.  A common website will be created to provide builder information that will be commonly disseminated.  Training and education is an area where pooling of resources is possible to reduce cost and increase participation.</w:t>
      </w:r>
    </w:p>
    <w:p w:rsidR="00AA7C43" w:rsidRPr="00AA7C43" w:rsidRDefault="00AA7C43" w:rsidP="00AA7C43">
      <w:pPr>
        <w:tabs>
          <w:tab w:val="left" w:pos="1800"/>
        </w:tabs>
        <w:spacing w:after="0" w:line="240" w:lineRule="auto"/>
        <w:ind w:left="720"/>
        <w:rPr>
          <w:rFonts w:cs="Calibri"/>
          <w:sz w:val="24"/>
          <w:szCs w:val="24"/>
        </w:rPr>
      </w:pPr>
    </w:p>
    <w:p w:rsidR="00AA7C43" w:rsidRPr="00AA7C43" w:rsidRDefault="00AA7C43" w:rsidP="00AA7C43">
      <w:pPr>
        <w:tabs>
          <w:tab w:val="left" w:pos="1800"/>
        </w:tabs>
        <w:spacing w:after="0" w:line="240" w:lineRule="auto"/>
        <w:ind w:left="720"/>
        <w:rPr>
          <w:rFonts w:cs="Calibri"/>
          <w:sz w:val="24"/>
          <w:szCs w:val="24"/>
        </w:rPr>
      </w:pPr>
      <w:r w:rsidRPr="00AA7C43">
        <w:rPr>
          <w:rFonts w:cs="Calibri"/>
          <w:sz w:val="24"/>
          <w:szCs w:val="24"/>
        </w:rPr>
        <w:t>The IOUs plan to be actively engaged in the development and implementation of joint marketing, education and training efforts as described in detail in the common section of this PIP.</w:t>
      </w:r>
    </w:p>
    <w:p w:rsidR="00AA7C43" w:rsidRPr="00AA7C43" w:rsidRDefault="00AA7C43" w:rsidP="00AA7C43">
      <w:pPr>
        <w:tabs>
          <w:tab w:val="left" w:pos="1800"/>
        </w:tabs>
        <w:spacing w:after="0" w:line="240" w:lineRule="auto"/>
        <w:ind w:left="720"/>
        <w:rPr>
          <w:rFonts w:cs="Calibri"/>
          <w:sz w:val="24"/>
          <w:szCs w:val="24"/>
        </w:rPr>
      </w:pPr>
    </w:p>
    <w:p w:rsidR="00AA7C43" w:rsidRPr="00AA7C43" w:rsidRDefault="00AA7C43" w:rsidP="00AA7C43">
      <w:pPr>
        <w:spacing w:after="0" w:line="240" w:lineRule="auto"/>
        <w:ind w:left="720"/>
        <w:rPr>
          <w:rFonts w:cs="Calibri"/>
          <w:i/>
          <w:sz w:val="24"/>
          <w:szCs w:val="24"/>
        </w:rPr>
      </w:pPr>
      <w:r w:rsidRPr="00AA7C43">
        <w:rPr>
          <w:rFonts w:cs="Calibri"/>
          <w:sz w:val="24"/>
          <w:szCs w:val="24"/>
        </w:rPr>
        <w:t>In 2013-2014, the program will expand its builder/contractor education and training certification courses to increase overall awareness and understanding of CAHP and service offerings. We will continue to strengthen our delivery channels of information by providing relevant information and support materials, reaching target audiences in key decision-making phases. The IOUs’ innovative communication tools will include: trade advertising, account representative meetings/presentations, targeted customer mailings, shows/event sponsorships, trade organization affiliations, webcasts, e-mail blast, builder award recognition, customer success stories and public relations campaigns.  All materials and communications will also be made available in electronic file formats so information can be forwarded to customers immediately via the Internet.</w:t>
      </w:r>
    </w:p>
    <w:p w:rsidR="00AA7C43" w:rsidRPr="00AA7C43" w:rsidRDefault="00AA7C43" w:rsidP="00AA7C43">
      <w:pPr>
        <w:spacing w:after="0" w:line="240" w:lineRule="auto"/>
        <w:ind w:left="720"/>
        <w:rPr>
          <w:rFonts w:cs="Calibri"/>
          <w:sz w:val="24"/>
          <w:szCs w:val="24"/>
        </w:rPr>
      </w:pPr>
      <w:r w:rsidRPr="00AA7C43">
        <w:rPr>
          <w:rFonts w:cs="Calibri"/>
          <w:sz w:val="24"/>
          <w:szCs w:val="24"/>
        </w:rPr>
        <w:t>Additionally, CAHP will leverage its excellent relationships in partnering with trade organizations and other groups actively promoting the benefits of green, sustainable building practices.  Such organizations include:  CEC, FYP, AIA, USGBC, ULI, California Manufactured Housing Institute, Build It Green, IES, AEE, IHACHI, PHCC and others.  Through an innovative, coordinated approach, we will maximize outreach opportunities that keep energy efficiency and CAHP’s program benefits top-of-mind and maximize program participation.</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Marketing materials and other collaterals will be enhanced to communicate more effectively with savvy builders.  Participant recognition (plaques, feature presentations, etc.) has proven to be an effective tool in encouraging builder involvement, and will continue to remain as part of the overall marketing tools.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2"/>
          <w:numId w:val="22"/>
        </w:numPr>
        <w:tabs>
          <w:tab w:val="clear" w:pos="2160"/>
        </w:tabs>
        <w:spacing w:after="0" w:line="240" w:lineRule="auto"/>
        <w:ind w:left="1094" w:hanging="187"/>
        <w:rPr>
          <w:rFonts w:cs="Calibri"/>
          <w:b/>
          <w:sz w:val="24"/>
          <w:szCs w:val="24"/>
        </w:rPr>
      </w:pPr>
      <w:r w:rsidRPr="00AA7C43">
        <w:rPr>
          <w:rFonts w:cs="Calibri"/>
          <w:b/>
          <w:sz w:val="24"/>
          <w:szCs w:val="24"/>
        </w:rPr>
        <w:lastRenderedPageBreak/>
        <w:t>IOU program interactions</w:t>
      </w:r>
    </w:p>
    <w:p w:rsidR="00AA7C43" w:rsidRPr="00AA7C43" w:rsidRDefault="00AA7C43" w:rsidP="00AA7C43">
      <w:pPr>
        <w:spacing w:after="0" w:line="240" w:lineRule="auto"/>
        <w:ind w:left="720"/>
        <w:rPr>
          <w:rFonts w:cs="Calibri"/>
          <w:sz w:val="24"/>
          <w:szCs w:val="24"/>
        </w:rPr>
      </w:pPr>
      <w:r w:rsidRPr="00AA7C43">
        <w:rPr>
          <w:rFonts w:cs="Calibri"/>
          <w:sz w:val="24"/>
          <w:szCs w:val="24"/>
        </w:rPr>
        <w:t>The plan addresses above, in the</w:t>
      </w:r>
      <w:r w:rsidRPr="00AA7C43">
        <w:rPr>
          <w:rFonts w:cs="Calibri"/>
          <w:i/>
          <w:iCs/>
          <w:sz w:val="24"/>
          <w:szCs w:val="24"/>
        </w:rPr>
        <w:t xml:space="preserve"> </w:t>
      </w:r>
      <w:r w:rsidRPr="00AA7C43">
        <w:rPr>
          <w:rFonts w:cs="Calibri"/>
          <w:iCs/>
          <w:sz w:val="24"/>
          <w:szCs w:val="24"/>
        </w:rPr>
        <w:t xml:space="preserve">Incentive Rationale </w:t>
      </w:r>
      <w:r w:rsidRPr="00AA7C43">
        <w:rPr>
          <w:rFonts w:cs="Calibri"/>
          <w:sz w:val="24"/>
          <w:szCs w:val="24"/>
        </w:rPr>
        <w:t xml:space="preserve">section, the ways CAHP is encouraging demand performance, in-home displays, on-site generation, square footage reductions and green elements.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CAHP is particularly interested in promoting integrated thermal hot water system designs to displace therm demand with on-site renewable sources.  In addition to cold water savings from embedded energy and the energy to heat water, longer term there may be GHG reductions that accrue either to the builder, the homeowner, or the utility associated with each demand side reduction as a result of AB 32 and pending national CO</w:t>
      </w:r>
      <w:r w:rsidRPr="00AA7C43">
        <w:rPr>
          <w:rFonts w:cs="Calibri"/>
          <w:sz w:val="24"/>
          <w:szCs w:val="24"/>
          <w:vertAlign w:val="subscript"/>
        </w:rPr>
        <w:t>2</w:t>
      </w:r>
      <w:r w:rsidRPr="00AA7C43">
        <w:rPr>
          <w:rFonts w:cs="Calibri"/>
          <w:sz w:val="24"/>
          <w:szCs w:val="24"/>
        </w:rPr>
        <w:t xml:space="preserve"> legislation.</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CAHP prides itself on its established close relationships and memberships with other groups involved with the building industry.  These relationships make it possible to provide comprehensive services to our customers.  Thus, CAHP will continue to seek out and coordinate synergies with, but not limited to, the following groups:</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 xml:space="preserve">NSHP </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EPA</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California IOUs</w:t>
      </w:r>
    </w:p>
    <w:p w:rsidR="00AA7C43" w:rsidRPr="00AA7C43" w:rsidRDefault="00AA7C43" w:rsidP="00C31CC0">
      <w:pPr>
        <w:numPr>
          <w:ilvl w:val="0"/>
          <w:numId w:val="5"/>
        </w:numPr>
        <w:tabs>
          <w:tab w:val="clear" w:pos="6480"/>
        </w:tabs>
        <w:spacing w:after="0" w:line="240" w:lineRule="auto"/>
        <w:ind w:left="1080"/>
        <w:rPr>
          <w:rFonts w:cs="Calibri"/>
          <w:sz w:val="24"/>
          <w:szCs w:val="24"/>
        </w:rPr>
      </w:pPr>
      <w:r w:rsidRPr="00AA7C43">
        <w:rPr>
          <w:rFonts w:cs="Calibri"/>
          <w:sz w:val="24"/>
          <w:szCs w:val="24"/>
        </w:rPr>
        <w:t>Green Building Consultants (i.e. Build it Green, California Green Builder, Global Green)</w:t>
      </w:r>
    </w:p>
    <w:p w:rsidR="00AA7C43" w:rsidRPr="00AA7C43" w:rsidRDefault="00AA7C43" w:rsidP="00C31CC0">
      <w:pPr>
        <w:numPr>
          <w:ilvl w:val="0"/>
          <w:numId w:val="5"/>
        </w:numPr>
        <w:tabs>
          <w:tab w:val="clear" w:pos="6480"/>
        </w:tabs>
        <w:spacing w:after="0" w:line="240" w:lineRule="auto"/>
        <w:ind w:left="1080"/>
        <w:rPr>
          <w:rFonts w:cs="Calibri"/>
          <w:b/>
          <w:sz w:val="24"/>
          <w:szCs w:val="24"/>
        </w:rPr>
      </w:pPr>
      <w:r w:rsidRPr="00AA7C43">
        <w:rPr>
          <w:rFonts w:cs="Calibri"/>
          <w:sz w:val="24"/>
          <w:szCs w:val="24"/>
        </w:rPr>
        <w:t>Rater Organizations (e.g. ResNet, CalCerts, CHEERS)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CAHP will continue its commitment to the EPA’s ENERGY STAR® program and will strive to support, partner and contribute to the success of the ENERGY STAR® homes label and branding.  Numerous surveys and studies continue to show the ENERGY STAR® label represents greater value to consumers and the environmental stewardship it represents. </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Since 2002, CAHP has partnered with the EPA in promoting ENERGY STAR® New Homes and has won ENERGY STAR® achievement awards for the last seven consecutive years.  In 2011 SCE was rewarded for “Sustained Excellence in Energy Efficiency Program Delivery”.</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program will continue to offer comprehensive training courses and educational seminars relevant to building energy efficiency and green measures into new construction projects including Title 24 code training and ENERGY STAR® requirements.</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In response to builder requests, CAHP will offer a new training workshop during </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2013 - 2014 designed for builders’ sales agents.  Sales agents have direct contact with the homebuyer and have the greatest impact on selling homes.  In order to help promote ENERGY STAR® developments, CAHP will teach sales agents about energy efficiency.  Topics will include what qualifies as an ENERGY STAR® home and what is 'green'.  </w:t>
      </w:r>
    </w:p>
    <w:p w:rsidR="00AA7C43" w:rsidRPr="00AA7C43" w:rsidRDefault="00AA7C43" w:rsidP="00AA7C43">
      <w:pPr>
        <w:spacing w:after="0" w:line="240" w:lineRule="auto"/>
        <w:ind w:left="720"/>
        <w:rPr>
          <w:rFonts w:cs="Calibri"/>
          <w:sz w:val="24"/>
          <w:szCs w:val="24"/>
        </w:rPr>
      </w:pPr>
      <w:r w:rsidRPr="00AA7C43">
        <w:rPr>
          <w:rFonts w:cs="Calibri"/>
          <w:sz w:val="24"/>
          <w:szCs w:val="24"/>
        </w:rPr>
        <w:t>Other activities will include attendance at building industry trade conferences/ outreach events and any necessary contractor/builder field visits.  The target audience consists of builders, developers, energy consultants, architects, and other industry professionals.</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IOUs may pursue partnership efforts with local government entities who are looking to display leadership in the carbon arena by expediting plan check, waiving permit fees, or </w:t>
      </w:r>
      <w:r w:rsidRPr="00AA7C43">
        <w:rPr>
          <w:rFonts w:cs="Calibri"/>
          <w:sz w:val="24"/>
          <w:szCs w:val="24"/>
        </w:rPr>
        <w:lastRenderedPageBreak/>
        <w:t>allowing builders to pay impact fees on the back end (instead of up-front) in exchange for higher levels of home performance documented by our program.</w:t>
      </w:r>
    </w:p>
    <w:p w:rsidR="00AA7C43" w:rsidRPr="00AA7C43" w:rsidRDefault="00AA7C43" w:rsidP="00AA7C43">
      <w:pPr>
        <w:spacing w:after="0" w:line="240" w:lineRule="auto"/>
        <w:ind w:left="720"/>
        <w:rPr>
          <w:rFonts w:cs="Calibri"/>
          <w:b/>
          <w:sz w:val="24"/>
          <w:szCs w:val="24"/>
        </w:rPr>
      </w:pPr>
    </w:p>
    <w:p w:rsidR="00AA7C43" w:rsidRPr="00AA7C43" w:rsidRDefault="00AA7C43" w:rsidP="00C31CC0">
      <w:pPr>
        <w:numPr>
          <w:ilvl w:val="2"/>
          <w:numId w:val="22"/>
        </w:numPr>
        <w:tabs>
          <w:tab w:val="clear" w:pos="2160"/>
        </w:tabs>
        <w:spacing w:after="0" w:line="240" w:lineRule="auto"/>
        <w:ind w:left="1094" w:hanging="187"/>
        <w:rPr>
          <w:rFonts w:cs="Calibri"/>
          <w:b/>
          <w:sz w:val="24"/>
          <w:szCs w:val="24"/>
        </w:rPr>
      </w:pPr>
      <w:r w:rsidRPr="00AA7C43">
        <w:rPr>
          <w:rFonts w:cs="Calibri"/>
          <w:b/>
          <w:sz w:val="24"/>
          <w:szCs w:val="24"/>
        </w:rPr>
        <w:t>Similar IOU and POU programs</w:t>
      </w:r>
    </w:p>
    <w:p w:rsidR="00AA7C43" w:rsidRPr="00AA7C43" w:rsidRDefault="00AA7C43" w:rsidP="00AA7C43">
      <w:pPr>
        <w:spacing w:after="0" w:line="240" w:lineRule="auto"/>
        <w:ind w:left="720"/>
        <w:rPr>
          <w:rFonts w:cs="Calibri"/>
          <w:sz w:val="24"/>
          <w:szCs w:val="24"/>
        </w:rPr>
      </w:pPr>
      <w:r w:rsidRPr="00AA7C43">
        <w:rPr>
          <w:rFonts w:cs="Calibri"/>
          <w:sz w:val="24"/>
          <w:szCs w:val="24"/>
        </w:rPr>
        <w:t xml:space="preserve">The statewide team will reach out to leading POU programs, such as those at SMUD to learn from their experience how best to deliver energy-efficient homes.  </w:t>
      </w:r>
    </w:p>
    <w:p w:rsidR="00AA7C43" w:rsidRPr="00AA7C43" w:rsidRDefault="00AA7C43" w:rsidP="00AA7C43">
      <w:pPr>
        <w:spacing w:after="0" w:line="240" w:lineRule="auto"/>
        <w:ind w:left="720"/>
        <w:rPr>
          <w:rFonts w:cs="Calibri"/>
          <w:sz w:val="24"/>
          <w:szCs w:val="24"/>
        </w:rPr>
      </w:pPr>
      <w:r w:rsidRPr="00AA7C43">
        <w:rPr>
          <w:rFonts w:cs="Calibri"/>
          <w:sz w:val="24"/>
          <w:szCs w:val="24"/>
        </w:rPr>
        <w:t>In addition, the IOUs will work closely with the existing home remodeling programs (Home Performance with ENERGY STAR®  and the Comprehensive Mobile Home Program) to maintain a two-way communication of best practices and lessons learned between the new and existing sectors.</w:t>
      </w:r>
    </w:p>
    <w:p w:rsidR="00AA7C43" w:rsidRPr="00AA7C43" w:rsidRDefault="00AA7C43" w:rsidP="00AA7C43">
      <w:pPr>
        <w:spacing w:after="0" w:line="240" w:lineRule="auto"/>
        <w:rPr>
          <w:rFonts w:cs="Calibri"/>
          <w:b/>
          <w:sz w:val="24"/>
          <w:szCs w:val="24"/>
        </w:rPr>
      </w:pPr>
    </w:p>
    <w:p w:rsidR="00AA7C43" w:rsidRPr="00AA7C43" w:rsidRDefault="00AA7C43" w:rsidP="00C31CC0">
      <w:pPr>
        <w:numPr>
          <w:ilvl w:val="0"/>
          <w:numId w:val="158"/>
        </w:numPr>
        <w:spacing w:after="0" w:line="240" w:lineRule="auto"/>
        <w:rPr>
          <w:rFonts w:cs="Calibri"/>
          <w:b/>
          <w:sz w:val="24"/>
          <w:szCs w:val="24"/>
        </w:rPr>
        <w:pPrChange w:id="57" w:author="cerobins" w:date="2012-09-04T13:35:00Z">
          <w:pPr>
            <w:numPr>
              <w:numId w:val="168"/>
            </w:numPr>
            <w:spacing w:after="0" w:line="240" w:lineRule="auto"/>
            <w:ind w:left="2160" w:hanging="360"/>
          </w:pPr>
        </w:pPrChange>
      </w:pPr>
      <w:r w:rsidRPr="00AA7C43">
        <w:rPr>
          <w:rFonts w:cs="Calibri"/>
          <w:b/>
          <w:sz w:val="24"/>
          <w:szCs w:val="24"/>
          <w:u w:val="single"/>
        </w:rPr>
        <w:t xml:space="preserve">Program delivery and coordination </w:t>
      </w:r>
    </w:p>
    <w:p w:rsidR="00AA7C43" w:rsidRPr="00AA7C43" w:rsidRDefault="00AA7C43" w:rsidP="00AA7C43">
      <w:pPr>
        <w:spacing w:after="0" w:line="240" w:lineRule="auto"/>
        <w:ind w:left="720"/>
        <w:rPr>
          <w:rFonts w:cs="Calibri"/>
          <w:b/>
          <w:sz w:val="24"/>
          <w:szCs w:val="24"/>
        </w:rPr>
      </w:pPr>
    </w:p>
    <w:p w:rsidR="00AA7C43" w:rsidRPr="00AA7C43" w:rsidRDefault="00AA7C43" w:rsidP="00C31CC0">
      <w:pPr>
        <w:numPr>
          <w:ilvl w:val="0"/>
          <w:numId w:val="161"/>
        </w:numPr>
        <w:tabs>
          <w:tab w:val="clear" w:pos="2160"/>
        </w:tabs>
        <w:spacing w:after="0" w:line="240" w:lineRule="auto"/>
        <w:ind w:left="1094" w:hanging="187"/>
        <w:rPr>
          <w:rFonts w:cs="Calibri"/>
          <w:b/>
          <w:sz w:val="24"/>
          <w:szCs w:val="24"/>
        </w:rPr>
        <w:pPrChange w:id="58" w:author="cerobins" w:date="2012-09-04T13:35:00Z">
          <w:pPr>
            <w:numPr>
              <w:numId w:val="171"/>
            </w:numPr>
            <w:tabs>
              <w:tab w:val="num" w:pos="360"/>
            </w:tabs>
            <w:spacing w:after="0" w:line="240" w:lineRule="auto"/>
            <w:ind w:hanging="360"/>
          </w:pPr>
        </w:pPrChange>
      </w:pPr>
      <w:r w:rsidRPr="00AA7C43">
        <w:rPr>
          <w:rFonts w:cs="Calibri"/>
          <w:b/>
          <w:sz w:val="24"/>
          <w:szCs w:val="24"/>
        </w:rPr>
        <w:t>Emerging Technologies (ET) program</w:t>
      </w:r>
    </w:p>
    <w:p w:rsidR="00AA7C43" w:rsidRPr="00AA7C43" w:rsidRDefault="00AA7C43" w:rsidP="00AA7C43">
      <w:pPr>
        <w:spacing w:after="0" w:line="240" w:lineRule="auto"/>
        <w:ind w:left="720"/>
        <w:rPr>
          <w:rFonts w:cs="Calibri"/>
          <w:sz w:val="24"/>
          <w:szCs w:val="24"/>
        </w:rPr>
      </w:pPr>
      <w:r w:rsidRPr="00AA7C43">
        <w:rPr>
          <w:rFonts w:cs="Calibri"/>
          <w:sz w:val="24"/>
          <w:szCs w:val="24"/>
        </w:rPr>
        <w:t>Emerging technologies will chiefly be handled within the ZNE program. The IOUs are looking to partner with our ET and EPIC-funded Testing Facilities to pilot zero-net energy approaches, particularly in the manufactured home/prefabricated segment. However, the proposed incentive approach allows the IOUs the flexibility to include both deemed and calculated energy savings from new technologies as they become market ready.</w:t>
      </w:r>
    </w:p>
    <w:p w:rsidR="00AA7C43" w:rsidRPr="00AA7C43" w:rsidRDefault="00AA7C43" w:rsidP="00AA7C43">
      <w:pPr>
        <w:spacing w:after="0" w:line="240" w:lineRule="auto"/>
        <w:ind w:left="720"/>
        <w:rPr>
          <w:rFonts w:cs="Calibri"/>
          <w:sz w:val="24"/>
          <w:szCs w:val="24"/>
        </w:rPr>
      </w:pPr>
    </w:p>
    <w:p w:rsidR="00AA7C43" w:rsidRPr="00AA7C43" w:rsidRDefault="00AA7C43" w:rsidP="00AA7C43">
      <w:pPr>
        <w:spacing w:after="0" w:line="240" w:lineRule="auto"/>
        <w:ind w:left="720"/>
        <w:rPr>
          <w:rFonts w:cs="Calibri"/>
          <w:sz w:val="24"/>
          <w:szCs w:val="24"/>
        </w:rPr>
      </w:pPr>
      <w:r w:rsidRPr="00AA7C43">
        <w:rPr>
          <w:rFonts w:cs="Calibri"/>
          <w:sz w:val="24"/>
          <w:szCs w:val="24"/>
        </w:rPr>
        <w:t>The utilities will seek to integrate R&amp;D ideas from Emerging Technologies, EPIC, LBNL and other avenues to further assist the projects to advance sustainability and achieve very high levels of energy efficiency.</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61"/>
        </w:numPr>
        <w:tabs>
          <w:tab w:val="clear" w:pos="2160"/>
        </w:tabs>
        <w:spacing w:after="0" w:line="240" w:lineRule="auto"/>
        <w:ind w:left="1094" w:hanging="187"/>
        <w:rPr>
          <w:rFonts w:cs="Calibri"/>
          <w:b/>
          <w:sz w:val="24"/>
          <w:szCs w:val="24"/>
        </w:rPr>
        <w:pPrChange w:id="59" w:author="cerobins" w:date="2012-09-04T13:35:00Z">
          <w:pPr>
            <w:numPr>
              <w:numId w:val="171"/>
            </w:numPr>
            <w:tabs>
              <w:tab w:val="num" w:pos="360"/>
            </w:tabs>
            <w:spacing w:after="0" w:line="240" w:lineRule="auto"/>
            <w:ind w:hanging="360"/>
          </w:pPr>
        </w:pPrChange>
      </w:pPr>
      <w:r w:rsidRPr="00AA7C43">
        <w:rPr>
          <w:rFonts w:cs="Calibri"/>
          <w:b/>
          <w:sz w:val="24"/>
          <w:szCs w:val="24"/>
        </w:rPr>
        <w:t>Codes and Standards program</w:t>
      </w:r>
    </w:p>
    <w:p w:rsidR="00AA7C43" w:rsidRPr="00AA7C43" w:rsidRDefault="00AA7C43" w:rsidP="00AA7C43">
      <w:pPr>
        <w:spacing w:after="0" w:line="240" w:lineRule="auto"/>
        <w:ind w:left="720"/>
        <w:rPr>
          <w:rFonts w:cs="Calibri"/>
          <w:sz w:val="24"/>
          <w:szCs w:val="24"/>
        </w:rPr>
      </w:pPr>
      <w:r w:rsidRPr="00AA7C43">
        <w:rPr>
          <w:rFonts w:cs="Calibri"/>
          <w:sz w:val="24"/>
          <w:szCs w:val="24"/>
        </w:rPr>
        <w:t>As mentioned above, manufactured housing is not subject to Title 24, although there are national efforts to improve the HUD code.</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61"/>
        </w:numPr>
        <w:tabs>
          <w:tab w:val="clear" w:pos="2160"/>
        </w:tabs>
        <w:spacing w:after="0" w:line="240" w:lineRule="auto"/>
        <w:ind w:left="1094" w:hanging="187"/>
        <w:rPr>
          <w:rFonts w:cs="Calibri"/>
          <w:b/>
          <w:sz w:val="24"/>
          <w:szCs w:val="24"/>
        </w:rPr>
        <w:pPrChange w:id="60" w:author="cerobins" w:date="2012-09-04T13:35:00Z">
          <w:pPr>
            <w:numPr>
              <w:numId w:val="171"/>
            </w:numPr>
            <w:tabs>
              <w:tab w:val="num" w:pos="360"/>
            </w:tabs>
            <w:spacing w:after="0" w:line="240" w:lineRule="auto"/>
            <w:ind w:hanging="360"/>
          </w:pPr>
        </w:pPrChange>
      </w:pPr>
      <w:r w:rsidRPr="00AA7C43">
        <w:rPr>
          <w:rFonts w:cs="Calibri"/>
          <w:b/>
          <w:sz w:val="24"/>
          <w:szCs w:val="24"/>
        </w:rPr>
        <w:t>WE&amp;T efforts</w:t>
      </w:r>
    </w:p>
    <w:p w:rsidR="00AA7C43" w:rsidRPr="00AA7C43" w:rsidRDefault="00AA7C43" w:rsidP="00AA7C43">
      <w:pPr>
        <w:spacing w:after="0" w:line="240" w:lineRule="auto"/>
        <w:ind w:left="720"/>
        <w:rPr>
          <w:rFonts w:cs="Calibri"/>
          <w:sz w:val="24"/>
          <w:szCs w:val="24"/>
        </w:rPr>
      </w:pPr>
      <w:r w:rsidRPr="00AA7C43">
        <w:rPr>
          <w:rFonts w:cs="Calibri"/>
          <w:sz w:val="24"/>
          <w:szCs w:val="24"/>
        </w:rPr>
        <w:t>The RNC team is seeking ongoing support from the three energy and training centers for classes relevant to the building industry and training the next generation of trade allies, builders, contractors, and the like.</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61"/>
        </w:numPr>
        <w:tabs>
          <w:tab w:val="clear" w:pos="2160"/>
        </w:tabs>
        <w:spacing w:after="0" w:line="240" w:lineRule="auto"/>
        <w:ind w:left="1094" w:hanging="187"/>
        <w:rPr>
          <w:rFonts w:cs="Calibri"/>
          <w:b/>
          <w:sz w:val="24"/>
          <w:szCs w:val="24"/>
        </w:rPr>
        <w:pPrChange w:id="61" w:author="cerobins" w:date="2012-09-04T13:35:00Z">
          <w:pPr>
            <w:numPr>
              <w:numId w:val="171"/>
            </w:numPr>
            <w:tabs>
              <w:tab w:val="num" w:pos="360"/>
            </w:tabs>
            <w:spacing w:after="0" w:line="240" w:lineRule="auto"/>
            <w:ind w:hanging="360"/>
          </w:pPr>
        </w:pPrChange>
      </w:pPr>
      <w:r w:rsidRPr="00AA7C43">
        <w:rPr>
          <w:rFonts w:cs="Calibri"/>
          <w:b/>
          <w:sz w:val="24"/>
          <w:szCs w:val="24"/>
        </w:rPr>
        <w:t>Program-specific marketing and outreach efforts</w:t>
      </w:r>
    </w:p>
    <w:p w:rsidR="00AA7C43" w:rsidRPr="00AA7C43" w:rsidRDefault="00AA7C43" w:rsidP="00AA7C43">
      <w:pPr>
        <w:spacing w:after="0" w:line="240" w:lineRule="auto"/>
        <w:ind w:left="720"/>
        <w:rPr>
          <w:rFonts w:cs="Calibri"/>
          <w:sz w:val="24"/>
          <w:szCs w:val="24"/>
        </w:rPr>
      </w:pPr>
      <w:r w:rsidRPr="00AA7C43">
        <w:rPr>
          <w:rFonts w:cs="Calibri"/>
          <w:sz w:val="24"/>
          <w:szCs w:val="24"/>
        </w:rPr>
        <w:t>In 2013-2014, the program will expand its manufacturer and retailer outreach to increase overall awareness and understanding of ESMH.  We will continue to strengthen our information and support materials, focusing on the value to the retailer of making the sale to the homebuyer.  The IOUs’ communication tools will include: account representative meetings/presentations, targeted customer mailings, trade organization affiliations, and builder award recognition.  All materials and communications will also be made available in electronic file formats so information can be forwarded to customers immediately via the internet.</w:t>
      </w:r>
    </w:p>
    <w:p w:rsidR="00AA7C43" w:rsidRPr="00AA7C43" w:rsidRDefault="00AA7C43" w:rsidP="00AA7C43">
      <w:pPr>
        <w:spacing w:after="0" w:line="240" w:lineRule="auto"/>
        <w:ind w:left="720"/>
        <w:rPr>
          <w:rFonts w:cs="Calibri"/>
          <w:i/>
          <w:sz w:val="24"/>
          <w:szCs w:val="24"/>
        </w:rPr>
      </w:pPr>
    </w:p>
    <w:p w:rsidR="00AA7C43" w:rsidRPr="00AA7C43" w:rsidRDefault="00AA7C43" w:rsidP="00C31CC0">
      <w:pPr>
        <w:numPr>
          <w:ilvl w:val="0"/>
          <w:numId w:val="161"/>
        </w:numPr>
        <w:tabs>
          <w:tab w:val="clear" w:pos="2160"/>
        </w:tabs>
        <w:spacing w:after="0" w:line="240" w:lineRule="auto"/>
        <w:ind w:left="1094" w:hanging="187"/>
        <w:rPr>
          <w:rFonts w:cs="Calibri"/>
          <w:b/>
          <w:sz w:val="24"/>
          <w:szCs w:val="24"/>
        </w:rPr>
        <w:pPrChange w:id="62" w:author="cerobins" w:date="2012-09-04T13:35:00Z">
          <w:pPr>
            <w:numPr>
              <w:numId w:val="171"/>
            </w:numPr>
            <w:tabs>
              <w:tab w:val="num" w:pos="360"/>
            </w:tabs>
            <w:spacing w:after="0" w:line="240" w:lineRule="auto"/>
            <w:ind w:hanging="360"/>
          </w:pPr>
        </w:pPrChange>
      </w:pPr>
      <w:r w:rsidRPr="00AA7C43">
        <w:rPr>
          <w:rFonts w:cs="Calibri"/>
          <w:b/>
          <w:sz w:val="24"/>
          <w:szCs w:val="24"/>
        </w:rPr>
        <w:t>Non-IOU Programs</w:t>
      </w:r>
    </w:p>
    <w:p w:rsidR="00AA7C43" w:rsidRPr="00AA7C43" w:rsidRDefault="00AA7C43" w:rsidP="00AA7C43">
      <w:pPr>
        <w:spacing w:after="0" w:line="240" w:lineRule="auto"/>
        <w:ind w:left="720"/>
        <w:rPr>
          <w:rFonts w:cs="Calibri"/>
          <w:sz w:val="24"/>
          <w:szCs w:val="24"/>
        </w:rPr>
      </w:pPr>
      <w:r w:rsidRPr="00AA7C43">
        <w:rPr>
          <w:rFonts w:cs="Calibri"/>
          <w:sz w:val="24"/>
          <w:szCs w:val="24"/>
        </w:rPr>
        <w:lastRenderedPageBreak/>
        <w:t>There may also be opportunities to partner with local AQMDs and County Integrated Waste Management Boards to encourage material recycling in ZNE and green programs.</w:t>
      </w:r>
    </w:p>
    <w:p w:rsidR="00AA7C43" w:rsidRPr="00AA7C43" w:rsidRDefault="00AA7C43" w:rsidP="00AA7C43">
      <w:pPr>
        <w:spacing w:after="0" w:line="240" w:lineRule="auto"/>
        <w:ind w:left="720"/>
        <w:rPr>
          <w:rFonts w:cs="Calibri"/>
          <w:sz w:val="24"/>
          <w:szCs w:val="24"/>
        </w:rPr>
      </w:pPr>
    </w:p>
    <w:p w:rsidR="00AA7C43" w:rsidRPr="00AA7C43" w:rsidRDefault="00AA7C43" w:rsidP="00C31CC0">
      <w:pPr>
        <w:numPr>
          <w:ilvl w:val="0"/>
          <w:numId w:val="161"/>
        </w:numPr>
        <w:tabs>
          <w:tab w:val="clear" w:pos="2160"/>
        </w:tabs>
        <w:spacing w:after="0" w:line="240" w:lineRule="auto"/>
        <w:ind w:left="1094" w:hanging="187"/>
        <w:rPr>
          <w:rFonts w:cs="Calibri"/>
          <w:b/>
          <w:sz w:val="24"/>
          <w:szCs w:val="24"/>
        </w:rPr>
        <w:pPrChange w:id="63" w:author="cerobins" w:date="2012-09-04T13:35:00Z">
          <w:pPr>
            <w:numPr>
              <w:numId w:val="171"/>
            </w:numPr>
            <w:tabs>
              <w:tab w:val="num" w:pos="360"/>
            </w:tabs>
            <w:spacing w:after="0" w:line="240" w:lineRule="auto"/>
            <w:ind w:hanging="360"/>
          </w:pPr>
        </w:pPrChange>
      </w:pPr>
      <w:r w:rsidRPr="00AA7C43">
        <w:rPr>
          <w:rFonts w:cs="Calibri"/>
          <w:b/>
          <w:sz w:val="24"/>
          <w:szCs w:val="24"/>
        </w:rPr>
        <w:t>CEC work on C&amp;S</w:t>
      </w:r>
    </w:p>
    <w:p w:rsidR="00AA7C43" w:rsidRPr="00AA7C43" w:rsidRDefault="00AA7C43" w:rsidP="00AA7C43">
      <w:pPr>
        <w:spacing w:after="0" w:line="240" w:lineRule="auto"/>
        <w:ind w:left="720"/>
        <w:rPr>
          <w:rFonts w:cs="Calibri"/>
          <w:sz w:val="24"/>
          <w:szCs w:val="24"/>
        </w:rPr>
      </w:pPr>
      <w:r w:rsidRPr="00AA7C43">
        <w:rPr>
          <w:rFonts w:cs="Calibri"/>
          <w:sz w:val="24"/>
          <w:szCs w:val="24"/>
        </w:rPr>
        <w:t>The IOUs will continue to support Codes and Standards development work with the CEC and to test candidate technologies in the new construction programs.</w:t>
      </w:r>
    </w:p>
    <w:p w:rsidR="00AA7C43" w:rsidRPr="00AA7C43" w:rsidRDefault="00AA7C43" w:rsidP="00AA7C43">
      <w:pPr>
        <w:spacing w:after="0" w:line="240" w:lineRule="auto"/>
        <w:ind w:left="720"/>
        <w:rPr>
          <w:rFonts w:cs="Calibri"/>
          <w:sz w:val="24"/>
          <w:szCs w:val="24"/>
        </w:rPr>
      </w:pPr>
    </w:p>
    <w:p w:rsidR="00AA7C43" w:rsidRPr="00AA7C43" w:rsidRDefault="00AA7C43" w:rsidP="00AA7C43">
      <w:pPr>
        <w:overflowPunct w:val="0"/>
        <w:autoSpaceDE w:val="0"/>
        <w:autoSpaceDN w:val="0"/>
        <w:adjustRightInd w:val="0"/>
        <w:spacing w:after="0" w:line="240" w:lineRule="auto"/>
        <w:ind w:left="720" w:hanging="360"/>
        <w:textAlignment w:val="baseline"/>
        <w:rPr>
          <w:rFonts w:cs="Calibri"/>
          <w:b/>
          <w:sz w:val="24"/>
          <w:szCs w:val="24"/>
        </w:rPr>
      </w:pPr>
      <w:r w:rsidRPr="00AA7C43">
        <w:rPr>
          <w:rFonts w:cs="Calibri"/>
          <w:b/>
          <w:sz w:val="24"/>
          <w:szCs w:val="24"/>
        </w:rPr>
        <w:t xml:space="preserve">c) </w:t>
      </w:r>
      <w:r w:rsidRPr="00AA7C43">
        <w:rPr>
          <w:rFonts w:cs="Calibri"/>
          <w:b/>
          <w:sz w:val="24"/>
          <w:szCs w:val="24"/>
        </w:rPr>
        <w:tab/>
      </w:r>
      <w:r w:rsidRPr="00AA7C43">
        <w:rPr>
          <w:rFonts w:cs="Calibri"/>
          <w:b/>
          <w:sz w:val="24"/>
          <w:szCs w:val="24"/>
          <w:u w:val="single"/>
        </w:rPr>
        <w:t>Best Practices</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The Residential New Construction team will gather information and past experience in successful low energy and ZNE existing projects to evaluate best practices. This information will be used to develop pilot projects that will demonstrate low energy homes and include home performance monitoring. </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159"/>
        </w:numPr>
        <w:spacing w:after="0" w:line="240" w:lineRule="auto"/>
        <w:rPr>
          <w:rFonts w:cs="Calibri"/>
          <w:b/>
          <w:sz w:val="24"/>
          <w:szCs w:val="24"/>
          <w:u w:val="single"/>
        </w:rPr>
        <w:pPrChange w:id="64" w:author="cerobins" w:date="2012-09-04T13:35:00Z">
          <w:pPr>
            <w:numPr>
              <w:numId w:val="169"/>
            </w:numPr>
            <w:tabs>
              <w:tab w:val="num" w:pos="360"/>
            </w:tabs>
            <w:spacing w:after="0" w:line="240" w:lineRule="auto"/>
            <w:ind w:left="1080" w:hanging="360"/>
          </w:pPr>
        </w:pPrChange>
      </w:pPr>
      <w:r w:rsidRPr="00AA7C43">
        <w:rPr>
          <w:rFonts w:cs="Calibri"/>
          <w:sz w:val="24"/>
          <w:szCs w:val="24"/>
        </w:rPr>
        <w:t xml:space="preserve">  </w:t>
      </w:r>
      <w:r w:rsidRPr="00AA7C43">
        <w:rPr>
          <w:rFonts w:cs="Calibri"/>
          <w:b/>
          <w:sz w:val="24"/>
          <w:szCs w:val="24"/>
          <w:u w:val="single"/>
        </w:rPr>
        <w:t>Integrated/coordinated Demand Side Management</w:t>
      </w:r>
    </w:p>
    <w:p w:rsidR="00AA7C43" w:rsidRPr="00AA7C43" w:rsidRDefault="00AA7C43" w:rsidP="00AA7C43">
      <w:pPr>
        <w:spacing w:after="0" w:line="240" w:lineRule="auto"/>
        <w:ind w:left="360"/>
        <w:rPr>
          <w:rFonts w:cs="Calibri"/>
          <w:sz w:val="24"/>
          <w:szCs w:val="24"/>
        </w:rPr>
      </w:pPr>
      <w:r w:rsidRPr="00AA7C43">
        <w:rPr>
          <w:rFonts w:cs="Calibri"/>
          <w:sz w:val="24"/>
          <w:szCs w:val="24"/>
        </w:rPr>
        <w:t>The statewide RNC team is committed to a full integration of all resource types.  A first step has been taken by way of a recent joint agreement between SCG and SCE, which allows the two utilities to buy back therms and kWh.  Water saving technologies and CO</w:t>
      </w:r>
      <w:r w:rsidRPr="00AA7C43">
        <w:rPr>
          <w:rFonts w:cs="Calibri"/>
          <w:sz w:val="24"/>
          <w:szCs w:val="24"/>
          <w:vertAlign w:val="superscript"/>
        </w:rPr>
        <w:t>2</w:t>
      </w:r>
      <w:r w:rsidRPr="00AA7C43">
        <w:rPr>
          <w:rFonts w:cs="Calibri"/>
          <w:sz w:val="24"/>
          <w:szCs w:val="24"/>
        </w:rPr>
        <w:t xml:space="preserve"> reduction are strongly emphasized and tracked in ZNE projects.  As these technologies get accepted and recognized, they will become integrated into the base CAHP projects.</w:t>
      </w:r>
    </w:p>
    <w:p w:rsidR="00AA7C43" w:rsidRPr="00AA7C43" w:rsidRDefault="00AA7C43" w:rsidP="00AA7C43">
      <w:pPr>
        <w:spacing w:after="0" w:line="240" w:lineRule="auto"/>
        <w:ind w:left="360"/>
        <w:rPr>
          <w:rFonts w:cs="Calibri"/>
          <w:sz w:val="24"/>
          <w:szCs w:val="24"/>
        </w:rPr>
      </w:pPr>
    </w:p>
    <w:p w:rsidR="00AA7C43" w:rsidRPr="00AA7C43" w:rsidRDefault="00AA7C43" w:rsidP="00C31CC0">
      <w:pPr>
        <w:pStyle w:val="ListParagraph"/>
        <w:numPr>
          <w:ilvl w:val="0"/>
          <w:numId w:val="159"/>
        </w:numPr>
        <w:spacing w:after="0" w:line="240" w:lineRule="auto"/>
        <w:rPr>
          <w:rFonts w:cs="Calibri"/>
          <w:b/>
          <w:sz w:val="24"/>
          <w:szCs w:val="24"/>
        </w:rPr>
        <w:pPrChange w:id="65" w:author="cerobins" w:date="2012-09-04T13:35:00Z">
          <w:pPr>
            <w:pStyle w:val="ListParagraph"/>
            <w:numPr>
              <w:numId w:val="169"/>
            </w:numPr>
            <w:tabs>
              <w:tab w:val="num" w:pos="360"/>
            </w:tabs>
            <w:spacing w:after="0" w:line="240" w:lineRule="auto"/>
            <w:ind w:left="1080" w:hanging="360"/>
          </w:pPr>
        </w:pPrChange>
      </w:pPr>
      <w:r w:rsidRPr="00AA7C43">
        <w:rPr>
          <w:rFonts w:cs="Calibri"/>
          <w:b/>
          <w:sz w:val="24"/>
          <w:szCs w:val="24"/>
          <w:u w:val="single"/>
        </w:rPr>
        <w:t>Integration across resource types</w:t>
      </w:r>
      <w:r w:rsidRPr="00AA7C43">
        <w:rPr>
          <w:rFonts w:cs="Calibri"/>
          <w:b/>
          <w:sz w:val="24"/>
          <w:szCs w:val="24"/>
        </w:rPr>
        <w:t xml:space="preserve"> (energy, water, air quality, etc) </w:t>
      </w:r>
    </w:p>
    <w:p w:rsidR="00AA7C43" w:rsidRPr="00AA7C43" w:rsidRDefault="00AA7C43" w:rsidP="00AA7C43">
      <w:pPr>
        <w:spacing w:after="0" w:line="240" w:lineRule="auto"/>
        <w:ind w:left="360"/>
        <w:rPr>
          <w:rFonts w:cs="Calibri"/>
          <w:sz w:val="24"/>
          <w:szCs w:val="24"/>
        </w:rPr>
      </w:pPr>
      <w:r w:rsidRPr="00AA7C43">
        <w:rPr>
          <w:rFonts w:cs="Calibri"/>
          <w:sz w:val="24"/>
          <w:szCs w:val="24"/>
        </w:rPr>
        <w:t>As discussed above, RNC is looking to partner with relevant stakeholders to identify water, air quality, and waste-diversion opportunities.</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159"/>
        </w:numPr>
        <w:spacing w:after="0" w:line="240" w:lineRule="auto"/>
        <w:ind w:hanging="450"/>
        <w:rPr>
          <w:rFonts w:cs="Calibri"/>
          <w:b/>
          <w:sz w:val="24"/>
          <w:szCs w:val="24"/>
        </w:rPr>
        <w:pPrChange w:id="66" w:author="cerobins" w:date="2012-09-04T13:35:00Z">
          <w:pPr>
            <w:numPr>
              <w:numId w:val="169"/>
            </w:numPr>
            <w:tabs>
              <w:tab w:val="num" w:pos="360"/>
            </w:tabs>
            <w:spacing w:after="0" w:line="240" w:lineRule="auto"/>
            <w:ind w:left="1080" w:hanging="360"/>
          </w:pPr>
        </w:pPrChange>
      </w:pPr>
      <w:r w:rsidRPr="00AA7C43">
        <w:rPr>
          <w:rFonts w:cs="Calibri"/>
          <w:b/>
          <w:sz w:val="24"/>
          <w:szCs w:val="24"/>
          <w:u w:val="single"/>
        </w:rPr>
        <w:t>Pilots</w:t>
      </w:r>
    </w:p>
    <w:p w:rsidR="00AA7C43" w:rsidRPr="00AA7C43" w:rsidRDefault="00AA7C43" w:rsidP="00AA7C43">
      <w:pPr>
        <w:spacing w:after="0" w:line="240" w:lineRule="auto"/>
        <w:ind w:left="360"/>
        <w:rPr>
          <w:rFonts w:cs="Calibri"/>
          <w:sz w:val="24"/>
          <w:szCs w:val="24"/>
        </w:rPr>
      </w:pPr>
      <w:r w:rsidRPr="00AA7C43">
        <w:rPr>
          <w:rFonts w:cs="Calibri"/>
          <w:sz w:val="24"/>
          <w:szCs w:val="24"/>
        </w:rPr>
        <w:t xml:space="preserve">As discussed above, The IOUs may in the future need to create a pilot program to test the viability of an offering.  </w:t>
      </w:r>
    </w:p>
    <w:p w:rsidR="00AA7C43" w:rsidRPr="00AA7C43" w:rsidRDefault="00AA7C43" w:rsidP="00AA7C43">
      <w:pPr>
        <w:spacing w:after="0" w:line="240" w:lineRule="auto"/>
        <w:ind w:left="360"/>
        <w:rPr>
          <w:rFonts w:cs="Calibri"/>
          <w:sz w:val="24"/>
          <w:szCs w:val="24"/>
        </w:rPr>
      </w:pPr>
    </w:p>
    <w:p w:rsidR="00AA7C43" w:rsidRPr="00AA7C43" w:rsidRDefault="00AA7C43" w:rsidP="00C31CC0">
      <w:pPr>
        <w:numPr>
          <w:ilvl w:val="0"/>
          <w:numId w:val="159"/>
        </w:numPr>
        <w:spacing w:after="0" w:line="240" w:lineRule="auto"/>
        <w:ind w:hanging="450"/>
        <w:rPr>
          <w:rFonts w:cs="Calibri"/>
          <w:b/>
          <w:sz w:val="24"/>
          <w:szCs w:val="24"/>
        </w:rPr>
        <w:pPrChange w:id="67" w:author="cerobins" w:date="2012-09-04T13:35:00Z">
          <w:pPr>
            <w:numPr>
              <w:numId w:val="169"/>
            </w:numPr>
            <w:tabs>
              <w:tab w:val="num" w:pos="360"/>
            </w:tabs>
            <w:spacing w:after="0" w:line="240" w:lineRule="auto"/>
            <w:ind w:left="1080" w:hanging="360"/>
          </w:pPr>
        </w:pPrChange>
      </w:pPr>
      <w:r w:rsidRPr="00AA7C43">
        <w:rPr>
          <w:rFonts w:cs="Calibri"/>
          <w:b/>
          <w:sz w:val="24"/>
          <w:szCs w:val="24"/>
          <w:u w:val="single"/>
        </w:rPr>
        <w:t>EM&amp;V</w:t>
      </w:r>
    </w:p>
    <w:p w:rsidR="00AA7C43" w:rsidRPr="00AA7C43" w:rsidRDefault="00AA7C43" w:rsidP="00AA7C43">
      <w:pPr>
        <w:spacing w:after="0" w:line="240" w:lineRule="auto"/>
        <w:ind w:left="360"/>
        <w:rPr>
          <w:rFonts w:cs="Calibri"/>
          <w:sz w:val="24"/>
          <w:szCs w:val="24"/>
        </w:rPr>
      </w:pPr>
      <w:r w:rsidRPr="00AA7C43">
        <w:rPr>
          <w:rFonts w:cs="Calibri"/>
          <w:sz w:val="24"/>
          <w:szCs w:val="24"/>
        </w:rPr>
        <w:t>The utilities are proposing to develop and submit a comprehensive EM&amp;V plan for 2013-2014 after the program implementation plans are filed.  This will include process evaluations and other program-specific studies within the context of broader utility studies.  More detailed plans for process evaluation and other program-specific evaluation efforts cannot be developed until after the final program design is approved by the CPUC and in many cases after program implementation has begun, since plans need to be based on identified program design and implementation issues.</w:t>
      </w:r>
    </w:p>
    <w:p w:rsidR="00AA7C43" w:rsidRPr="00AA7C43" w:rsidRDefault="00AA7C43" w:rsidP="00AA7C43">
      <w:pPr>
        <w:spacing w:after="0" w:line="240" w:lineRule="auto"/>
        <w:rPr>
          <w:rFonts w:cs="Calibri"/>
          <w:sz w:val="24"/>
          <w:szCs w:val="24"/>
        </w:rPr>
      </w:pPr>
    </w:p>
    <w:p w:rsidR="00AA7C43" w:rsidRPr="00AA7C43" w:rsidRDefault="00AA7C43" w:rsidP="00AA7C43">
      <w:pPr>
        <w:spacing w:after="0" w:line="240" w:lineRule="auto"/>
        <w:rPr>
          <w:rFonts w:cs="Calibri"/>
          <w:b/>
          <w:sz w:val="24"/>
          <w:szCs w:val="24"/>
        </w:rPr>
      </w:pPr>
    </w:p>
    <w:p w:rsidR="00AA7C43" w:rsidRPr="00AA7C43" w:rsidRDefault="00AA7C43" w:rsidP="00AA7C43">
      <w:pPr>
        <w:spacing w:after="0" w:line="240" w:lineRule="auto"/>
        <w:rPr>
          <w:rFonts w:cs="Calibri"/>
          <w:b/>
          <w:sz w:val="24"/>
          <w:szCs w:val="24"/>
        </w:rPr>
      </w:pPr>
    </w:p>
    <w:p w:rsidR="00AA7C43" w:rsidRPr="00AA7C43" w:rsidRDefault="00AA7C43" w:rsidP="00C31CC0">
      <w:pPr>
        <w:pStyle w:val="ListParagraph"/>
        <w:numPr>
          <w:ilvl w:val="3"/>
          <w:numId w:val="13"/>
        </w:numPr>
        <w:tabs>
          <w:tab w:val="left" w:pos="360"/>
        </w:tabs>
        <w:spacing w:after="0" w:line="240" w:lineRule="auto"/>
        <w:ind w:hanging="2520"/>
        <w:rPr>
          <w:rFonts w:cs="Calibri"/>
          <w:b/>
          <w:sz w:val="24"/>
          <w:szCs w:val="24"/>
        </w:rPr>
      </w:pPr>
      <w:r w:rsidRPr="00AA7C43">
        <w:rPr>
          <w:rFonts w:cs="Calibri"/>
          <w:b/>
          <w:sz w:val="24"/>
          <w:szCs w:val="24"/>
        </w:rPr>
        <w:t xml:space="preserve"> Diagram of Program</w:t>
      </w:r>
    </w:p>
    <w:p w:rsidR="00AA7C43" w:rsidRPr="00AA7C43" w:rsidRDefault="00AA7C43" w:rsidP="00AA7C43">
      <w:pPr>
        <w:spacing w:after="0" w:line="240" w:lineRule="auto"/>
        <w:ind w:left="-720" w:right="-432"/>
        <w:jc w:val="both"/>
        <w:rPr>
          <w:rFonts w:cs="Calibri"/>
          <w:sz w:val="24"/>
          <w:szCs w:val="24"/>
        </w:rPr>
      </w:pPr>
      <w:r w:rsidRPr="00AA7C43">
        <w:rPr>
          <w:rFonts w:cs="Calibri"/>
          <w:sz w:val="24"/>
          <w:szCs w:val="24"/>
        </w:rPr>
        <w:lastRenderedPageBreak/>
        <w:t xml:space="preserve"> </w:t>
      </w:r>
      <w:r w:rsidR="00C31CC0">
        <w:rPr>
          <w:rFonts w:cs="Calibri"/>
          <w:noProof/>
          <w:sz w:val="24"/>
          <w:szCs w:val="24"/>
        </w:rPr>
        <mc:AlternateContent>
          <mc:Choice Requires="wpg">
            <w:drawing>
              <wp:inline distT="0" distB="0" distL="0" distR="0">
                <wp:extent cx="6997065" cy="4841240"/>
                <wp:effectExtent l="0" t="0" r="3810" b="0"/>
                <wp:docPr id="2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4841240"/>
                          <a:chOff x="3048" y="4572"/>
                          <a:chExt cx="85344" cy="59435"/>
                        </a:xfrm>
                      </wpg:grpSpPr>
                      <pic:pic xmlns:pic="http://schemas.openxmlformats.org/drawingml/2006/picture">
                        <pic:nvPicPr>
                          <pic:cNvPr id="26"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48" y="4572"/>
                            <a:ext cx="85344" cy="59435"/>
                          </a:xfrm>
                          <a:prstGeom prst="rect">
                            <a:avLst/>
                          </a:prstGeom>
                          <a:noFill/>
                          <a:extLst>
                            <a:ext uri="{909E8E84-426E-40DD-AFC4-6F175D3DCCD1}">
                              <a14:hiddenFill xmlns:a14="http://schemas.microsoft.com/office/drawing/2010/main">
                                <a:solidFill>
                                  <a:srgbClr val="FFFFFF"/>
                                </a:solidFill>
                              </a14:hiddenFill>
                            </a:ext>
                          </a:extLst>
                        </pic:spPr>
                      </pic:pic>
                      <wps:wsp>
                        <wps:cNvPr id="42" name="TextBox 4"/>
                        <wps:cNvSpPr txBox="1">
                          <a:spLocks noChangeArrowheads="1"/>
                        </wps:cNvSpPr>
                        <wps:spPr bwMode="auto">
                          <a:xfrm>
                            <a:off x="6370" y="11400"/>
                            <a:ext cx="5436" cy="3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C43" w:rsidRDefault="00AA7C43" w:rsidP="00AA7C43">
                              <w:pPr>
                                <w:pStyle w:val="NormalWeb"/>
                                <w:spacing w:before="0" w:beforeAutospacing="0" w:after="0" w:afterAutospacing="0"/>
                              </w:pPr>
                              <w:r w:rsidRPr="00AA7C43">
                                <w:rPr>
                                  <w:rFonts w:ascii="Calibri" w:hAnsi="Calibri"/>
                                  <w:color w:val="000000"/>
                                  <w:kern w:val="24"/>
                                  <w:sz w:val="28"/>
                                  <w:szCs w:val="28"/>
                                </w:rPr>
                                <w:t>ESAP</w:t>
                              </w:r>
                            </w:p>
                          </w:txbxContent>
                        </wps:txbx>
                        <wps:bodyPr rot="0" vert="horz" wrap="square" lIns="91440" tIns="45720" rIns="91440" bIns="45720" anchor="t" anchorCtr="0" upright="1">
                          <a:noAutofit/>
                        </wps:bodyPr>
                      </wps:wsp>
                    </wpg:wgp>
                  </a:graphicData>
                </a:graphic>
              </wp:inline>
            </w:drawing>
          </mc:Choice>
          <mc:Fallback>
            <w:pict>
              <v:group id="Group 103" o:spid="_x0000_s1056" style="width:550.95pt;height:381.2pt;mso-position-horizontal-relative:char;mso-position-vertical-relative:line" coordorigin="3048,4572" coordsize="85344,594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">
                <v:shape id="Picture 114" o:spid="_x0000_s1057" type="#_x0000_t75" style="position:absolute;left:3048;top:4572;width:85344;height:59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F+C/AAAA2wAAAA8AAABkcnMvZG93bnJldi54bWxEj80KwjAQhO+C7xBW8KapHkSrUUQQRA/i&#10;D57XZm2LzaYkUevbG0HwOMzMN8xs0ZhKPMn50rKCQT8BQZxZXXKu4Hxa98YgfEDWWFkmBW/ysJi3&#10;WzNMtX3xgZ7HkIsIYZ+igiKEOpXSZwUZ9H1bE0fvZp3BEKXLpXb4inBTyWGSjKTBkuNCgTWtCsru&#10;x4dR4Af5aj0xD1MekuZiXXW9b/c7pbqdZjkFEagJ//CvvdEKhiP4fo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4hfgvwAAANsAAAAPAAAAAAAAAAAAAAAAAJ8CAABk&#10;cnMvZG93bnJldi54bWxQSwUGAAAAAAQABAD3AAAAiwMAAAAA&#10;">
                  <v:imagedata r:id="rId63" o:title=""/>
                </v:shape>
                <v:shape id="TextBox 4" o:spid="_x0000_s1058" type="#_x0000_t202" style="position:absolute;left:6370;top:11400;width:5436;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AA7C43" w:rsidRDefault="00AA7C43" w:rsidP="00AA7C43">
                        <w:pPr>
                          <w:pStyle w:val="NormalWeb"/>
                          <w:spacing w:before="0" w:beforeAutospacing="0" w:after="0" w:afterAutospacing="0"/>
                        </w:pPr>
                        <w:r w:rsidRPr="00AA7C43">
                          <w:rPr>
                            <w:rFonts w:ascii="Calibri" w:hAnsi="Calibri"/>
                            <w:color w:val="000000"/>
                            <w:kern w:val="24"/>
                            <w:sz w:val="28"/>
                            <w:szCs w:val="28"/>
                          </w:rPr>
                          <w:t>ESAP</w:t>
                        </w:r>
                      </w:p>
                    </w:txbxContent>
                  </v:textbox>
                </v:shape>
                <w10:anchorlock/>
              </v:group>
            </w:pict>
          </mc:Fallback>
        </mc:AlternateContent>
      </w:r>
    </w:p>
    <w:p w:rsidR="00AA7C43" w:rsidRPr="00AA7C43" w:rsidRDefault="00AA7C43" w:rsidP="00AA7C43">
      <w:pPr>
        <w:spacing w:after="0" w:line="240" w:lineRule="auto"/>
        <w:rPr>
          <w:rFonts w:cs="Calibri"/>
          <w:sz w:val="24"/>
          <w:szCs w:val="24"/>
        </w:rPr>
      </w:pPr>
    </w:p>
    <w:p w:rsidR="00AA7C43" w:rsidRPr="00AA7C43" w:rsidRDefault="00AA7C43" w:rsidP="00C31CC0">
      <w:pPr>
        <w:numPr>
          <w:ilvl w:val="0"/>
          <w:numId w:val="21"/>
        </w:numPr>
        <w:tabs>
          <w:tab w:val="clear" w:pos="1260"/>
        </w:tabs>
        <w:spacing w:after="0" w:line="240" w:lineRule="auto"/>
        <w:ind w:left="360" w:hanging="360"/>
        <w:rPr>
          <w:rFonts w:cs="Calibri"/>
          <w:sz w:val="24"/>
          <w:szCs w:val="24"/>
        </w:rPr>
      </w:pPr>
      <w:r w:rsidRPr="00AA7C43">
        <w:rPr>
          <w:rFonts w:cs="Calibri"/>
          <w:b/>
          <w:sz w:val="24"/>
          <w:szCs w:val="24"/>
        </w:rPr>
        <w:t>Program Logic Model</w:t>
      </w:r>
    </w:p>
    <w:p w:rsidR="00AA7C43" w:rsidRPr="00AA7C43" w:rsidRDefault="00AA7C43" w:rsidP="00AA7C43">
      <w:pPr>
        <w:spacing w:after="0" w:line="240" w:lineRule="auto"/>
        <w:rPr>
          <w:rFonts w:cs="Calibri"/>
          <w:color w:val="000000"/>
          <w:sz w:val="24"/>
          <w:szCs w:val="24"/>
        </w:rPr>
      </w:pPr>
    </w:p>
    <w:p w:rsidR="00AA7C43" w:rsidRPr="00AA7C43" w:rsidRDefault="00AA7C43" w:rsidP="00AA7C43">
      <w:pPr>
        <w:spacing w:after="0" w:line="240" w:lineRule="auto"/>
        <w:rPr>
          <w:rFonts w:cs="Calibri"/>
          <w:color w:val="000000"/>
          <w:sz w:val="24"/>
          <w:szCs w:val="24"/>
        </w:rPr>
      </w:pPr>
      <w:r w:rsidRPr="00AA7C43">
        <w:rPr>
          <w:rFonts w:cs="Calibri"/>
          <w:color w:val="000000"/>
          <w:sz w:val="24"/>
          <w:szCs w:val="24"/>
        </w:rPr>
        <w:t>Note: On December 2, 2010, the Commission issued Resolution E-4385, approving Program Performance Metrics (PPMs) for Pacific Gas &amp; Electric Company, Southern California Edison Company, Southern California Gas Company, and San Diego Gas and Electric Company for 2010-2012 statewide energy efficiency programs and subprograms.  In addition, this Resolution approved updated logic models for the statewide programs.  Below is the approved logic model for the Energy Star Manufactured Homes Program.</w:t>
      </w:r>
    </w:p>
    <w:p w:rsidR="00AA7C43" w:rsidRPr="00AA7C43" w:rsidRDefault="00AA7C43" w:rsidP="00AA7C43">
      <w:pPr>
        <w:spacing w:after="0" w:line="240" w:lineRule="auto"/>
        <w:rPr>
          <w:rFonts w:cs="Calibri"/>
          <w:sz w:val="24"/>
          <w:szCs w:val="24"/>
          <w:u w:val="single"/>
        </w:rPr>
      </w:pPr>
    </w:p>
    <w:p w:rsidR="00AA7C43" w:rsidRPr="00AA7C43" w:rsidRDefault="008D705C" w:rsidP="00AA7C43">
      <w:pPr>
        <w:spacing w:after="0" w:line="240" w:lineRule="auto"/>
        <w:ind w:left="-432" w:right="-432"/>
        <w:rPr>
          <w:rFonts w:cs="Calibri"/>
          <w:sz w:val="24"/>
          <w:szCs w:val="24"/>
        </w:rPr>
      </w:pPr>
      <w:r w:rsidRPr="00C31CC0">
        <w:rPr>
          <w:rFonts w:cs="Calibri"/>
          <w:noProof/>
          <w:sz w:val="24"/>
          <w:szCs w:val="24"/>
        </w:rPr>
        <w:lastRenderedPageBreak/>
        <w:drawing>
          <wp:inline distT="0" distB="0" distL="0" distR="0" wp14:anchorId="27BD92DC" wp14:editId="2EB7C91B">
            <wp:extent cx="6667500" cy="6762750"/>
            <wp:effectExtent l="19050" t="0" r="0" b="0"/>
            <wp:docPr id="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srcRect/>
                    <a:stretch>
                      <a:fillRect/>
                    </a:stretch>
                  </pic:blipFill>
                  <pic:spPr bwMode="auto">
                    <a:xfrm>
                      <a:off x="0" y="0"/>
                      <a:ext cx="6667500" cy="6762750"/>
                    </a:xfrm>
                    <a:prstGeom prst="rect">
                      <a:avLst/>
                    </a:prstGeom>
                    <a:noFill/>
                    <a:ln w="9525">
                      <a:noFill/>
                      <a:miter lim="800000"/>
                      <a:headEnd/>
                      <a:tailEnd/>
                    </a:ln>
                  </pic:spPr>
                </pic:pic>
              </a:graphicData>
            </a:graphic>
          </wp:inline>
        </w:drawing>
      </w:r>
    </w:p>
    <w:p w:rsidR="00AA7C43" w:rsidRDefault="00AA7C43" w:rsidP="00AA7C43"/>
    <w:p w:rsidR="00513B47" w:rsidRPr="00600E6F" w:rsidRDefault="00513B47" w:rsidP="003408F4">
      <w:pPr>
        <w:spacing w:after="0" w:line="240" w:lineRule="auto"/>
        <w:rPr>
          <w:rFonts w:ascii="Times New Roman" w:hAnsi="Times New Roman"/>
          <w:sz w:val="24"/>
        </w:rPr>
      </w:pPr>
    </w:p>
    <w:p w:rsidR="00513B47" w:rsidRPr="00600E6F" w:rsidRDefault="00513B47" w:rsidP="003418DB">
      <w:pPr>
        <w:spacing w:after="0" w:line="240" w:lineRule="auto"/>
        <w:jc w:val="center"/>
        <w:rPr>
          <w:rFonts w:ascii="Times New Roman" w:hAnsi="Times New Roman"/>
          <w:sz w:val="24"/>
        </w:rPr>
      </w:pPr>
      <w:r w:rsidRPr="00600E6F">
        <w:rPr>
          <w:rFonts w:ascii="Times New Roman" w:hAnsi="Times New Roman"/>
          <w:sz w:val="24"/>
        </w:rPr>
        <w:br w:type="page"/>
      </w:r>
    </w:p>
    <w:p w:rsidR="00513B47" w:rsidRPr="00600E6F" w:rsidRDefault="00513B47" w:rsidP="003418DB">
      <w:pPr>
        <w:spacing w:after="0" w:line="240" w:lineRule="auto"/>
        <w:jc w:val="center"/>
        <w:rPr>
          <w:rFonts w:ascii="Times New Roman" w:hAnsi="Times New Roman"/>
          <w:b/>
          <w:sz w:val="24"/>
        </w:rPr>
      </w:pPr>
      <w:r w:rsidRPr="00600E6F">
        <w:rPr>
          <w:rFonts w:ascii="Times New Roman" w:hAnsi="Times New Roman"/>
          <w:b/>
          <w:sz w:val="24"/>
        </w:rPr>
        <w:lastRenderedPageBreak/>
        <w:t>Appendix 1</w:t>
      </w:r>
    </w:p>
    <w:p w:rsidR="00513B47" w:rsidRPr="00600E6F" w:rsidRDefault="00513B47" w:rsidP="003418DB">
      <w:pPr>
        <w:spacing w:after="0" w:line="240" w:lineRule="auto"/>
        <w:jc w:val="center"/>
        <w:rPr>
          <w:rFonts w:ascii="Times New Roman" w:hAnsi="Times New Roman"/>
          <w:b/>
          <w:sz w:val="24"/>
        </w:rPr>
      </w:pPr>
      <w:r w:rsidRPr="00600E6F">
        <w:rPr>
          <w:rFonts w:ascii="Times New Roman" w:hAnsi="Times New Roman"/>
          <w:b/>
          <w:sz w:val="24"/>
        </w:rPr>
        <w:t>Energy Division Program Adjustment Requests</w:t>
      </w:r>
    </w:p>
    <w:p w:rsidR="00513B47" w:rsidRPr="00600E6F" w:rsidRDefault="00513B47" w:rsidP="003418DB">
      <w:pPr>
        <w:spacing w:after="0" w:line="240" w:lineRule="auto"/>
        <w:jc w:val="center"/>
        <w:rPr>
          <w:rFonts w:ascii="Times New Roman" w:hAnsi="Times New Roman"/>
          <w:b/>
          <w:sz w:val="24"/>
        </w:rPr>
      </w:pPr>
      <w:r w:rsidRPr="00600E6F">
        <w:rPr>
          <w:rFonts w:ascii="Times New Roman" w:hAnsi="Times New Roman"/>
          <w:b/>
          <w:sz w:val="24"/>
        </w:rPr>
        <w:t>Implemented by IOUs</w:t>
      </w:r>
    </w:p>
    <w:p w:rsidR="00513B47" w:rsidRPr="00600E6F" w:rsidRDefault="00513B47" w:rsidP="003418DB">
      <w:pPr>
        <w:spacing w:after="0" w:line="240" w:lineRule="auto"/>
        <w:jc w:val="center"/>
        <w:rPr>
          <w:rFonts w:ascii="Times New Roman" w:hAnsi="Times New Roman"/>
          <w:b/>
          <w:sz w:val="24"/>
        </w:rPr>
      </w:pPr>
    </w:p>
    <w:p w:rsidR="00513B47" w:rsidRPr="00600E6F" w:rsidRDefault="00513B47" w:rsidP="003418DB">
      <w:pPr>
        <w:tabs>
          <w:tab w:val="left" w:pos="2520"/>
        </w:tabs>
        <w:spacing w:after="0" w:line="240" w:lineRule="auto"/>
        <w:rPr>
          <w:rFonts w:ascii="Times New Roman" w:hAnsi="Times New Roman"/>
          <w:b/>
          <w:sz w:val="24"/>
        </w:rPr>
      </w:pPr>
      <w:r w:rsidRPr="00600E6F">
        <w:rPr>
          <w:rFonts w:ascii="Times New Roman" w:hAnsi="Times New Roman"/>
          <w:b/>
          <w:sz w:val="24"/>
        </w:rPr>
        <w:t>Program Name:</w:t>
      </w:r>
      <w:r w:rsidRPr="00600E6F">
        <w:rPr>
          <w:rFonts w:ascii="Times New Roman" w:hAnsi="Times New Roman"/>
          <w:b/>
          <w:sz w:val="24"/>
        </w:rPr>
        <w:tab/>
        <w:t>Statewide New Construction Program</w:t>
      </w:r>
    </w:p>
    <w:p w:rsidR="00513B47" w:rsidRPr="00600E6F" w:rsidRDefault="00513B47" w:rsidP="003418DB">
      <w:pPr>
        <w:tabs>
          <w:tab w:val="left" w:pos="2520"/>
        </w:tabs>
        <w:spacing w:after="0" w:line="240" w:lineRule="auto"/>
        <w:rPr>
          <w:rFonts w:ascii="Times New Roman" w:hAnsi="Times New Roman"/>
          <w:b/>
          <w:sz w:val="24"/>
        </w:rPr>
      </w:pPr>
      <w:r w:rsidRPr="00600E6F">
        <w:rPr>
          <w:rFonts w:ascii="Times New Roman" w:hAnsi="Times New Roman"/>
          <w:b/>
          <w:sz w:val="24"/>
        </w:rPr>
        <w:t>Program Number:</w:t>
      </w:r>
      <w:r w:rsidRPr="00600E6F">
        <w:rPr>
          <w:rFonts w:ascii="Times New Roman" w:hAnsi="Times New Roman"/>
          <w:b/>
          <w:sz w:val="24"/>
        </w:rPr>
        <w:tab/>
      </w:r>
    </w:p>
    <w:p w:rsidR="00513B47" w:rsidRPr="00600E6F" w:rsidRDefault="00513B47" w:rsidP="003418DB">
      <w:pPr>
        <w:tabs>
          <w:tab w:val="left" w:pos="2520"/>
        </w:tabs>
        <w:spacing w:after="0" w:line="240" w:lineRule="auto"/>
        <w:rPr>
          <w:rFonts w:ascii="Times New Roman" w:hAnsi="Times New Roman"/>
          <w:b/>
          <w:sz w:val="24"/>
        </w:rPr>
      </w:pPr>
      <w:r w:rsidRPr="00600E6F">
        <w:rPr>
          <w:rFonts w:ascii="Times New Roman" w:hAnsi="Times New Roman"/>
          <w:b/>
          <w:sz w:val="24"/>
        </w:rPr>
        <w:t>Sub-program Name:</w:t>
      </w:r>
      <w:r w:rsidRPr="00600E6F">
        <w:rPr>
          <w:rFonts w:ascii="Times New Roman" w:hAnsi="Times New Roman"/>
          <w:b/>
          <w:sz w:val="24"/>
        </w:rPr>
        <w:tab/>
        <w:t>Residential New Construction (“California Advanced Homes”)</w:t>
      </w:r>
    </w:p>
    <w:p w:rsidR="00513B47" w:rsidRPr="00600E6F" w:rsidRDefault="00513B47" w:rsidP="003418DB">
      <w:pPr>
        <w:spacing w:after="0" w:line="240" w:lineRule="auto"/>
        <w:rPr>
          <w:rFonts w:ascii="Times New Roman" w:hAnsi="Times New Roman"/>
          <w:b/>
          <w:sz w:val="24"/>
        </w:rPr>
      </w:pPr>
      <w:r w:rsidRPr="00600E6F">
        <w:rPr>
          <w:rFonts w:ascii="Times New Roman" w:hAnsi="Times New Roman"/>
          <w:b/>
          <w:sz w:val="24"/>
        </w:rPr>
        <w:tab/>
      </w:r>
      <w:r w:rsidRPr="00600E6F">
        <w:rPr>
          <w:rFonts w:ascii="Times New Roman" w:hAnsi="Times New Roman"/>
          <w:b/>
          <w:sz w:val="24"/>
        </w:rPr>
        <w:tab/>
      </w:r>
    </w:p>
    <w:p w:rsidR="00513B47" w:rsidRPr="00600E6F" w:rsidRDefault="00513B47" w:rsidP="003418DB">
      <w:pPr>
        <w:spacing w:after="0" w:line="240" w:lineRule="auto"/>
        <w:rPr>
          <w:rFonts w:ascii="Times New Roman" w:hAnsi="Times New Roman"/>
          <w:sz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20"/>
        <w:gridCol w:w="1350"/>
        <w:gridCol w:w="2610"/>
        <w:gridCol w:w="1890"/>
        <w:gridCol w:w="1278"/>
      </w:tblGrid>
      <w:tr w:rsidR="00513B47" w:rsidRPr="003418DB" w:rsidTr="006A7E7B">
        <w:trPr>
          <w:trHeight w:val="800"/>
        </w:trPr>
        <w:tc>
          <w:tcPr>
            <w:tcW w:w="1440" w:type="dxa"/>
            <w:shd w:val="clear" w:color="auto" w:fill="C0C0C0"/>
          </w:tcPr>
          <w:p w:rsidR="00513B47" w:rsidRPr="00600E6F" w:rsidRDefault="00513B47" w:rsidP="003418DB">
            <w:pPr>
              <w:spacing w:after="0" w:line="240" w:lineRule="auto"/>
              <w:jc w:val="center"/>
              <w:rPr>
                <w:rFonts w:ascii="Times New Roman" w:hAnsi="Times New Roman"/>
                <w:b/>
              </w:rPr>
            </w:pPr>
            <w:r w:rsidRPr="00600E6F">
              <w:rPr>
                <w:rFonts w:ascii="Times New Roman" w:hAnsi="Times New Roman"/>
                <w:b/>
              </w:rPr>
              <w:t>Source of Request</w:t>
            </w:r>
          </w:p>
          <w:p w:rsidR="00513B47" w:rsidRPr="00600E6F" w:rsidRDefault="00513B47" w:rsidP="003418DB">
            <w:pPr>
              <w:spacing w:after="0" w:line="240" w:lineRule="auto"/>
              <w:jc w:val="center"/>
              <w:rPr>
                <w:rFonts w:ascii="Times New Roman" w:hAnsi="Times New Roman"/>
                <w:b/>
              </w:rPr>
            </w:pPr>
            <w:r w:rsidRPr="00600E6F">
              <w:rPr>
                <w:rFonts w:ascii="Times New Roman" w:hAnsi="Times New Roman"/>
                <w:b/>
              </w:rPr>
              <w:t xml:space="preserve"> (ED Staff Name)</w:t>
            </w:r>
          </w:p>
        </w:tc>
        <w:tc>
          <w:tcPr>
            <w:tcW w:w="1620" w:type="dxa"/>
            <w:shd w:val="clear" w:color="auto" w:fill="C0C0C0"/>
          </w:tcPr>
          <w:p w:rsidR="00513B47" w:rsidRPr="00600E6F" w:rsidRDefault="00513B47" w:rsidP="003418DB">
            <w:pPr>
              <w:spacing w:after="0" w:line="240" w:lineRule="auto"/>
              <w:jc w:val="center"/>
              <w:rPr>
                <w:rFonts w:ascii="Times New Roman" w:hAnsi="Times New Roman"/>
                <w:b/>
              </w:rPr>
            </w:pPr>
          </w:p>
          <w:p w:rsidR="00513B47" w:rsidRPr="00600E6F" w:rsidRDefault="00513B47" w:rsidP="003418DB">
            <w:pPr>
              <w:spacing w:after="0" w:line="240" w:lineRule="auto"/>
              <w:jc w:val="center"/>
              <w:rPr>
                <w:rFonts w:ascii="Times New Roman" w:hAnsi="Times New Roman"/>
                <w:b/>
              </w:rPr>
            </w:pPr>
          </w:p>
          <w:p w:rsidR="00513B47" w:rsidRPr="00600E6F" w:rsidRDefault="00513B47" w:rsidP="003418DB">
            <w:pPr>
              <w:spacing w:after="0" w:line="240" w:lineRule="auto"/>
              <w:jc w:val="center"/>
              <w:rPr>
                <w:rFonts w:ascii="Times New Roman" w:hAnsi="Times New Roman"/>
                <w:b/>
              </w:rPr>
            </w:pPr>
            <w:r w:rsidRPr="00600E6F">
              <w:rPr>
                <w:rFonts w:ascii="Times New Roman" w:hAnsi="Times New Roman"/>
                <w:b/>
              </w:rPr>
              <w:t>PIP Section</w:t>
            </w:r>
          </w:p>
        </w:tc>
        <w:tc>
          <w:tcPr>
            <w:tcW w:w="1350" w:type="dxa"/>
            <w:shd w:val="clear" w:color="auto" w:fill="C0C0C0"/>
          </w:tcPr>
          <w:p w:rsidR="00513B47" w:rsidRPr="00600E6F" w:rsidRDefault="00513B47" w:rsidP="003418DB">
            <w:pPr>
              <w:spacing w:after="0" w:line="240" w:lineRule="auto"/>
              <w:jc w:val="center"/>
              <w:rPr>
                <w:rFonts w:ascii="Times New Roman" w:hAnsi="Times New Roman"/>
                <w:b/>
              </w:rPr>
            </w:pPr>
          </w:p>
          <w:p w:rsidR="00513B47" w:rsidRPr="00600E6F" w:rsidRDefault="00513B47" w:rsidP="003418DB">
            <w:pPr>
              <w:spacing w:after="0" w:line="240" w:lineRule="auto"/>
              <w:jc w:val="center"/>
              <w:rPr>
                <w:rFonts w:ascii="Times New Roman" w:hAnsi="Times New Roman"/>
                <w:b/>
              </w:rPr>
            </w:pPr>
          </w:p>
          <w:p w:rsidR="00513B47" w:rsidRPr="00600E6F" w:rsidRDefault="00513B47" w:rsidP="003418DB">
            <w:pPr>
              <w:spacing w:after="0" w:line="240" w:lineRule="auto"/>
              <w:jc w:val="center"/>
              <w:rPr>
                <w:rFonts w:ascii="Times New Roman" w:hAnsi="Times New Roman"/>
                <w:b/>
              </w:rPr>
            </w:pPr>
            <w:r w:rsidRPr="00600E6F">
              <w:rPr>
                <w:rFonts w:ascii="Times New Roman" w:hAnsi="Times New Roman"/>
                <w:b/>
              </w:rPr>
              <w:t>Modified Content</w:t>
            </w:r>
          </w:p>
        </w:tc>
        <w:tc>
          <w:tcPr>
            <w:tcW w:w="2610" w:type="dxa"/>
            <w:shd w:val="clear" w:color="auto" w:fill="C0C0C0"/>
          </w:tcPr>
          <w:p w:rsidR="00513B47" w:rsidRPr="00600E6F" w:rsidRDefault="00513B47" w:rsidP="003418DB">
            <w:pPr>
              <w:spacing w:after="0" w:line="240" w:lineRule="auto"/>
              <w:jc w:val="center"/>
              <w:rPr>
                <w:rFonts w:ascii="Times New Roman" w:hAnsi="Times New Roman"/>
                <w:b/>
              </w:rPr>
            </w:pPr>
          </w:p>
          <w:p w:rsidR="00513B47" w:rsidRPr="00600E6F" w:rsidRDefault="00513B47" w:rsidP="003418DB">
            <w:pPr>
              <w:spacing w:after="0" w:line="240" w:lineRule="auto"/>
              <w:jc w:val="center"/>
              <w:rPr>
                <w:rFonts w:ascii="Times New Roman" w:hAnsi="Times New Roman"/>
                <w:b/>
              </w:rPr>
            </w:pPr>
          </w:p>
          <w:p w:rsidR="00513B47" w:rsidRPr="00600E6F" w:rsidRDefault="00513B47" w:rsidP="003418DB">
            <w:pPr>
              <w:spacing w:after="0" w:line="240" w:lineRule="auto"/>
              <w:jc w:val="center"/>
              <w:rPr>
                <w:rFonts w:ascii="Times New Roman" w:hAnsi="Times New Roman"/>
                <w:b/>
              </w:rPr>
            </w:pPr>
            <w:r w:rsidRPr="00600E6F">
              <w:rPr>
                <w:rFonts w:ascii="Times New Roman" w:hAnsi="Times New Roman"/>
                <w:b/>
              </w:rPr>
              <w:t>Justification</w:t>
            </w:r>
          </w:p>
        </w:tc>
        <w:tc>
          <w:tcPr>
            <w:tcW w:w="1890" w:type="dxa"/>
            <w:shd w:val="clear" w:color="auto" w:fill="C0C0C0"/>
          </w:tcPr>
          <w:p w:rsidR="00513B47" w:rsidRPr="00600E6F" w:rsidRDefault="00513B47" w:rsidP="003418DB">
            <w:pPr>
              <w:spacing w:after="0" w:line="240" w:lineRule="auto"/>
              <w:jc w:val="center"/>
              <w:rPr>
                <w:rFonts w:ascii="Times New Roman" w:hAnsi="Times New Roman"/>
                <w:b/>
                <w:sz w:val="24"/>
              </w:rPr>
            </w:pPr>
          </w:p>
          <w:p w:rsidR="00513B47" w:rsidRPr="00600E6F" w:rsidRDefault="00513B47" w:rsidP="003418DB">
            <w:pPr>
              <w:spacing w:after="0" w:line="240" w:lineRule="auto"/>
              <w:jc w:val="center"/>
              <w:rPr>
                <w:rFonts w:ascii="Times New Roman" w:hAnsi="Times New Roman"/>
                <w:b/>
                <w:sz w:val="24"/>
              </w:rPr>
            </w:pPr>
            <w:r w:rsidRPr="00600E6F">
              <w:rPr>
                <w:rFonts w:ascii="Times New Roman" w:hAnsi="Times New Roman"/>
                <w:b/>
                <w:sz w:val="24"/>
              </w:rPr>
              <w:t>Budget Impact</w:t>
            </w:r>
            <w:r w:rsidRPr="00600E6F">
              <w:rPr>
                <w:rFonts w:ascii="Times New Roman" w:hAnsi="Times New Roman"/>
                <w:b/>
                <w:sz w:val="24"/>
              </w:rPr>
              <w:br/>
              <w:t>(Yes/No: Explain)</w:t>
            </w:r>
          </w:p>
        </w:tc>
        <w:tc>
          <w:tcPr>
            <w:tcW w:w="1278" w:type="dxa"/>
            <w:shd w:val="clear" w:color="auto" w:fill="C0C0C0"/>
          </w:tcPr>
          <w:p w:rsidR="00513B47" w:rsidRPr="00600E6F" w:rsidRDefault="00513B47" w:rsidP="003418DB">
            <w:pPr>
              <w:spacing w:after="0" w:line="240" w:lineRule="auto"/>
              <w:jc w:val="center"/>
              <w:rPr>
                <w:rFonts w:ascii="Times New Roman" w:hAnsi="Times New Roman"/>
                <w:b/>
                <w:sz w:val="24"/>
              </w:rPr>
            </w:pPr>
          </w:p>
          <w:p w:rsidR="00513B47" w:rsidRPr="00600E6F" w:rsidRDefault="00513B47" w:rsidP="003418DB">
            <w:pPr>
              <w:spacing w:after="0" w:line="240" w:lineRule="auto"/>
              <w:jc w:val="center"/>
              <w:rPr>
                <w:rFonts w:ascii="Times New Roman" w:hAnsi="Times New Roman"/>
                <w:b/>
                <w:sz w:val="24"/>
              </w:rPr>
            </w:pPr>
            <w:r w:rsidRPr="00600E6F">
              <w:rPr>
                <w:rFonts w:ascii="Times New Roman" w:hAnsi="Times New Roman"/>
                <w:b/>
                <w:sz w:val="24"/>
              </w:rPr>
              <w:t>Savings Impact</w:t>
            </w:r>
          </w:p>
          <w:p w:rsidR="00513B47" w:rsidRPr="00600E6F" w:rsidRDefault="00513B47" w:rsidP="003418DB">
            <w:pPr>
              <w:spacing w:after="0" w:line="240" w:lineRule="auto"/>
              <w:jc w:val="center"/>
              <w:rPr>
                <w:rFonts w:ascii="Times New Roman" w:hAnsi="Times New Roman"/>
                <w:b/>
                <w:sz w:val="24"/>
              </w:rPr>
            </w:pPr>
            <w:r w:rsidRPr="00600E6F">
              <w:rPr>
                <w:rFonts w:ascii="Times New Roman" w:hAnsi="Times New Roman"/>
                <w:b/>
                <w:sz w:val="24"/>
              </w:rPr>
              <w:t>(Yes/No: Explain)</w:t>
            </w:r>
          </w:p>
        </w:tc>
      </w:tr>
      <w:tr w:rsidR="00513B47" w:rsidRPr="003418DB" w:rsidTr="006A7E7B">
        <w:tc>
          <w:tcPr>
            <w:tcW w:w="1440" w:type="dxa"/>
          </w:tcPr>
          <w:p w:rsidR="00513B47" w:rsidRPr="00600E6F" w:rsidRDefault="00513B47" w:rsidP="003418DB">
            <w:pPr>
              <w:spacing w:after="0" w:line="240" w:lineRule="auto"/>
              <w:jc w:val="center"/>
              <w:rPr>
                <w:rFonts w:ascii="Times New Roman" w:hAnsi="Times New Roman"/>
              </w:rPr>
            </w:pPr>
            <w:r w:rsidRPr="00600E6F">
              <w:rPr>
                <w:rFonts w:ascii="Times New Roman" w:hAnsi="Times New Roman"/>
              </w:rPr>
              <w:t>Cathy Fogel (Not certain, but she is lead for RNC)</w:t>
            </w:r>
          </w:p>
        </w:tc>
        <w:tc>
          <w:tcPr>
            <w:tcW w:w="1620" w:type="dxa"/>
          </w:tcPr>
          <w:p w:rsidR="00513B47" w:rsidRPr="00600E6F" w:rsidRDefault="00513B47" w:rsidP="003418DB">
            <w:pPr>
              <w:spacing w:after="0" w:line="240" w:lineRule="auto"/>
              <w:rPr>
                <w:rFonts w:ascii="Times New Roman" w:hAnsi="Times New Roman"/>
              </w:rPr>
            </w:pPr>
            <w:r w:rsidRPr="00600E6F">
              <w:rPr>
                <w:rFonts w:ascii="Times New Roman" w:hAnsi="Times New Roman"/>
              </w:rPr>
              <w:t>6. Program Implementation, a) Statewide IOU Coordination; iii: Incentive levels</w:t>
            </w:r>
          </w:p>
          <w:p w:rsidR="00513B47" w:rsidRPr="00600E6F" w:rsidRDefault="00513B47" w:rsidP="003418DB">
            <w:pPr>
              <w:spacing w:after="0" w:line="240" w:lineRule="auto"/>
              <w:rPr>
                <w:rFonts w:ascii="Times New Roman" w:hAnsi="Times New Roman"/>
              </w:rPr>
            </w:pPr>
          </w:p>
        </w:tc>
        <w:tc>
          <w:tcPr>
            <w:tcW w:w="1350" w:type="dxa"/>
          </w:tcPr>
          <w:p w:rsidR="00513B47" w:rsidRPr="00600E6F" w:rsidRDefault="00513B47" w:rsidP="003418DB">
            <w:pPr>
              <w:spacing w:after="0" w:line="240" w:lineRule="auto"/>
              <w:rPr>
                <w:rFonts w:ascii="Times New Roman" w:hAnsi="Times New Roman"/>
              </w:rPr>
            </w:pPr>
            <w:r w:rsidRPr="00600E6F">
              <w:rPr>
                <w:rFonts w:ascii="Times New Roman" w:hAnsi="Times New Roman"/>
              </w:rPr>
              <w:t>Delete Kicker for Solar Thermal equipment per ED direction</w:t>
            </w:r>
          </w:p>
        </w:tc>
        <w:tc>
          <w:tcPr>
            <w:tcW w:w="2610" w:type="dxa"/>
          </w:tcPr>
          <w:p w:rsidR="00513B47" w:rsidRPr="00600E6F" w:rsidRDefault="00513B47" w:rsidP="003418DB">
            <w:pPr>
              <w:autoSpaceDE w:val="0"/>
              <w:autoSpaceDN w:val="0"/>
              <w:adjustRightInd w:val="0"/>
              <w:spacing w:after="0" w:line="240" w:lineRule="auto"/>
              <w:rPr>
                <w:rFonts w:ascii="Times New Roman" w:hAnsi="Times New Roman"/>
              </w:rPr>
            </w:pPr>
            <w:r w:rsidRPr="00600E6F">
              <w:rPr>
                <w:rFonts w:ascii="Times New Roman" w:hAnsi="Times New Roman"/>
              </w:rPr>
              <w:t xml:space="preserve">Pacific Gas and Electric Company, Southern California Edison Company, San Diego Gas &amp; Electric Company, and Southern California Gas Company shall </w:t>
            </w:r>
            <w:r w:rsidRPr="00600E6F">
              <w:rPr>
                <w:rFonts w:ascii="Times New Roman" w:hAnsi="Times New Roman"/>
                <w:u w:val="single"/>
              </w:rPr>
              <w:t>coordinate</w:t>
            </w:r>
            <w:r w:rsidRPr="00600E6F">
              <w:rPr>
                <w:rFonts w:ascii="Times New Roman" w:hAnsi="Times New Roman"/>
              </w:rPr>
              <w:t xml:space="preserve"> their CAHP performance bonus for solar hot water with the Energy</w:t>
            </w:r>
          </w:p>
          <w:p w:rsidR="00513B47" w:rsidRPr="00600E6F" w:rsidRDefault="00513B47" w:rsidP="003418DB">
            <w:pPr>
              <w:autoSpaceDE w:val="0"/>
              <w:autoSpaceDN w:val="0"/>
              <w:adjustRightInd w:val="0"/>
              <w:spacing w:after="0" w:line="240" w:lineRule="auto"/>
              <w:rPr>
                <w:rFonts w:ascii="Times New Roman" w:hAnsi="Times New Roman"/>
              </w:rPr>
            </w:pPr>
            <w:r w:rsidRPr="00600E6F">
              <w:rPr>
                <w:rFonts w:ascii="Times New Roman" w:hAnsi="Times New Roman"/>
              </w:rPr>
              <w:t>Division’s proposed CSI Thermal Energy program, authorized by AB 1470;</w:t>
            </w:r>
          </w:p>
          <w:p w:rsidR="00513B47" w:rsidRPr="00600E6F" w:rsidRDefault="00513B47" w:rsidP="003418DB">
            <w:pPr>
              <w:spacing w:after="0" w:line="240" w:lineRule="auto"/>
              <w:rPr>
                <w:rFonts w:ascii="Times New Roman" w:hAnsi="Times New Roman"/>
                <w:color w:val="000000"/>
              </w:rPr>
            </w:pPr>
            <w:r w:rsidRPr="00600E6F">
              <w:rPr>
                <w:rFonts w:ascii="Times New Roman" w:hAnsi="Times New Roman"/>
                <w:color w:val="000000"/>
              </w:rPr>
              <w:t>(D. 09-09-047, OP 24c, page 376)</w:t>
            </w:r>
          </w:p>
          <w:p w:rsidR="00513B47" w:rsidRPr="00600E6F" w:rsidRDefault="00513B47" w:rsidP="003418DB">
            <w:pPr>
              <w:spacing w:after="0" w:line="240" w:lineRule="auto"/>
              <w:rPr>
                <w:rFonts w:ascii="Times New Roman" w:hAnsi="Times New Roman"/>
                <w:color w:val="000000"/>
              </w:rPr>
            </w:pPr>
          </w:p>
          <w:p w:rsidR="00513B47" w:rsidRPr="00600E6F" w:rsidRDefault="00513B47" w:rsidP="003418DB">
            <w:pPr>
              <w:spacing w:after="0" w:line="240" w:lineRule="auto"/>
              <w:rPr>
                <w:rFonts w:ascii="Times New Roman" w:hAnsi="Times New Roman"/>
              </w:rPr>
            </w:pPr>
            <w:r w:rsidRPr="00600E6F">
              <w:rPr>
                <w:rFonts w:ascii="Times New Roman" w:hAnsi="Times New Roman"/>
                <w:color w:val="000000"/>
              </w:rPr>
              <w:t xml:space="preserve">“Coordinate” and eliminate are not synonymous. </w:t>
            </w:r>
          </w:p>
        </w:tc>
        <w:tc>
          <w:tcPr>
            <w:tcW w:w="1890" w:type="dxa"/>
          </w:tcPr>
          <w:p w:rsidR="00513B47" w:rsidRPr="00600E6F" w:rsidRDefault="00513B47" w:rsidP="003418DB">
            <w:pPr>
              <w:spacing w:after="0" w:line="240" w:lineRule="auto"/>
              <w:jc w:val="center"/>
              <w:rPr>
                <w:rFonts w:ascii="Times New Roman" w:hAnsi="Times New Roman"/>
                <w:sz w:val="24"/>
              </w:rPr>
            </w:pPr>
            <w:r w:rsidRPr="00600E6F">
              <w:rPr>
                <w:rFonts w:ascii="Times New Roman" w:hAnsi="Times New Roman"/>
                <w:sz w:val="24"/>
              </w:rPr>
              <w:t>No additional dollars have been added or subtracted; However, dropping the kicker makes more dollars available for other marketing/ kickers</w:t>
            </w:r>
          </w:p>
        </w:tc>
        <w:tc>
          <w:tcPr>
            <w:tcW w:w="1278" w:type="dxa"/>
          </w:tcPr>
          <w:p w:rsidR="00513B47" w:rsidRPr="00600E6F" w:rsidRDefault="00513B47" w:rsidP="003418DB">
            <w:pPr>
              <w:spacing w:after="0" w:line="240" w:lineRule="auto"/>
              <w:jc w:val="center"/>
              <w:rPr>
                <w:rFonts w:ascii="Times New Roman" w:hAnsi="Times New Roman"/>
                <w:sz w:val="24"/>
              </w:rPr>
            </w:pPr>
            <w:r w:rsidRPr="00600E6F">
              <w:rPr>
                <w:rFonts w:ascii="Times New Roman" w:hAnsi="Times New Roman"/>
                <w:sz w:val="24"/>
              </w:rPr>
              <w:t>No</w:t>
            </w:r>
          </w:p>
        </w:tc>
      </w:tr>
    </w:tbl>
    <w:p w:rsidR="00513B47" w:rsidRPr="00600E6F" w:rsidRDefault="00513B47" w:rsidP="003418DB">
      <w:pPr>
        <w:spacing w:after="0" w:line="240" w:lineRule="auto"/>
        <w:rPr>
          <w:rFonts w:ascii="Times New Roman" w:hAnsi="Times New Roman"/>
          <w:sz w:val="24"/>
        </w:rPr>
      </w:pPr>
    </w:p>
    <w:p w:rsidR="00513B47" w:rsidRPr="00600E6F" w:rsidRDefault="00513B47" w:rsidP="003418DB">
      <w:pPr>
        <w:spacing w:after="0" w:line="240" w:lineRule="auto"/>
        <w:rPr>
          <w:rFonts w:ascii="Times New Roman" w:hAnsi="Times New Roman"/>
          <w:sz w:val="24"/>
        </w:rPr>
      </w:pPr>
    </w:p>
    <w:p w:rsidR="00513B47" w:rsidRPr="00600E6F" w:rsidRDefault="00513B47" w:rsidP="003418DB">
      <w:pPr>
        <w:spacing w:after="0" w:line="240" w:lineRule="auto"/>
        <w:jc w:val="center"/>
        <w:rPr>
          <w:rFonts w:ascii="Times New Roman" w:hAnsi="Times New Roman"/>
          <w:sz w:val="24"/>
        </w:rPr>
      </w:pPr>
    </w:p>
    <w:sectPr w:rsidR="00513B47" w:rsidRPr="00600E6F" w:rsidSect="008A0A65">
      <w:headerReference w:type="default" r:id="rId66"/>
      <w:pgSz w:w="12240" w:h="15840"/>
      <w:pgMar w:top="1440" w:right="144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7FA" w:rsidRDefault="00F847FA" w:rsidP="009A127F">
      <w:pPr>
        <w:spacing w:after="0" w:line="240" w:lineRule="auto"/>
      </w:pPr>
      <w:r>
        <w:separator/>
      </w:r>
    </w:p>
  </w:endnote>
  <w:endnote w:type="continuationSeparator" w:id="0">
    <w:p w:rsidR="00F847FA" w:rsidRDefault="00F847FA" w:rsidP="009A127F">
      <w:pPr>
        <w:spacing w:after="0" w:line="240" w:lineRule="auto"/>
      </w:pPr>
      <w:r>
        <w:continuationSeparator/>
      </w:r>
    </w:p>
  </w:endnote>
  <w:endnote w:type="continuationNotice" w:id="1">
    <w:p w:rsidR="00F847FA" w:rsidRDefault="00F847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NNLCIK+TimesNewRoman">
    <w:altName w:val="Times New Roman"/>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Interstate-RegularCondensed">
    <w:altName w:val="Franklin Gothic Demi Cond"/>
    <w:panose1 w:val="02000006020000020004"/>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Default="00C32735"/>
  <w:p w:rsidR="00C32735" w:rsidRDefault="00C32735" w:rsidP="00A05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Default="00C32735"/>
  <w:p w:rsidR="00C32735" w:rsidRDefault="00C32735" w:rsidP="00A05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Default="00C327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Default="00C32735"/>
  <w:p w:rsidR="00C32735" w:rsidRDefault="00C32735" w:rsidP="003425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Default="00C327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2735" w:rsidRDefault="00C327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Pr="00221036" w:rsidRDefault="00C32735" w:rsidP="003425E2">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7FA" w:rsidRDefault="00F847FA" w:rsidP="009A127F">
      <w:pPr>
        <w:spacing w:after="0" w:line="240" w:lineRule="auto"/>
      </w:pPr>
      <w:r>
        <w:separator/>
      </w:r>
    </w:p>
  </w:footnote>
  <w:footnote w:type="continuationSeparator" w:id="0">
    <w:p w:rsidR="00F847FA" w:rsidRDefault="00F847FA" w:rsidP="009A127F">
      <w:pPr>
        <w:spacing w:after="0" w:line="240" w:lineRule="auto"/>
      </w:pPr>
      <w:r>
        <w:continuationSeparator/>
      </w:r>
    </w:p>
  </w:footnote>
  <w:footnote w:type="continuationNotice" w:id="1">
    <w:p w:rsidR="00F847FA" w:rsidRDefault="00F847FA">
      <w:pPr>
        <w:spacing w:after="0" w:line="240" w:lineRule="auto"/>
      </w:pPr>
    </w:p>
  </w:footnote>
  <w:footnote w:id="2">
    <w:p w:rsidR="00C32735" w:rsidRDefault="00C32735" w:rsidP="009A127F">
      <w:pPr>
        <w:pStyle w:val="FootnoteText"/>
      </w:pPr>
      <w:r w:rsidRPr="00600E6F">
        <w:rPr>
          <w:rStyle w:val="FootnoteReference"/>
        </w:rPr>
        <w:footnoteRef/>
      </w:r>
      <w:r w:rsidRPr="00600E6F">
        <w:rPr>
          <w:sz w:val="18"/>
        </w:rPr>
        <w:t xml:space="preserve"> D.09-09-047, p. 7, refers to the statewide residential energy efficiency subprograms as the California Statewide Subprograms for Residential Energy Efficiency (“CalSPREE”) </w:t>
      </w:r>
    </w:p>
  </w:footnote>
  <w:footnote w:id="3">
    <w:p w:rsidR="00C32735" w:rsidRPr="00600E6F" w:rsidRDefault="00C32735" w:rsidP="009A127F">
      <w:pPr>
        <w:rPr>
          <w:rFonts w:ascii="Times New Roman" w:hAnsi="Times New Roman"/>
        </w:rPr>
      </w:pPr>
      <w:r w:rsidRPr="00600E6F">
        <w:rPr>
          <w:rStyle w:val="FootnoteReference"/>
          <w:rFonts w:ascii="Times New Roman" w:hAnsi="Times New Roman"/>
        </w:rPr>
        <w:footnoteRef/>
      </w:r>
      <w:r w:rsidRPr="00600E6F">
        <w:rPr>
          <w:rFonts w:ascii="Times New Roman" w:hAnsi="Times New Roman"/>
          <w:sz w:val="18"/>
        </w:rPr>
        <w:t xml:space="preserve"> Definition of Table 1 Column Headings: </w:t>
      </w:r>
      <w:r w:rsidRPr="00600E6F">
        <w:rPr>
          <w:rFonts w:ascii="Times New Roman" w:hAnsi="Times New Roman"/>
          <w:sz w:val="18"/>
          <w:u w:val="single"/>
        </w:rPr>
        <w:t>Total Budget</w:t>
      </w:r>
      <w:r w:rsidRPr="00600E6F">
        <w:rPr>
          <w:rFonts w:ascii="Times New Roman" w:hAnsi="Times New Roman"/>
          <w:sz w:val="18"/>
        </w:rPr>
        <w:t xml:space="preserve"> is the sum of all other columns presented here; </w:t>
      </w:r>
      <w:r w:rsidRPr="00600E6F">
        <w:rPr>
          <w:rFonts w:ascii="Times New Roman" w:hAnsi="Times New Roman"/>
          <w:sz w:val="18"/>
          <w:u w:val="single"/>
        </w:rPr>
        <w:t>Total Administrative Cost</w:t>
      </w:r>
      <w:r w:rsidRPr="00600E6F">
        <w:rPr>
          <w:rFonts w:ascii="Times New Roman" w:hAnsi="Times New Roman"/>
          <w:sz w:val="18"/>
        </w:rPr>
        <w:t xml:space="preserve"> includes all Managerial and Clerical Labor, Human Resource Support and Development, Travel and Conference Fees, and General and Administrative Overhead (labor and materials); </w:t>
      </w:r>
      <w:r w:rsidRPr="00600E6F">
        <w:rPr>
          <w:rFonts w:ascii="Times New Roman" w:hAnsi="Times New Roman"/>
          <w:sz w:val="18"/>
          <w:u w:val="single"/>
        </w:rPr>
        <w:t xml:space="preserve">Total Direct Implementation </w:t>
      </w:r>
      <w:r w:rsidRPr="00600E6F">
        <w:rPr>
          <w:rFonts w:ascii="Times New Roman" w:hAnsi="Times New Roman"/>
          <w:sz w:val="18"/>
        </w:rPr>
        <w:t xml:space="preserve">– includes all financial incentives used to promote participation in a subprogram and the cost of all direct labor, installation and service labor, hardware and materials, and rebate processing and inspection used to promote participation in a subprogram; </w:t>
      </w:r>
      <w:r w:rsidRPr="00600E6F">
        <w:rPr>
          <w:rFonts w:ascii="Times New Roman" w:hAnsi="Times New Roman"/>
          <w:sz w:val="18"/>
          <w:u w:val="single"/>
        </w:rPr>
        <w:t>Total Marketing &amp; Outreach</w:t>
      </w:r>
      <w:r w:rsidRPr="00600E6F">
        <w:rPr>
          <w:rFonts w:ascii="Times New Roman" w:hAnsi="Times New Roman"/>
          <w:sz w:val="18"/>
        </w:rPr>
        <w:t xml:space="preserve"> includes all media buy costs and labor associated with marketing production; </w:t>
      </w:r>
      <w:r w:rsidRPr="00600E6F">
        <w:rPr>
          <w:rFonts w:ascii="Times New Roman" w:hAnsi="Times New Roman"/>
          <w:sz w:val="18"/>
          <w:u w:val="single"/>
        </w:rPr>
        <w:t>Integrated Budget Allocated to Other Subprograms</w:t>
      </w:r>
      <w:r w:rsidRPr="00600E6F">
        <w:rPr>
          <w:rFonts w:ascii="Times New Roman" w:hAnsi="Times New Roman"/>
          <w:sz w:val="18"/>
        </w:rPr>
        <w:t xml:space="preserve"> includes budget utilized to coordinate with other EE, DR, or DG subprograms; </w:t>
      </w:r>
      <w:r w:rsidRPr="00600E6F">
        <w:rPr>
          <w:rFonts w:ascii="Times New Roman" w:hAnsi="Times New Roman"/>
          <w:sz w:val="18"/>
          <w:u w:val="single"/>
        </w:rPr>
        <w:t>Total Budget</w:t>
      </w:r>
      <w:r w:rsidRPr="00600E6F">
        <w:rPr>
          <w:rFonts w:ascii="Times New Roman" w:hAnsi="Times New Roman"/>
          <w:sz w:val="18"/>
        </w:rPr>
        <w:t xml:space="preserve"> is the sum of all other columns presented here; Definition of Subprogram: A “subprogram” of a subprogram has a specific title; targets; budget; uses a unique delivery or marketing approach not used across the entire subprogram; and for resource subprograms, has specific estimated savings and demand impacts</w:t>
      </w:r>
    </w:p>
  </w:footnote>
  <w:footnote w:id="4">
    <w:p w:rsidR="00C32735" w:rsidRDefault="00C32735" w:rsidP="009A127F">
      <w:pPr>
        <w:pStyle w:val="FootnoteText"/>
      </w:pPr>
      <w:r w:rsidRPr="00362E17">
        <w:rPr>
          <w:rStyle w:val="FootnoteReference"/>
          <w:rFonts w:ascii="Calibri" w:hAnsi="Calibri" w:cs="Calibri"/>
          <w:sz w:val="20"/>
        </w:rPr>
        <w:footnoteRef/>
      </w:r>
      <w:r w:rsidRPr="00362E17">
        <w:rPr>
          <w:rFonts w:ascii="Calibri" w:hAnsi="Calibri" w:cs="Calibri"/>
        </w:rPr>
        <w:t xml:space="preserve"> Final Decision for the 2013-</w:t>
      </w:r>
      <w:r>
        <w:rPr>
          <w:rFonts w:ascii="Calibri" w:hAnsi="Calibri" w:cs="Calibri"/>
        </w:rPr>
        <w:t>20</w:t>
      </w:r>
      <w:r w:rsidRPr="00362E17">
        <w:rPr>
          <w:rFonts w:ascii="Calibri" w:hAnsi="Calibri" w:cs="Calibri"/>
        </w:rPr>
        <w:t>14 Transition Period at page 202</w:t>
      </w:r>
    </w:p>
  </w:footnote>
  <w:footnote w:id="5">
    <w:p w:rsidR="00C32735" w:rsidRDefault="00C32735" w:rsidP="009A127F">
      <w:pPr>
        <w:pStyle w:val="FootnoteText"/>
      </w:pPr>
      <w:r w:rsidRPr="00362E17">
        <w:rPr>
          <w:rStyle w:val="FootnoteReference"/>
          <w:sz w:val="20"/>
        </w:rPr>
        <w:footnoteRef/>
      </w:r>
      <w:r w:rsidRPr="00362E17">
        <w:t xml:space="preserve"> Check all that apply</w:t>
      </w:r>
    </w:p>
  </w:footnote>
  <w:footnote w:id="6">
    <w:p w:rsidR="00C32735" w:rsidRDefault="00C32735" w:rsidP="009A127F">
      <w:pPr>
        <w:pStyle w:val="FootnoteText"/>
      </w:pPr>
      <w:r>
        <w:rPr>
          <w:rStyle w:val="FootnoteReference"/>
          <w:szCs w:val="18"/>
        </w:rPr>
        <w:footnoteRef/>
      </w:r>
      <w:r>
        <w:t xml:space="preserve"> Individual utility specific information to be provided in this table</w:t>
      </w:r>
    </w:p>
  </w:footnote>
  <w:footnote w:id="7">
    <w:p w:rsidR="00C32735" w:rsidRPr="005019CD" w:rsidRDefault="00C32735" w:rsidP="009A127F">
      <w:pPr>
        <w:rPr>
          <w:sz w:val="20"/>
          <w:szCs w:val="20"/>
        </w:rPr>
      </w:pPr>
      <w:r w:rsidRPr="000936E7">
        <w:rPr>
          <w:rStyle w:val="FootnoteReference"/>
          <w:rFonts w:ascii="Arial" w:hAnsi="Arial" w:cs="Arial"/>
          <w:szCs w:val="18"/>
        </w:rPr>
        <w:footnoteRef/>
      </w:r>
      <w:r w:rsidRPr="000936E7">
        <w:rPr>
          <w:rFonts w:ascii="Arial" w:hAnsi="Arial" w:cs="Arial"/>
          <w:sz w:val="18"/>
          <w:szCs w:val="18"/>
        </w:rPr>
        <w:t xml:space="preserve"> </w:t>
      </w:r>
      <w:r w:rsidRPr="005019CD">
        <w:rPr>
          <w:sz w:val="20"/>
          <w:szCs w:val="20"/>
        </w:rPr>
        <w:t>Through marketing, delivery mechanisms, information, incentives, etc. If barriers vary by market sub-sector, provide this information. As part of this, succinctly describe the role of any market actors upstream from the customer such as installers, venders, architects, etc.; indicate if and why the program approach constitutes “best practice,” is “innovative” or reflects “lessons learned” in market strategies, program design and/or implementation techniques.</w:t>
      </w:r>
    </w:p>
    <w:p w:rsidR="00C32735" w:rsidRDefault="00C32735" w:rsidP="009A127F"/>
  </w:footnote>
  <w:footnote w:id="8">
    <w:p w:rsidR="00C32735" w:rsidRDefault="00C32735" w:rsidP="009A127F">
      <w:pPr>
        <w:pStyle w:val="FootnoteText"/>
      </w:pPr>
      <w:r w:rsidRPr="00362E17">
        <w:rPr>
          <w:rStyle w:val="FootnoteReference"/>
          <w:rFonts w:ascii="Calibri" w:hAnsi="Calibri" w:cs="Calibri"/>
          <w:sz w:val="20"/>
        </w:rPr>
        <w:footnoteRef/>
      </w:r>
      <w:r w:rsidRPr="00362E17">
        <w:rPr>
          <w:rFonts w:ascii="Calibri" w:hAnsi="Calibri" w:cs="Calibri"/>
        </w:rPr>
        <w:t xml:space="preserve"> PIER’s report “Tapping Into Plug-Load Savings Report”, July 20, 2009, page 1</w:t>
      </w:r>
    </w:p>
  </w:footnote>
  <w:footnote w:id="9">
    <w:p w:rsidR="00C32735" w:rsidRDefault="00C32735" w:rsidP="009A127F">
      <w:pPr>
        <w:pStyle w:val="FootnoteText"/>
      </w:pPr>
      <w:r w:rsidRPr="00362E17">
        <w:rPr>
          <w:rStyle w:val="FootnoteReference"/>
          <w:rFonts w:ascii="Calibri" w:hAnsi="Calibri" w:cs="Calibri"/>
          <w:sz w:val="20"/>
        </w:rPr>
        <w:footnoteRef/>
      </w:r>
      <w:r w:rsidRPr="00362E17">
        <w:rPr>
          <w:rFonts w:ascii="Calibri" w:hAnsi="Calibri" w:cs="Calibri"/>
        </w:rPr>
        <w:t xml:space="preserve"> PG&amp;E and SCE’s Report “Program &amp; Technology Review of Two Residential Product Programs: Home Energy Efficiency Rebate (HEER) / Business &amp; Consumer Electronics (BCE)”, Study # SCE0306, April 30, 2012, pages 12, 206.</w:t>
      </w:r>
      <w:r>
        <w:t xml:space="preserve"> </w:t>
      </w:r>
    </w:p>
  </w:footnote>
  <w:footnote w:id="10">
    <w:p w:rsidR="00C32735" w:rsidRDefault="00C32735" w:rsidP="009A127F">
      <w:pPr>
        <w:pStyle w:val="FootnoteText"/>
      </w:pPr>
      <w:r>
        <w:rPr>
          <w:rStyle w:val="FootnoteReference"/>
          <w:szCs w:val="18"/>
        </w:rPr>
        <w:footnoteRef/>
      </w:r>
      <w:r>
        <w:t xml:space="preserve"> PG&amp;E and SCE’s Report “Program &amp; Technology Review of Two Residential Product Programs: Home Energy Efficiency Rebate (HEER) / Business &amp; Consumer Electronics (BCE)”, Study # SCE0306, April 30, 2012, page 230.  </w:t>
      </w:r>
    </w:p>
  </w:footnote>
  <w:footnote w:id="11">
    <w:p w:rsidR="00C32735" w:rsidRDefault="00C32735" w:rsidP="009A127F">
      <w:pPr>
        <w:pStyle w:val="FootnoteText"/>
      </w:pPr>
      <w:r>
        <w:rPr>
          <w:rStyle w:val="FootnoteReference"/>
          <w:szCs w:val="18"/>
        </w:rPr>
        <w:footnoteRef/>
      </w:r>
      <w:r>
        <w:t xml:space="preserve"> PG&amp;E and SCE’s Report “Program &amp; Technology Review of Two Residential Product Programs: Home Energy Efficiency Rebate (HEER) / Business &amp; Consumer Electronics (BCE)”, Study # SCE0306, April 30, 2012, page 205.</w:t>
      </w:r>
    </w:p>
  </w:footnote>
  <w:footnote w:id="12">
    <w:p w:rsidR="00C32735" w:rsidRDefault="00C32735" w:rsidP="009A127F">
      <w:pPr>
        <w:pStyle w:val="FootnoteText"/>
      </w:pPr>
      <w:r>
        <w:rPr>
          <w:rStyle w:val="FootnoteReference"/>
          <w:szCs w:val="18"/>
        </w:rPr>
        <w:footnoteRef/>
      </w:r>
      <w:r>
        <w:t xml:space="preserve"> PIER’s report “Tapping Into Plug-Load Savings Report”, July 20, 2009, page 1</w:t>
      </w:r>
    </w:p>
  </w:footnote>
  <w:footnote w:id="13">
    <w:p w:rsidR="00C32735" w:rsidRDefault="00C32735" w:rsidP="009A127F">
      <w:pPr>
        <w:pStyle w:val="FootnoteText"/>
      </w:pPr>
      <w:r>
        <w:rPr>
          <w:rStyle w:val="FootnoteReference"/>
          <w:szCs w:val="18"/>
        </w:rPr>
        <w:footnoteRef/>
      </w:r>
      <w:r>
        <w:t xml:space="preserve"> Final Decision for the 2013-14 Transition Period, pages 206-207, 357-358 and 411-412</w:t>
      </w:r>
    </w:p>
  </w:footnote>
  <w:footnote w:id="14">
    <w:p w:rsidR="00C32735" w:rsidRDefault="00C32735" w:rsidP="009A127F">
      <w:pPr>
        <w:pStyle w:val="FootnoteText"/>
      </w:pPr>
      <w:r>
        <w:rPr>
          <w:rStyle w:val="FootnoteReference"/>
          <w:szCs w:val="18"/>
        </w:rPr>
        <w:footnoteRef/>
      </w:r>
      <w:r>
        <w:t xml:space="preserve"> Bass, Frank. “A New Product Growth Model for Consumer Durables”, 1969, Management Science 15(5): pages 215-227</w:t>
      </w:r>
    </w:p>
  </w:footnote>
  <w:footnote w:id="15">
    <w:p w:rsidR="00C32735" w:rsidRDefault="00C32735" w:rsidP="009A127F">
      <w:pPr>
        <w:pStyle w:val="FootnoteText"/>
      </w:pPr>
      <w:r>
        <w:rPr>
          <w:rStyle w:val="FootnoteReference"/>
          <w:szCs w:val="18"/>
        </w:rPr>
        <w:footnoteRef/>
      </w:r>
      <w:r>
        <w:t xml:space="preserve"> Bohlen, Joe M.; Beal, George M. (May 1957), “The Diffusion Process”, Special Report No. 18 (Agriculture Extension Service, Iowa State College) 1:56-77</w:t>
      </w:r>
    </w:p>
  </w:footnote>
  <w:footnote w:id="16">
    <w:p w:rsidR="00C32735" w:rsidRDefault="00C32735" w:rsidP="009A127F">
      <w:pPr>
        <w:pStyle w:val="FootnoteText"/>
      </w:pPr>
      <w:r>
        <w:rPr>
          <w:rStyle w:val="FootnoteReference"/>
          <w:szCs w:val="18"/>
        </w:rPr>
        <w:footnoteRef/>
      </w:r>
      <w:r>
        <w:t xml:space="preserve"> Borden Neil H. “The Concept of the Marketing Mix”. 1964, Science in Marketing (Harvard Business School), pages 8-9.</w:t>
      </w:r>
    </w:p>
  </w:footnote>
  <w:footnote w:id="17">
    <w:p w:rsidR="00C32735" w:rsidRDefault="00C32735" w:rsidP="009A127F">
      <w:pPr>
        <w:pStyle w:val="FootnoteText"/>
      </w:pPr>
      <w:r>
        <w:rPr>
          <w:rStyle w:val="FootnoteReference"/>
          <w:szCs w:val="18"/>
        </w:rPr>
        <w:footnoteRef/>
      </w:r>
      <w:r>
        <w:t xml:space="preserve"> Final Decision for the 2013-14 Transition Period at pages 227-243</w:t>
      </w:r>
    </w:p>
  </w:footnote>
  <w:footnote w:id="18">
    <w:p w:rsidR="00C32735" w:rsidRDefault="00C32735" w:rsidP="009A127F">
      <w:pPr>
        <w:pStyle w:val="FootnoteText"/>
      </w:pPr>
      <w:r>
        <w:rPr>
          <w:rStyle w:val="FootnoteReference"/>
          <w:szCs w:val="18"/>
        </w:rPr>
        <w:footnoteRef/>
      </w:r>
      <w:r>
        <w:t xml:space="preserve"> Decision 09-09-047 at pages 88-89</w:t>
      </w:r>
    </w:p>
  </w:footnote>
  <w:footnote w:id="19">
    <w:p w:rsidR="00C32735" w:rsidRDefault="00C32735" w:rsidP="009A127F">
      <w:pPr>
        <w:pStyle w:val="FootnoteText"/>
      </w:pPr>
      <w:r>
        <w:rPr>
          <w:rStyle w:val="FootnoteReference"/>
          <w:szCs w:val="18"/>
        </w:rPr>
        <w:footnoteRef/>
      </w:r>
      <w:r>
        <w:t xml:space="preserve"> Individual utility specific information to be provided in this table</w:t>
      </w:r>
    </w:p>
  </w:footnote>
  <w:footnote w:id="20">
    <w:p w:rsidR="00C32735" w:rsidRDefault="00C32735" w:rsidP="009A127F">
      <w:pPr>
        <w:pStyle w:val="FootnoteText"/>
      </w:pPr>
      <w:r w:rsidRPr="00327812">
        <w:rPr>
          <w:rStyle w:val="FootnoteReference"/>
          <w:rFonts w:ascii="Arial" w:hAnsi="Arial" w:cs="Arial"/>
          <w:szCs w:val="18"/>
        </w:rPr>
        <w:footnoteRef/>
      </w:r>
      <w:r w:rsidRPr="00327812">
        <w:rPr>
          <w:rFonts w:ascii="Arial" w:hAnsi="Arial" w:cs="Arial"/>
          <w:sz w:val="18"/>
          <w:szCs w:val="18"/>
        </w:rPr>
        <w:t xml:space="preserve"> </w:t>
      </w:r>
      <w:r w:rsidRPr="00F25179">
        <w:rPr>
          <w:bCs/>
        </w:rPr>
        <w:t>If the program has energy and demand objectives, simply state that the methods contained in the Standard Practice Manual will be used. If the program does not have energy and demand objective, propose an approach to assess cost-effectiveness.</w:t>
      </w:r>
    </w:p>
  </w:footnote>
  <w:footnote w:id="21">
    <w:p w:rsidR="00C32735" w:rsidRDefault="00C32735" w:rsidP="009A127F">
      <w:pPr>
        <w:pStyle w:val="FootnoteText"/>
      </w:pPr>
      <w:r w:rsidRPr="00F25179">
        <w:rPr>
          <w:rStyle w:val="FootnoteReference"/>
          <w:szCs w:val="18"/>
        </w:rPr>
        <w:footnoteRef/>
      </w:r>
      <w:r w:rsidRPr="00F25179">
        <w:t xml:space="preserve"> Provide in a consistent format for all IOUs. Indicate program partners across all IOU territories in one table or spreadsheet. Append to end of PIP.</w:t>
      </w:r>
      <w:r>
        <w:rPr>
          <w:rFonts w:ascii="Arial Narrow" w:hAnsi="Arial Narrow"/>
        </w:rPr>
        <w:t xml:space="preserve"> </w:t>
      </w:r>
    </w:p>
  </w:footnote>
  <w:footnote w:id="22">
    <w:p w:rsidR="00C32735" w:rsidRDefault="00C32735" w:rsidP="009A127F">
      <w:pPr>
        <w:pStyle w:val="FootnoteText"/>
      </w:pPr>
      <w:r>
        <w:rPr>
          <w:rStyle w:val="FootnoteReference"/>
          <w:szCs w:val="18"/>
        </w:rPr>
        <w:footnoteRef/>
      </w:r>
      <w:r>
        <w:t xml:space="preserve"> Final Decision for the 2013-14 Transition Period at page 207</w:t>
      </w:r>
    </w:p>
  </w:footnote>
  <w:footnote w:id="23">
    <w:p w:rsidR="00C32735" w:rsidRDefault="00C32735" w:rsidP="009A127F">
      <w:pPr>
        <w:pStyle w:val="FootnoteText"/>
      </w:pPr>
      <w:r w:rsidRPr="00DC6F1B">
        <w:rPr>
          <w:rStyle w:val="FootnoteReference"/>
          <w:szCs w:val="18"/>
        </w:rPr>
        <w:footnoteRef/>
      </w:r>
      <w:r w:rsidRPr="00DC6F1B">
        <w:t xml:space="preserve">  “Mechanisms” refers to communication methods (i.e. quarterly meetings; internal list serves; monthly calls, etc.) and/or any cross-program review methods (i.e., feedback on program plans; sign off on policies, etc</w:t>
      </w:r>
      <w:r>
        <w:t>.</w:t>
      </w:r>
      <w:r w:rsidRPr="00DC6F1B">
        <w:t>) or harmonization techniques (i.e. consistent certification requirements across programs, program participant required cross trainings, etc</w:t>
      </w:r>
      <w:r>
        <w:t>.</w:t>
      </w:r>
      <w:r w:rsidRPr="00DC6F1B">
        <w:t xml:space="preserve">). </w:t>
      </w:r>
    </w:p>
  </w:footnote>
  <w:footnote w:id="24">
    <w:p w:rsidR="00C32735" w:rsidRDefault="00C32735" w:rsidP="009A127F">
      <w:pPr>
        <w:pStyle w:val="FootnoteText"/>
      </w:pPr>
      <w:r w:rsidRPr="00DC6F1B">
        <w:rPr>
          <w:rStyle w:val="FootnoteReference"/>
          <w:szCs w:val="18"/>
        </w:rPr>
        <w:footnoteRef/>
      </w:r>
      <w:r w:rsidRPr="00DC6F1B">
        <w:t xml:space="preserve"> This does not mean there would be mutual understanding of the on the mechanism or a known frequency of coordination; rather, just provide enough information to give a general sense of the coordinate efforts.</w:t>
      </w:r>
    </w:p>
  </w:footnote>
  <w:footnote w:id="25">
    <w:p w:rsidR="00C32735" w:rsidRDefault="00C32735" w:rsidP="009A127F">
      <w:pPr>
        <w:pStyle w:val="FootnoteText"/>
      </w:pPr>
      <w:r>
        <w:rPr>
          <w:rStyle w:val="FootnoteReference"/>
          <w:szCs w:val="18"/>
        </w:rPr>
        <w:footnoteRef/>
      </w:r>
      <w:r>
        <w:t xml:space="preserve"> Final Decision for the 2013-14 Transition Period at page 202</w:t>
      </w:r>
    </w:p>
  </w:footnote>
  <w:footnote w:id="26">
    <w:p w:rsidR="00C32735" w:rsidRDefault="00C32735" w:rsidP="009A127F">
      <w:pPr>
        <w:pStyle w:val="FootnoteText"/>
      </w:pPr>
      <w:r>
        <w:rPr>
          <w:rStyle w:val="FootnoteReference"/>
          <w:szCs w:val="18"/>
        </w:rPr>
        <w:footnoteRef/>
      </w:r>
      <w:r>
        <w:t xml:space="preserve"> 2009 California Residential Appliance Saturation Study at page 3</w:t>
      </w:r>
    </w:p>
  </w:footnote>
  <w:footnote w:id="27">
    <w:p w:rsidR="00C32735" w:rsidRDefault="00C32735" w:rsidP="009A127F">
      <w:pPr>
        <w:pStyle w:val="FootnoteText"/>
      </w:pPr>
      <w:r>
        <w:rPr>
          <w:rStyle w:val="FootnoteReference"/>
          <w:szCs w:val="18"/>
        </w:rPr>
        <w:footnoteRef/>
      </w:r>
      <w:r>
        <w:t xml:space="preserve"> KEMA, </w:t>
      </w:r>
      <w:r w:rsidRPr="00884599">
        <w:t>20</w:t>
      </w:r>
      <w:r>
        <w:t>09</w:t>
      </w:r>
      <w:r w:rsidRPr="00884599">
        <w:t xml:space="preserve"> California Residential Appliance Saturation Study at page </w:t>
      </w:r>
      <w:r>
        <w:t>9</w:t>
      </w:r>
    </w:p>
  </w:footnote>
  <w:footnote w:id="28">
    <w:p w:rsidR="00C32735" w:rsidRDefault="00C32735" w:rsidP="009A127F">
      <w:pPr>
        <w:pStyle w:val="FootnoteText"/>
      </w:pPr>
      <w:r>
        <w:rPr>
          <w:rStyle w:val="FootnoteReference"/>
          <w:szCs w:val="18"/>
        </w:rPr>
        <w:footnoteRef/>
      </w:r>
      <w:r>
        <w:t xml:space="preserve"> KEMA, </w:t>
      </w:r>
      <w:r w:rsidRPr="00884599">
        <w:t>20</w:t>
      </w:r>
      <w:r>
        <w:t>09</w:t>
      </w:r>
      <w:r w:rsidRPr="00884599">
        <w:t xml:space="preserve"> California Residential Appliance Saturation Study</w:t>
      </w:r>
    </w:p>
  </w:footnote>
  <w:footnote w:id="29">
    <w:p w:rsidR="00C32735" w:rsidRDefault="00C32735" w:rsidP="009A127F">
      <w:pPr>
        <w:pStyle w:val="FootnoteText"/>
      </w:pPr>
      <w:r w:rsidRPr="00F25179">
        <w:rPr>
          <w:rStyle w:val="FootnoteReference"/>
          <w:szCs w:val="18"/>
        </w:rPr>
        <w:footnoteRef/>
      </w:r>
      <w:r w:rsidRPr="00F25179">
        <w:t xml:space="preserve">  If this logic model is the same as that requested in #10.(O), only provide once.  As needed, provide a more detailed logic model emphasizing the market transformation elements of the program and/or how such elements integrate with resource acquisition elements. </w:t>
      </w:r>
    </w:p>
  </w:footnote>
  <w:footnote w:id="30">
    <w:p w:rsidR="00C32735" w:rsidRDefault="00C32735" w:rsidP="009A127F">
      <w:pPr>
        <w:pStyle w:val="FootnoteText"/>
      </w:pPr>
      <w:r>
        <w:rPr>
          <w:rStyle w:val="FootnoteReference"/>
          <w:szCs w:val="18"/>
        </w:rPr>
        <w:footnoteRef/>
      </w:r>
      <w:r>
        <w:t xml:space="preserve"> Market Transformation Indicator Final List, May 24, 2012</w:t>
      </w:r>
    </w:p>
  </w:footnote>
  <w:footnote w:id="31">
    <w:p w:rsidR="00C32735" w:rsidRDefault="00C32735" w:rsidP="009A127F">
      <w:pPr>
        <w:pStyle w:val="FootnoteText"/>
      </w:pPr>
      <w:r>
        <w:rPr>
          <w:rStyle w:val="FootnoteReference"/>
          <w:szCs w:val="18"/>
        </w:rPr>
        <w:footnoteRef/>
      </w:r>
      <w:r>
        <w:t xml:space="preserve"> </w:t>
      </w:r>
      <w:r w:rsidRPr="009D76FC">
        <w:t xml:space="preserve">Final Decision for the 2013-14 </w:t>
      </w:r>
      <w:r>
        <w:t xml:space="preserve">Transition </w:t>
      </w:r>
      <w:r w:rsidRPr="009D76FC">
        <w:t xml:space="preserve">Period on pages </w:t>
      </w:r>
      <w:r>
        <w:t>411-412 and 434</w:t>
      </w:r>
    </w:p>
  </w:footnote>
  <w:footnote w:id="32">
    <w:p w:rsidR="00C32735" w:rsidRDefault="00C32735" w:rsidP="009A127F">
      <w:pPr>
        <w:pStyle w:val="FootnoteText"/>
      </w:pPr>
      <w:r>
        <w:rPr>
          <w:rStyle w:val="FootnoteReference"/>
          <w:szCs w:val="18"/>
        </w:rPr>
        <w:footnoteRef/>
      </w:r>
      <w:r>
        <w:t xml:space="preserve"> Final Decision for the 2013-14 Transition Period on pages 206-207</w:t>
      </w:r>
    </w:p>
  </w:footnote>
  <w:footnote w:id="33">
    <w:p w:rsidR="00C32735" w:rsidRDefault="00C32735" w:rsidP="009A127F">
      <w:pPr>
        <w:pStyle w:val="FootnoteText"/>
      </w:pPr>
      <w:r>
        <w:rPr>
          <w:rStyle w:val="FootnoteReference"/>
          <w:szCs w:val="18"/>
        </w:rPr>
        <w:footnoteRef/>
      </w:r>
      <w:r>
        <w:t xml:space="preserve"> </w:t>
      </w:r>
      <w:r w:rsidRPr="00AE0EA1">
        <w:rPr>
          <w:rFonts w:ascii="Calibri" w:hAnsi="Calibri"/>
        </w:rPr>
        <w:t>Middle Class Task Force. Council on Environmental Quality. “</w:t>
      </w:r>
      <w:r w:rsidRPr="00AE0EA1">
        <w:rPr>
          <w:rFonts w:ascii="Calibri" w:hAnsi="Calibri"/>
          <w:i/>
        </w:rPr>
        <w:t xml:space="preserve">Recovery Through Retrofit.” </w:t>
      </w:r>
      <w:r w:rsidRPr="00AE0EA1">
        <w:rPr>
          <w:rFonts w:ascii="Calibri" w:hAnsi="Calibri"/>
        </w:rPr>
        <w:t>October, 2009. Page 1.</w:t>
      </w:r>
    </w:p>
  </w:footnote>
  <w:footnote w:id="34">
    <w:p w:rsidR="00C32735" w:rsidRDefault="00C32735" w:rsidP="009A127F">
      <w:pPr>
        <w:pStyle w:val="FootnoteText"/>
      </w:pPr>
      <w:r w:rsidRPr="00AE0EA1">
        <w:rPr>
          <w:rStyle w:val="FootnoteReference"/>
          <w:rFonts w:ascii="Calibri" w:hAnsi="Calibri"/>
          <w:szCs w:val="18"/>
        </w:rPr>
        <w:footnoteRef/>
      </w:r>
      <w:r w:rsidRPr="00AE0EA1">
        <w:rPr>
          <w:rFonts w:ascii="Calibri" w:hAnsi="Calibri"/>
        </w:rPr>
        <w:t xml:space="preserve"> D. 09-09-047. Page 110.</w:t>
      </w:r>
    </w:p>
  </w:footnote>
  <w:footnote w:id="35">
    <w:p w:rsidR="00C32735" w:rsidRDefault="00C32735" w:rsidP="009A127F">
      <w:pPr>
        <w:spacing w:after="0" w:line="240" w:lineRule="auto"/>
      </w:pPr>
      <w:r w:rsidRPr="00CB23F8">
        <w:rPr>
          <w:rStyle w:val="FootnoteReference"/>
          <w:rFonts w:ascii="Times New Roman" w:hAnsi="Times New Roman"/>
          <w:szCs w:val="18"/>
        </w:rPr>
        <w:footnoteRef/>
      </w:r>
      <w:r w:rsidRPr="00CB23F8">
        <w:rPr>
          <w:rFonts w:ascii="Times New Roman" w:hAnsi="Times New Roman"/>
          <w:sz w:val="18"/>
          <w:szCs w:val="18"/>
        </w:rPr>
        <w:t xml:space="preserve"> A successful program recognizes the need to develop the pool of qualified home retrofit contractors (with the help of third party implementers) to engage in – and have the opportunity to profit from – performing quality work. Through comprehensive training curricula (currently available in the marketplace) broken into the key elements of a home: Building Envelope and Lighting, and Heating, Cooling and Hot Water delivery (major systems); skilled tradespersons will have the opportunity to enter the home retrofit market and grow their businesses.</w:t>
      </w:r>
    </w:p>
  </w:footnote>
  <w:footnote w:id="36">
    <w:p w:rsidR="00C32735" w:rsidRDefault="00C32735" w:rsidP="009A127F">
      <w:pPr>
        <w:pStyle w:val="FootnoteText"/>
      </w:pPr>
      <w:r w:rsidRPr="00CB23F8">
        <w:rPr>
          <w:rStyle w:val="FootnoteReference"/>
          <w:szCs w:val="18"/>
        </w:rPr>
        <w:footnoteRef/>
      </w:r>
      <w:r w:rsidRPr="00CB23F8">
        <w:rPr>
          <w:sz w:val="18"/>
          <w:szCs w:val="18"/>
        </w:rPr>
        <w:t xml:space="preserve"> The loading order specifies improvements in the following sequence: (1) air sealing to obtain a tight building envelope; (2) insulation to complete the thermal boundary; (3) proper sizing, design, installation and commissioning of space heating and cooling systems; (4) proper sizing, design, installation, commissioning and insulation of the hot water system, including distribution; (5) efficient lighting </w:t>
      </w:r>
      <w:r w:rsidRPr="00CB23F8" w:rsidDel="00FD4FEF">
        <w:rPr>
          <w:sz w:val="18"/>
          <w:szCs w:val="18"/>
        </w:rPr>
        <w:t>and</w:t>
      </w:r>
      <w:r w:rsidRPr="00CB23F8">
        <w:rPr>
          <w:sz w:val="18"/>
          <w:szCs w:val="18"/>
        </w:rPr>
        <w:t xml:space="preserve"> appliances, and demand response measures; and (6) renewables.</w:t>
      </w:r>
    </w:p>
  </w:footnote>
  <w:footnote w:id="37">
    <w:p w:rsidR="00C32735" w:rsidRDefault="00C32735" w:rsidP="009A127F">
      <w:pPr>
        <w:pStyle w:val="FootnoteText"/>
      </w:pPr>
      <w:r>
        <w:rPr>
          <w:rStyle w:val="FootnoteReference"/>
          <w:szCs w:val="18"/>
        </w:rPr>
        <w:footnoteRef/>
      </w:r>
      <w:r>
        <w:t xml:space="preserve"> </w:t>
      </w:r>
      <w:r w:rsidRPr="00AE0EA1">
        <w:rPr>
          <w:rFonts w:ascii="Calibri" w:hAnsi="Calibri"/>
        </w:rPr>
        <w:t>Residential customers including homeowners, renters, and multifamily properties when these services are available to them</w:t>
      </w:r>
      <w:r>
        <w:t>.</w:t>
      </w:r>
    </w:p>
  </w:footnote>
  <w:footnote w:id="38">
    <w:p w:rsidR="00C32735" w:rsidRDefault="00C32735" w:rsidP="009A127F">
      <w:pPr>
        <w:pStyle w:val="FootnoteText"/>
      </w:pPr>
      <w:r>
        <w:rPr>
          <w:rStyle w:val="FootnoteReference"/>
          <w:szCs w:val="18"/>
        </w:rPr>
        <w:footnoteRef/>
      </w:r>
      <w:r>
        <w:t xml:space="preserve"> </w:t>
      </w:r>
      <w:r w:rsidRPr="00851596">
        <w:rPr>
          <w:rFonts w:ascii="Arial Narrow" w:hAnsi="Arial Narrow"/>
        </w:rPr>
        <w:t xml:space="preserve">The </w:t>
      </w:r>
      <w:r>
        <w:rPr>
          <w:rFonts w:ascii="Arial Narrow" w:hAnsi="Arial Narrow"/>
        </w:rPr>
        <w:t>Energy Advisor</w:t>
      </w:r>
      <w:r w:rsidRPr="00851596">
        <w:rPr>
          <w:rFonts w:ascii="Arial Narrow" w:hAnsi="Arial Narrow"/>
        </w:rPr>
        <w:t xml:space="preserve"> provides residential customers with entry-level energy surveys online, over the phone, or by mail. The surveys are not intended to serve as an audit but are meant to provide consistent messaging and an easy on-ramp to </w:t>
      </w:r>
      <w:r>
        <w:rPr>
          <w:rFonts w:ascii="Arial Narrow" w:hAnsi="Arial Narrow"/>
        </w:rPr>
        <w:t>WHUP</w:t>
      </w:r>
      <w:r w:rsidRPr="00851596">
        <w:rPr>
          <w:rFonts w:ascii="Arial Narrow" w:hAnsi="Arial Narrow"/>
        </w:rPr>
        <w:t xml:space="preserve">. The </w:t>
      </w:r>
      <w:r>
        <w:rPr>
          <w:rFonts w:ascii="Arial Narrow" w:hAnsi="Arial Narrow"/>
        </w:rPr>
        <w:t>Energy Advisor</w:t>
      </w:r>
      <w:r w:rsidRPr="00851596">
        <w:rPr>
          <w:rFonts w:ascii="Arial Narrow" w:hAnsi="Arial Narrow"/>
        </w:rPr>
        <w:t xml:space="preserve"> surveys are also an ideal link between the California Solar Initiative (CSI) and EUC WHRP. This synergy will be discussed later in the document.</w:t>
      </w:r>
    </w:p>
  </w:footnote>
  <w:footnote w:id="39">
    <w:p w:rsidR="00C32735" w:rsidRDefault="00C32735" w:rsidP="009A127F">
      <w:pPr>
        <w:pStyle w:val="FootnoteText"/>
      </w:pPr>
      <w:r>
        <w:rPr>
          <w:rStyle w:val="FootnoteReference"/>
        </w:rPr>
        <w:footnoteRef/>
      </w:r>
      <w:r>
        <w:t xml:space="preserve"> Joint Center for Housing Studies of Harvard University (2011), </w:t>
      </w:r>
      <w:r w:rsidRPr="00372B99">
        <w:rPr>
          <w:i/>
        </w:rPr>
        <w:t>The State of the Nation’s Housing: 2011</w:t>
      </w:r>
      <w:r>
        <w:t xml:space="preserve">, </w:t>
      </w:r>
      <w:hyperlink r:id="rId1" w:history="1">
        <w:r w:rsidRPr="00792D93">
          <w:rPr>
            <w:rStyle w:val="Hyperlink"/>
          </w:rPr>
          <w:t>http://www.jchs.harvard.edu/research/state_nations_housing</w:t>
        </w:r>
      </w:hyperlink>
      <w:r>
        <w:t xml:space="preserve"> </w:t>
      </w:r>
    </w:p>
  </w:footnote>
  <w:footnote w:id="40">
    <w:p w:rsidR="00C32735" w:rsidRPr="00513B65" w:rsidRDefault="00C32735" w:rsidP="009A127F">
      <w:pPr>
        <w:tabs>
          <w:tab w:val="num" w:pos="1440"/>
        </w:tabs>
        <w:ind w:left="1440"/>
        <w:rPr>
          <w:rFonts w:ascii="Times New Roman" w:hAnsi="Times New Roman"/>
        </w:rPr>
      </w:pPr>
      <w:r w:rsidRPr="00513B65">
        <w:rPr>
          <w:rStyle w:val="FootnoteReference"/>
          <w:rFonts w:ascii="Times New Roman" w:hAnsi="Times New Roman"/>
          <w:szCs w:val="18"/>
        </w:rPr>
        <w:footnoteRef/>
      </w:r>
      <w:r w:rsidRPr="00513B65">
        <w:rPr>
          <w:rFonts w:ascii="Times New Roman" w:hAnsi="Times New Roman"/>
        </w:rPr>
        <w:t xml:space="preserve"> </w:t>
      </w:r>
      <w:r w:rsidRPr="00513B65">
        <w:rPr>
          <w:rFonts w:ascii="Times New Roman" w:hAnsi="Times New Roman"/>
          <w:sz w:val="20"/>
          <w:szCs w:val="20"/>
        </w:rPr>
        <w:t>In various service territory where one of the customer’s utility service provider (municipality), is not a program participant adjustments may be necessary to the incentive</w:t>
      </w:r>
      <w:r w:rsidRPr="00513B65">
        <w:rPr>
          <w:rFonts w:ascii="Times New Roman" w:hAnsi="Times New Roman"/>
        </w:rPr>
        <w:t>.</w:t>
      </w:r>
    </w:p>
    <w:p w:rsidR="00C32735" w:rsidRDefault="00C32735" w:rsidP="009A127F">
      <w:pPr>
        <w:tabs>
          <w:tab w:val="num" w:pos="1440"/>
        </w:tabs>
        <w:ind w:left="1440"/>
      </w:pPr>
    </w:p>
  </w:footnote>
  <w:footnote w:id="41">
    <w:p w:rsidR="00C32735" w:rsidRDefault="00C32735" w:rsidP="009A127F">
      <w:pPr>
        <w:pStyle w:val="FootnoteText"/>
      </w:pPr>
      <w:r>
        <w:rPr>
          <w:rStyle w:val="FootnoteReference"/>
          <w:szCs w:val="18"/>
        </w:rPr>
        <w:footnoteRef/>
      </w:r>
      <w:r>
        <w:t xml:space="preserve"> </w:t>
      </w:r>
      <w:r w:rsidRPr="00CE1E62">
        <w:rPr>
          <w:sz w:val="18"/>
          <w:szCs w:val="18"/>
        </w:rPr>
        <w:t>HVAC Convener's Report, Appendix B.5, Pg 10.</w:t>
      </w:r>
    </w:p>
  </w:footnote>
  <w:footnote w:id="42">
    <w:p w:rsidR="00C32735" w:rsidRDefault="00C32735" w:rsidP="009A127F">
      <w:pPr>
        <w:pStyle w:val="FootnoteText"/>
      </w:pPr>
      <w:r w:rsidRPr="009573D7">
        <w:rPr>
          <w:rStyle w:val="FootnoteReference"/>
        </w:rPr>
        <w:footnoteRef/>
      </w:r>
      <w:r w:rsidRPr="009573D7">
        <w:rPr>
          <w:sz w:val="18"/>
          <w:szCs w:val="18"/>
        </w:rPr>
        <w:t xml:space="preserve"> California Public Utilities Commission Decision, D.98-04-063, Appendix A.</w:t>
      </w:r>
    </w:p>
  </w:footnote>
  <w:footnote w:id="43">
    <w:p w:rsidR="00C32735" w:rsidRDefault="00C32735" w:rsidP="009A127F">
      <w:pPr>
        <w:pStyle w:val="FootnoteText"/>
      </w:pPr>
      <w:r w:rsidRPr="009573D7">
        <w:rPr>
          <w:rStyle w:val="FootnoteReference"/>
        </w:rPr>
        <w:footnoteRef/>
      </w:r>
      <w:r w:rsidRPr="009573D7">
        <w:rPr>
          <w:sz w:val="18"/>
          <w:szCs w:val="18"/>
        </w:rPr>
        <w:t xml:space="preserve"> California Public Utilities Commission (2008) </w:t>
      </w:r>
      <w:r w:rsidRPr="009573D7">
        <w:rPr>
          <w:i/>
          <w:sz w:val="18"/>
          <w:szCs w:val="18"/>
        </w:rPr>
        <w:t>California Long Term Energy Efficiency Strategic Plan,</w:t>
      </w:r>
      <w:r w:rsidRPr="009573D7">
        <w:rPr>
          <w:sz w:val="18"/>
          <w:szCs w:val="18"/>
        </w:rPr>
        <w:t xml:space="preserve"> p. 5. Available at http://www.californiaenergyefficiency.com/docs/EEStrategicPlan.pdf</w:t>
      </w:r>
    </w:p>
  </w:footnote>
  <w:footnote w:id="44">
    <w:p w:rsidR="00C32735" w:rsidRDefault="00C32735" w:rsidP="009A127F">
      <w:pPr>
        <w:pStyle w:val="FootnoteText"/>
      </w:pPr>
      <w:r w:rsidRPr="009573D7">
        <w:rPr>
          <w:rStyle w:val="FootnoteReference"/>
        </w:rPr>
        <w:footnoteRef/>
      </w:r>
      <w:r w:rsidRPr="009573D7">
        <w:rPr>
          <w:sz w:val="18"/>
          <w:szCs w:val="18"/>
        </w:rPr>
        <w:t xml:space="preserve"> Peloza, J., and York, D. (1999). “Market Transformation: A Guide for Program Developers.” Energy Center of Wisconsin. Available at: http://www.ecw.org/ecwresults/189-1.pdf</w:t>
      </w:r>
    </w:p>
  </w:footnote>
  <w:footnote w:id="45">
    <w:p w:rsidR="00C32735" w:rsidRDefault="00C32735" w:rsidP="009A127F">
      <w:pPr>
        <w:pStyle w:val="FootnoteText"/>
      </w:pPr>
      <w:r w:rsidRPr="009573D7">
        <w:rPr>
          <w:rStyle w:val="FootnoteReference"/>
        </w:rPr>
        <w:footnoteRef/>
      </w:r>
      <w:r w:rsidRPr="009573D7">
        <w:rPr>
          <w:sz w:val="18"/>
          <w:szCs w:val="18"/>
        </w:rPr>
        <w:t xml:space="preserve"> Blumstein, C., Goldstone, S., &amp; Lutzenhiser, L. (2001) “From technology transfer to market transformation”. Proceedings of the European Council for an Energy Efficient Economy Summer Study. Available at  </w:t>
      </w:r>
      <w:r w:rsidRPr="009573D7">
        <w:rPr>
          <w:rStyle w:val="HTMLCite"/>
          <w:sz w:val="18"/>
          <w:szCs w:val="18"/>
        </w:rPr>
        <w:t>http://www.eceee.org/conference_proceedings/eceee/2001/Panel_2/p2_7/Paper/</w:t>
      </w:r>
    </w:p>
  </w:footnote>
  <w:footnote w:id="46">
    <w:p w:rsidR="00C32735" w:rsidRDefault="00C32735" w:rsidP="009A127F">
      <w:pPr>
        <w:pStyle w:val="FootnoteText"/>
      </w:pPr>
      <w:r w:rsidRPr="009573D7">
        <w:rPr>
          <w:rStyle w:val="FootnoteReference"/>
        </w:rPr>
        <w:footnoteRef/>
      </w:r>
      <w:r w:rsidRPr="009573D7">
        <w:rPr>
          <w:sz w:val="18"/>
          <w:szCs w:val="18"/>
        </w:rPr>
        <w:t xml:space="preserve"> Sebold, F. D., Fields, A., Skumatz, L., Feldman, S., Goldberg, M., Keating, K., Peters, J. (2001) </w:t>
      </w:r>
      <w:r w:rsidRPr="009573D7">
        <w:rPr>
          <w:i/>
          <w:sz w:val="18"/>
          <w:szCs w:val="18"/>
        </w:rPr>
        <w:t>A Framework for Planning and Assessing Publicly Funded Energy Efficiency</w:t>
      </w:r>
      <w:r w:rsidRPr="009573D7">
        <w:rPr>
          <w:sz w:val="18"/>
          <w:szCs w:val="18"/>
        </w:rPr>
        <w:t>. p. 6-4. Available at www.calmac.org.</w:t>
      </w:r>
    </w:p>
  </w:footnote>
  <w:footnote w:id="47">
    <w:p w:rsidR="00C32735" w:rsidRPr="009573D7" w:rsidRDefault="00C32735" w:rsidP="009A127F">
      <w:pPr>
        <w:pStyle w:val="FootnoteText"/>
        <w:rPr>
          <w:sz w:val="18"/>
          <w:szCs w:val="18"/>
        </w:rPr>
      </w:pPr>
      <w:r w:rsidRPr="009573D7">
        <w:rPr>
          <w:rStyle w:val="FootnoteReference"/>
        </w:rPr>
        <w:footnoteRef/>
      </w:r>
      <w:r w:rsidRPr="009573D7">
        <w:rPr>
          <w:sz w:val="18"/>
          <w:szCs w:val="18"/>
        </w:rPr>
        <w:t xml:space="preserve">  Gibbs, M., and Townsend, J. (2000). The Role of Rebates in Market Transformation:</w:t>
      </w:r>
    </w:p>
    <w:p w:rsidR="00C32735" w:rsidRPr="009573D7" w:rsidRDefault="00C32735" w:rsidP="009A127F">
      <w:pPr>
        <w:pStyle w:val="FootnoteText"/>
        <w:rPr>
          <w:i/>
          <w:iCs/>
          <w:sz w:val="18"/>
          <w:szCs w:val="18"/>
        </w:rPr>
      </w:pPr>
      <w:r w:rsidRPr="009573D7">
        <w:rPr>
          <w:sz w:val="18"/>
          <w:szCs w:val="18"/>
        </w:rPr>
        <w:t xml:space="preserve">Friend or Foe. In </w:t>
      </w:r>
      <w:r w:rsidRPr="009573D7">
        <w:rPr>
          <w:i/>
          <w:iCs/>
          <w:sz w:val="18"/>
          <w:szCs w:val="18"/>
        </w:rPr>
        <w:t xml:space="preserve">Proceedings  from 2000  Summer  Study  on  Energy  Efficiency  in </w:t>
      </w:r>
    </w:p>
    <w:p w:rsidR="00C32735" w:rsidRDefault="00C32735" w:rsidP="009A127F">
      <w:pPr>
        <w:pStyle w:val="FootnoteText"/>
      </w:pPr>
      <w:r w:rsidRPr="009573D7">
        <w:rPr>
          <w:i/>
          <w:iCs/>
          <w:sz w:val="18"/>
          <w:szCs w:val="18"/>
        </w:rPr>
        <w:t>Buildings.</w:t>
      </w:r>
    </w:p>
  </w:footnote>
  <w:footnote w:id="48">
    <w:p w:rsidR="00C32735" w:rsidRDefault="00C32735" w:rsidP="009A127F">
      <w:pPr>
        <w:pStyle w:val="FootnoteText"/>
      </w:pPr>
      <w:r w:rsidRPr="009573D7">
        <w:rPr>
          <w:rStyle w:val="FootnoteReference"/>
        </w:rPr>
        <w:footnoteRef/>
      </w:r>
      <w:r w:rsidRPr="009573D7">
        <w:rPr>
          <w:sz w:val="18"/>
          <w:szCs w:val="18"/>
        </w:rPr>
        <w:t xml:space="preserve"> York, D., (1999). “A Discussion and Critique of Market Transformation”, Energy Center of Wisconsin. Available at http://www.ecw.org/ecwresults/186-1.pdf.</w:t>
      </w:r>
    </w:p>
  </w:footnote>
  <w:footnote w:id="49">
    <w:p w:rsidR="00C32735" w:rsidRDefault="00C32735" w:rsidP="009A127F">
      <w:pPr>
        <w:pStyle w:val="FootnoteText"/>
      </w:pPr>
      <w:r w:rsidRPr="009573D7">
        <w:rPr>
          <w:rStyle w:val="FootnoteReference"/>
        </w:rPr>
        <w:footnoteRef/>
      </w:r>
      <w:r w:rsidRPr="009573D7">
        <w:rPr>
          <w:sz w:val="18"/>
          <w:szCs w:val="18"/>
        </w:rPr>
        <w:t xml:space="preserve"> Nadel, S., Thorne, J., Sachs, H., Prindle, B., and Elliot, R.N. (2003). “Market Transformation: Substantial Progress from a Decade of Work.” American Council for an Energy-Efficient Economy, Report Number A036. Available at: http://www.aceee.org/pubs/a036full.pdf</w:t>
      </w:r>
    </w:p>
  </w:footnote>
  <w:footnote w:id="50">
    <w:p w:rsidR="00C32735" w:rsidRDefault="00C32735" w:rsidP="009A127F">
      <w:pPr>
        <w:pStyle w:val="FootnoteText"/>
      </w:pPr>
      <w:r w:rsidRPr="009573D7">
        <w:rPr>
          <w:rStyle w:val="FootnoteReference"/>
        </w:rPr>
        <w:footnoteRef/>
      </w:r>
      <w:r w:rsidRPr="009573D7">
        <w:rPr>
          <w:sz w:val="18"/>
          <w:szCs w:val="18"/>
        </w:rPr>
        <w:t xml:space="preserve"> Rogers (1995) Diffusion of Innovations, 5</w:t>
      </w:r>
      <w:r w:rsidRPr="009573D7">
        <w:rPr>
          <w:sz w:val="18"/>
          <w:szCs w:val="18"/>
          <w:vertAlign w:val="superscript"/>
        </w:rPr>
        <w:t>th</w:t>
      </w:r>
      <w:r w:rsidRPr="009573D7">
        <w:rPr>
          <w:sz w:val="18"/>
          <w:szCs w:val="18"/>
        </w:rPr>
        <w:t xml:space="preserve"> Ed.</w:t>
      </w:r>
    </w:p>
  </w:footnote>
  <w:footnote w:id="51">
    <w:p w:rsidR="00C32735" w:rsidRDefault="00C32735" w:rsidP="009A127F">
      <w:pPr>
        <w:pStyle w:val="FootnoteText"/>
      </w:pPr>
      <w:r w:rsidRPr="009573D7">
        <w:rPr>
          <w:rStyle w:val="FootnoteReference"/>
        </w:rPr>
        <w:footnoteRef/>
      </w:r>
      <w:r w:rsidRPr="009573D7">
        <w:rPr>
          <w:sz w:val="18"/>
          <w:szCs w:val="18"/>
        </w:rPr>
        <w:t xml:space="preserve"> Example in bottom chart of this graphic from </w:t>
      </w:r>
      <w:r>
        <w:rPr>
          <w:sz w:val="18"/>
          <w:szCs w:val="18"/>
        </w:rPr>
        <w:t xml:space="preserve">the </w:t>
      </w:r>
      <w:r w:rsidRPr="009573D7">
        <w:rPr>
          <w:sz w:val="18"/>
          <w:szCs w:val="18"/>
        </w:rPr>
        <w:t>N</w:t>
      </w:r>
      <w:r>
        <w:rPr>
          <w:sz w:val="18"/>
          <w:szCs w:val="18"/>
        </w:rPr>
        <w:t xml:space="preserve">ew </w:t>
      </w:r>
      <w:r w:rsidRPr="009573D7">
        <w:rPr>
          <w:sz w:val="18"/>
          <w:szCs w:val="18"/>
        </w:rPr>
        <w:t>Y</w:t>
      </w:r>
      <w:r>
        <w:rPr>
          <w:sz w:val="18"/>
          <w:szCs w:val="18"/>
        </w:rPr>
        <w:t xml:space="preserve">ork </w:t>
      </w:r>
      <w:r w:rsidRPr="009573D7">
        <w:rPr>
          <w:sz w:val="18"/>
          <w:szCs w:val="18"/>
        </w:rPr>
        <w:t>Times: http://www.nytimes.com/imagepages/2008/02/10/opinion/10op.graphic.ready.html</w:t>
      </w:r>
    </w:p>
  </w:footnote>
  <w:footnote w:id="52">
    <w:p w:rsidR="00C32735" w:rsidRDefault="00C32735" w:rsidP="009A127F">
      <w:pPr>
        <w:pStyle w:val="FootnoteText"/>
      </w:pPr>
      <w:r w:rsidRPr="009573D7">
        <w:rPr>
          <w:rStyle w:val="FootnoteReference"/>
        </w:rPr>
        <w:footnoteRef/>
      </w:r>
      <w:r w:rsidRPr="009573D7">
        <w:rPr>
          <w:sz w:val="18"/>
          <w:szCs w:val="18"/>
        </w:rPr>
        <w:t xml:space="preserve"> Sebold et al (2001) p. 6-5,</w:t>
      </w:r>
    </w:p>
  </w:footnote>
  <w:footnote w:id="53">
    <w:p w:rsidR="00C32735" w:rsidRDefault="00C32735" w:rsidP="009A127F">
      <w:pPr>
        <w:pStyle w:val="FootnoteText"/>
      </w:pPr>
      <w:r w:rsidRPr="009573D7">
        <w:rPr>
          <w:rStyle w:val="FootnoteReference"/>
        </w:rPr>
        <w:footnoteRef/>
      </w:r>
      <w:r w:rsidRPr="009573D7">
        <w:rPr>
          <w:sz w:val="18"/>
          <w:szCs w:val="18"/>
        </w:rPr>
        <w:t xml:space="preserve"> Peters, J.S., Mast,</w:t>
      </w:r>
      <w:r>
        <w:rPr>
          <w:sz w:val="18"/>
          <w:szCs w:val="18"/>
        </w:rPr>
        <w:t xml:space="preserve"> </w:t>
      </w:r>
      <w:r w:rsidRPr="009573D7">
        <w:rPr>
          <w:sz w:val="18"/>
          <w:szCs w:val="18"/>
        </w:rPr>
        <w:t xml:space="preserve">B., Ignelzi, P., Megdal, L.M. (1998). </w:t>
      </w:r>
      <w:r w:rsidRPr="009573D7">
        <w:rPr>
          <w:i/>
          <w:sz w:val="18"/>
          <w:szCs w:val="18"/>
        </w:rPr>
        <w:t xml:space="preserve">Market Effects Summary Study Final Report: Volume 1.” </w:t>
      </w:r>
      <w:r w:rsidRPr="009573D7">
        <w:rPr>
          <w:sz w:val="18"/>
          <w:szCs w:val="18"/>
        </w:rPr>
        <w:t>Available at http://calmac.org/publications/19981215CAD0001ME.PDF.</w:t>
      </w:r>
    </w:p>
  </w:footnote>
  <w:footnote w:id="54">
    <w:p w:rsidR="00C32735" w:rsidRDefault="00C32735" w:rsidP="009A127F">
      <w:pPr>
        <w:pStyle w:val="FootnoteText"/>
      </w:pPr>
      <w:r w:rsidRPr="009573D7">
        <w:rPr>
          <w:rStyle w:val="FootnoteReference"/>
        </w:rPr>
        <w:footnoteRef/>
      </w:r>
      <w:r w:rsidRPr="009573D7">
        <w:rPr>
          <w:sz w:val="18"/>
          <w:szCs w:val="18"/>
        </w:rPr>
        <w:t xml:space="preserve"> CPUC (2008) Strategic Plan, p. 5.</w:t>
      </w:r>
    </w:p>
  </w:footnote>
  <w:footnote w:id="55">
    <w:p w:rsidR="00C32735" w:rsidRDefault="00C32735" w:rsidP="009A127F">
      <w:pPr>
        <w:pStyle w:val="FootnoteText"/>
      </w:pPr>
      <w:r w:rsidRPr="009573D7">
        <w:rPr>
          <w:rStyle w:val="FootnoteReference"/>
        </w:rPr>
        <w:footnoteRef/>
      </w:r>
      <w:r w:rsidRPr="009573D7">
        <w:rPr>
          <w:sz w:val="18"/>
          <w:szCs w:val="18"/>
        </w:rPr>
        <w:t xml:space="preserve"> Nadel, Thorne, Saches, Prindle &amp; Elliot (2003).</w:t>
      </w:r>
    </w:p>
  </w:footnote>
  <w:footnote w:id="56">
    <w:p w:rsidR="00C32735" w:rsidRDefault="00C32735" w:rsidP="009A127F">
      <w:pPr>
        <w:pStyle w:val="FootnoteText"/>
      </w:pPr>
      <w:r w:rsidRPr="009573D7">
        <w:rPr>
          <w:rStyle w:val="FootnoteReference"/>
        </w:rPr>
        <w:footnoteRef/>
      </w:r>
      <w:r w:rsidRPr="009573D7">
        <w:rPr>
          <w:sz w:val="18"/>
          <w:szCs w:val="18"/>
        </w:rPr>
        <w:t xml:space="preserve"> Peloza &amp; York, (1999). </w:t>
      </w:r>
    </w:p>
  </w:footnote>
  <w:footnote w:id="57">
    <w:p w:rsidR="00C32735" w:rsidRDefault="00C32735" w:rsidP="009A127F">
      <w:pPr>
        <w:pStyle w:val="FootnoteText"/>
      </w:pPr>
      <w:r>
        <w:rPr>
          <w:rStyle w:val="FootnoteReference"/>
        </w:rPr>
        <w:footnoteRef/>
      </w:r>
      <w:r>
        <w:t xml:space="preserve"> Itron, “</w:t>
      </w:r>
      <w:r w:rsidRPr="00F14962">
        <w:rPr>
          <w:sz w:val="18"/>
        </w:rPr>
        <w:t>California Residential Efficiency Market Share Tracking</w:t>
      </w:r>
      <w:r>
        <w:rPr>
          <w:sz w:val="18"/>
        </w:rPr>
        <w:t xml:space="preserve">,” 2006, </w:t>
      </w:r>
      <w:r w:rsidRPr="00F14962">
        <w:rPr>
          <w:sz w:val="18"/>
        </w:rPr>
        <w:t>pp.3-6</w:t>
      </w:r>
      <w:r>
        <w:rPr>
          <w:sz w:val="18"/>
        </w:rPr>
        <w:t>.</w:t>
      </w:r>
    </w:p>
  </w:footnote>
  <w:footnote w:id="58">
    <w:p w:rsidR="00C32735" w:rsidRDefault="00C32735" w:rsidP="009A127F">
      <w:pPr>
        <w:pStyle w:val="FootnoteText"/>
      </w:pPr>
      <w:r w:rsidRPr="0015581B">
        <w:rPr>
          <w:rStyle w:val="FootnoteReference"/>
        </w:rPr>
        <w:footnoteRef/>
      </w:r>
      <w:r w:rsidRPr="0015581B">
        <w:rPr>
          <w:sz w:val="18"/>
          <w:szCs w:val="18"/>
        </w:rPr>
        <w:t xml:space="preserve"> Quantec LLC</w:t>
      </w:r>
      <w:r>
        <w:rPr>
          <w:sz w:val="18"/>
          <w:szCs w:val="18"/>
        </w:rPr>
        <w:t>, “</w:t>
      </w:r>
      <w:r w:rsidRPr="0015581B">
        <w:rPr>
          <w:sz w:val="18"/>
          <w:szCs w:val="18"/>
        </w:rPr>
        <w:t>Statewide Codes and Standards Market Adoption and Noncompliance Rates</w:t>
      </w:r>
      <w:r>
        <w:rPr>
          <w:sz w:val="18"/>
          <w:szCs w:val="18"/>
        </w:rPr>
        <w:t xml:space="preserve">,” </w:t>
      </w:r>
      <w:r w:rsidRPr="0015581B">
        <w:rPr>
          <w:sz w:val="18"/>
          <w:szCs w:val="18"/>
        </w:rPr>
        <w:t>pp. 4</w:t>
      </w:r>
    </w:p>
  </w:footnote>
  <w:footnote w:id="59">
    <w:p w:rsidR="00C32735" w:rsidRDefault="00C32735" w:rsidP="009A127F">
      <w:pPr>
        <w:pStyle w:val="FootnoteText"/>
      </w:pPr>
      <w:r>
        <w:rPr>
          <w:rStyle w:val="FootnoteReference"/>
        </w:rPr>
        <w:footnoteRef/>
      </w:r>
      <w:r>
        <w:t xml:space="preserve"> </w:t>
      </w:r>
      <w:r>
        <w:rPr>
          <w:sz w:val="18"/>
        </w:rPr>
        <w:t>Strategic Plan</w:t>
      </w:r>
      <w:r w:rsidRPr="00F14962">
        <w:rPr>
          <w:sz w:val="18"/>
        </w:rPr>
        <w:t>, Appendix A, HVAC Convener Report, pp. 38-39</w:t>
      </w:r>
    </w:p>
  </w:footnote>
  <w:footnote w:id="60">
    <w:p w:rsidR="00C32735" w:rsidRDefault="00C32735" w:rsidP="009A127F">
      <w:pPr>
        <w:pStyle w:val="FootnoteText"/>
      </w:pPr>
      <w:r>
        <w:rPr>
          <w:rStyle w:val="FootnoteReference"/>
        </w:rPr>
        <w:footnoteRef/>
      </w:r>
      <w:r>
        <w:t xml:space="preserve"> </w:t>
      </w:r>
      <w:r w:rsidRPr="00564D8C">
        <w:t xml:space="preserve">See </w:t>
      </w:r>
      <w:r>
        <w:t xml:space="preserve">the </w:t>
      </w:r>
      <w:r w:rsidRPr="00564D8C">
        <w:t xml:space="preserve">HVAC WE&amp;T </w:t>
      </w:r>
      <w:r>
        <w:t>Sub-program PIP, below, for more information.</w:t>
      </w:r>
    </w:p>
  </w:footnote>
  <w:footnote w:id="61">
    <w:p w:rsidR="00C32735" w:rsidRDefault="00C32735" w:rsidP="009A127F">
      <w:pPr>
        <w:pStyle w:val="FootnoteText"/>
      </w:pPr>
      <w:r w:rsidRPr="00CC7DFB">
        <w:rPr>
          <w:rStyle w:val="FootnoteReference"/>
          <w:szCs w:val="18"/>
        </w:rPr>
        <w:footnoteRef/>
      </w:r>
      <w:r w:rsidRPr="00CC7DFB">
        <w:rPr>
          <w:sz w:val="18"/>
          <w:szCs w:val="18"/>
        </w:rPr>
        <w:t xml:space="preserve">  For additional information about Codes and Standards HVAC activities, see Section 6 of the Codes and Standards PIP.</w:t>
      </w:r>
    </w:p>
  </w:footnote>
  <w:footnote w:id="62">
    <w:p w:rsidR="00AA7C43" w:rsidRDefault="00AA7C43" w:rsidP="00AA7C43">
      <w:pPr>
        <w:pStyle w:val="FootnoteText"/>
      </w:pPr>
      <w:r>
        <w:rPr>
          <w:rStyle w:val="FootnoteReference"/>
        </w:rPr>
        <w:footnoteRef/>
      </w:r>
      <w:r>
        <w:rPr>
          <w:sz w:val="18"/>
          <w:szCs w:val="18"/>
        </w:rPr>
        <w:t xml:space="preserve"> Savings per appliance will be consistent across all IOUs.</w:t>
      </w:r>
    </w:p>
  </w:footnote>
  <w:footnote w:id="63">
    <w:p w:rsidR="00AA7C43" w:rsidRDefault="00AA7C43" w:rsidP="00AA7C43">
      <w:pPr>
        <w:pStyle w:val="FootnoteText"/>
      </w:pPr>
      <w:r>
        <w:rPr>
          <w:rStyle w:val="FootnoteReference"/>
        </w:rPr>
        <w:footnoteRef/>
      </w:r>
      <w:r>
        <w:rPr>
          <w:sz w:val="18"/>
          <w:szCs w:val="18"/>
        </w:rPr>
        <w:t xml:space="preserve"> There is a desire by the IOUs to explore a variety of forms of design assistance, including design team incentives tied to home performance, peak kW reduction, design optimization services by implementation staff, and funded/hosted charrettes/workshops for design teams. </w:t>
      </w:r>
    </w:p>
  </w:footnote>
  <w:footnote w:id="64">
    <w:p w:rsidR="00AA7C43" w:rsidRDefault="00AA7C43" w:rsidP="00AA7C43">
      <w:pPr>
        <w:pStyle w:val="FootnoteText"/>
      </w:pPr>
      <w:r>
        <w:rPr>
          <w:rStyle w:val="FootnoteReference"/>
        </w:rPr>
        <w:footnoteRef/>
      </w:r>
      <w:r>
        <w:rPr>
          <w:sz w:val="18"/>
          <w:szCs w:val="18"/>
        </w:rPr>
        <w:t xml:space="preserve"> See, </w:t>
      </w:r>
      <w:hyperlink r:id="rId2" w:history="1">
        <w:r>
          <w:rPr>
            <w:rStyle w:val="Hyperlink"/>
            <w:sz w:val="18"/>
            <w:szCs w:val="18"/>
          </w:rPr>
          <w:t>http://www.hcd.ca.gov/hpd/hrc/plan/he/</w:t>
        </w:r>
      </w:hyperlink>
      <w:r>
        <w:rPr>
          <w:color w:val="000000"/>
          <w:sz w:val="18"/>
          <w:szCs w:val="18"/>
        </w:rPr>
        <w:t>, accessed 25 Apr 08.</w:t>
      </w:r>
    </w:p>
  </w:footnote>
  <w:footnote w:id="65">
    <w:p w:rsidR="00AA7C43" w:rsidRDefault="00AA7C43" w:rsidP="00AA7C43">
      <w:pPr>
        <w:pStyle w:val="FootnoteText"/>
      </w:pPr>
      <w:r>
        <w:rPr>
          <w:rStyle w:val="FootnoteReference"/>
        </w:rPr>
        <w:footnoteRef/>
      </w:r>
      <w:r>
        <w:rPr>
          <w:sz w:val="18"/>
          <w:szCs w:val="18"/>
        </w:rPr>
        <w:t xml:space="preserve"> As discussed above, manufactured housing is not subject to Title 24 and uses the national HUD baseline.</w:t>
      </w:r>
    </w:p>
  </w:footnote>
  <w:footnote w:id="66">
    <w:p w:rsidR="00AA7C43" w:rsidRDefault="00AA7C43" w:rsidP="00AA7C43">
      <w:pPr>
        <w:pStyle w:val="FootnoteText"/>
      </w:pPr>
      <w:r>
        <w:rPr>
          <w:rStyle w:val="FootnoteReference"/>
        </w:rPr>
        <w:footnoteRef/>
      </w:r>
      <w:r>
        <w:rPr>
          <w:sz w:val="18"/>
          <w:szCs w:val="18"/>
        </w:rPr>
        <w:t xml:space="preserve">Alan N. Nevin, CBIA Chief Economist and Principal, Market Pointe Realty Advisors,  </w:t>
      </w:r>
      <w:r>
        <w:rPr>
          <w:sz w:val="18"/>
          <w:szCs w:val="18"/>
          <w:u w:val="single"/>
        </w:rPr>
        <w:t>California Builder Magazine</w:t>
      </w:r>
      <w:r>
        <w:rPr>
          <w:sz w:val="18"/>
          <w:szCs w:val="18"/>
        </w:rPr>
        <w:t>, January/February 2008</w:t>
      </w:r>
    </w:p>
  </w:footnote>
  <w:footnote w:id="67">
    <w:p w:rsidR="00AA7C43" w:rsidRDefault="00AA7C43" w:rsidP="00AA7C43">
      <w:pPr>
        <w:pStyle w:val="FootnoteText"/>
      </w:pPr>
      <w:r>
        <w:rPr>
          <w:rStyle w:val="FootnoteReference"/>
        </w:rPr>
        <w:footnoteRef/>
      </w:r>
      <w:r>
        <w:rPr>
          <w:sz w:val="18"/>
          <w:szCs w:val="18"/>
        </w:rPr>
        <w:t xml:space="preserve"> California Industry Research Board (CIRB) Report, January 24, 2008</w:t>
      </w:r>
    </w:p>
  </w:footnote>
  <w:footnote w:id="68">
    <w:p w:rsidR="00AA7C43" w:rsidRDefault="00AA7C43" w:rsidP="00AA7C43">
      <w:pPr>
        <w:pStyle w:val="FootnoteText"/>
      </w:pPr>
      <w:r>
        <w:rPr>
          <w:rStyle w:val="FootnoteReference"/>
        </w:rPr>
        <w:footnoteRef/>
      </w:r>
      <w:r>
        <w:rPr>
          <w:sz w:val="18"/>
          <w:szCs w:val="18"/>
        </w:rPr>
        <w:t xml:space="preserve"> Ray Becker, Chairman, CBIA, </w:t>
      </w:r>
      <w:r>
        <w:rPr>
          <w:sz w:val="18"/>
          <w:szCs w:val="18"/>
          <w:u w:val="single"/>
        </w:rPr>
        <w:t xml:space="preserve">Southern California Builder Magazine </w:t>
      </w:r>
      <w:r>
        <w:rPr>
          <w:sz w:val="18"/>
          <w:szCs w:val="18"/>
        </w:rPr>
        <w:t>Vol. 25.  CAHP’s internal research has shown typical 2005 T24 performance is 20% above IECC 2006</w:t>
      </w:r>
    </w:p>
  </w:footnote>
  <w:footnote w:id="69">
    <w:p w:rsidR="00AA7C43" w:rsidRDefault="00AA7C43" w:rsidP="00AA7C43">
      <w:pPr>
        <w:pStyle w:val="FootnoteText"/>
        <w:rPr>
          <w:sz w:val="18"/>
          <w:szCs w:val="18"/>
        </w:rPr>
      </w:pPr>
      <w:r>
        <w:rPr>
          <w:rStyle w:val="FootnoteReference"/>
        </w:rPr>
        <w:footnoteRef/>
      </w:r>
      <w:r>
        <w:rPr>
          <w:sz w:val="18"/>
          <w:szCs w:val="18"/>
        </w:rPr>
        <w:t xml:space="preserve"> Jan Dimeo, </w:t>
      </w:r>
      <w:r>
        <w:rPr>
          <w:sz w:val="18"/>
          <w:szCs w:val="18"/>
          <w:u w:val="single"/>
        </w:rPr>
        <w:t>Builder</w:t>
      </w:r>
      <w:r>
        <w:rPr>
          <w:sz w:val="18"/>
          <w:szCs w:val="18"/>
        </w:rPr>
        <w:t xml:space="preserve">. </w:t>
      </w:r>
      <w:hyperlink r:id="rId3" w:history="1">
        <w:r>
          <w:rPr>
            <w:rStyle w:val="Hyperlink"/>
            <w:sz w:val="18"/>
            <w:szCs w:val="18"/>
          </w:rPr>
          <w:t>http://www.builderonline.com/business/surveys-reveal-home-buyer-wishes-for-energy-efficiency-and-beyond.aspx</w:t>
        </w:r>
      </w:hyperlink>
      <w:r>
        <w:rPr>
          <w:sz w:val="18"/>
          <w:szCs w:val="18"/>
        </w:rPr>
        <w:t>. Accessed 14 Mar 08</w:t>
      </w:r>
    </w:p>
    <w:p w:rsidR="00AA7C43" w:rsidRDefault="00AA7C43" w:rsidP="00AA7C43">
      <w:pPr>
        <w:pStyle w:val="FootnoteText"/>
      </w:pPr>
    </w:p>
  </w:footnote>
  <w:footnote w:id="70">
    <w:p w:rsidR="00AA7C43" w:rsidRDefault="00AA7C43" w:rsidP="00AA7C43">
      <w:pPr>
        <w:pStyle w:val="FootnoteText"/>
      </w:pPr>
      <w:r>
        <w:rPr>
          <w:rStyle w:val="FootnoteReference"/>
        </w:rPr>
        <w:footnoteRef/>
      </w:r>
      <w:r>
        <w:rPr>
          <w:sz w:val="18"/>
          <w:szCs w:val="18"/>
        </w:rPr>
        <w:t xml:space="preserve"> There is a desire by the IOUs to explore a variety of forms of design assistance, including design team incentives tied to home performance, peak kW reduction, design optimization services by implementation staff, and funded/hosted charrettes for design teams. </w:t>
      </w:r>
    </w:p>
  </w:footnote>
  <w:footnote w:id="71">
    <w:p w:rsidR="00AA7C43" w:rsidRPr="00A2447F" w:rsidRDefault="00AA7C43" w:rsidP="00AA7C43">
      <w:pPr>
        <w:spacing w:after="0" w:line="240" w:lineRule="auto"/>
        <w:rPr>
          <w:rFonts w:ascii="Times New Roman" w:hAnsi="Times New Roman"/>
          <w:sz w:val="18"/>
          <w:szCs w:val="18"/>
        </w:rPr>
      </w:pPr>
      <w:r w:rsidRPr="00A2447F">
        <w:rPr>
          <w:rStyle w:val="FootnoteReference"/>
          <w:rFonts w:ascii="Times New Roman" w:hAnsi="Times New Roman"/>
        </w:rPr>
        <w:footnoteRef/>
      </w:r>
      <w:r w:rsidRPr="00A2447F">
        <w:rPr>
          <w:rFonts w:ascii="Times New Roman" w:hAnsi="Times New Roman"/>
          <w:sz w:val="18"/>
          <w:szCs w:val="18"/>
        </w:rPr>
        <w:t xml:space="preserve"> To the extent possible, CAHP intends to leverage AMI funding to incent IHDs in new construction projects.  However, AMI has its own schedule and its own priorities for research projects. If DR/AMI is not ready for AMI-integrated IHDs, the ZNE program through its demonstration projects, working in concert with ET, seeks to demonstrate simpler IHD technologies perhaps without the full capabilities of an AMI-integrated device. As these technologies mature into the marketplace, the statewide IOUs will consider adopt them as additional measures into the core CAHP.</w:t>
      </w:r>
    </w:p>
    <w:p w:rsidR="00AA7C43" w:rsidRDefault="00AA7C43" w:rsidP="00AA7C43"/>
  </w:footnote>
  <w:footnote w:id="72">
    <w:p w:rsidR="00AA7C43" w:rsidRDefault="00AA7C43" w:rsidP="00AA7C43">
      <w:pPr>
        <w:pStyle w:val="FootnoteText"/>
      </w:pPr>
      <w:r>
        <w:rPr>
          <w:rStyle w:val="FootnoteReference"/>
        </w:rPr>
        <w:footnoteRef/>
      </w:r>
      <w:r>
        <w:rPr>
          <w:sz w:val="18"/>
          <w:szCs w:val="18"/>
        </w:rPr>
        <w:t xml:space="preserve"> “Synopsis of manufacturer market share and status,” Manufactured Research Association, communication, October 2007.</w:t>
      </w:r>
    </w:p>
  </w:footnote>
  <w:footnote w:id="73">
    <w:p w:rsidR="00AA7C43" w:rsidRDefault="00AA7C43" w:rsidP="00AA7C43">
      <w:pPr>
        <w:pStyle w:val="FootnoteText"/>
      </w:pPr>
      <w:r>
        <w:rPr>
          <w:rStyle w:val="FootnoteReference"/>
        </w:rPr>
        <w:footnoteRef/>
      </w:r>
      <w:r>
        <w:t xml:space="preserve"> As modified in D.09-09-047</w:t>
      </w:r>
    </w:p>
  </w:footnote>
  <w:footnote w:id="74">
    <w:p w:rsidR="00AA7C43" w:rsidRDefault="00AA7C43" w:rsidP="00AA7C43">
      <w:pPr>
        <w:pStyle w:val="FootnoteText"/>
      </w:pPr>
      <w:r>
        <w:rPr>
          <w:rStyle w:val="FootnoteReference"/>
        </w:rPr>
        <w:footnoteRef/>
      </w:r>
      <w:r>
        <w:rPr>
          <w:sz w:val="18"/>
          <w:szCs w:val="18"/>
        </w:rPr>
        <w:t xml:space="preserve"> As discussed above, manufactured housing is not subject to Title 24 and uses the national HUD baseline.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Default="00C32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Pr="008919E8" w:rsidRDefault="00C32735" w:rsidP="003425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43" w:rsidRPr="00AA25E9" w:rsidRDefault="00AA7C43" w:rsidP="003425E2">
    <w:pPr>
      <w:pStyle w:val="Header"/>
      <w:rPr>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735" w:rsidRPr="00AA25E9" w:rsidRDefault="00C32735" w:rsidP="003425E2">
    <w:pPr>
      <w:pStyle w:val="Header"/>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2291FB9"/>
    <w:multiLevelType w:val="hybridMultilevel"/>
    <w:tmpl w:val="AB50B02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02565CE6"/>
    <w:multiLevelType w:val="hybridMultilevel"/>
    <w:tmpl w:val="74381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C3233"/>
    <w:multiLevelType w:val="hybridMultilevel"/>
    <w:tmpl w:val="FB7ED79A"/>
    <w:lvl w:ilvl="0" w:tplc="0409000F">
      <w:start w:val="1"/>
      <w:numFmt w:val="decimal"/>
      <w:lvlText w:val="%1."/>
      <w:lvlJc w:val="left"/>
      <w:pPr>
        <w:tabs>
          <w:tab w:val="num" w:pos="720"/>
        </w:tabs>
        <w:ind w:left="720" w:hanging="360"/>
      </w:pPr>
      <w:rPr>
        <w:rFonts w:cs="Times New Roman"/>
      </w:rPr>
    </w:lvl>
    <w:lvl w:ilvl="1" w:tplc="0C48A348">
      <w:start w:val="1"/>
      <w:numFmt w:val="bullet"/>
      <w:lvlText w:val=""/>
      <w:lvlJc w:val="left"/>
      <w:pPr>
        <w:tabs>
          <w:tab w:val="num" w:pos="1800"/>
        </w:tabs>
        <w:ind w:left="1800" w:hanging="72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F04FEB"/>
    <w:multiLevelType w:val="hybridMultilevel"/>
    <w:tmpl w:val="8C448F14"/>
    <w:lvl w:ilvl="0" w:tplc="98E4D5D8">
      <w:start w:val="1"/>
      <w:numFmt w:val="decimal"/>
      <w:pStyle w:val="CEESPsubhead1"/>
      <w:lvlText w:val="%1."/>
      <w:lvlJc w:val="left"/>
      <w:pPr>
        <w:ind w:left="720" w:hanging="360"/>
      </w:pPr>
      <w:rPr>
        <w:rFonts w:cs="Times New Roman" w:hint="default"/>
        <w:b w:val="0"/>
        <w:i w:val="0"/>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
    <w:nsid w:val="063144E8"/>
    <w:multiLevelType w:val="hybridMultilevel"/>
    <w:tmpl w:val="83F4A6CE"/>
    <w:lvl w:ilvl="0" w:tplc="6A3C0364">
      <w:start w:val="1"/>
      <w:numFmt w:val="bullet"/>
      <w:pStyle w:val="CEESPbodylistwbulletChar"/>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6E4881"/>
    <w:multiLevelType w:val="hybridMultilevel"/>
    <w:tmpl w:val="6B10B3B8"/>
    <w:lvl w:ilvl="0" w:tplc="C2060D24">
      <w:start w:val="1"/>
      <w:numFmt w:val="lowerLetter"/>
      <w:lvlText w:val="%1)"/>
      <w:lvlJc w:val="left"/>
      <w:pPr>
        <w:tabs>
          <w:tab w:val="num" w:pos="720"/>
        </w:tabs>
        <w:ind w:left="72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68550B9"/>
    <w:multiLevelType w:val="hybridMultilevel"/>
    <w:tmpl w:val="B226D8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6AB7B8C"/>
    <w:multiLevelType w:val="multilevel"/>
    <w:tmpl w:val="A45C0E9E"/>
    <w:lvl w:ilvl="0">
      <w:start w:val="3"/>
      <w:numFmt w:val="lowerLetter"/>
      <w:pStyle w:val="StylePicturebulleted10pt"/>
      <w:lvlText w:val="%1)"/>
      <w:lvlJc w:val="left"/>
      <w:pPr>
        <w:tabs>
          <w:tab w:val="num" w:pos="0"/>
        </w:tabs>
        <w:ind w:left="360" w:hanging="360"/>
      </w:pPr>
      <w:rPr>
        <w:rFonts w:cs="Times New Roman" w:hint="default"/>
        <w:b/>
      </w:rPr>
    </w:lvl>
    <w:lvl w:ilvl="1">
      <w:start w:val="1"/>
      <w:numFmt w:val="lowerLetter"/>
      <w:lvlText w:val="%2)"/>
      <w:lvlJc w:val="left"/>
      <w:pPr>
        <w:tabs>
          <w:tab w:val="num" w:pos="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8">
    <w:nsid w:val="06FA4C9C"/>
    <w:multiLevelType w:val="hybridMultilevel"/>
    <w:tmpl w:val="525CF34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01">
      <w:start w:val="1"/>
      <w:numFmt w:val="bullet"/>
      <w:lvlText w:val=""/>
      <w:lvlJc w:val="left"/>
      <w:pPr>
        <w:tabs>
          <w:tab w:val="num" w:pos="2520"/>
        </w:tabs>
        <w:ind w:left="2520" w:hanging="180"/>
      </w:pPr>
      <w:rPr>
        <w:rFonts w:ascii="Symbol" w:hAnsi="Symbol" w:hint="default"/>
      </w:rPr>
    </w:lvl>
    <w:lvl w:ilvl="3" w:tplc="0409000F">
      <w:start w:val="1"/>
      <w:numFmt w:val="decimal"/>
      <w:lvlText w:val="%4."/>
      <w:lvlJc w:val="left"/>
      <w:pPr>
        <w:tabs>
          <w:tab w:val="num" w:pos="3240"/>
        </w:tabs>
        <w:ind w:left="3240" w:hanging="360"/>
      </w:pPr>
      <w:rPr>
        <w:rFonts w:cs="Times New Roman"/>
      </w:rPr>
    </w:lvl>
    <w:lvl w:ilvl="4" w:tplc="7B4A46B8">
      <w:start w:val="1"/>
      <w:numFmt w:val="lowerLetter"/>
      <w:lvlText w:val="%5)"/>
      <w:lvlJc w:val="left"/>
      <w:pPr>
        <w:tabs>
          <w:tab w:val="num" w:pos="3960"/>
        </w:tabs>
        <w:ind w:left="3960" w:hanging="360"/>
      </w:pPr>
      <w:rPr>
        <w:rFonts w:cs="Times New Roman" w:hint="default"/>
        <w:color w:val="000000"/>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07F3340A"/>
    <w:multiLevelType w:val="hybridMultilevel"/>
    <w:tmpl w:val="ED80F62E"/>
    <w:lvl w:ilvl="0" w:tplc="F3BCF978">
      <w:start w:val="1"/>
      <w:numFmt w:val="lowerLetter"/>
      <w:lvlText w:val="%1)"/>
      <w:lvlJc w:val="left"/>
      <w:pPr>
        <w:tabs>
          <w:tab w:val="num" w:pos="1440"/>
        </w:tabs>
        <w:ind w:left="1440" w:hanging="720"/>
      </w:pPr>
      <w:rPr>
        <w:rFonts w:cs="Times New Roman" w:hint="default"/>
      </w:rPr>
    </w:lvl>
    <w:lvl w:ilvl="1" w:tplc="140C8588">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83A4666"/>
    <w:multiLevelType w:val="hybridMultilevel"/>
    <w:tmpl w:val="BD5AD974"/>
    <w:lvl w:ilvl="0" w:tplc="D5FCD53A">
      <w:start w:val="1"/>
      <w:numFmt w:val="decimal"/>
      <w:lvlText w:val="%1)"/>
      <w:lvlJc w:val="left"/>
      <w:pPr>
        <w:ind w:left="630" w:hanging="360"/>
      </w:pPr>
      <w:rPr>
        <w:rFonts w:cs="Times New Roman" w:hint="default"/>
        <w:b/>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1">
    <w:nsid w:val="088E6C4D"/>
    <w:multiLevelType w:val="hybridMultilevel"/>
    <w:tmpl w:val="1F88E4A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08C51305"/>
    <w:multiLevelType w:val="hybridMultilevel"/>
    <w:tmpl w:val="BAE0D024"/>
    <w:lvl w:ilvl="0" w:tplc="7F5C75E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CC93B2E"/>
    <w:multiLevelType w:val="hybridMultilevel"/>
    <w:tmpl w:val="31A04B20"/>
    <w:lvl w:ilvl="0" w:tplc="46024226">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CE1528D"/>
    <w:multiLevelType w:val="hybridMultilevel"/>
    <w:tmpl w:val="57B67BB4"/>
    <w:lvl w:ilvl="0" w:tplc="84CABD6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6E593E"/>
    <w:multiLevelType w:val="hybridMultilevel"/>
    <w:tmpl w:val="E3D4E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E366F7E"/>
    <w:multiLevelType w:val="hybridMultilevel"/>
    <w:tmpl w:val="E5241970"/>
    <w:lvl w:ilvl="0" w:tplc="6A3C0364">
      <w:start w:val="1"/>
      <w:numFmt w:val="bullet"/>
      <w:pStyle w:val="Proposalnumbereditems"/>
      <w:lvlText w:val=""/>
      <w:lvlJc w:val="left"/>
      <w:pPr>
        <w:tabs>
          <w:tab w:val="num" w:pos="2160"/>
        </w:tabs>
        <w:ind w:left="2160" w:hanging="360"/>
      </w:pPr>
      <w:rPr>
        <w:rFonts w:ascii="Symbol" w:hAnsi="Symbol" w:hint="default"/>
        <w:color w:val="auto"/>
      </w:rPr>
    </w:lvl>
    <w:lvl w:ilvl="1" w:tplc="6A3C0364">
      <w:start w:val="1"/>
      <w:numFmt w:val="bullet"/>
      <w:lvlText w:val=""/>
      <w:lvlJc w:val="left"/>
      <w:pPr>
        <w:tabs>
          <w:tab w:val="num" w:pos="2160"/>
        </w:tabs>
        <w:ind w:left="2160" w:hanging="360"/>
      </w:pPr>
      <w:rPr>
        <w:rFonts w:ascii="Symbol" w:hAnsi="Symbol"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0F3F1A2B"/>
    <w:multiLevelType w:val="multilevel"/>
    <w:tmpl w:val="1608AB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F486AB4"/>
    <w:multiLevelType w:val="hybridMultilevel"/>
    <w:tmpl w:val="9078EDD6"/>
    <w:lvl w:ilvl="0" w:tplc="91C6E9AC">
      <w:start w:val="2"/>
      <w:numFmt w:val="decimal"/>
      <w:lvlText w:val="(%1)"/>
      <w:lvlJc w:val="left"/>
      <w:pPr>
        <w:ind w:left="360" w:hanging="360"/>
      </w:pPr>
      <w:rPr>
        <w:rFonts w:cs="Times New Roman" w:hint="default"/>
      </w:rPr>
    </w:lvl>
    <w:lvl w:ilvl="1" w:tplc="7F5C75E4">
      <w:start w:val="1"/>
      <w:numFmt w:val="decimal"/>
      <w:lvlText w:val="(%2)"/>
      <w:lvlJc w:val="left"/>
      <w:pPr>
        <w:ind w:left="1080" w:hanging="360"/>
      </w:pPr>
      <w:rPr>
        <w:rFonts w:cs="Times New Roman" w:hint="default"/>
      </w:rPr>
    </w:lvl>
    <w:lvl w:ilvl="2" w:tplc="E81AE1AE">
      <w:start w:val="1"/>
      <w:numFmt w:val="decimal"/>
      <w:lvlText w:val="%3."/>
      <w:lvlJc w:val="left"/>
      <w:pPr>
        <w:ind w:left="1980" w:hanging="360"/>
      </w:pPr>
      <w:rPr>
        <w:rFonts w:cs="Times New Roman"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0FB13143"/>
    <w:multiLevelType w:val="multilevel"/>
    <w:tmpl w:val="3F78433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EC274B"/>
    <w:multiLevelType w:val="hybridMultilevel"/>
    <w:tmpl w:val="0518C736"/>
    <w:lvl w:ilvl="0" w:tplc="3BDCD2A8">
      <w:start w:val="1"/>
      <w:numFmt w:val="low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14D44F03"/>
    <w:multiLevelType w:val="hybridMultilevel"/>
    <w:tmpl w:val="B916FF52"/>
    <w:lvl w:ilvl="0" w:tplc="BA5AAE80">
      <w:start w:val="1"/>
      <w:numFmt w:val="bullet"/>
      <w:lvlText w:val="•"/>
      <w:lvlJc w:val="left"/>
      <w:pPr>
        <w:tabs>
          <w:tab w:val="num" w:pos="720"/>
        </w:tabs>
        <w:ind w:left="720" w:hanging="360"/>
      </w:pPr>
      <w:rPr>
        <w:rFonts w:ascii="Times New Roman" w:hAnsi="Times New Roman" w:hint="default"/>
      </w:rPr>
    </w:lvl>
    <w:lvl w:ilvl="1" w:tplc="FDEAB934">
      <w:start w:val="1"/>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B08EBC16" w:tentative="1">
      <w:start w:val="1"/>
      <w:numFmt w:val="bullet"/>
      <w:lvlText w:val="•"/>
      <w:lvlJc w:val="left"/>
      <w:pPr>
        <w:tabs>
          <w:tab w:val="num" w:pos="2880"/>
        </w:tabs>
        <w:ind w:left="2880" w:hanging="360"/>
      </w:pPr>
      <w:rPr>
        <w:rFonts w:ascii="Times New Roman" w:hAnsi="Times New Roman" w:hint="default"/>
      </w:rPr>
    </w:lvl>
    <w:lvl w:ilvl="4" w:tplc="16D444F6" w:tentative="1">
      <w:start w:val="1"/>
      <w:numFmt w:val="bullet"/>
      <w:lvlText w:val="•"/>
      <w:lvlJc w:val="left"/>
      <w:pPr>
        <w:tabs>
          <w:tab w:val="num" w:pos="3600"/>
        </w:tabs>
        <w:ind w:left="3600" w:hanging="360"/>
      </w:pPr>
      <w:rPr>
        <w:rFonts w:ascii="Times New Roman" w:hAnsi="Times New Roman" w:hint="default"/>
      </w:rPr>
    </w:lvl>
    <w:lvl w:ilvl="5" w:tplc="E5685168" w:tentative="1">
      <w:start w:val="1"/>
      <w:numFmt w:val="bullet"/>
      <w:lvlText w:val="•"/>
      <w:lvlJc w:val="left"/>
      <w:pPr>
        <w:tabs>
          <w:tab w:val="num" w:pos="4320"/>
        </w:tabs>
        <w:ind w:left="4320" w:hanging="360"/>
      </w:pPr>
      <w:rPr>
        <w:rFonts w:ascii="Times New Roman" w:hAnsi="Times New Roman" w:hint="default"/>
      </w:rPr>
    </w:lvl>
    <w:lvl w:ilvl="6" w:tplc="818EBF28" w:tentative="1">
      <w:start w:val="1"/>
      <w:numFmt w:val="bullet"/>
      <w:lvlText w:val="•"/>
      <w:lvlJc w:val="left"/>
      <w:pPr>
        <w:tabs>
          <w:tab w:val="num" w:pos="5040"/>
        </w:tabs>
        <w:ind w:left="5040" w:hanging="360"/>
      </w:pPr>
      <w:rPr>
        <w:rFonts w:ascii="Times New Roman" w:hAnsi="Times New Roman" w:hint="default"/>
      </w:rPr>
    </w:lvl>
    <w:lvl w:ilvl="7" w:tplc="EF6A3584" w:tentative="1">
      <w:start w:val="1"/>
      <w:numFmt w:val="bullet"/>
      <w:lvlText w:val="•"/>
      <w:lvlJc w:val="left"/>
      <w:pPr>
        <w:tabs>
          <w:tab w:val="num" w:pos="5760"/>
        </w:tabs>
        <w:ind w:left="5760" w:hanging="360"/>
      </w:pPr>
      <w:rPr>
        <w:rFonts w:ascii="Times New Roman" w:hAnsi="Times New Roman" w:hint="default"/>
      </w:rPr>
    </w:lvl>
    <w:lvl w:ilvl="8" w:tplc="5F0853C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58C5755"/>
    <w:multiLevelType w:val="hybridMultilevel"/>
    <w:tmpl w:val="62E424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7794433"/>
    <w:multiLevelType w:val="hybridMultilevel"/>
    <w:tmpl w:val="E67A890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4">
    <w:nsid w:val="178C0D3A"/>
    <w:multiLevelType w:val="hybridMultilevel"/>
    <w:tmpl w:val="FA66D732"/>
    <w:lvl w:ilvl="0" w:tplc="1C2C0620">
      <w:start w:val="1"/>
      <w:numFmt w:val="bullet"/>
      <w:lvlText w:val=""/>
      <w:lvlJc w:val="left"/>
      <w:pPr>
        <w:tabs>
          <w:tab w:val="num" w:pos="1080"/>
        </w:tabs>
        <w:ind w:left="1080" w:hanging="360"/>
      </w:pPr>
      <w:rPr>
        <w:rFonts w:ascii="Symbol" w:hAnsi="Symbol" w:hint="default"/>
        <w:sz w:val="24"/>
      </w:rPr>
    </w:lvl>
    <w:lvl w:ilvl="1" w:tplc="5D9CB200">
      <w:start w:val="1"/>
      <w:numFmt w:val="bullet"/>
      <w:lvlText w:val=""/>
      <w:lvlJc w:val="left"/>
      <w:pPr>
        <w:tabs>
          <w:tab w:val="num" w:pos="1800"/>
        </w:tabs>
        <w:ind w:left="1800" w:hanging="360"/>
      </w:pPr>
      <w:rPr>
        <w:rFonts w:ascii="Symbol" w:hAnsi="Symbol" w:hint="default"/>
        <w:sz w:val="24"/>
      </w:rPr>
    </w:lvl>
    <w:lvl w:ilvl="2" w:tplc="22A811E4" w:tentative="1">
      <w:start w:val="1"/>
      <w:numFmt w:val="bullet"/>
      <w:lvlText w:val=""/>
      <w:lvlJc w:val="left"/>
      <w:pPr>
        <w:tabs>
          <w:tab w:val="num" w:pos="2520"/>
        </w:tabs>
        <w:ind w:left="2520" w:hanging="360"/>
      </w:pPr>
      <w:rPr>
        <w:rFonts w:ascii="Wingdings" w:hAnsi="Wingdings" w:hint="default"/>
      </w:rPr>
    </w:lvl>
    <w:lvl w:ilvl="3" w:tplc="9D6EF9A6" w:tentative="1">
      <w:start w:val="1"/>
      <w:numFmt w:val="bullet"/>
      <w:lvlText w:val=""/>
      <w:lvlJc w:val="left"/>
      <w:pPr>
        <w:tabs>
          <w:tab w:val="num" w:pos="3240"/>
        </w:tabs>
        <w:ind w:left="3240" w:hanging="360"/>
      </w:pPr>
      <w:rPr>
        <w:rFonts w:ascii="Symbol" w:hAnsi="Symbol" w:hint="default"/>
      </w:rPr>
    </w:lvl>
    <w:lvl w:ilvl="4" w:tplc="17D0C6B2" w:tentative="1">
      <w:start w:val="1"/>
      <w:numFmt w:val="bullet"/>
      <w:lvlText w:val="o"/>
      <w:lvlJc w:val="left"/>
      <w:pPr>
        <w:tabs>
          <w:tab w:val="num" w:pos="3960"/>
        </w:tabs>
        <w:ind w:left="3960" w:hanging="360"/>
      </w:pPr>
      <w:rPr>
        <w:rFonts w:ascii="Courier New" w:hAnsi="Courier New" w:hint="default"/>
      </w:rPr>
    </w:lvl>
    <w:lvl w:ilvl="5" w:tplc="47A4E236" w:tentative="1">
      <w:start w:val="1"/>
      <w:numFmt w:val="bullet"/>
      <w:lvlText w:val=""/>
      <w:lvlJc w:val="left"/>
      <w:pPr>
        <w:tabs>
          <w:tab w:val="num" w:pos="4680"/>
        </w:tabs>
        <w:ind w:left="4680" w:hanging="360"/>
      </w:pPr>
      <w:rPr>
        <w:rFonts w:ascii="Wingdings" w:hAnsi="Wingdings" w:hint="default"/>
      </w:rPr>
    </w:lvl>
    <w:lvl w:ilvl="6" w:tplc="B45A6C0E" w:tentative="1">
      <w:start w:val="1"/>
      <w:numFmt w:val="bullet"/>
      <w:lvlText w:val=""/>
      <w:lvlJc w:val="left"/>
      <w:pPr>
        <w:tabs>
          <w:tab w:val="num" w:pos="5400"/>
        </w:tabs>
        <w:ind w:left="5400" w:hanging="360"/>
      </w:pPr>
      <w:rPr>
        <w:rFonts w:ascii="Symbol" w:hAnsi="Symbol" w:hint="default"/>
      </w:rPr>
    </w:lvl>
    <w:lvl w:ilvl="7" w:tplc="DA628E2E" w:tentative="1">
      <w:start w:val="1"/>
      <w:numFmt w:val="bullet"/>
      <w:lvlText w:val="o"/>
      <w:lvlJc w:val="left"/>
      <w:pPr>
        <w:tabs>
          <w:tab w:val="num" w:pos="6120"/>
        </w:tabs>
        <w:ind w:left="6120" w:hanging="360"/>
      </w:pPr>
      <w:rPr>
        <w:rFonts w:ascii="Courier New" w:hAnsi="Courier New" w:hint="default"/>
      </w:rPr>
    </w:lvl>
    <w:lvl w:ilvl="8" w:tplc="E34C5E12" w:tentative="1">
      <w:start w:val="1"/>
      <w:numFmt w:val="bullet"/>
      <w:lvlText w:val=""/>
      <w:lvlJc w:val="left"/>
      <w:pPr>
        <w:tabs>
          <w:tab w:val="num" w:pos="6840"/>
        </w:tabs>
        <w:ind w:left="6840" w:hanging="360"/>
      </w:pPr>
      <w:rPr>
        <w:rFonts w:ascii="Wingdings" w:hAnsi="Wingdings" w:hint="default"/>
      </w:rPr>
    </w:lvl>
  </w:abstractNum>
  <w:abstractNum w:abstractNumId="25">
    <w:nsid w:val="18A07056"/>
    <w:multiLevelType w:val="hybridMultilevel"/>
    <w:tmpl w:val="AD88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A8256E"/>
    <w:multiLevelType w:val="hybridMultilevel"/>
    <w:tmpl w:val="49B88AC8"/>
    <w:lvl w:ilvl="0" w:tplc="140C858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8AC2833"/>
    <w:multiLevelType w:val="hybridMultilevel"/>
    <w:tmpl w:val="0448BB92"/>
    <w:lvl w:ilvl="0" w:tplc="23C49B2E">
      <w:start w:val="4"/>
      <w:numFmt w:val="none"/>
      <w:lvlText w:val="3)"/>
      <w:lvlJc w:val="left"/>
      <w:pPr>
        <w:tabs>
          <w:tab w:val="num" w:pos="360"/>
        </w:tabs>
        <w:ind w:left="360" w:hanging="360"/>
      </w:pPr>
      <w:rPr>
        <w:rFonts w:cs="Times New Roman" w:hint="default"/>
        <w:b/>
        <w:sz w:val="24"/>
        <w:szCs w:val="24"/>
      </w:rPr>
    </w:lvl>
    <w:lvl w:ilvl="1" w:tplc="7730E880">
      <w:start w:val="1"/>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59602F94">
      <w:start w:val="7"/>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18D433BB"/>
    <w:multiLevelType w:val="hybridMultilevel"/>
    <w:tmpl w:val="A3CE8246"/>
    <w:lvl w:ilvl="0" w:tplc="9A88D0E0">
      <w:start w:val="4"/>
      <w:numFmt w:val="decimal"/>
      <w:pStyle w:val="StyleNumbered"/>
      <w:lvlText w:val="%1."/>
      <w:lvlJc w:val="left"/>
      <w:pPr>
        <w:tabs>
          <w:tab w:val="num" w:pos="720"/>
        </w:tabs>
        <w:ind w:left="720" w:hanging="360"/>
      </w:pPr>
      <w:rPr>
        <w:rFonts w:cs="Times New Roman" w:hint="default"/>
      </w:rPr>
    </w:lvl>
    <w:lvl w:ilvl="1" w:tplc="04090019">
      <w:start w:val="1"/>
      <w:numFmt w:val="decimal"/>
      <w:lvlText w:val="(%2)"/>
      <w:lvlJc w:val="left"/>
      <w:pPr>
        <w:tabs>
          <w:tab w:val="num" w:pos="1440"/>
        </w:tabs>
        <w:ind w:left="1440" w:hanging="360"/>
      </w:pPr>
      <w:rPr>
        <w:rFonts w:cs="Times New Roman" w:hint="default"/>
      </w:rPr>
    </w:lvl>
    <w:lvl w:ilvl="2" w:tplc="0409001B">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9242257"/>
    <w:multiLevelType w:val="hybridMultilevel"/>
    <w:tmpl w:val="CD7ED9E4"/>
    <w:lvl w:ilvl="0" w:tplc="04090011">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9725A10"/>
    <w:multiLevelType w:val="hybridMultilevel"/>
    <w:tmpl w:val="BCF0F43A"/>
    <w:lvl w:ilvl="0" w:tplc="84CABD6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DF02E2"/>
    <w:multiLevelType w:val="multilevel"/>
    <w:tmpl w:val="5C1E5E5E"/>
    <w:lvl w:ilvl="0">
      <w:start w:val="5"/>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0"/>
        </w:tabs>
        <w:ind w:left="720" w:hanging="360"/>
      </w:pPr>
      <w:rPr>
        <w:rFonts w:cs="Times New Roman" w:hint="default"/>
      </w:rPr>
    </w:lvl>
    <w:lvl w:ilvl="2">
      <w:start w:val="1"/>
      <w:numFmt w:val="lowerLetter"/>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right"/>
      <w:pPr>
        <w:tabs>
          <w:tab w:val="num" w:pos="1152"/>
        </w:tabs>
        <w:ind w:left="1152" w:hanging="245"/>
      </w:pPr>
      <w:rPr>
        <w:rFonts w:cs="Times New Roman" w:hint="default"/>
        <w:b/>
        <w:i w:val="0"/>
      </w:rPr>
    </w:lvl>
  </w:abstractNum>
  <w:abstractNum w:abstractNumId="32">
    <w:nsid w:val="1B665661"/>
    <w:multiLevelType w:val="hybridMultilevel"/>
    <w:tmpl w:val="26804968"/>
    <w:lvl w:ilvl="0" w:tplc="E23CB8BE">
      <w:start w:val="1"/>
      <w:numFmt w:val="bullet"/>
      <w:lvlText w:val=""/>
      <w:lvlJc w:val="left"/>
      <w:pPr>
        <w:tabs>
          <w:tab w:val="num" w:pos="1440"/>
        </w:tabs>
        <w:ind w:left="1440" w:hanging="360"/>
      </w:pPr>
      <w:rPr>
        <w:rFonts w:ascii="Symbol" w:hAnsi="Symbol" w:hint="default"/>
      </w:rPr>
    </w:lvl>
    <w:lvl w:ilvl="1" w:tplc="F56266E2">
      <w:start w:val="1"/>
      <w:numFmt w:val="bullet"/>
      <w:lvlText w:val="o"/>
      <w:lvlJc w:val="left"/>
      <w:pPr>
        <w:tabs>
          <w:tab w:val="num" w:pos="1800"/>
        </w:tabs>
        <w:ind w:left="1800" w:hanging="360"/>
      </w:pPr>
      <w:rPr>
        <w:rFonts w:ascii="Courier New" w:hAnsi="Courier New" w:hint="default"/>
      </w:rPr>
    </w:lvl>
    <w:lvl w:ilvl="2" w:tplc="492209B0" w:tentative="1">
      <w:start w:val="1"/>
      <w:numFmt w:val="bullet"/>
      <w:lvlText w:val=""/>
      <w:lvlJc w:val="left"/>
      <w:pPr>
        <w:tabs>
          <w:tab w:val="num" w:pos="2520"/>
        </w:tabs>
        <w:ind w:left="2520" w:hanging="360"/>
      </w:pPr>
      <w:rPr>
        <w:rFonts w:ascii="Wingdings" w:hAnsi="Wingdings" w:hint="default"/>
      </w:rPr>
    </w:lvl>
    <w:lvl w:ilvl="3" w:tplc="EED62BC6" w:tentative="1">
      <w:start w:val="1"/>
      <w:numFmt w:val="bullet"/>
      <w:lvlText w:val=""/>
      <w:lvlJc w:val="left"/>
      <w:pPr>
        <w:tabs>
          <w:tab w:val="num" w:pos="3240"/>
        </w:tabs>
        <w:ind w:left="3240" w:hanging="360"/>
      </w:pPr>
      <w:rPr>
        <w:rFonts w:ascii="Symbol" w:hAnsi="Symbol" w:hint="default"/>
      </w:rPr>
    </w:lvl>
    <w:lvl w:ilvl="4" w:tplc="B818E1D0" w:tentative="1">
      <w:start w:val="1"/>
      <w:numFmt w:val="bullet"/>
      <w:lvlText w:val="o"/>
      <w:lvlJc w:val="left"/>
      <w:pPr>
        <w:tabs>
          <w:tab w:val="num" w:pos="3960"/>
        </w:tabs>
        <w:ind w:left="3960" w:hanging="360"/>
      </w:pPr>
      <w:rPr>
        <w:rFonts w:ascii="Courier New" w:hAnsi="Courier New" w:hint="default"/>
      </w:rPr>
    </w:lvl>
    <w:lvl w:ilvl="5" w:tplc="8F7E4146">
      <w:start w:val="1"/>
      <w:numFmt w:val="bullet"/>
      <w:lvlText w:val=""/>
      <w:lvlJc w:val="left"/>
      <w:pPr>
        <w:tabs>
          <w:tab w:val="num" w:pos="4680"/>
        </w:tabs>
        <w:ind w:left="4680" w:hanging="360"/>
      </w:pPr>
      <w:rPr>
        <w:rFonts w:ascii="Wingdings" w:hAnsi="Wingdings" w:hint="default"/>
      </w:rPr>
    </w:lvl>
    <w:lvl w:ilvl="6" w:tplc="68B207E2" w:tentative="1">
      <w:start w:val="1"/>
      <w:numFmt w:val="bullet"/>
      <w:lvlText w:val=""/>
      <w:lvlJc w:val="left"/>
      <w:pPr>
        <w:tabs>
          <w:tab w:val="num" w:pos="5400"/>
        </w:tabs>
        <w:ind w:left="5400" w:hanging="360"/>
      </w:pPr>
      <w:rPr>
        <w:rFonts w:ascii="Symbol" w:hAnsi="Symbol" w:hint="default"/>
      </w:rPr>
    </w:lvl>
    <w:lvl w:ilvl="7" w:tplc="E3720A98" w:tentative="1">
      <w:start w:val="1"/>
      <w:numFmt w:val="bullet"/>
      <w:lvlText w:val="o"/>
      <w:lvlJc w:val="left"/>
      <w:pPr>
        <w:tabs>
          <w:tab w:val="num" w:pos="6120"/>
        </w:tabs>
        <w:ind w:left="6120" w:hanging="360"/>
      </w:pPr>
      <w:rPr>
        <w:rFonts w:ascii="Courier New" w:hAnsi="Courier New" w:hint="default"/>
      </w:rPr>
    </w:lvl>
    <w:lvl w:ilvl="8" w:tplc="A2F2B3D0" w:tentative="1">
      <w:start w:val="1"/>
      <w:numFmt w:val="bullet"/>
      <w:lvlText w:val=""/>
      <w:lvlJc w:val="left"/>
      <w:pPr>
        <w:tabs>
          <w:tab w:val="num" w:pos="6840"/>
        </w:tabs>
        <w:ind w:left="6840" w:hanging="360"/>
      </w:pPr>
      <w:rPr>
        <w:rFonts w:ascii="Wingdings" w:hAnsi="Wingdings" w:hint="default"/>
      </w:rPr>
    </w:lvl>
  </w:abstractNum>
  <w:abstractNum w:abstractNumId="33">
    <w:nsid w:val="1C3A134E"/>
    <w:multiLevelType w:val="hybridMultilevel"/>
    <w:tmpl w:val="9ED01C7E"/>
    <w:lvl w:ilvl="0" w:tplc="04090001">
      <w:start w:val="1"/>
      <w:numFmt w:val="bullet"/>
      <w:pStyle w:val="Bullet1"/>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1C715BEB"/>
    <w:multiLevelType w:val="hybridMultilevel"/>
    <w:tmpl w:val="33D4D448"/>
    <w:lvl w:ilvl="0" w:tplc="FFFFFFFF">
      <w:start w:val="1"/>
      <w:numFmt w:val="bullet"/>
      <w:lvlText w:val=""/>
      <w:lvlJc w:val="left"/>
      <w:pPr>
        <w:ind w:left="1105" w:hanging="360"/>
      </w:pPr>
      <w:rPr>
        <w:rFonts w:ascii="Symbol" w:hAnsi="Symbol" w:hint="default"/>
      </w:rPr>
    </w:lvl>
    <w:lvl w:ilvl="1" w:tplc="04090003">
      <w:start w:val="1"/>
      <w:numFmt w:val="bullet"/>
      <w:lvlText w:val="o"/>
      <w:lvlJc w:val="left"/>
      <w:pPr>
        <w:ind w:left="1825" w:hanging="360"/>
      </w:pPr>
      <w:rPr>
        <w:rFonts w:ascii="Courier New" w:hAnsi="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start w:val="1"/>
      <w:numFmt w:val="bullet"/>
      <w:lvlText w:val="o"/>
      <w:lvlJc w:val="left"/>
      <w:pPr>
        <w:ind w:left="3985" w:hanging="360"/>
      </w:pPr>
      <w:rPr>
        <w:rFonts w:ascii="Courier New" w:hAnsi="Courier New" w:hint="default"/>
      </w:rPr>
    </w:lvl>
    <w:lvl w:ilvl="5" w:tplc="04090005" w:tentative="1">
      <w:start w:val="1"/>
      <w:numFmt w:val="bullet"/>
      <w:lvlText w:val=""/>
      <w:lvlJc w:val="left"/>
      <w:pPr>
        <w:ind w:left="4705" w:hanging="360"/>
      </w:pPr>
      <w:rPr>
        <w:rFonts w:ascii="Wingdings" w:hAnsi="Wingdings" w:hint="default"/>
      </w:rPr>
    </w:lvl>
    <w:lvl w:ilvl="6" w:tplc="0409000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35">
    <w:nsid w:val="1D5918EB"/>
    <w:multiLevelType w:val="hybridMultilevel"/>
    <w:tmpl w:val="DFB849C0"/>
    <w:lvl w:ilvl="0" w:tplc="04090001">
      <w:start w:val="1"/>
      <w:numFmt w:val="decimal"/>
      <w:lvlText w:val="%1."/>
      <w:lvlJc w:val="left"/>
      <w:pPr>
        <w:tabs>
          <w:tab w:val="num" w:pos="1080"/>
        </w:tabs>
        <w:ind w:left="1080" w:hanging="360"/>
      </w:pPr>
      <w:rPr>
        <w:rFonts w:cs="Times New Roman"/>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36">
    <w:nsid w:val="1F6475C6"/>
    <w:multiLevelType w:val="hybridMultilevel"/>
    <w:tmpl w:val="FCF25CC8"/>
    <w:lvl w:ilvl="0" w:tplc="C2BC37CC">
      <w:start w:val="4"/>
      <w:numFmt w:val="bullet"/>
      <w:lvlText w:val=""/>
      <w:lvlJc w:val="left"/>
      <w:pPr>
        <w:tabs>
          <w:tab w:val="num" w:pos="1080"/>
        </w:tabs>
        <w:ind w:left="1080" w:hanging="360"/>
      </w:pPr>
      <w:rPr>
        <w:rFonts w:ascii="Symbol" w:hAnsi="Symbol" w:hint="default"/>
        <w:b w:val="0"/>
        <w:i w:val="0"/>
        <w:color w:val="auto"/>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2001739F"/>
    <w:multiLevelType w:val="hybridMultilevel"/>
    <w:tmpl w:val="F1C250C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21987C97"/>
    <w:multiLevelType w:val="hybridMultilevel"/>
    <w:tmpl w:val="1256E4FE"/>
    <w:lvl w:ilvl="0" w:tplc="679E7EAE">
      <w:start w:val="3"/>
      <w:numFmt w:val="lowerLetter"/>
      <w:pStyle w:val="bi"/>
      <w:lvlText w:val="%1."/>
      <w:lvlJc w:val="left"/>
      <w:pPr>
        <w:tabs>
          <w:tab w:val="num" w:pos="1260"/>
        </w:tabs>
        <w:ind w:left="1260" w:hanging="720"/>
      </w:pPr>
      <w:rPr>
        <w:rFonts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221372E7"/>
    <w:multiLevelType w:val="hybridMultilevel"/>
    <w:tmpl w:val="9A74FEFC"/>
    <w:lvl w:ilvl="0" w:tplc="537C34DA">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0">
    <w:nsid w:val="22A00BDC"/>
    <w:multiLevelType w:val="hybridMultilevel"/>
    <w:tmpl w:val="4C3C075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22CF0EE7"/>
    <w:multiLevelType w:val="hybridMultilevel"/>
    <w:tmpl w:val="0518C736"/>
    <w:lvl w:ilvl="0" w:tplc="3BDCD2A8">
      <w:start w:val="1"/>
      <w:numFmt w:val="low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2">
    <w:nsid w:val="23286EC3"/>
    <w:multiLevelType w:val="multilevel"/>
    <w:tmpl w:val="41E44FEC"/>
    <w:lvl w:ilvl="0">
      <w:start w:val="6"/>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b/>
        <w:i w:val="0"/>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3">
    <w:nsid w:val="249F2B28"/>
    <w:multiLevelType w:val="hybridMultilevel"/>
    <w:tmpl w:val="D5A23F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nsid w:val="24C95EF3"/>
    <w:multiLevelType w:val="multilevel"/>
    <w:tmpl w:val="5B065A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255D29F6"/>
    <w:multiLevelType w:val="hybridMultilevel"/>
    <w:tmpl w:val="DC9E3CD4"/>
    <w:lvl w:ilvl="0" w:tplc="84CABD6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61A5B3B"/>
    <w:multiLevelType w:val="hybridMultilevel"/>
    <w:tmpl w:val="65C264A6"/>
    <w:lvl w:ilvl="0" w:tplc="BB90035A">
      <w:start w:val="1"/>
      <w:numFmt w:val="bullet"/>
      <w:lvlText w:val=""/>
      <w:lvlJc w:val="left"/>
      <w:pPr>
        <w:ind w:left="720" w:hanging="360"/>
      </w:pPr>
      <w:rPr>
        <w:rFonts w:ascii="Symbol" w:hAnsi="Symbol" w:hint="default"/>
      </w:rPr>
    </w:lvl>
    <w:lvl w:ilvl="1" w:tplc="E882577A">
      <w:start w:val="1"/>
      <w:numFmt w:val="bullet"/>
      <w:lvlText w:val="o"/>
      <w:lvlJc w:val="left"/>
      <w:pPr>
        <w:ind w:left="1440" w:hanging="360"/>
      </w:pPr>
      <w:rPr>
        <w:rFonts w:ascii="Courier New" w:hAnsi="Courier New" w:hint="default"/>
      </w:rPr>
    </w:lvl>
    <w:lvl w:ilvl="2" w:tplc="5B30CD24" w:tentative="1">
      <w:start w:val="1"/>
      <w:numFmt w:val="bullet"/>
      <w:lvlText w:val=""/>
      <w:lvlJc w:val="left"/>
      <w:pPr>
        <w:ind w:left="2160" w:hanging="360"/>
      </w:pPr>
      <w:rPr>
        <w:rFonts w:ascii="Wingdings" w:hAnsi="Wingdings" w:hint="default"/>
      </w:rPr>
    </w:lvl>
    <w:lvl w:ilvl="3" w:tplc="995CE7AA" w:tentative="1">
      <w:start w:val="1"/>
      <w:numFmt w:val="bullet"/>
      <w:lvlText w:val=""/>
      <w:lvlJc w:val="left"/>
      <w:pPr>
        <w:ind w:left="2880" w:hanging="360"/>
      </w:pPr>
      <w:rPr>
        <w:rFonts w:ascii="Symbol" w:hAnsi="Symbol" w:hint="default"/>
      </w:rPr>
    </w:lvl>
    <w:lvl w:ilvl="4" w:tplc="E3C24A1A" w:tentative="1">
      <w:start w:val="1"/>
      <w:numFmt w:val="bullet"/>
      <w:lvlText w:val="o"/>
      <w:lvlJc w:val="left"/>
      <w:pPr>
        <w:ind w:left="3600" w:hanging="360"/>
      </w:pPr>
      <w:rPr>
        <w:rFonts w:ascii="Courier New" w:hAnsi="Courier New" w:hint="default"/>
      </w:rPr>
    </w:lvl>
    <w:lvl w:ilvl="5" w:tplc="5C42EE60" w:tentative="1">
      <w:start w:val="1"/>
      <w:numFmt w:val="bullet"/>
      <w:lvlText w:val=""/>
      <w:lvlJc w:val="left"/>
      <w:pPr>
        <w:ind w:left="4320" w:hanging="360"/>
      </w:pPr>
      <w:rPr>
        <w:rFonts w:ascii="Wingdings" w:hAnsi="Wingdings" w:hint="default"/>
      </w:rPr>
    </w:lvl>
    <w:lvl w:ilvl="6" w:tplc="5DA4B3B8" w:tentative="1">
      <w:start w:val="1"/>
      <w:numFmt w:val="bullet"/>
      <w:lvlText w:val=""/>
      <w:lvlJc w:val="left"/>
      <w:pPr>
        <w:ind w:left="5040" w:hanging="360"/>
      </w:pPr>
      <w:rPr>
        <w:rFonts w:ascii="Symbol" w:hAnsi="Symbol" w:hint="default"/>
      </w:rPr>
    </w:lvl>
    <w:lvl w:ilvl="7" w:tplc="489E519E" w:tentative="1">
      <w:start w:val="1"/>
      <w:numFmt w:val="bullet"/>
      <w:lvlText w:val="o"/>
      <w:lvlJc w:val="left"/>
      <w:pPr>
        <w:ind w:left="5760" w:hanging="360"/>
      </w:pPr>
      <w:rPr>
        <w:rFonts w:ascii="Courier New" w:hAnsi="Courier New" w:hint="default"/>
      </w:rPr>
    </w:lvl>
    <w:lvl w:ilvl="8" w:tplc="AB8C8A02" w:tentative="1">
      <w:start w:val="1"/>
      <w:numFmt w:val="bullet"/>
      <w:lvlText w:val=""/>
      <w:lvlJc w:val="left"/>
      <w:pPr>
        <w:ind w:left="6480" w:hanging="360"/>
      </w:pPr>
      <w:rPr>
        <w:rFonts w:ascii="Wingdings" w:hAnsi="Wingdings" w:hint="default"/>
      </w:rPr>
    </w:lvl>
  </w:abstractNum>
  <w:abstractNum w:abstractNumId="47">
    <w:nsid w:val="271C1737"/>
    <w:multiLevelType w:val="hybridMultilevel"/>
    <w:tmpl w:val="075CCEE8"/>
    <w:lvl w:ilvl="0" w:tplc="3F08A8A4">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5FF4767C"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8">
    <w:nsid w:val="274B1CDE"/>
    <w:multiLevelType w:val="hybridMultilevel"/>
    <w:tmpl w:val="3724DBDC"/>
    <w:lvl w:ilvl="0" w:tplc="0C48A348">
      <w:start w:val="4"/>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7CF6C19"/>
    <w:multiLevelType w:val="hybridMultilevel"/>
    <w:tmpl w:val="690A44B2"/>
    <w:lvl w:ilvl="0" w:tplc="04090001">
      <w:start w:val="1"/>
      <w:numFmt w:val="decimal"/>
      <w:lvlText w:val="%1)"/>
      <w:lvlJc w:val="left"/>
      <w:pPr>
        <w:tabs>
          <w:tab w:val="num" w:pos="1440"/>
        </w:tabs>
        <w:ind w:left="1440" w:hanging="360"/>
      </w:pPr>
      <w:rPr>
        <w:rFonts w:cs="Times New Roman" w:hint="default"/>
      </w:rPr>
    </w:lvl>
    <w:lvl w:ilvl="1" w:tplc="04090003" w:tentative="1">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50">
    <w:nsid w:val="27E076FD"/>
    <w:multiLevelType w:val="hybridMultilevel"/>
    <w:tmpl w:val="A61045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81A1FF1"/>
    <w:multiLevelType w:val="hybridMultilevel"/>
    <w:tmpl w:val="53E86C72"/>
    <w:lvl w:ilvl="0" w:tplc="04090001">
      <w:start w:val="1"/>
      <w:numFmt w:val="bullet"/>
      <w:lvlText w:val=""/>
      <w:lvlJc w:val="left"/>
      <w:pPr>
        <w:tabs>
          <w:tab w:val="num" w:pos="1440"/>
        </w:tabs>
        <w:ind w:left="1440" w:hanging="360"/>
      </w:pPr>
      <w:rPr>
        <w:rFonts w:ascii="Symbol" w:hAnsi="Symbol" w:hint="default"/>
        <w:b w:val="0"/>
        <w:i w:val="0"/>
        <w:sz w:val="24"/>
      </w:rPr>
    </w:lvl>
    <w:lvl w:ilvl="1" w:tplc="04090003">
      <w:start w:val="1"/>
      <w:numFmt w:val="lowerLetter"/>
      <w:lvlText w:val="%2."/>
      <w:lvlJc w:val="left"/>
      <w:pPr>
        <w:tabs>
          <w:tab w:val="num" w:pos="2520"/>
        </w:tabs>
        <w:ind w:left="2520" w:hanging="360"/>
      </w:pPr>
      <w:rPr>
        <w:rFonts w:cs="Times New Roman"/>
        <w:b/>
      </w:rPr>
    </w:lvl>
    <w:lvl w:ilvl="2" w:tplc="04090005">
      <w:start w:val="1"/>
      <w:numFmt w:val="lowerRoman"/>
      <w:lvlText w:val="%3."/>
      <w:lvlJc w:val="right"/>
      <w:pPr>
        <w:tabs>
          <w:tab w:val="num" w:pos="3240"/>
        </w:tabs>
        <w:ind w:left="3240" w:hanging="180"/>
      </w:pPr>
      <w:rPr>
        <w:rFonts w:cs="Times New Roman"/>
        <w:b/>
      </w:rPr>
    </w:lvl>
    <w:lvl w:ilvl="3" w:tplc="04090001">
      <w:start w:val="4"/>
      <w:numFmt w:val="decimal"/>
      <w:lvlText w:val="%4."/>
      <w:lvlJc w:val="left"/>
      <w:pPr>
        <w:tabs>
          <w:tab w:val="num" w:pos="3960"/>
        </w:tabs>
        <w:ind w:left="3960" w:hanging="360"/>
      </w:pPr>
      <w:rPr>
        <w:rFonts w:cs="Times New Roman" w:hint="default"/>
      </w:rPr>
    </w:lvl>
    <w:lvl w:ilvl="4" w:tplc="04090003">
      <w:start w:val="1"/>
      <w:numFmt w:val="lowerLetter"/>
      <w:lvlText w:val="%5)"/>
      <w:lvlJc w:val="left"/>
      <w:pPr>
        <w:tabs>
          <w:tab w:val="num" w:pos="4680"/>
        </w:tabs>
        <w:ind w:left="4680" w:hanging="360"/>
      </w:pPr>
      <w:rPr>
        <w:rFonts w:cs="Times New Roman" w:hint="default"/>
        <w:b/>
      </w:rPr>
    </w:lvl>
    <w:lvl w:ilvl="5" w:tplc="04090005">
      <w:start w:val="1"/>
      <w:numFmt w:val="bullet"/>
      <w:lvlText w:val=""/>
      <w:lvlJc w:val="left"/>
      <w:pPr>
        <w:tabs>
          <w:tab w:val="num" w:pos="5580"/>
        </w:tabs>
        <w:ind w:left="5580" w:hanging="360"/>
      </w:pPr>
      <w:rPr>
        <w:rFonts w:ascii="Symbol" w:hAnsi="Symbol" w:hint="default"/>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52">
    <w:nsid w:val="293466BD"/>
    <w:multiLevelType w:val="hybridMultilevel"/>
    <w:tmpl w:val="52387FDE"/>
    <w:lvl w:ilvl="0" w:tplc="04090001">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hint="default"/>
        <w:u w:val="none"/>
      </w:rPr>
    </w:lvl>
    <w:lvl w:ilvl="2" w:tplc="0409001B">
      <w:start w:val="1"/>
      <w:numFmt w:val="lowerRoman"/>
      <w:lvlText w:val="%3."/>
      <w:lvlJc w:val="right"/>
      <w:pPr>
        <w:tabs>
          <w:tab w:val="num" w:pos="2160"/>
        </w:tabs>
        <w:ind w:left="2160" w:hanging="180"/>
      </w:pPr>
      <w:rPr>
        <w:rFonts w:cs="Times New Roman"/>
      </w:rPr>
    </w:lvl>
    <w:lvl w:ilvl="3" w:tplc="0409000F">
      <w:start w:val="2"/>
      <w:numFmt w:val="upperLetter"/>
      <w:lvlText w:val="%4)"/>
      <w:lvlJc w:val="left"/>
      <w:pPr>
        <w:tabs>
          <w:tab w:val="num" w:pos="2880"/>
        </w:tabs>
        <w:ind w:left="2880" w:hanging="360"/>
      </w:pPr>
      <w:rPr>
        <w:rFonts w:cs="Times New Roman" w:hint="default"/>
        <w:u w:val="single"/>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2ABF1A52"/>
    <w:multiLevelType w:val="hybridMultilevel"/>
    <w:tmpl w:val="B226D8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2C4340FB"/>
    <w:multiLevelType w:val="hybridMultilevel"/>
    <w:tmpl w:val="DFB849C0"/>
    <w:lvl w:ilvl="0" w:tplc="04090001">
      <w:start w:val="1"/>
      <w:numFmt w:val="decimal"/>
      <w:lvlText w:val="%1."/>
      <w:lvlJc w:val="left"/>
      <w:pPr>
        <w:tabs>
          <w:tab w:val="num" w:pos="1080"/>
        </w:tabs>
        <w:ind w:left="1080" w:hanging="360"/>
      </w:pPr>
      <w:rPr>
        <w:rFonts w:cs="Times New Roman"/>
      </w:rPr>
    </w:lvl>
    <w:lvl w:ilvl="1" w:tplc="04090003">
      <w:start w:val="1"/>
      <w:numFmt w:val="lowerLetter"/>
      <w:lvlText w:val="%2."/>
      <w:lvlJc w:val="lef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Letter"/>
      <w:lvlText w:val="%5."/>
      <w:lvlJc w:val="left"/>
      <w:pPr>
        <w:tabs>
          <w:tab w:val="num" w:pos="3960"/>
        </w:tabs>
        <w:ind w:left="3960" w:hanging="360"/>
      </w:pPr>
      <w:rPr>
        <w:rFonts w:cs="Times New Roman"/>
      </w:rPr>
    </w:lvl>
    <w:lvl w:ilvl="5" w:tplc="04090005">
      <w:start w:val="1"/>
      <w:numFmt w:val="lowerRoman"/>
      <w:lvlText w:val="%6."/>
      <w:lvlJc w:val="right"/>
      <w:pPr>
        <w:tabs>
          <w:tab w:val="num" w:pos="4680"/>
        </w:tabs>
        <w:ind w:left="4680" w:hanging="18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lowerLetter"/>
      <w:lvlText w:val="%8."/>
      <w:lvlJc w:val="left"/>
      <w:pPr>
        <w:tabs>
          <w:tab w:val="num" w:pos="6120"/>
        </w:tabs>
        <w:ind w:left="6120" w:hanging="360"/>
      </w:pPr>
      <w:rPr>
        <w:rFonts w:cs="Times New Roman"/>
      </w:rPr>
    </w:lvl>
    <w:lvl w:ilvl="8" w:tplc="04090005">
      <w:start w:val="1"/>
      <w:numFmt w:val="lowerRoman"/>
      <w:lvlText w:val="%9."/>
      <w:lvlJc w:val="right"/>
      <w:pPr>
        <w:tabs>
          <w:tab w:val="num" w:pos="6840"/>
        </w:tabs>
        <w:ind w:left="6840" w:hanging="180"/>
      </w:pPr>
      <w:rPr>
        <w:rFonts w:cs="Times New Roman"/>
      </w:rPr>
    </w:lvl>
  </w:abstractNum>
  <w:abstractNum w:abstractNumId="55">
    <w:nsid w:val="2C9C2746"/>
    <w:multiLevelType w:val="hybridMultilevel"/>
    <w:tmpl w:val="D7A2E534"/>
    <w:lvl w:ilvl="0" w:tplc="04090001">
      <w:start w:val="1"/>
      <w:numFmt w:val="bullet"/>
      <w:lvlText w:val=""/>
      <w:lvlJc w:val="left"/>
      <w:pPr>
        <w:tabs>
          <w:tab w:val="num" w:pos="1080"/>
        </w:tabs>
        <w:ind w:left="1080" w:hanging="360"/>
      </w:pPr>
      <w:rPr>
        <w:rFonts w:ascii="Symbol" w:hAnsi="Symbol" w:hint="default"/>
        <w:color w:val="auto"/>
        <w:sz w:val="24"/>
      </w:rPr>
    </w:lvl>
    <w:lvl w:ilvl="1" w:tplc="78549256">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6">
    <w:nsid w:val="2DD875AE"/>
    <w:multiLevelType w:val="hybridMultilevel"/>
    <w:tmpl w:val="D1ECC0BC"/>
    <w:lvl w:ilvl="0" w:tplc="04090001">
      <w:start w:val="1"/>
      <w:numFmt w:val="lowerLetter"/>
      <w:lvlText w:val="%1)"/>
      <w:lvlJc w:val="left"/>
      <w:pPr>
        <w:tabs>
          <w:tab w:val="num" w:pos="720"/>
        </w:tabs>
        <w:ind w:left="720" w:hanging="360"/>
      </w:pPr>
      <w:rPr>
        <w:rFonts w:cs="Times New Roman" w:hint="default"/>
        <w:u w:val="none"/>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7">
    <w:nsid w:val="2EA94CB3"/>
    <w:multiLevelType w:val="hybridMultilevel"/>
    <w:tmpl w:val="BE540F1C"/>
    <w:lvl w:ilvl="0" w:tplc="02D28C2C">
      <w:start w:val="1"/>
      <w:numFmt w:val="lowerLetter"/>
      <w:lvlText w:val="%1)"/>
      <w:lvlJc w:val="left"/>
      <w:pPr>
        <w:tabs>
          <w:tab w:val="num" w:pos="1440"/>
        </w:tabs>
        <w:ind w:left="1440" w:hanging="72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FC469A24">
      <w:start w:val="1"/>
      <w:numFmt w:val="lowerRoman"/>
      <w:lvlText w:val="%3."/>
      <w:lvlJc w:val="right"/>
      <w:pPr>
        <w:tabs>
          <w:tab w:val="num" w:pos="2520"/>
        </w:tabs>
        <w:ind w:left="2520" w:hanging="180"/>
      </w:pPr>
      <w:rPr>
        <w:rFonts w:cs="Times New Roman"/>
        <w:b w:val="0"/>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2F3126A6"/>
    <w:multiLevelType w:val="hybridMultilevel"/>
    <w:tmpl w:val="DD1ADFE0"/>
    <w:lvl w:ilvl="0" w:tplc="B28C44E8">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9">
    <w:nsid w:val="2F464F25"/>
    <w:multiLevelType w:val="hybridMultilevel"/>
    <w:tmpl w:val="2BB2BFE8"/>
    <w:lvl w:ilvl="0" w:tplc="90B4D6F2">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0">
    <w:nsid w:val="305A2E8F"/>
    <w:multiLevelType w:val="hybridMultilevel"/>
    <w:tmpl w:val="6388D442"/>
    <w:lvl w:ilvl="0" w:tplc="E1169CE8">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start w:val="1"/>
      <w:numFmt w:val="decimal"/>
      <w:lvlText w:val="%7."/>
      <w:lvlJc w:val="left"/>
      <w:pPr>
        <w:ind w:left="5040" w:hanging="360"/>
      </w:pPr>
      <w:rPr>
        <w:rFonts w:cs="Times New Roman"/>
      </w:rPr>
    </w:lvl>
    <w:lvl w:ilvl="7" w:tplc="04090003">
      <w:start w:val="1"/>
      <w:numFmt w:val="lowerLetter"/>
      <w:lvlText w:val="%8."/>
      <w:lvlJc w:val="left"/>
      <w:pPr>
        <w:ind w:left="5760" w:hanging="360"/>
      </w:pPr>
      <w:rPr>
        <w:rFonts w:cs="Times New Roman"/>
      </w:rPr>
    </w:lvl>
    <w:lvl w:ilvl="8" w:tplc="04090005">
      <w:start w:val="1"/>
      <w:numFmt w:val="lowerRoman"/>
      <w:lvlText w:val="%9."/>
      <w:lvlJc w:val="right"/>
      <w:pPr>
        <w:ind w:left="6480" w:hanging="180"/>
      </w:pPr>
      <w:rPr>
        <w:rFonts w:cs="Times New Roman"/>
      </w:rPr>
    </w:lvl>
  </w:abstractNum>
  <w:abstractNum w:abstractNumId="61">
    <w:nsid w:val="30E02E20"/>
    <w:multiLevelType w:val="hybridMultilevel"/>
    <w:tmpl w:val="07CC8DF8"/>
    <w:lvl w:ilvl="0" w:tplc="04090001">
      <w:start w:val="2"/>
      <w:numFmt w:val="lowerLetter"/>
      <w:lvlText w:val="%1)"/>
      <w:lvlJc w:val="left"/>
      <w:pPr>
        <w:tabs>
          <w:tab w:val="num" w:pos="1080"/>
        </w:tabs>
        <w:ind w:left="1080" w:hanging="360"/>
      </w:pPr>
      <w:rPr>
        <w:rFonts w:cs="Times New Roman" w:hint="default"/>
        <w:b/>
      </w:rPr>
    </w:lvl>
    <w:lvl w:ilvl="1" w:tplc="04090019">
      <w:start w:val="7"/>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30E87928"/>
    <w:multiLevelType w:val="hybridMultilevel"/>
    <w:tmpl w:val="40EC0D74"/>
    <w:lvl w:ilvl="0" w:tplc="0C48A348">
      <w:start w:val="1"/>
      <w:numFmt w:val="bullet"/>
      <w:lvlText w:val=""/>
      <w:lvlJc w:val="left"/>
      <w:pPr>
        <w:tabs>
          <w:tab w:val="num" w:pos="1080"/>
        </w:tabs>
        <w:ind w:left="1080" w:hanging="720"/>
      </w:pPr>
      <w:rPr>
        <w:rFonts w:ascii="Symbol" w:hAnsi="Symbol" w:hint="default"/>
      </w:rPr>
    </w:lvl>
    <w:lvl w:ilvl="1" w:tplc="04090019">
      <w:start w:val="1"/>
      <w:numFmt w:val="bullet"/>
      <w:lvlText w:val=""/>
      <w:lvlJc w:val="left"/>
      <w:pPr>
        <w:tabs>
          <w:tab w:val="num" w:pos="1800"/>
        </w:tabs>
        <w:ind w:left="1800" w:hanging="72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317B750D"/>
    <w:multiLevelType w:val="hybridMultilevel"/>
    <w:tmpl w:val="77AA552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338D61A5"/>
    <w:multiLevelType w:val="multilevel"/>
    <w:tmpl w:val="827AF1D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56807EB"/>
    <w:multiLevelType w:val="hybridMultilevel"/>
    <w:tmpl w:val="EEFE3CC0"/>
    <w:lvl w:ilvl="0" w:tplc="2584BDB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6">
    <w:nsid w:val="359F48A1"/>
    <w:multiLevelType w:val="hybridMultilevel"/>
    <w:tmpl w:val="28A48510"/>
    <w:lvl w:ilvl="0" w:tplc="C0BC87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5E5461A"/>
    <w:multiLevelType w:val="hybridMultilevel"/>
    <w:tmpl w:val="7EDAFD1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nsid w:val="36B158A8"/>
    <w:multiLevelType w:val="hybridMultilevel"/>
    <w:tmpl w:val="B96A8D12"/>
    <w:lvl w:ilvl="0" w:tplc="3BDCD2A8">
      <w:start w:val="1"/>
      <w:numFmt w:val="bullet"/>
      <w:lvlText w:val=""/>
      <w:lvlJc w:val="left"/>
      <w:pPr>
        <w:tabs>
          <w:tab w:val="num" w:pos="1080"/>
        </w:tabs>
        <w:ind w:left="1080" w:hanging="360"/>
      </w:pPr>
      <w:rPr>
        <w:rFonts w:ascii="Wingdings" w:hAnsi="Wingdings"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9">
    <w:nsid w:val="37C42797"/>
    <w:multiLevelType w:val="hybridMultilevel"/>
    <w:tmpl w:val="277890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nsid w:val="37F90C9E"/>
    <w:multiLevelType w:val="multilevel"/>
    <w:tmpl w:val="0756BE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381B3506"/>
    <w:multiLevelType w:val="hybridMultilevel"/>
    <w:tmpl w:val="319C7FB4"/>
    <w:lvl w:ilvl="0" w:tplc="17CAE76C">
      <w:start w:val="1"/>
      <w:numFmt w:val="decimal"/>
      <w:lvlText w:val="(%1)"/>
      <w:lvlJc w:val="left"/>
      <w:pPr>
        <w:ind w:left="1440" w:hanging="720"/>
      </w:pPr>
      <w:rPr>
        <w:rFonts w:cs="Times New Roman" w:hint="default"/>
      </w:rPr>
    </w:lvl>
    <w:lvl w:ilvl="1" w:tplc="E91C96B8" w:tentative="1">
      <w:start w:val="1"/>
      <w:numFmt w:val="lowerLetter"/>
      <w:lvlText w:val="%2."/>
      <w:lvlJc w:val="left"/>
      <w:pPr>
        <w:ind w:left="1800" w:hanging="360"/>
      </w:pPr>
      <w:rPr>
        <w:rFonts w:cs="Times New Roman"/>
      </w:rPr>
    </w:lvl>
    <w:lvl w:ilvl="2" w:tplc="E91C96B8"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5D0CF6BA" w:tentative="1">
      <w:start w:val="1"/>
      <w:numFmt w:val="lowerLetter"/>
      <w:lvlText w:val="%5."/>
      <w:lvlJc w:val="left"/>
      <w:pPr>
        <w:ind w:left="3960" w:hanging="360"/>
      </w:pPr>
      <w:rPr>
        <w:rFonts w:cs="Times New Roman"/>
      </w:rPr>
    </w:lvl>
    <w:lvl w:ilvl="5" w:tplc="B52AC468"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nsid w:val="38363292"/>
    <w:multiLevelType w:val="hybridMultilevel"/>
    <w:tmpl w:val="AA562E02"/>
    <w:lvl w:ilvl="0" w:tplc="04090001">
      <w:start w:val="1"/>
      <w:numFmt w:val="bullet"/>
      <w:pStyle w:val="CharChar2"/>
      <w:lvlText w:val=""/>
      <w:lvlJc w:val="left"/>
      <w:pPr>
        <w:tabs>
          <w:tab w:val="num" w:pos="360"/>
        </w:tabs>
        <w:ind w:left="360" w:hanging="360"/>
      </w:pPr>
      <w:rPr>
        <w:rFonts w:ascii="Symbol" w:hAnsi="Symbol" w:hint="default"/>
        <w:color w:val="auto"/>
      </w:rPr>
    </w:lvl>
    <w:lvl w:ilvl="1" w:tplc="04090003">
      <w:start w:val="1"/>
      <w:numFmt w:val="bullet"/>
      <w:lvlText w:val=""/>
      <w:lvlJc w:val="left"/>
      <w:pPr>
        <w:tabs>
          <w:tab w:val="num" w:pos="1080"/>
        </w:tabs>
        <w:ind w:left="1080" w:hanging="360"/>
      </w:pPr>
      <w:rPr>
        <w:rFonts w:ascii="Symbol" w:hAnsi="Symbol" w:hint="default"/>
        <w:color w:val="auto"/>
      </w:rPr>
    </w:lvl>
    <w:lvl w:ilvl="2" w:tplc="04090005">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73">
    <w:nsid w:val="398E4361"/>
    <w:multiLevelType w:val="hybridMultilevel"/>
    <w:tmpl w:val="44D04818"/>
    <w:lvl w:ilvl="0" w:tplc="59CC52E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nsid w:val="3A2E23C9"/>
    <w:multiLevelType w:val="hybridMultilevel"/>
    <w:tmpl w:val="06FC2AD8"/>
    <w:lvl w:ilvl="0" w:tplc="84CABD66">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A5A447D"/>
    <w:multiLevelType w:val="hybridMultilevel"/>
    <w:tmpl w:val="6890BDF0"/>
    <w:lvl w:ilvl="0" w:tplc="04090001">
      <w:start w:val="1"/>
      <w:numFmt w:val="lowerRoman"/>
      <w:lvlText w:val="%1."/>
      <w:lvlJc w:val="right"/>
      <w:pPr>
        <w:tabs>
          <w:tab w:val="num" w:pos="2160"/>
        </w:tabs>
        <w:ind w:left="2160" w:hanging="18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6">
    <w:nsid w:val="3A86711F"/>
    <w:multiLevelType w:val="multilevel"/>
    <w:tmpl w:val="2876BB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nsid w:val="3BF8689E"/>
    <w:multiLevelType w:val="hybridMultilevel"/>
    <w:tmpl w:val="35C88B1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3BFF7436"/>
    <w:multiLevelType w:val="hybridMultilevel"/>
    <w:tmpl w:val="3252F6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nsid w:val="3C3B6A36"/>
    <w:multiLevelType w:val="hybridMultilevel"/>
    <w:tmpl w:val="EFFC42F6"/>
    <w:lvl w:ilvl="0" w:tplc="04090001">
      <w:start w:val="1"/>
      <w:numFmt w:val="lowerLetter"/>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0">
    <w:nsid w:val="3CA41A70"/>
    <w:multiLevelType w:val="hybridMultilevel"/>
    <w:tmpl w:val="9FB0910C"/>
    <w:lvl w:ilvl="0" w:tplc="13AAD13A">
      <w:start w:val="1"/>
      <w:numFmt w:val="lowerLetter"/>
      <w:lvlText w:val="%1)"/>
      <w:legacy w:legacy="1" w:legacySpace="360" w:legacyIndent="0"/>
      <w:lvlJc w:val="left"/>
      <w:rPr>
        <w:rFonts w:ascii="Times New Roman" w:hAnsi="Times New Roman" w:cs="Times New Roman" w:hint="default"/>
        <w:b w:val="0"/>
        <w:u w:val="none"/>
      </w:rPr>
    </w:lvl>
    <w:lvl w:ilvl="1" w:tplc="04090019">
      <w:start w:val="1"/>
      <w:numFmt w:val="lowerLetter"/>
      <w:lvlText w:val="%2."/>
      <w:lvlJc w:val="left"/>
      <w:pPr>
        <w:tabs>
          <w:tab w:val="num" w:pos="2790"/>
        </w:tabs>
        <w:ind w:left="2790" w:hanging="360"/>
      </w:pPr>
      <w:rPr>
        <w:rFonts w:cs="Times New Roman"/>
      </w:rPr>
    </w:lvl>
    <w:lvl w:ilvl="2" w:tplc="0409001B" w:tentative="1">
      <w:start w:val="1"/>
      <w:numFmt w:val="lowerRoman"/>
      <w:lvlText w:val="%3."/>
      <w:lvlJc w:val="right"/>
      <w:pPr>
        <w:tabs>
          <w:tab w:val="num" w:pos="3510"/>
        </w:tabs>
        <w:ind w:left="3510" w:hanging="180"/>
      </w:pPr>
      <w:rPr>
        <w:rFonts w:cs="Times New Roman"/>
      </w:rPr>
    </w:lvl>
    <w:lvl w:ilvl="3" w:tplc="0409000F" w:tentative="1">
      <w:start w:val="1"/>
      <w:numFmt w:val="decimal"/>
      <w:lvlText w:val="%4."/>
      <w:lvlJc w:val="left"/>
      <w:pPr>
        <w:tabs>
          <w:tab w:val="num" w:pos="4230"/>
        </w:tabs>
        <w:ind w:left="4230" w:hanging="360"/>
      </w:pPr>
      <w:rPr>
        <w:rFonts w:cs="Times New Roman"/>
      </w:rPr>
    </w:lvl>
    <w:lvl w:ilvl="4" w:tplc="04090019" w:tentative="1">
      <w:start w:val="1"/>
      <w:numFmt w:val="lowerLetter"/>
      <w:lvlText w:val="%5."/>
      <w:lvlJc w:val="left"/>
      <w:pPr>
        <w:tabs>
          <w:tab w:val="num" w:pos="4950"/>
        </w:tabs>
        <w:ind w:left="4950" w:hanging="360"/>
      </w:pPr>
      <w:rPr>
        <w:rFonts w:cs="Times New Roman"/>
      </w:rPr>
    </w:lvl>
    <w:lvl w:ilvl="5" w:tplc="0409001B" w:tentative="1">
      <w:start w:val="1"/>
      <w:numFmt w:val="lowerRoman"/>
      <w:lvlText w:val="%6."/>
      <w:lvlJc w:val="right"/>
      <w:pPr>
        <w:tabs>
          <w:tab w:val="num" w:pos="5670"/>
        </w:tabs>
        <w:ind w:left="5670" w:hanging="180"/>
      </w:pPr>
      <w:rPr>
        <w:rFonts w:cs="Times New Roman"/>
      </w:rPr>
    </w:lvl>
    <w:lvl w:ilvl="6" w:tplc="0409000F" w:tentative="1">
      <w:start w:val="1"/>
      <w:numFmt w:val="decimal"/>
      <w:lvlText w:val="%7."/>
      <w:lvlJc w:val="left"/>
      <w:pPr>
        <w:tabs>
          <w:tab w:val="num" w:pos="6390"/>
        </w:tabs>
        <w:ind w:left="6390" w:hanging="360"/>
      </w:pPr>
      <w:rPr>
        <w:rFonts w:cs="Times New Roman"/>
      </w:rPr>
    </w:lvl>
    <w:lvl w:ilvl="7" w:tplc="04090019" w:tentative="1">
      <w:start w:val="1"/>
      <w:numFmt w:val="lowerLetter"/>
      <w:lvlText w:val="%8."/>
      <w:lvlJc w:val="left"/>
      <w:pPr>
        <w:tabs>
          <w:tab w:val="num" w:pos="7110"/>
        </w:tabs>
        <w:ind w:left="7110" w:hanging="360"/>
      </w:pPr>
      <w:rPr>
        <w:rFonts w:cs="Times New Roman"/>
      </w:rPr>
    </w:lvl>
    <w:lvl w:ilvl="8" w:tplc="0409001B" w:tentative="1">
      <w:start w:val="1"/>
      <w:numFmt w:val="lowerRoman"/>
      <w:lvlText w:val="%9."/>
      <w:lvlJc w:val="right"/>
      <w:pPr>
        <w:tabs>
          <w:tab w:val="num" w:pos="7830"/>
        </w:tabs>
        <w:ind w:left="7830" w:hanging="180"/>
      </w:pPr>
      <w:rPr>
        <w:rFonts w:cs="Times New Roman"/>
      </w:rPr>
    </w:lvl>
  </w:abstractNum>
  <w:abstractNum w:abstractNumId="81">
    <w:nsid w:val="3CEE2603"/>
    <w:multiLevelType w:val="hybridMultilevel"/>
    <w:tmpl w:val="D53283A6"/>
    <w:lvl w:ilvl="0" w:tplc="00010409">
      <w:start w:val="1"/>
      <w:numFmt w:val="lowerLetter"/>
      <w:lvlText w:val="%1)"/>
      <w:lvlJc w:val="left"/>
      <w:pPr>
        <w:ind w:left="720" w:hanging="360"/>
      </w:pPr>
      <w:rPr>
        <w:rFonts w:cs="Times New Roman"/>
      </w:rPr>
    </w:lvl>
    <w:lvl w:ilvl="1" w:tplc="00030409">
      <w:start w:val="1"/>
      <w:numFmt w:val="lowerLetter"/>
      <w:lvlText w:val="%2."/>
      <w:lvlJc w:val="left"/>
      <w:pPr>
        <w:ind w:left="1440" w:hanging="360"/>
      </w:pPr>
      <w:rPr>
        <w:rFonts w:cs="Times New Roman"/>
      </w:rPr>
    </w:lvl>
    <w:lvl w:ilvl="2" w:tplc="00050409">
      <w:start w:val="1"/>
      <w:numFmt w:val="lowerRoman"/>
      <w:lvlText w:val="%3."/>
      <w:lvlJc w:val="right"/>
      <w:pPr>
        <w:ind w:left="2160" w:hanging="180"/>
      </w:pPr>
      <w:rPr>
        <w:rFonts w:cs="Times New Roman"/>
      </w:rPr>
    </w:lvl>
    <w:lvl w:ilvl="3" w:tplc="00010409" w:tentative="1">
      <w:start w:val="1"/>
      <w:numFmt w:val="decimal"/>
      <w:lvlText w:val="%4."/>
      <w:lvlJc w:val="left"/>
      <w:pPr>
        <w:ind w:left="2880" w:hanging="360"/>
      </w:pPr>
      <w:rPr>
        <w:rFonts w:cs="Times New Roman"/>
      </w:rPr>
    </w:lvl>
    <w:lvl w:ilvl="4" w:tplc="00030409" w:tentative="1">
      <w:start w:val="1"/>
      <w:numFmt w:val="lowerLetter"/>
      <w:lvlText w:val="%5."/>
      <w:lvlJc w:val="left"/>
      <w:pPr>
        <w:ind w:left="3600" w:hanging="360"/>
      </w:pPr>
      <w:rPr>
        <w:rFonts w:cs="Times New Roman"/>
      </w:rPr>
    </w:lvl>
    <w:lvl w:ilvl="5" w:tplc="00050409" w:tentative="1">
      <w:start w:val="1"/>
      <w:numFmt w:val="lowerRoman"/>
      <w:lvlText w:val="%6."/>
      <w:lvlJc w:val="right"/>
      <w:pPr>
        <w:ind w:left="4320" w:hanging="180"/>
      </w:pPr>
      <w:rPr>
        <w:rFonts w:cs="Times New Roman"/>
      </w:rPr>
    </w:lvl>
    <w:lvl w:ilvl="6" w:tplc="00010409" w:tentative="1">
      <w:start w:val="1"/>
      <w:numFmt w:val="decimal"/>
      <w:lvlText w:val="%7."/>
      <w:lvlJc w:val="left"/>
      <w:pPr>
        <w:ind w:left="5040" w:hanging="360"/>
      </w:pPr>
      <w:rPr>
        <w:rFonts w:cs="Times New Roman"/>
      </w:rPr>
    </w:lvl>
    <w:lvl w:ilvl="7" w:tplc="00030409" w:tentative="1">
      <w:start w:val="1"/>
      <w:numFmt w:val="lowerLetter"/>
      <w:lvlText w:val="%8."/>
      <w:lvlJc w:val="left"/>
      <w:pPr>
        <w:ind w:left="5760" w:hanging="360"/>
      </w:pPr>
      <w:rPr>
        <w:rFonts w:cs="Times New Roman"/>
      </w:rPr>
    </w:lvl>
    <w:lvl w:ilvl="8" w:tplc="00050409" w:tentative="1">
      <w:start w:val="1"/>
      <w:numFmt w:val="lowerRoman"/>
      <w:lvlText w:val="%9."/>
      <w:lvlJc w:val="right"/>
      <w:pPr>
        <w:ind w:left="6480" w:hanging="180"/>
      </w:pPr>
      <w:rPr>
        <w:rFonts w:cs="Times New Roman"/>
      </w:rPr>
    </w:lvl>
  </w:abstractNum>
  <w:abstractNum w:abstractNumId="82">
    <w:nsid w:val="3CFE0B75"/>
    <w:multiLevelType w:val="multilevel"/>
    <w:tmpl w:val="A596E8A4"/>
    <w:lvl w:ilvl="0">
      <w:start w:val="6"/>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1080"/>
        </w:tabs>
        <w:ind w:left="1080" w:hanging="216"/>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83">
    <w:nsid w:val="3D454D89"/>
    <w:multiLevelType w:val="hybridMultilevel"/>
    <w:tmpl w:val="9B6E5CD8"/>
    <w:lvl w:ilvl="0" w:tplc="04090005">
      <w:start w:val="1"/>
      <w:numFmt w:val="lowerLetter"/>
      <w:lvlText w:val="%1)"/>
      <w:lvlJc w:val="left"/>
      <w:pPr>
        <w:tabs>
          <w:tab w:val="num" w:pos="1440"/>
        </w:tabs>
        <w:ind w:left="1440" w:hanging="720"/>
      </w:pPr>
      <w:rPr>
        <w:rFonts w:cs="Times New Roman" w:hint="default"/>
      </w:rPr>
    </w:lvl>
    <w:lvl w:ilvl="1" w:tplc="04090003">
      <w:start w:val="1"/>
      <w:numFmt w:val="lowerRoman"/>
      <w:lvlText w:val="%2."/>
      <w:lvlJc w:val="right"/>
      <w:pPr>
        <w:tabs>
          <w:tab w:val="num" w:pos="1800"/>
        </w:tabs>
        <w:ind w:left="1800" w:hanging="360"/>
      </w:pPr>
      <w:rPr>
        <w:rFonts w:cs="Times New Roman"/>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84">
    <w:nsid w:val="3F170558"/>
    <w:multiLevelType w:val="hybridMultilevel"/>
    <w:tmpl w:val="E6CA84C2"/>
    <w:lvl w:ilvl="0" w:tplc="D630AE96">
      <w:start w:val="4"/>
      <w:numFmt w:val="lowerRoman"/>
      <w:lvlText w:val="%1."/>
      <w:lvlJc w:val="right"/>
      <w:pPr>
        <w:tabs>
          <w:tab w:val="num" w:pos="1152"/>
        </w:tabs>
        <w:ind w:left="1152" w:hanging="24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42F04072"/>
    <w:multiLevelType w:val="hybridMultilevel"/>
    <w:tmpl w:val="1B109444"/>
    <w:lvl w:ilvl="0" w:tplc="04090001">
      <w:start w:val="1"/>
      <w:numFmt w:val="lowerLetter"/>
      <w:lvlText w:val="%1)"/>
      <w:lvlJc w:val="left"/>
      <w:pPr>
        <w:tabs>
          <w:tab w:val="num" w:pos="720"/>
        </w:tabs>
        <w:ind w:left="720" w:hanging="360"/>
      </w:pPr>
      <w:rPr>
        <w:rFonts w:cs="Times New Roman"/>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5"/>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43027832"/>
    <w:multiLevelType w:val="hybridMultilevel"/>
    <w:tmpl w:val="B226D8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431137BD"/>
    <w:multiLevelType w:val="hybridMultilevel"/>
    <w:tmpl w:val="28FE0CD0"/>
    <w:lvl w:ilvl="0" w:tplc="1C5AEB84">
      <w:start w:val="1"/>
      <w:numFmt w:val="bullet"/>
      <w:lvlText w:val=""/>
      <w:lvlJc w:val="left"/>
      <w:pPr>
        <w:tabs>
          <w:tab w:val="num" w:pos="3240"/>
        </w:tabs>
        <w:ind w:left="3240" w:hanging="360"/>
      </w:pPr>
      <w:rPr>
        <w:rFonts w:ascii="Symbol" w:hAnsi="Symbol" w:hint="default"/>
      </w:rPr>
    </w:lvl>
    <w:lvl w:ilvl="1" w:tplc="04090005">
      <w:start w:val="1"/>
      <w:numFmt w:val="bullet"/>
      <w:lvlText w:val="o"/>
      <w:lvlJc w:val="left"/>
      <w:pPr>
        <w:tabs>
          <w:tab w:val="num" w:pos="3960"/>
        </w:tabs>
        <w:ind w:left="3960" w:hanging="360"/>
      </w:pPr>
      <w:rPr>
        <w:rFonts w:ascii="Courier New" w:hAnsi="Courier New" w:hint="default"/>
      </w:rPr>
    </w:lvl>
    <w:lvl w:ilvl="2" w:tplc="0409001B" w:tentative="1">
      <w:start w:val="1"/>
      <w:numFmt w:val="bullet"/>
      <w:lvlText w:val=""/>
      <w:lvlJc w:val="left"/>
      <w:pPr>
        <w:tabs>
          <w:tab w:val="num" w:pos="4680"/>
        </w:tabs>
        <w:ind w:left="4680" w:hanging="360"/>
      </w:pPr>
      <w:rPr>
        <w:rFonts w:ascii="Wingdings" w:hAnsi="Wingdings" w:hint="default"/>
      </w:rPr>
    </w:lvl>
    <w:lvl w:ilvl="3" w:tplc="0409000F" w:tentative="1">
      <w:start w:val="1"/>
      <w:numFmt w:val="bullet"/>
      <w:lvlText w:val=""/>
      <w:lvlJc w:val="left"/>
      <w:pPr>
        <w:tabs>
          <w:tab w:val="num" w:pos="5400"/>
        </w:tabs>
        <w:ind w:left="5400" w:hanging="360"/>
      </w:pPr>
      <w:rPr>
        <w:rFonts w:ascii="Symbol" w:hAnsi="Symbol" w:hint="default"/>
      </w:rPr>
    </w:lvl>
    <w:lvl w:ilvl="4" w:tplc="04090019" w:tentative="1">
      <w:start w:val="1"/>
      <w:numFmt w:val="bullet"/>
      <w:lvlText w:val="o"/>
      <w:lvlJc w:val="left"/>
      <w:pPr>
        <w:tabs>
          <w:tab w:val="num" w:pos="6120"/>
        </w:tabs>
        <w:ind w:left="6120" w:hanging="360"/>
      </w:pPr>
      <w:rPr>
        <w:rFonts w:ascii="Courier New" w:hAnsi="Courier New" w:hint="default"/>
      </w:rPr>
    </w:lvl>
    <w:lvl w:ilvl="5" w:tplc="0409001B" w:tentative="1">
      <w:start w:val="1"/>
      <w:numFmt w:val="bullet"/>
      <w:lvlText w:val=""/>
      <w:lvlJc w:val="left"/>
      <w:pPr>
        <w:tabs>
          <w:tab w:val="num" w:pos="6840"/>
        </w:tabs>
        <w:ind w:left="6840" w:hanging="360"/>
      </w:pPr>
      <w:rPr>
        <w:rFonts w:ascii="Wingdings" w:hAnsi="Wingdings" w:hint="default"/>
      </w:rPr>
    </w:lvl>
    <w:lvl w:ilvl="6" w:tplc="0409000F" w:tentative="1">
      <w:start w:val="1"/>
      <w:numFmt w:val="bullet"/>
      <w:lvlText w:val=""/>
      <w:lvlJc w:val="left"/>
      <w:pPr>
        <w:tabs>
          <w:tab w:val="num" w:pos="7560"/>
        </w:tabs>
        <w:ind w:left="7560" w:hanging="360"/>
      </w:pPr>
      <w:rPr>
        <w:rFonts w:ascii="Symbol" w:hAnsi="Symbol" w:hint="default"/>
      </w:rPr>
    </w:lvl>
    <w:lvl w:ilvl="7" w:tplc="04090019" w:tentative="1">
      <w:start w:val="1"/>
      <w:numFmt w:val="bullet"/>
      <w:lvlText w:val="o"/>
      <w:lvlJc w:val="left"/>
      <w:pPr>
        <w:tabs>
          <w:tab w:val="num" w:pos="8280"/>
        </w:tabs>
        <w:ind w:left="8280" w:hanging="360"/>
      </w:pPr>
      <w:rPr>
        <w:rFonts w:ascii="Courier New" w:hAnsi="Courier New" w:hint="default"/>
      </w:rPr>
    </w:lvl>
    <w:lvl w:ilvl="8" w:tplc="0409001B" w:tentative="1">
      <w:start w:val="1"/>
      <w:numFmt w:val="bullet"/>
      <w:lvlText w:val=""/>
      <w:lvlJc w:val="left"/>
      <w:pPr>
        <w:tabs>
          <w:tab w:val="num" w:pos="9000"/>
        </w:tabs>
        <w:ind w:left="9000" w:hanging="360"/>
      </w:pPr>
      <w:rPr>
        <w:rFonts w:ascii="Wingdings" w:hAnsi="Wingdings" w:hint="default"/>
      </w:rPr>
    </w:lvl>
  </w:abstractNum>
  <w:abstractNum w:abstractNumId="88">
    <w:nsid w:val="43C476A5"/>
    <w:multiLevelType w:val="hybridMultilevel"/>
    <w:tmpl w:val="CDA49386"/>
    <w:lvl w:ilvl="0" w:tplc="84CABD66">
      <w:start w:val="1"/>
      <w:numFmt w:val="bullet"/>
      <w:lvlText w:val="•"/>
      <w:lvlJc w:val="left"/>
      <w:pPr>
        <w:tabs>
          <w:tab w:val="num" w:pos="720"/>
        </w:tabs>
        <w:ind w:left="720" w:hanging="360"/>
      </w:pPr>
      <w:rPr>
        <w:rFonts w:ascii="Arial" w:hAnsi="Arial" w:hint="default"/>
      </w:rPr>
    </w:lvl>
    <w:lvl w:ilvl="1" w:tplc="04090019">
      <w:start w:val="1"/>
      <w:numFmt w:val="bullet"/>
      <w:lvlText w:val="•"/>
      <w:lvlJc w:val="left"/>
      <w:pPr>
        <w:tabs>
          <w:tab w:val="num" w:pos="1440"/>
        </w:tabs>
        <w:ind w:left="1440" w:hanging="360"/>
      </w:pPr>
      <w:rPr>
        <w:rFonts w:ascii="Arial" w:hAnsi="Arial" w:hint="default"/>
      </w:rPr>
    </w:lvl>
    <w:lvl w:ilvl="2" w:tplc="0409001B">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89">
    <w:nsid w:val="446102EF"/>
    <w:multiLevelType w:val="hybridMultilevel"/>
    <w:tmpl w:val="443AC81C"/>
    <w:lvl w:ilvl="0" w:tplc="81B47346">
      <w:start w:val="1"/>
      <w:numFmt w:val="bullet"/>
      <w:pStyle w:val="ListBullet3"/>
      <w:lvlText w:val=""/>
      <w:lvlJc w:val="left"/>
      <w:pPr>
        <w:tabs>
          <w:tab w:val="num" w:pos="360"/>
        </w:tabs>
        <w:ind w:left="360" w:hanging="360"/>
      </w:pPr>
      <w:rPr>
        <w:rFonts w:ascii="Symbol" w:hAnsi="Symbol" w:hint="default"/>
        <w:caps w:val="0"/>
        <w:strike w:val="0"/>
        <w:dstrike w:val="0"/>
        <w:vanish w:val="0"/>
        <w:color w:val="000000"/>
        <w:sz w:val="24"/>
        <w:vertAlign w:val="baseline"/>
      </w:rPr>
    </w:lvl>
    <w:lvl w:ilvl="1" w:tplc="00190409">
      <w:start w:val="1"/>
      <w:numFmt w:val="bullet"/>
      <w:lvlText w:val=""/>
      <w:lvlJc w:val="left"/>
      <w:pPr>
        <w:tabs>
          <w:tab w:val="num" w:pos="720"/>
        </w:tabs>
        <w:ind w:left="720" w:hanging="360"/>
      </w:pPr>
      <w:rPr>
        <w:rFonts w:ascii="Wingdings" w:hAnsi="Wingdings" w:hint="default"/>
        <w:caps w:val="0"/>
        <w:strike w:val="0"/>
        <w:dstrike w:val="0"/>
        <w:vanish w:val="0"/>
        <w:color w:val="000000"/>
        <w:sz w:val="24"/>
        <w:vertAlign w:val="baseline"/>
      </w:rPr>
    </w:lvl>
    <w:lvl w:ilvl="2" w:tplc="001B0409">
      <w:start w:val="2"/>
      <w:numFmt w:val="decimal"/>
      <w:lvlText w:val="%3."/>
      <w:lvlJc w:val="left"/>
      <w:pPr>
        <w:tabs>
          <w:tab w:val="num" w:pos="1620"/>
        </w:tabs>
        <w:ind w:left="1620" w:hanging="360"/>
      </w:pPr>
      <w:rPr>
        <w:rFonts w:cs="Times New Roman" w:hint="default"/>
      </w:rPr>
    </w:lvl>
    <w:lvl w:ilvl="3" w:tplc="0EB2E05E" w:tentative="1">
      <w:start w:val="1"/>
      <w:numFmt w:val="decimal"/>
      <w:lvlText w:val="%4."/>
      <w:lvlJc w:val="left"/>
      <w:pPr>
        <w:tabs>
          <w:tab w:val="num" w:pos="2160"/>
        </w:tabs>
        <w:ind w:left="2160" w:hanging="360"/>
      </w:pPr>
      <w:rPr>
        <w:rFonts w:cs="Times New Roman"/>
      </w:rPr>
    </w:lvl>
    <w:lvl w:ilvl="4" w:tplc="00190409" w:tentative="1">
      <w:start w:val="1"/>
      <w:numFmt w:val="lowerLetter"/>
      <w:lvlText w:val="%5."/>
      <w:lvlJc w:val="left"/>
      <w:pPr>
        <w:tabs>
          <w:tab w:val="num" w:pos="2880"/>
        </w:tabs>
        <w:ind w:left="2880" w:hanging="360"/>
      </w:pPr>
      <w:rPr>
        <w:rFonts w:cs="Times New Roman"/>
      </w:rPr>
    </w:lvl>
    <w:lvl w:ilvl="5" w:tplc="001B0409" w:tentative="1">
      <w:start w:val="1"/>
      <w:numFmt w:val="lowerRoman"/>
      <w:lvlText w:val="%6."/>
      <w:lvlJc w:val="right"/>
      <w:pPr>
        <w:tabs>
          <w:tab w:val="num" w:pos="3600"/>
        </w:tabs>
        <w:ind w:left="3600" w:hanging="180"/>
      </w:pPr>
      <w:rPr>
        <w:rFonts w:cs="Times New Roman"/>
      </w:rPr>
    </w:lvl>
    <w:lvl w:ilvl="6" w:tplc="000F0409" w:tentative="1">
      <w:start w:val="1"/>
      <w:numFmt w:val="decimal"/>
      <w:lvlText w:val="%7."/>
      <w:lvlJc w:val="left"/>
      <w:pPr>
        <w:tabs>
          <w:tab w:val="num" w:pos="4320"/>
        </w:tabs>
        <w:ind w:left="4320" w:hanging="360"/>
      </w:pPr>
      <w:rPr>
        <w:rFonts w:cs="Times New Roman"/>
      </w:rPr>
    </w:lvl>
    <w:lvl w:ilvl="7" w:tplc="00190409" w:tentative="1">
      <w:start w:val="1"/>
      <w:numFmt w:val="lowerLetter"/>
      <w:lvlText w:val="%8."/>
      <w:lvlJc w:val="left"/>
      <w:pPr>
        <w:tabs>
          <w:tab w:val="num" w:pos="5040"/>
        </w:tabs>
        <w:ind w:left="5040" w:hanging="360"/>
      </w:pPr>
      <w:rPr>
        <w:rFonts w:cs="Times New Roman"/>
      </w:rPr>
    </w:lvl>
    <w:lvl w:ilvl="8" w:tplc="001B0409" w:tentative="1">
      <w:start w:val="1"/>
      <w:numFmt w:val="lowerRoman"/>
      <w:lvlText w:val="%9."/>
      <w:lvlJc w:val="right"/>
      <w:pPr>
        <w:tabs>
          <w:tab w:val="num" w:pos="5760"/>
        </w:tabs>
        <w:ind w:left="5760" w:hanging="180"/>
      </w:pPr>
      <w:rPr>
        <w:rFonts w:cs="Times New Roman"/>
      </w:rPr>
    </w:lvl>
  </w:abstractNum>
  <w:abstractNum w:abstractNumId="90">
    <w:nsid w:val="449130A9"/>
    <w:multiLevelType w:val="hybridMultilevel"/>
    <w:tmpl w:val="B7B413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449D05C8"/>
    <w:multiLevelType w:val="hybridMultilevel"/>
    <w:tmpl w:val="8714B58E"/>
    <w:lvl w:ilvl="0" w:tplc="0C48A3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E76CFA"/>
    <w:multiLevelType w:val="hybridMultilevel"/>
    <w:tmpl w:val="304C43DC"/>
    <w:lvl w:ilvl="0" w:tplc="84CABD66">
      <w:start w:val="1"/>
      <w:numFmt w:val="lowerRoman"/>
      <w:pStyle w:val="CEESPSectionHeader"/>
      <w:lvlText w:val="%1."/>
      <w:lvlJc w:val="right"/>
      <w:pPr>
        <w:tabs>
          <w:tab w:val="num" w:pos="4320"/>
        </w:tabs>
        <w:ind w:left="4320" w:hanging="180"/>
      </w:pPr>
      <w:rPr>
        <w:rFonts w:cs="Times New Roman"/>
      </w:rPr>
    </w:lvl>
    <w:lvl w:ilvl="1" w:tplc="04090019">
      <w:start w:val="6"/>
      <w:numFmt w:val="decimal"/>
      <w:lvlText w:val="%2)"/>
      <w:lvlJc w:val="left"/>
      <w:pPr>
        <w:tabs>
          <w:tab w:val="num" w:pos="1440"/>
        </w:tabs>
        <w:ind w:left="1440" w:hanging="360"/>
      </w:pPr>
      <w:rPr>
        <w:rFonts w:cs="Times New Roman" w:hint="default"/>
      </w:rPr>
    </w:lvl>
    <w:lvl w:ilvl="2" w:tplc="0409001B">
      <w:start w:val="1"/>
      <w:numFmt w:val="lowerRoman"/>
      <w:pStyle w:val="CEESPsubhead2"/>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4684739B"/>
    <w:multiLevelType w:val="hybridMultilevel"/>
    <w:tmpl w:val="AEB262FA"/>
    <w:lvl w:ilvl="0" w:tplc="84BE1492">
      <w:start w:val="1"/>
      <w:numFmt w:val="bullet"/>
      <w:lvlText w:val=""/>
      <w:lvlJc w:val="left"/>
      <w:pPr>
        <w:ind w:left="1440" w:hanging="360"/>
      </w:pPr>
      <w:rPr>
        <w:rFonts w:ascii="Symbol" w:hAnsi="Symbol" w:hint="default"/>
      </w:rPr>
    </w:lvl>
    <w:lvl w:ilvl="1" w:tplc="04090019">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8D068DA8" w:tentative="1">
      <w:start w:val="1"/>
      <w:numFmt w:val="bullet"/>
      <w:lvlText w:val=""/>
      <w:lvlJc w:val="left"/>
      <w:pPr>
        <w:ind w:left="3600" w:hanging="360"/>
      </w:pPr>
      <w:rPr>
        <w:rFonts w:ascii="Symbol" w:hAnsi="Symbol" w:hint="default"/>
      </w:rPr>
    </w:lvl>
    <w:lvl w:ilvl="4" w:tplc="C004DEE6"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94">
    <w:nsid w:val="46F55639"/>
    <w:multiLevelType w:val="hybridMultilevel"/>
    <w:tmpl w:val="3FF639F8"/>
    <w:lvl w:ilvl="0" w:tplc="FFFFFFFF">
      <w:start w:val="1"/>
      <w:numFmt w:val="decimal"/>
      <w:lvlText w:val="%1)"/>
      <w:lvlJc w:val="left"/>
      <w:pPr>
        <w:tabs>
          <w:tab w:val="num" w:pos="1080"/>
        </w:tabs>
        <w:ind w:left="1080" w:hanging="360"/>
      </w:pPr>
      <w:rPr>
        <w:rFonts w:cs="Times New Roman"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95">
    <w:nsid w:val="47403409"/>
    <w:multiLevelType w:val="hybridMultilevel"/>
    <w:tmpl w:val="1EBA2522"/>
    <w:lvl w:ilvl="0" w:tplc="B28C44E8">
      <w:start w:val="1"/>
      <w:numFmt w:val="lowerLetter"/>
      <w:lvlText w:val="%1)"/>
      <w:lvlJc w:val="left"/>
      <w:pPr>
        <w:tabs>
          <w:tab w:val="num" w:pos="1440"/>
        </w:tabs>
        <w:ind w:left="1440" w:hanging="72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6">
    <w:nsid w:val="48AB0EB3"/>
    <w:multiLevelType w:val="hybridMultilevel"/>
    <w:tmpl w:val="97866F1C"/>
    <w:lvl w:ilvl="0" w:tplc="04090017">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7">
    <w:nsid w:val="4A3F04E8"/>
    <w:multiLevelType w:val="hybridMultilevel"/>
    <w:tmpl w:val="EE5A80D8"/>
    <w:lvl w:ilvl="0" w:tplc="F7E263BE">
      <w:start w:val="1"/>
      <w:numFmt w:val="bullet"/>
      <w:lvlText w:val=""/>
      <w:lvlJc w:val="left"/>
      <w:pPr>
        <w:tabs>
          <w:tab w:val="num" w:pos="2223"/>
        </w:tabs>
        <w:ind w:left="2223" w:hanging="360"/>
      </w:pPr>
      <w:rPr>
        <w:rFonts w:ascii="Symbol" w:hAnsi="Symbol" w:hint="default"/>
      </w:rPr>
    </w:lvl>
    <w:lvl w:ilvl="1" w:tplc="F5EE656C">
      <w:start w:val="1"/>
      <w:numFmt w:val="bullet"/>
      <w:lvlText w:val="o"/>
      <w:lvlJc w:val="left"/>
      <w:pPr>
        <w:tabs>
          <w:tab w:val="num" w:pos="2943"/>
        </w:tabs>
        <w:ind w:left="2943" w:hanging="360"/>
      </w:pPr>
      <w:rPr>
        <w:rFonts w:ascii="Courier New" w:hAnsi="Courier New" w:hint="default"/>
      </w:rPr>
    </w:lvl>
    <w:lvl w:ilvl="2" w:tplc="7E3C5DC0" w:tentative="1">
      <w:start w:val="1"/>
      <w:numFmt w:val="bullet"/>
      <w:lvlText w:val=""/>
      <w:lvlJc w:val="left"/>
      <w:pPr>
        <w:tabs>
          <w:tab w:val="num" w:pos="3663"/>
        </w:tabs>
        <w:ind w:left="3663" w:hanging="360"/>
      </w:pPr>
      <w:rPr>
        <w:rFonts w:ascii="Wingdings" w:hAnsi="Wingdings" w:hint="default"/>
      </w:rPr>
    </w:lvl>
    <w:lvl w:ilvl="3" w:tplc="0670450E" w:tentative="1">
      <w:start w:val="1"/>
      <w:numFmt w:val="bullet"/>
      <w:lvlText w:val=""/>
      <w:lvlJc w:val="left"/>
      <w:pPr>
        <w:tabs>
          <w:tab w:val="num" w:pos="4383"/>
        </w:tabs>
        <w:ind w:left="4383" w:hanging="360"/>
      </w:pPr>
      <w:rPr>
        <w:rFonts w:ascii="Symbol" w:hAnsi="Symbol" w:hint="default"/>
      </w:rPr>
    </w:lvl>
    <w:lvl w:ilvl="4" w:tplc="8D28E35E" w:tentative="1">
      <w:start w:val="1"/>
      <w:numFmt w:val="bullet"/>
      <w:lvlText w:val="o"/>
      <w:lvlJc w:val="left"/>
      <w:pPr>
        <w:tabs>
          <w:tab w:val="num" w:pos="5103"/>
        </w:tabs>
        <w:ind w:left="5103" w:hanging="360"/>
      </w:pPr>
      <w:rPr>
        <w:rFonts w:ascii="Courier New" w:hAnsi="Courier New" w:hint="default"/>
      </w:rPr>
    </w:lvl>
    <w:lvl w:ilvl="5" w:tplc="213C7D8C">
      <w:start w:val="1"/>
      <w:numFmt w:val="bullet"/>
      <w:lvlText w:val=""/>
      <w:lvlJc w:val="left"/>
      <w:pPr>
        <w:tabs>
          <w:tab w:val="num" w:pos="5823"/>
        </w:tabs>
        <w:ind w:left="5823" w:hanging="360"/>
      </w:pPr>
      <w:rPr>
        <w:rFonts w:ascii="Wingdings" w:hAnsi="Wingdings" w:hint="default"/>
      </w:rPr>
    </w:lvl>
    <w:lvl w:ilvl="6" w:tplc="E9BC5A1C" w:tentative="1">
      <w:start w:val="1"/>
      <w:numFmt w:val="bullet"/>
      <w:lvlText w:val=""/>
      <w:lvlJc w:val="left"/>
      <w:pPr>
        <w:tabs>
          <w:tab w:val="num" w:pos="6543"/>
        </w:tabs>
        <w:ind w:left="6543" w:hanging="360"/>
      </w:pPr>
      <w:rPr>
        <w:rFonts w:ascii="Symbol" w:hAnsi="Symbol" w:hint="default"/>
      </w:rPr>
    </w:lvl>
    <w:lvl w:ilvl="7" w:tplc="7952CA3C" w:tentative="1">
      <w:start w:val="1"/>
      <w:numFmt w:val="bullet"/>
      <w:lvlText w:val="o"/>
      <w:lvlJc w:val="left"/>
      <w:pPr>
        <w:tabs>
          <w:tab w:val="num" w:pos="7263"/>
        </w:tabs>
        <w:ind w:left="7263" w:hanging="360"/>
      </w:pPr>
      <w:rPr>
        <w:rFonts w:ascii="Courier New" w:hAnsi="Courier New" w:hint="default"/>
      </w:rPr>
    </w:lvl>
    <w:lvl w:ilvl="8" w:tplc="07BE45F0" w:tentative="1">
      <w:start w:val="1"/>
      <w:numFmt w:val="bullet"/>
      <w:lvlText w:val=""/>
      <w:lvlJc w:val="left"/>
      <w:pPr>
        <w:tabs>
          <w:tab w:val="num" w:pos="7983"/>
        </w:tabs>
        <w:ind w:left="7983" w:hanging="360"/>
      </w:pPr>
      <w:rPr>
        <w:rFonts w:ascii="Wingdings" w:hAnsi="Wingdings" w:hint="default"/>
      </w:rPr>
    </w:lvl>
  </w:abstractNum>
  <w:abstractNum w:abstractNumId="98">
    <w:nsid w:val="4AD04275"/>
    <w:multiLevelType w:val="hybridMultilevel"/>
    <w:tmpl w:val="93442EF2"/>
    <w:lvl w:ilvl="0" w:tplc="0409001B">
      <w:start w:val="1"/>
      <w:numFmt w:val="lowerLetter"/>
      <w:lvlText w:val="%1)"/>
      <w:lvlJc w:val="left"/>
      <w:pPr>
        <w:ind w:left="720" w:hanging="360"/>
      </w:pPr>
      <w:rPr>
        <w:rFonts w:cs="Times New Roman" w:hint="default"/>
        <w:u w:val="none"/>
      </w:rPr>
    </w:lvl>
    <w:lvl w:ilvl="1" w:tplc="DAFC92E6"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4B873E4C"/>
    <w:multiLevelType w:val="hybridMultilevel"/>
    <w:tmpl w:val="619E7330"/>
    <w:lvl w:ilvl="0" w:tplc="7032D26C">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4DFB53D3"/>
    <w:multiLevelType w:val="multilevel"/>
    <w:tmpl w:val="9570786E"/>
    <w:lvl w:ilvl="0">
      <w:start w:val="1"/>
      <w:numFmt w:val="decimal"/>
      <w:pStyle w:val="ListNumber"/>
      <w:lvlText w:val="%1."/>
      <w:lvlJc w:val="left"/>
      <w:pPr>
        <w:tabs>
          <w:tab w:val="num" w:pos="720"/>
        </w:tabs>
        <w:ind w:left="720" w:hanging="360"/>
      </w:pPr>
      <w:rPr>
        <w:rFonts w:cs="Times New Roman" w:hint="default"/>
        <w:b w:val="0"/>
        <w:i w:val="0"/>
        <w:color w:val="auto"/>
        <w:sz w:val="24"/>
        <w:szCs w:val="24"/>
      </w:rPr>
    </w:lvl>
    <w:lvl w:ilvl="1">
      <w:start w:val="1"/>
      <w:numFmt w:val="none"/>
      <w:pStyle w:val="ListNumber2"/>
      <w:lvlText w:val=""/>
      <w:lvlJc w:val="left"/>
      <w:pPr>
        <w:tabs>
          <w:tab w:val="num" w:pos="720"/>
        </w:tabs>
        <w:ind w:left="720"/>
      </w:pPr>
      <w:rPr>
        <w:rFonts w:cs="Times New Roman" w:hint="default"/>
        <w:sz w:val="24"/>
        <w:szCs w:val="24"/>
      </w:rPr>
    </w:lvl>
    <w:lvl w:ilvl="2">
      <w:start w:val="1"/>
      <w:numFmt w:val="lowerLetter"/>
      <w:pStyle w:val="ListNumber3"/>
      <w:lvlText w:val="%3."/>
      <w:lvlJc w:val="left"/>
      <w:pPr>
        <w:tabs>
          <w:tab w:val="num" w:pos="1080"/>
        </w:tabs>
        <w:ind w:left="1080" w:hanging="360"/>
      </w:pPr>
      <w:rPr>
        <w:rFonts w:cs="Times New Roman" w:hint="default"/>
        <w:color w:val="auto"/>
        <w:sz w:val="20"/>
        <w:szCs w:val="20"/>
      </w:rPr>
    </w:lvl>
    <w:lvl w:ilvl="3">
      <w:start w:val="1"/>
      <w:numFmt w:val="none"/>
      <w:pStyle w:val="ListNumber4"/>
      <w:lvlText w:val=""/>
      <w:lvlJc w:val="left"/>
      <w:pPr>
        <w:tabs>
          <w:tab w:val="num" w:pos="1080"/>
        </w:tabs>
        <w:ind w:left="1080"/>
      </w:pPr>
      <w:rPr>
        <w:rFonts w:cs="Times New Roman" w:hint="default"/>
        <w:sz w:val="20"/>
      </w:rPr>
    </w:lvl>
    <w:lvl w:ilvl="4">
      <w:start w:val="1"/>
      <w:numFmt w:val="bullet"/>
      <w:lvlText w:val="-"/>
      <w:lvlJc w:val="left"/>
      <w:pPr>
        <w:tabs>
          <w:tab w:val="num" w:pos="1440"/>
        </w:tabs>
        <w:ind w:left="1440" w:hanging="360"/>
      </w:pPr>
      <w:rPr>
        <w:rFonts w:ascii="Times New Roman" w:hAnsi="Times New Roman" w:hint="default"/>
        <w:color w:val="008080"/>
      </w:rPr>
    </w:lvl>
    <w:lvl w:ilvl="5">
      <w:numFmt w:val="none"/>
      <w:lvlText w:val=""/>
      <w:lvlJc w:val="left"/>
      <w:pPr>
        <w:tabs>
          <w:tab w:val="num" w:pos="1440"/>
        </w:tabs>
        <w:ind w:left="1440"/>
      </w:pPr>
      <w:rPr>
        <w:rFonts w:ascii="Times New Roman" w:hAnsi="Times New Roman" w:cs="Times New Roman" w:hint="default"/>
      </w:rPr>
    </w:lvl>
    <w:lvl w:ilvl="6">
      <w:start w:val="1"/>
      <w:numFmt w:val="none"/>
      <w:lvlText w:val=""/>
      <w:lvlJc w:val="left"/>
      <w:pPr>
        <w:tabs>
          <w:tab w:val="num" w:pos="1440"/>
        </w:tabs>
        <w:ind w:left="1440"/>
      </w:pPr>
      <w:rPr>
        <w:rFonts w:cs="Times New Roman" w:hint="default"/>
      </w:rPr>
    </w:lvl>
    <w:lvl w:ilvl="7">
      <w:start w:val="1"/>
      <w:numFmt w:val="none"/>
      <w:lvlText w:val=""/>
      <w:lvlJc w:val="left"/>
      <w:pPr>
        <w:tabs>
          <w:tab w:val="num" w:pos="1440"/>
        </w:tabs>
        <w:ind w:left="1440"/>
      </w:pPr>
      <w:rPr>
        <w:rFonts w:cs="Times New Roman" w:hint="default"/>
      </w:rPr>
    </w:lvl>
    <w:lvl w:ilvl="8">
      <w:start w:val="1"/>
      <w:numFmt w:val="none"/>
      <w:lvlText w:val=""/>
      <w:lvlJc w:val="left"/>
      <w:pPr>
        <w:tabs>
          <w:tab w:val="num" w:pos="1440"/>
        </w:tabs>
        <w:ind w:left="1440"/>
      </w:pPr>
      <w:rPr>
        <w:rFonts w:cs="Times New Roman" w:hint="default"/>
      </w:rPr>
    </w:lvl>
  </w:abstractNum>
  <w:abstractNum w:abstractNumId="101">
    <w:nsid w:val="4F73363B"/>
    <w:multiLevelType w:val="hybridMultilevel"/>
    <w:tmpl w:val="63EAA524"/>
    <w:lvl w:ilvl="0" w:tplc="51E4094C">
      <w:start w:val="1"/>
      <w:numFmt w:val="bullet"/>
      <w:lvlText w:val=""/>
      <w:lvlJc w:val="left"/>
      <w:pPr>
        <w:ind w:left="1440" w:hanging="360"/>
      </w:pPr>
      <w:rPr>
        <w:rFonts w:ascii="Symbol" w:hAnsi="Symbol" w:hint="default"/>
      </w:rPr>
    </w:lvl>
    <w:lvl w:ilvl="1" w:tplc="E9E0D7BC" w:tentative="1">
      <w:start w:val="1"/>
      <w:numFmt w:val="bullet"/>
      <w:lvlText w:val="o"/>
      <w:lvlJc w:val="left"/>
      <w:pPr>
        <w:ind w:left="2160" w:hanging="360"/>
      </w:pPr>
      <w:rPr>
        <w:rFonts w:ascii="Courier New" w:hAnsi="Courier New" w:hint="default"/>
      </w:rPr>
    </w:lvl>
    <w:lvl w:ilvl="2" w:tplc="03DC46DC">
      <w:start w:val="1"/>
      <w:numFmt w:val="bullet"/>
      <w:lvlText w:val=""/>
      <w:lvlJc w:val="left"/>
      <w:pPr>
        <w:ind w:left="2880" w:hanging="360"/>
      </w:pPr>
      <w:rPr>
        <w:rFonts w:ascii="Wingdings" w:hAnsi="Wingdings" w:hint="default"/>
      </w:rPr>
    </w:lvl>
    <w:lvl w:ilvl="3" w:tplc="E6282924" w:tentative="1">
      <w:start w:val="1"/>
      <w:numFmt w:val="bullet"/>
      <w:lvlText w:val=""/>
      <w:lvlJc w:val="left"/>
      <w:pPr>
        <w:ind w:left="3600" w:hanging="360"/>
      </w:pPr>
      <w:rPr>
        <w:rFonts w:ascii="Symbol" w:hAnsi="Symbol" w:hint="default"/>
      </w:rPr>
    </w:lvl>
    <w:lvl w:ilvl="4" w:tplc="D0E45B62" w:tentative="1">
      <w:start w:val="1"/>
      <w:numFmt w:val="bullet"/>
      <w:lvlText w:val="o"/>
      <w:lvlJc w:val="left"/>
      <w:pPr>
        <w:ind w:left="4320" w:hanging="360"/>
      </w:pPr>
      <w:rPr>
        <w:rFonts w:ascii="Courier New" w:hAnsi="Courier New" w:hint="default"/>
      </w:rPr>
    </w:lvl>
    <w:lvl w:ilvl="5" w:tplc="180849BC" w:tentative="1">
      <w:start w:val="1"/>
      <w:numFmt w:val="bullet"/>
      <w:lvlText w:val=""/>
      <w:lvlJc w:val="left"/>
      <w:pPr>
        <w:ind w:left="5040" w:hanging="360"/>
      </w:pPr>
      <w:rPr>
        <w:rFonts w:ascii="Wingdings" w:hAnsi="Wingdings" w:hint="default"/>
      </w:rPr>
    </w:lvl>
    <w:lvl w:ilvl="6" w:tplc="33CA5B26" w:tentative="1">
      <w:start w:val="1"/>
      <w:numFmt w:val="bullet"/>
      <w:lvlText w:val=""/>
      <w:lvlJc w:val="left"/>
      <w:pPr>
        <w:ind w:left="5760" w:hanging="360"/>
      </w:pPr>
      <w:rPr>
        <w:rFonts w:ascii="Symbol" w:hAnsi="Symbol" w:hint="default"/>
      </w:rPr>
    </w:lvl>
    <w:lvl w:ilvl="7" w:tplc="370C21D4" w:tentative="1">
      <w:start w:val="1"/>
      <w:numFmt w:val="bullet"/>
      <w:lvlText w:val="o"/>
      <w:lvlJc w:val="left"/>
      <w:pPr>
        <w:ind w:left="6480" w:hanging="360"/>
      </w:pPr>
      <w:rPr>
        <w:rFonts w:ascii="Courier New" w:hAnsi="Courier New" w:hint="default"/>
      </w:rPr>
    </w:lvl>
    <w:lvl w:ilvl="8" w:tplc="4E487FC8" w:tentative="1">
      <w:start w:val="1"/>
      <w:numFmt w:val="bullet"/>
      <w:lvlText w:val=""/>
      <w:lvlJc w:val="left"/>
      <w:pPr>
        <w:ind w:left="7200" w:hanging="360"/>
      </w:pPr>
      <w:rPr>
        <w:rFonts w:ascii="Wingdings" w:hAnsi="Wingdings" w:hint="default"/>
      </w:rPr>
    </w:lvl>
  </w:abstractNum>
  <w:abstractNum w:abstractNumId="102">
    <w:nsid w:val="4F7F787D"/>
    <w:multiLevelType w:val="hybridMultilevel"/>
    <w:tmpl w:val="51A0D87E"/>
    <w:lvl w:ilvl="0" w:tplc="04090001">
      <w:start w:val="1"/>
      <w:numFmt w:val="lowerRoman"/>
      <w:lvlText w:val="%1."/>
      <w:lvlJc w:val="right"/>
      <w:pPr>
        <w:tabs>
          <w:tab w:val="num" w:pos="1080"/>
        </w:tabs>
        <w:ind w:left="108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3">
    <w:nsid w:val="4F8D11EA"/>
    <w:multiLevelType w:val="hybridMultilevel"/>
    <w:tmpl w:val="DD3E2AC4"/>
    <w:lvl w:ilvl="0" w:tplc="84CABD6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50575353"/>
    <w:multiLevelType w:val="hybridMultilevel"/>
    <w:tmpl w:val="8CE46D96"/>
    <w:lvl w:ilvl="0" w:tplc="FFFFFFFF">
      <w:start w:val="1"/>
      <w:numFmt w:val="decimal"/>
      <w:lvlText w:val="%1)"/>
      <w:lvlJc w:val="left"/>
      <w:pPr>
        <w:tabs>
          <w:tab w:val="num" w:pos="1080"/>
        </w:tabs>
        <w:ind w:left="1080" w:hanging="360"/>
      </w:pPr>
      <w:rPr>
        <w:rFonts w:cs="Times New Roman" w:hint="default"/>
      </w:rPr>
    </w:lvl>
    <w:lvl w:ilvl="1" w:tplc="FFFFFFFF">
      <w:start w:val="1"/>
      <w:numFmt w:val="bullet"/>
      <w:lvlText w:val=""/>
      <w:lvlJc w:val="left"/>
      <w:pPr>
        <w:tabs>
          <w:tab w:val="num" w:pos="1800"/>
        </w:tabs>
        <w:ind w:left="1800" w:hanging="360"/>
      </w:pPr>
      <w:rPr>
        <w:rFonts w:ascii="Wingdings" w:hAnsi="Wingdings" w:hint="default"/>
      </w:rPr>
    </w:lvl>
    <w:lvl w:ilvl="2" w:tplc="FFFFFFFF">
      <w:numFmt w:val="bullet"/>
      <w:lvlText w:val="•"/>
      <w:lvlJc w:val="left"/>
      <w:pPr>
        <w:ind w:left="2700" w:hanging="360"/>
      </w:pPr>
      <w:rPr>
        <w:rFonts w:ascii="Times New Roman" w:eastAsia="Times New Roman" w:hAnsi="Times New Roman" w:hint="default"/>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05">
    <w:nsid w:val="52A97172"/>
    <w:multiLevelType w:val="hybridMultilevel"/>
    <w:tmpl w:val="A184C8DE"/>
    <w:lvl w:ilvl="0" w:tplc="0409000B">
      <w:start w:val="1"/>
      <w:numFmt w:val="bullet"/>
      <w:pStyle w:val="Bullet10"/>
      <w:lvlText w:val=""/>
      <w:lvlJc w:val="left"/>
      <w:pPr>
        <w:tabs>
          <w:tab w:val="num" w:pos="360"/>
        </w:tabs>
        <w:ind w:left="360" w:hanging="360"/>
      </w:pPr>
      <w:rPr>
        <w:rFonts w:ascii="Wingdings" w:hAnsi="Wingdings" w:hint="default"/>
        <w:color w:val="auto"/>
        <w:sz w:val="16"/>
      </w:rPr>
    </w:lvl>
    <w:lvl w:ilvl="1" w:tplc="04090001">
      <w:start w:val="1"/>
      <w:numFmt w:val="decimal"/>
      <w:lvlText w:val="%2."/>
      <w:lvlJc w:val="left"/>
      <w:pPr>
        <w:tabs>
          <w:tab w:val="num" w:pos="1440"/>
        </w:tabs>
        <w:ind w:left="1440" w:hanging="360"/>
      </w:pPr>
      <w:rPr>
        <w:rFonts w:cs="Times New Roman"/>
      </w:rPr>
    </w:lvl>
    <w:lvl w:ilvl="2" w:tplc="04090005">
      <w:start w:val="6"/>
      <w:numFmt w:val="upperLetter"/>
      <w:lvlText w:val="%3."/>
      <w:lvlJc w:val="left"/>
      <w:pPr>
        <w:tabs>
          <w:tab w:val="num" w:pos="2160"/>
        </w:tabs>
        <w:ind w:left="2160" w:hanging="360"/>
      </w:pPr>
      <w:rPr>
        <w:rFonts w:cs="Times New Roman" w:hint="default"/>
      </w:rPr>
    </w:lvl>
    <w:lvl w:ilvl="3" w:tplc="04090001">
      <w:start w:val="2"/>
      <w:numFmt w:val="upperRoman"/>
      <w:lvlText w:val="%4."/>
      <w:lvlJc w:val="left"/>
      <w:pPr>
        <w:tabs>
          <w:tab w:val="num" w:pos="3240"/>
        </w:tabs>
        <w:ind w:left="3240" w:hanging="720"/>
      </w:pPr>
      <w:rPr>
        <w:rFonts w:cs="Times New Roman" w:hint="default"/>
      </w:rPr>
    </w:lvl>
    <w:lvl w:ilvl="4" w:tplc="04090003">
      <w:start w:val="7"/>
      <w:numFmt w:val="upperRoman"/>
      <w:lvlText w:val="%5."/>
      <w:lvlJc w:val="left"/>
      <w:pPr>
        <w:tabs>
          <w:tab w:val="num" w:pos="3960"/>
        </w:tabs>
        <w:ind w:left="3960" w:hanging="720"/>
      </w:pPr>
      <w:rPr>
        <w:rFonts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53256BFB"/>
    <w:multiLevelType w:val="hybridMultilevel"/>
    <w:tmpl w:val="7A7A1DDE"/>
    <w:lvl w:ilvl="0" w:tplc="FFFFFFFF">
      <w:start w:val="6"/>
      <w:numFmt w:val="decimal"/>
      <w:lvlText w:val="%1)"/>
      <w:lvlJc w:val="left"/>
      <w:pPr>
        <w:tabs>
          <w:tab w:val="num" w:pos="1080"/>
        </w:tabs>
        <w:ind w:left="1080" w:hanging="36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7">
    <w:nsid w:val="53FB1328"/>
    <w:multiLevelType w:val="hybridMultilevel"/>
    <w:tmpl w:val="B2308CF4"/>
    <w:lvl w:ilvl="0" w:tplc="23BADA92">
      <w:start w:val="8"/>
      <w:numFmt w:val="decimal"/>
      <w:lvlText w:val="%1"/>
      <w:lvlJc w:val="left"/>
      <w:pPr>
        <w:tabs>
          <w:tab w:val="num" w:pos="1260"/>
        </w:tabs>
        <w:ind w:left="1260" w:hanging="540"/>
      </w:pPr>
      <w:rPr>
        <w:rFonts w:cs="Times New Roman" w:hint="default"/>
        <w:b/>
      </w:rPr>
    </w:lvl>
    <w:lvl w:ilvl="1" w:tplc="C4E2AAAA">
      <w:start w:val="1"/>
      <w:numFmt w:val="lowerLetter"/>
      <w:lvlText w:val="%2."/>
      <w:lvlJc w:val="left"/>
      <w:pPr>
        <w:tabs>
          <w:tab w:val="num" w:pos="1440"/>
        </w:tabs>
        <w:ind w:left="1440" w:hanging="360"/>
      </w:pPr>
      <w:rPr>
        <w:rFonts w:cs="Times New Roman"/>
      </w:rPr>
    </w:lvl>
    <w:lvl w:ilvl="2" w:tplc="7A50C014" w:tentative="1">
      <w:start w:val="1"/>
      <w:numFmt w:val="lowerRoman"/>
      <w:lvlText w:val="%3."/>
      <w:lvlJc w:val="right"/>
      <w:pPr>
        <w:tabs>
          <w:tab w:val="num" w:pos="2160"/>
        </w:tabs>
        <w:ind w:left="2160" w:hanging="180"/>
      </w:pPr>
      <w:rPr>
        <w:rFonts w:cs="Times New Roman"/>
      </w:rPr>
    </w:lvl>
    <w:lvl w:ilvl="3" w:tplc="64769910" w:tentative="1">
      <w:start w:val="1"/>
      <w:numFmt w:val="decimal"/>
      <w:lvlText w:val="%4."/>
      <w:lvlJc w:val="left"/>
      <w:pPr>
        <w:tabs>
          <w:tab w:val="num" w:pos="2880"/>
        </w:tabs>
        <w:ind w:left="2880" w:hanging="360"/>
      </w:pPr>
      <w:rPr>
        <w:rFonts w:cs="Times New Roman"/>
      </w:rPr>
    </w:lvl>
    <w:lvl w:ilvl="4" w:tplc="A6D00D20" w:tentative="1">
      <w:start w:val="1"/>
      <w:numFmt w:val="lowerLetter"/>
      <w:lvlText w:val="%5."/>
      <w:lvlJc w:val="left"/>
      <w:pPr>
        <w:tabs>
          <w:tab w:val="num" w:pos="3600"/>
        </w:tabs>
        <w:ind w:left="3600" w:hanging="360"/>
      </w:pPr>
      <w:rPr>
        <w:rFonts w:cs="Times New Roman"/>
      </w:rPr>
    </w:lvl>
    <w:lvl w:ilvl="5" w:tplc="C578126A" w:tentative="1">
      <w:start w:val="1"/>
      <w:numFmt w:val="lowerRoman"/>
      <w:lvlText w:val="%6."/>
      <w:lvlJc w:val="right"/>
      <w:pPr>
        <w:tabs>
          <w:tab w:val="num" w:pos="4320"/>
        </w:tabs>
        <w:ind w:left="4320" w:hanging="180"/>
      </w:pPr>
      <w:rPr>
        <w:rFonts w:cs="Times New Roman"/>
      </w:rPr>
    </w:lvl>
    <w:lvl w:ilvl="6" w:tplc="EB8E494A" w:tentative="1">
      <w:start w:val="1"/>
      <w:numFmt w:val="decimal"/>
      <w:lvlText w:val="%7."/>
      <w:lvlJc w:val="left"/>
      <w:pPr>
        <w:tabs>
          <w:tab w:val="num" w:pos="5040"/>
        </w:tabs>
        <w:ind w:left="5040" w:hanging="360"/>
      </w:pPr>
      <w:rPr>
        <w:rFonts w:cs="Times New Roman"/>
      </w:rPr>
    </w:lvl>
    <w:lvl w:ilvl="7" w:tplc="05E215E6" w:tentative="1">
      <w:start w:val="1"/>
      <w:numFmt w:val="lowerLetter"/>
      <w:lvlText w:val="%8."/>
      <w:lvlJc w:val="left"/>
      <w:pPr>
        <w:tabs>
          <w:tab w:val="num" w:pos="5760"/>
        </w:tabs>
        <w:ind w:left="5760" w:hanging="360"/>
      </w:pPr>
      <w:rPr>
        <w:rFonts w:cs="Times New Roman"/>
      </w:rPr>
    </w:lvl>
    <w:lvl w:ilvl="8" w:tplc="73841410" w:tentative="1">
      <w:start w:val="1"/>
      <w:numFmt w:val="lowerRoman"/>
      <w:lvlText w:val="%9."/>
      <w:lvlJc w:val="right"/>
      <w:pPr>
        <w:tabs>
          <w:tab w:val="num" w:pos="6480"/>
        </w:tabs>
        <w:ind w:left="6480" w:hanging="180"/>
      </w:pPr>
      <w:rPr>
        <w:rFonts w:cs="Times New Roman"/>
      </w:rPr>
    </w:lvl>
  </w:abstractNum>
  <w:abstractNum w:abstractNumId="108">
    <w:nsid w:val="5576666F"/>
    <w:multiLevelType w:val="hybridMultilevel"/>
    <w:tmpl w:val="96D25E96"/>
    <w:lvl w:ilvl="0" w:tplc="711A6036">
      <w:start w:val="1"/>
      <w:numFmt w:val="bullet"/>
      <w:lvlText w:val=""/>
      <w:lvlJc w:val="left"/>
      <w:pPr>
        <w:ind w:left="1306" w:hanging="360"/>
      </w:pPr>
      <w:rPr>
        <w:rFonts w:ascii="Symbol" w:hAnsi="Symbol" w:hint="default"/>
      </w:rPr>
    </w:lvl>
    <w:lvl w:ilvl="1" w:tplc="57942B54" w:tentative="1">
      <w:start w:val="1"/>
      <w:numFmt w:val="bullet"/>
      <w:lvlText w:val="o"/>
      <w:lvlJc w:val="left"/>
      <w:pPr>
        <w:ind w:left="2026" w:hanging="360"/>
      </w:pPr>
      <w:rPr>
        <w:rFonts w:ascii="Courier New" w:hAnsi="Courier New" w:hint="default"/>
      </w:rPr>
    </w:lvl>
    <w:lvl w:ilvl="2" w:tplc="906ADD44" w:tentative="1">
      <w:start w:val="1"/>
      <w:numFmt w:val="bullet"/>
      <w:lvlText w:val=""/>
      <w:lvlJc w:val="left"/>
      <w:pPr>
        <w:ind w:left="2746" w:hanging="360"/>
      </w:pPr>
      <w:rPr>
        <w:rFonts w:ascii="Wingdings" w:hAnsi="Wingdings" w:hint="default"/>
      </w:rPr>
    </w:lvl>
    <w:lvl w:ilvl="3" w:tplc="0068E7B2" w:tentative="1">
      <w:start w:val="1"/>
      <w:numFmt w:val="bullet"/>
      <w:lvlText w:val=""/>
      <w:lvlJc w:val="left"/>
      <w:pPr>
        <w:ind w:left="3466" w:hanging="360"/>
      </w:pPr>
      <w:rPr>
        <w:rFonts w:ascii="Symbol" w:hAnsi="Symbol" w:hint="default"/>
      </w:rPr>
    </w:lvl>
    <w:lvl w:ilvl="4" w:tplc="25826334" w:tentative="1">
      <w:start w:val="1"/>
      <w:numFmt w:val="bullet"/>
      <w:lvlText w:val="o"/>
      <w:lvlJc w:val="left"/>
      <w:pPr>
        <w:ind w:left="4186" w:hanging="360"/>
      </w:pPr>
      <w:rPr>
        <w:rFonts w:ascii="Courier New" w:hAnsi="Courier New" w:hint="default"/>
      </w:rPr>
    </w:lvl>
    <w:lvl w:ilvl="5" w:tplc="3F6ED58C" w:tentative="1">
      <w:start w:val="1"/>
      <w:numFmt w:val="bullet"/>
      <w:lvlText w:val=""/>
      <w:lvlJc w:val="left"/>
      <w:pPr>
        <w:ind w:left="4906" w:hanging="360"/>
      </w:pPr>
      <w:rPr>
        <w:rFonts w:ascii="Wingdings" w:hAnsi="Wingdings" w:hint="default"/>
      </w:rPr>
    </w:lvl>
    <w:lvl w:ilvl="6" w:tplc="1AFA3EC8" w:tentative="1">
      <w:start w:val="1"/>
      <w:numFmt w:val="bullet"/>
      <w:lvlText w:val=""/>
      <w:lvlJc w:val="left"/>
      <w:pPr>
        <w:ind w:left="5626" w:hanging="360"/>
      </w:pPr>
      <w:rPr>
        <w:rFonts w:ascii="Symbol" w:hAnsi="Symbol" w:hint="default"/>
      </w:rPr>
    </w:lvl>
    <w:lvl w:ilvl="7" w:tplc="C91A972A" w:tentative="1">
      <w:start w:val="1"/>
      <w:numFmt w:val="bullet"/>
      <w:lvlText w:val="o"/>
      <w:lvlJc w:val="left"/>
      <w:pPr>
        <w:ind w:left="6346" w:hanging="360"/>
      </w:pPr>
      <w:rPr>
        <w:rFonts w:ascii="Courier New" w:hAnsi="Courier New" w:hint="default"/>
      </w:rPr>
    </w:lvl>
    <w:lvl w:ilvl="8" w:tplc="AF0832F4" w:tentative="1">
      <w:start w:val="1"/>
      <w:numFmt w:val="bullet"/>
      <w:lvlText w:val=""/>
      <w:lvlJc w:val="left"/>
      <w:pPr>
        <w:ind w:left="7066" w:hanging="360"/>
      </w:pPr>
      <w:rPr>
        <w:rFonts w:ascii="Wingdings" w:hAnsi="Wingdings" w:hint="default"/>
      </w:rPr>
    </w:lvl>
  </w:abstractNum>
  <w:abstractNum w:abstractNumId="109">
    <w:nsid w:val="55875B96"/>
    <w:multiLevelType w:val="multilevel"/>
    <w:tmpl w:val="F5B85B92"/>
    <w:lvl w:ilvl="0">
      <w:start w:val="1"/>
      <w:numFmt w:val="decimal"/>
      <w:pStyle w:val="QuickFormat3"/>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8"/>
        <w:u w:val="none"/>
        <w:vertAlign w:val="baseline"/>
      </w:rPr>
    </w:lvl>
    <w:lvl w:ilvl="2">
      <w:start w:val="1"/>
      <w:numFmt w:val="decimal"/>
      <w:lvlText w:val="%1.%2.%3."/>
      <w:lvlJc w:val="left"/>
      <w:pPr>
        <w:tabs>
          <w:tab w:val="num" w:pos="720"/>
        </w:tabs>
        <w:ind w:left="720" w:hanging="720"/>
      </w:pPr>
      <w:rPr>
        <w:rFonts w:ascii="Times New Roman" w:hAnsi="Times New Roman" w:cs="Times New Roman" w:hint="default"/>
        <w:b/>
        <w:i w:val="0"/>
        <w:caps w:val="0"/>
        <w:strike w:val="0"/>
        <w:dstrike w:val="0"/>
        <w:vanish w:val="0"/>
        <w:color w:val="000000"/>
        <w:sz w:val="24"/>
        <w:u w:val="none"/>
        <w:vertAlign w:val="baseline"/>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10">
    <w:nsid w:val="56540B58"/>
    <w:multiLevelType w:val="hybridMultilevel"/>
    <w:tmpl w:val="D13CA20A"/>
    <w:lvl w:ilvl="0" w:tplc="177E9482">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hint="default"/>
      </w:rPr>
    </w:lvl>
    <w:lvl w:ilvl="2" w:tplc="0409001B" w:tentative="1">
      <w:start w:val="1"/>
      <w:numFmt w:val="bullet"/>
      <w:lvlText w:val=""/>
      <w:lvlJc w:val="left"/>
      <w:pPr>
        <w:ind w:left="3600" w:hanging="360"/>
      </w:pPr>
      <w:rPr>
        <w:rFonts w:ascii="Wingdings" w:hAnsi="Wingdings" w:hint="default"/>
      </w:rPr>
    </w:lvl>
    <w:lvl w:ilvl="3" w:tplc="0409000F">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111">
    <w:nsid w:val="56C34DB2"/>
    <w:multiLevelType w:val="hybridMultilevel"/>
    <w:tmpl w:val="B3F06C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nsid w:val="56DC0BD2"/>
    <w:multiLevelType w:val="hybridMultilevel"/>
    <w:tmpl w:val="2C588448"/>
    <w:lvl w:ilvl="0" w:tplc="C7C8F15A">
      <w:start w:val="1"/>
      <w:numFmt w:val="lowerLetter"/>
      <w:lvlText w:val="%1."/>
      <w:lvlJc w:val="left"/>
      <w:pPr>
        <w:tabs>
          <w:tab w:val="num" w:pos="1440"/>
        </w:tabs>
        <w:ind w:left="1440" w:hanging="360"/>
      </w:pPr>
      <w:rPr>
        <w:rFonts w:cs="Times New Roman"/>
      </w:rPr>
    </w:lvl>
    <w:lvl w:ilvl="1" w:tplc="D29AEC32">
      <w:start w:val="1"/>
      <w:numFmt w:val="lowerLetter"/>
      <w:lvlText w:val="%2."/>
      <w:lvlJc w:val="left"/>
      <w:pPr>
        <w:tabs>
          <w:tab w:val="num" w:pos="2160"/>
        </w:tabs>
        <w:ind w:left="2160" w:hanging="360"/>
      </w:pPr>
      <w:rPr>
        <w:rFonts w:cs="Times New Roman"/>
      </w:rPr>
    </w:lvl>
    <w:lvl w:ilvl="2" w:tplc="B94E9376">
      <w:start w:val="1"/>
      <w:numFmt w:val="lowerRoman"/>
      <w:lvlText w:val="%3."/>
      <w:lvlJc w:val="right"/>
      <w:pPr>
        <w:tabs>
          <w:tab w:val="num" w:pos="2880"/>
        </w:tabs>
        <w:ind w:left="2880" w:hanging="180"/>
      </w:pPr>
      <w:rPr>
        <w:rFonts w:cs="Times New Roman"/>
      </w:rPr>
    </w:lvl>
    <w:lvl w:ilvl="3" w:tplc="A8A69638" w:tentative="1">
      <w:start w:val="1"/>
      <w:numFmt w:val="decimal"/>
      <w:lvlText w:val="%4."/>
      <w:lvlJc w:val="left"/>
      <w:pPr>
        <w:tabs>
          <w:tab w:val="num" w:pos="3600"/>
        </w:tabs>
        <w:ind w:left="3600" w:hanging="360"/>
      </w:pPr>
      <w:rPr>
        <w:rFonts w:cs="Times New Roman"/>
      </w:rPr>
    </w:lvl>
    <w:lvl w:ilvl="4" w:tplc="9020B5F2" w:tentative="1">
      <w:start w:val="1"/>
      <w:numFmt w:val="lowerLetter"/>
      <w:lvlText w:val="%5."/>
      <w:lvlJc w:val="left"/>
      <w:pPr>
        <w:tabs>
          <w:tab w:val="num" w:pos="4320"/>
        </w:tabs>
        <w:ind w:left="4320" w:hanging="360"/>
      </w:pPr>
      <w:rPr>
        <w:rFonts w:cs="Times New Roman"/>
      </w:rPr>
    </w:lvl>
    <w:lvl w:ilvl="5" w:tplc="71903C82" w:tentative="1">
      <w:start w:val="1"/>
      <w:numFmt w:val="lowerRoman"/>
      <w:lvlText w:val="%6."/>
      <w:lvlJc w:val="right"/>
      <w:pPr>
        <w:tabs>
          <w:tab w:val="num" w:pos="5040"/>
        </w:tabs>
        <w:ind w:left="5040" w:hanging="180"/>
      </w:pPr>
      <w:rPr>
        <w:rFonts w:cs="Times New Roman"/>
      </w:rPr>
    </w:lvl>
    <w:lvl w:ilvl="6" w:tplc="CEFADAE2" w:tentative="1">
      <w:start w:val="1"/>
      <w:numFmt w:val="decimal"/>
      <w:lvlText w:val="%7."/>
      <w:lvlJc w:val="left"/>
      <w:pPr>
        <w:tabs>
          <w:tab w:val="num" w:pos="5760"/>
        </w:tabs>
        <w:ind w:left="5760" w:hanging="360"/>
      </w:pPr>
      <w:rPr>
        <w:rFonts w:cs="Times New Roman"/>
      </w:rPr>
    </w:lvl>
    <w:lvl w:ilvl="7" w:tplc="C366BB0C" w:tentative="1">
      <w:start w:val="1"/>
      <w:numFmt w:val="lowerLetter"/>
      <w:lvlText w:val="%8."/>
      <w:lvlJc w:val="left"/>
      <w:pPr>
        <w:tabs>
          <w:tab w:val="num" w:pos="6480"/>
        </w:tabs>
        <w:ind w:left="6480" w:hanging="360"/>
      </w:pPr>
      <w:rPr>
        <w:rFonts w:cs="Times New Roman"/>
      </w:rPr>
    </w:lvl>
    <w:lvl w:ilvl="8" w:tplc="5C64D46C" w:tentative="1">
      <w:start w:val="1"/>
      <w:numFmt w:val="lowerRoman"/>
      <w:lvlText w:val="%9."/>
      <w:lvlJc w:val="right"/>
      <w:pPr>
        <w:tabs>
          <w:tab w:val="num" w:pos="7200"/>
        </w:tabs>
        <w:ind w:left="7200" w:hanging="180"/>
      </w:pPr>
      <w:rPr>
        <w:rFonts w:cs="Times New Roman"/>
      </w:rPr>
    </w:lvl>
  </w:abstractNum>
  <w:abstractNum w:abstractNumId="113">
    <w:nsid w:val="572B5191"/>
    <w:multiLevelType w:val="hybridMultilevel"/>
    <w:tmpl w:val="145EAF62"/>
    <w:lvl w:ilvl="0" w:tplc="04090001">
      <w:start w:val="8"/>
      <w:numFmt w:val="lowerLetter"/>
      <w:lvlText w:val="%1)"/>
      <w:lvlJc w:val="left"/>
      <w:pPr>
        <w:ind w:left="2520" w:hanging="360"/>
      </w:pPr>
      <w:rPr>
        <w:rFonts w:cs="Times New Roman" w:hint="default"/>
      </w:rPr>
    </w:lvl>
    <w:lvl w:ilvl="1" w:tplc="04090003">
      <w:start w:val="1"/>
      <w:numFmt w:val="lowerLetter"/>
      <w:lvlText w:val="%2."/>
      <w:lvlJc w:val="left"/>
      <w:pPr>
        <w:ind w:left="3240" w:hanging="360"/>
      </w:pPr>
      <w:rPr>
        <w:rFonts w:cs="Times New Roman"/>
      </w:rPr>
    </w:lvl>
    <w:lvl w:ilvl="2" w:tplc="04090005">
      <w:start w:val="1"/>
      <w:numFmt w:val="lowerRoman"/>
      <w:lvlText w:val="%3."/>
      <w:lvlJc w:val="right"/>
      <w:pPr>
        <w:ind w:left="3960" w:hanging="180"/>
      </w:pPr>
      <w:rPr>
        <w:rFonts w:cs="Times New Roman"/>
      </w:rPr>
    </w:lvl>
    <w:lvl w:ilvl="3" w:tplc="04090001" w:tentative="1">
      <w:start w:val="1"/>
      <w:numFmt w:val="decimal"/>
      <w:lvlText w:val="%4."/>
      <w:lvlJc w:val="left"/>
      <w:pPr>
        <w:ind w:left="4680" w:hanging="360"/>
      </w:pPr>
      <w:rPr>
        <w:rFonts w:cs="Times New Roman"/>
      </w:rPr>
    </w:lvl>
    <w:lvl w:ilvl="4" w:tplc="04090003" w:tentative="1">
      <w:start w:val="1"/>
      <w:numFmt w:val="lowerLetter"/>
      <w:lvlText w:val="%5."/>
      <w:lvlJc w:val="left"/>
      <w:pPr>
        <w:ind w:left="5400" w:hanging="360"/>
      </w:pPr>
      <w:rPr>
        <w:rFonts w:cs="Times New Roman"/>
      </w:rPr>
    </w:lvl>
    <w:lvl w:ilvl="5" w:tplc="04090005">
      <w:start w:val="1"/>
      <w:numFmt w:val="lowerRoman"/>
      <w:lvlText w:val="%6."/>
      <w:lvlJc w:val="right"/>
      <w:pPr>
        <w:ind w:left="6120" w:hanging="180"/>
      </w:pPr>
      <w:rPr>
        <w:rFonts w:cs="Times New Roman"/>
      </w:rPr>
    </w:lvl>
    <w:lvl w:ilvl="6" w:tplc="04090001">
      <w:start w:val="1"/>
      <w:numFmt w:val="decimal"/>
      <w:lvlText w:val="%7."/>
      <w:lvlJc w:val="left"/>
      <w:pPr>
        <w:ind w:left="6840" w:hanging="360"/>
      </w:pPr>
      <w:rPr>
        <w:rFonts w:cs="Times New Roman"/>
      </w:rPr>
    </w:lvl>
    <w:lvl w:ilvl="7" w:tplc="04090003" w:tentative="1">
      <w:start w:val="1"/>
      <w:numFmt w:val="lowerLetter"/>
      <w:lvlText w:val="%8."/>
      <w:lvlJc w:val="left"/>
      <w:pPr>
        <w:ind w:left="7560" w:hanging="360"/>
      </w:pPr>
      <w:rPr>
        <w:rFonts w:cs="Times New Roman"/>
      </w:rPr>
    </w:lvl>
    <w:lvl w:ilvl="8" w:tplc="04090005" w:tentative="1">
      <w:start w:val="1"/>
      <w:numFmt w:val="lowerRoman"/>
      <w:lvlText w:val="%9."/>
      <w:lvlJc w:val="right"/>
      <w:pPr>
        <w:ind w:left="8280" w:hanging="180"/>
      </w:pPr>
      <w:rPr>
        <w:rFonts w:cs="Times New Roman"/>
      </w:rPr>
    </w:lvl>
  </w:abstractNum>
  <w:abstractNum w:abstractNumId="114">
    <w:nsid w:val="596A0FD8"/>
    <w:multiLevelType w:val="hybridMultilevel"/>
    <w:tmpl w:val="2070B73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500"/>
        </w:tabs>
        <w:ind w:left="1500" w:hanging="360"/>
      </w:pPr>
      <w:rPr>
        <w:rFonts w:cs="Times New Roman" w:hint="default"/>
      </w:rPr>
    </w:lvl>
    <w:lvl w:ilvl="2" w:tplc="04090005" w:tentative="1">
      <w:start w:val="1"/>
      <w:numFmt w:val="lowerRoman"/>
      <w:lvlText w:val="%3."/>
      <w:lvlJc w:val="right"/>
      <w:pPr>
        <w:tabs>
          <w:tab w:val="num" w:pos="2220"/>
        </w:tabs>
        <w:ind w:left="2220" w:hanging="180"/>
      </w:pPr>
      <w:rPr>
        <w:rFonts w:cs="Times New Roman"/>
      </w:rPr>
    </w:lvl>
    <w:lvl w:ilvl="3" w:tplc="04090001" w:tentative="1">
      <w:start w:val="1"/>
      <w:numFmt w:val="decimal"/>
      <w:lvlText w:val="%4."/>
      <w:lvlJc w:val="left"/>
      <w:pPr>
        <w:tabs>
          <w:tab w:val="num" w:pos="2940"/>
        </w:tabs>
        <w:ind w:left="2940" w:hanging="360"/>
      </w:pPr>
      <w:rPr>
        <w:rFonts w:cs="Times New Roman"/>
      </w:rPr>
    </w:lvl>
    <w:lvl w:ilvl="4" w:tplc="04090003" w:tentative="1">
      <w:start w:val="1"/>
      <w:numFmt w:val="lowerLetter"/>
      <w:lvlText w:val="%5."/>
      <w:lvlJc w:val="left"/>
      <w:pPr>
        <w:tabs>
          <w:tab w:val="num" w:pos="3660"/>
        </w:tabs>
        <w:ind w:left="3660" w:hanging="360"/>
      </w:pPr>
      <w:rPr>
        <w:rFonts w:cs="Times New Roman"/>
      </w:rPr>
    </w:lvl>
    <w:lvl w:ilvl="5" w:tplc="04090005">
      <w:start w:val="1"/>
      <w:numFmt w:val="lowerRoman"/>
      <w:lvlText w:val="%6."/>
      <w:lvlJc w:val="right"/>
      <w:pPr>
        <w:tabs>
          <w:tab w:val="num" w:pos="4380"/>
        </w:tabs>
        <w:ind w:left="4380" w:hanging="180"/>
      </w:pPr>
      <w:rPr>
        <w:rFonts w:cs="Times New Roman"/>
      </w:rPr>
    </w:lvl>
    <w:lvl w:ilvl="6" w:tplc="04090001" w:tentative="1">
      <w:start w:val="1"/>
      <w:numFmt w:val="decimal"/>
      <w:lvlText w:val="%7."/>
      <w:lvlJc w:val="left"/>
      <w:pPr>
        <w:tabs>
          <w:tab w:val="num" w:pos="5100"/>
        </w:tabs>
        <w:ind w:left="5100" w:hanging="360"/>
      </w:pPr>
      <w:rPr>
        <w:rFonts w:cs="Times New Roman"/>
      </w:rPr>
    </w:lvl>
    <w:lvl w:ilvl="7" w:tplc="04090003" w:tentative="1">
      <w:start w:val="1"/>
      <w:numFmt w:val="lowerLetter"/>
      <w:lvlText w:val="%8."/>
      <w:lvlJc w:val="left"/>
      <w:pPr>
        <w:tabs>
          <w:tab w:val="num" w:pos="5820"/>
        </w:tabs>
        <w:ind w:left="5820" w:hanging="360"/>
      </w:pPr>
      <w:rPr>
        <w:rFonts w:cs="Times New Roman"/>
      </w:rPr>
    </w:lvl>
    <w:lvl w:ilvl="8" w:tplc="04090005" w:tentative="1">
      <w:start w:val="1"/>
      <w:numFmt w:val="lowerRoman"/>
      <w:lvlText w:val="%9."/>
      <w:lvlJc w:val="right"/>
      <w:pPr>
        <w:tabs>
          <w:tab w:val="num" w:pos="6540"/>
        </w:tabs>
        <w:ind w:left="6540" w:hanging="180"/>
      </w:pPr>
      <w:rPr>
        <w:rFonts w:cs="Times New Roman"/>
      </w:rPr>
    </w:lvl>
  </w:abstractNum>
  <w:abstractNum w:abstractNumId="115">
    <w:nsid w:val="5997356D"/>
    <w:multiLevelType w:val="hybridMultilevel"/>
    <w:tmpl w:val="B5E80B66"/>
    <w:lvl w:ilvl="0" w:tplc="FFFFFFFF">
      <w:start w:val="3"/>
      <w:numFmt w:val="decimal"/>
      <w:lvlText w:val="%1."/>
      <w:lvlJc w:val="left"/>
      <w:pPr>
        <w:tabs>
          <w:tab w:val="num" w:pos="720"/>
        </w:tabs>
        <w:ind w:left="720" w:hanging="360"/>
      </w:pPr>
      <w:rPr>
        <w:rFonts w:cs="Times New Roman" w:hint="default"/>
        <w:b/>
      </w:rPr>
    </w:lvl>
    <w:lvl w:ilvl="1" w:tplc="FFFFFFFF">
      <w:start w:val="1"/>
      <w:numFmt w:val="lowerLetter"/>
      <w:lvlText w:val="%2)"/>
      <w:lvlJc w:val="left"/>
      <w:pPr>
        <w:tabs>
          <w:tab w:val="num" w:pos="720"/>
        </w:tabs>
        <w:ind w:left="720" w:hanging="360"/>
      </w:pPr>
      <w:rPr>
        <w:rFonts w:cs="Times New Roman" w:hint="default"/>
        <w:b/>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6">
    <w:nsid w:val="59E32450"/>
    <w:multiLevelType w:val="hybridMultilevel"/>
    <w:tmpl w:val="6AE08C58"/>
    <w:lvl w:ilvl="0" w:tplc="DC94A9D0">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7">
    <w:nsid w:val="5A1523F1"/>
    <w:multiLevelType w:val="hybridMultilevel"/>
    <w:tmpl w:val="F5BE32E6"/>
    <w:lvl w:ilvl="0" w:tplc="0C48A348">
      <w:start w:val="1"/>
      <w:numFmt w:val="decimal"/>
      <w:lvlText w:val="%1)"/>
      <w:lvlJc w:val="left"/>
      <w:pPr>
        <w:ind w:left="720" w:hanging="360"/>
      </w:pPr>
      <w:rPr>
        <w:rFonts w:cs="Times New Roman" w:hint="default"/>
      </w:rPr>
    </w:lvl>
    <w:lvl w:ilvl="1" w:tplc="04090003">
      <w:numFmt w:val="bullet"/>
      <w:lvlText w:val="•"/>
      <w:lvlJc w:val="left"/>
      <w:pPr>
        <w:ind w:left="1800" w:hanging="720"/>
      </w:pPr>
      <w:rPr>
        <w:rFonts w:ascii="Times New Roman" w:eastAsia="Times New Roman" w:hAnsi="Times New Roman"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18">
    <w:nsid w:val="5C0912D4"/>
    <w:multiLevelType w:val="multilevel"/>
    <w:tmpl w:val="0756BE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nsid w:val="5C126633"/>
    <w:multiLevelType w:val="multilevel"/>
    <w:tmpl w:val="E7ECCD0A"/>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C4A5A48"/>
    <w:multiLevelType w:val="hybridMultilevel"/>
    <w:tmpl w:val="66BA6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D572A87"/>
    <w:multiLevelType w:val="multilevel"/>
    <w:tmpl w:val="2876BB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2">
    <w:nsid w:val="5DF37A6E"/>
    <w:multiLevelType w:val="hybridMultilevel"/>
    <w:tmpl w:val="660C571A"/>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3">
    <w:nsid w:val="5EA116A8"/>
    <w:multiLevelType w:val="hybridMultilevel"/>
    <w:tmpl w:val="AA12090E"/>
    <w:lvl w:ilvl="0" w:tplc="0C48A34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4">
    <w:nsid w:val="5EAA7408"/>
    <w:multiLevelType w:val="hybridMultilevel"/>
    <w:tmpl w:val="6CD0BE7C"/>
    <w:lvl w:ilvl="0" w:tplc="B08089D8">
      <w:start w:val="1"/>
      <w:numFmt w:val="bullet"/>
      <w:lvlText w:val=""/>
      <w:lvlJc w:val="left"/>
      <w:pPr>
        <w:ind w:left="1440" w:hanging="360"/>
      </w:pPr>
      <w:rPr>
        <w:rFonts w:ascii="Symbol" w:hAnsi="Symbol" w:hint="default"/>
      </w:rPr>
    </w:lvl>
    <w:lvl w:ilvl="1" w:tplc="D0D877A8">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25">
    <w:nsid w:val="5F4F20E1"/>
    <w:multiLevelType w:val="hybridMultilevel"/>
    <w:tmpl w:val="FB46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0FA1D51"/>
    <w:multiLevelType w:val="hybridMultilevel"/>
    <w:tmpl w:val="FD78742A"/>
    <w:lvl w:ilvl="0" w:tplc="FFFFFFFF">
      <w:start w:val="1"/>
      <w:numFmt w:val="bullet"/>
      <w:lvlText w:val=""/>
      <w:lvlJc w:val="left"/>
      <w:pPr>
        <w:tabs>
          <w:tab w:val="num" w:pos="1370"/>
        </w:tabs>
        <w:ind w:left="1370" w:hanging="360"/>
      </w:pPr>
      <w:rPr>
        <w:rFonts w:ascii="Wingdings" w:hAnsi="Wingdings" w:hint="default"/>
      </w:rPr>
    </w:lvl>
    <w:lvl w:ilvl="1" w:tplc="FFFFFFFF">
      <w:start w:val="1"/>
      <w:numFmt w:val="bullet"/>
      <w:lvlText w:val="o"/>
      <w:lvlJc w:val="left"/>
      <w:pPr>
        <w:tabs>
          <w:tab w:val="num" w:pos="2090"/>
        </w:tabs>
        <w:ind w:left="2090" w:hanging="360"/>
      </w:pPr>
      <w:rPr>
        <w:rFonts w:ascii="Courier New" w:hAnsi="Courier New" w:hint="default"/>
      </w:rPr>
    </w:lvl>
    <w:lvl w:ilvl="2" w:tplc="FFFFFFFF" w:tentative="1">
      <w:start w:val="1"/>
      <w:numFmt w:val="bullet"/>
      <w:lvlText w:val=""/>
      <w:lvlJc w:val="left"/>
      <w:pPr>
        <w:tabs>
          <w:tab w:val="num" w:pos="2810"/>
        </w:tabs>
        <w:ind w:left="2810" w:hanging="360"/>
      </w:pPr>
      <w:rPr>
        <w:rFonts w:ascii="Wingdings" w:hAnsi="Wingdings" w:hint="default"/>
      </w:rPr>
    </w:lvl>
    <w:lvl w:ilvl="3" w:tplc="FFFFFFFF" w:tentative="1">
      <w:start w:val="1"/>
      <w:numFmt w:val="bullet"/>
      <w:lvlText w:val=""/>
      <w:lvlJc w:val="left"/>
      <w:pPr>
        <w:tabs>
          <w:tab w:val="num" w:pos="3530"/>
        </w:tabs>
        <w:ind w:left="3530" w:hanging="360"/>
      </w:pPr>
      <w:rPr>
        <w:rFonts w:ascii="Symbol" w:hAnsi="Symbol" w:hint="default"/>
      </w:rPr>
    </w:lvl>
    <w:lvl w:ilvl="4" w:tplc="FFFFFFFF" w:tentative="1">
      <w:start w:val="1"/>
      <w:numFmt w:val="bullet"/>
      <w:lvlText w:val="o"/>
      <w:lvlJc w:val="left"/>
      <w:pPr>
        <w:tabs>
          <w:tab w:val="num" w:pos="4250"/>
        </w:tabs>
        <w:ind w:left="4250" w:hanging="360"/>
      </w:pPr>
      <w:rPr>
        <w:rFonts w:ascii="Courier New" w:hAnsi="Courier New" w:hint="default"/>
      </w:rPr>
    </w:lvl>
    <w:lvl w:ilvl="5" w:tplc="FFFFFFFF" w:tentative="1">
      <w:start w:val="1"/>
      <w:numFmt w:val="bullet"/>
      <w:lvlText w:val=""/>
      <w:lvlJc w:val="left"/>
      <w:pPr>
        <w:tabs>
          <w:tab w:val="num" w:pos="4970"/>
        </w:tabs>
        <w:ind w:left="4970" w:hanging="360"/>
      </w:pPr>
      <w:rPr>
        <w:rFonts w:ascii="Wingdings" w:hAnsi="Wingdings" w:hint="default"/>
      </w:rPr>
    </w:lvl>
    <w:lvl w:ilvl="6" w:tplc="FFFFFFFF" w:tentative="1">
      <w:start w:val="1"/>
      <w:numFmt w:val="bullet"/>
      <w:lvlText w:val=""/>
      <w:lvlJc w:val="left"/>
      <w:pPr>
        <w:tabs>
          <w:tab w:val="num" w:pos="5690"/>
        </w:tabs>
        <w:ind w:left="5690" w:hanging="360"/>
      </w:pPr>
      <w:rPr>
        <w:rFonts w:ascii="Symbol" w:hAnsi="Symbol" w:hint="default"/>
      </w:rPr>
    </w:lvl>
    <w:lvl w:ilvl="7" w:tplc="FFFFFFFF" w:tentative="1">
      <w:start w:val="1"/>
      <w:numFmt w:val="bullet"/>
      <w:lvlText w:val="o"/>
      <w:lvlJc w:val="left"/>
      <w:pPr>
        <w:tabs>
          <w:tab w:val="num" w:pos="6410"/>
        </w:tabs>
        <w:ind w:left="6410" w:hanging="360"/>
      </w:pPr>
      <w:rPr>
        <w:rFonts w:ascii="Courier New" w:hAnsi="Courier New" w:hint="default"/>
      </w:rPr>
    </w:lvl>
    <w:lvl w:ilvl="8" w:tplc="FFFFFFFF" w:tentative="1">
      <w:start w:val="1"/>
      <w:numFmt w:val="bullet"/>
      <w:lvlText w:val=""/>
      <w:lvlJc w:val="left"/>
      <w:pPr>
        <w:tabs>
          <w:tab w:val="num" w:pos="7130"/>
        </w:tabs>
        <w:ind w:left="7130" w:hanging="360"/>
      </w:pPr>
      <w:rPr>
        <w:rFonts w:ascii="Wingdings" w:hAnsi="Wingdings" w:hint="default"/>
      </w:rPr>
    </w:lvl>
  </w:abstractNum>
  <w:abstractNum w:abstractNumId="127">
    <w:nsid w:val="63382DDE"/>
    <w:multiLevelType w:val="hybridMultilevel"/>
    <w:tmpl w:val="9D9269E4"/>
    <w:lvl w:ilvl="0" w:tplc="97D0AA02">
      <w:start w:val="1"/>
      <w:numFmt w:val="lowerRoman"/>
      <w:lvlText w:val="%1."/>
      <w:lvlJc w:val="right"/>
      <w:pPr>
        <w:tabs>
          <w:tab w:val="num" w:pos="2520"/>
        </w:tabs>
        <w:ind w:left="252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nsid w:val="634B1060"/>
    <w:multiLevelType w:val="hybridMultilevel"/>
    <w:tmpl w:val="C85E591C"/>
    <w:lvl w:ilvl="0" w:tplc="32787CD4">
      <w:start w:val="1"/>
      <w:numFmt w:val="lowerLetter"/>
      <w:lvlText w:val="%1)"/>
      <w:lvlJc w:val="left"/>
      <w:pPr>
        <w:tabs>
          <w:tab w:val="num" w:pos="1440"/>
        </w:tabs>
        <w:ind w:left="1440" w:hanging="720"/>
      </w:pPr>
      <w:rPr>
        <w:rFonts w:cs="Times New Roman" w:hint="default"/>
      </w:rPr>
    </w:lvl>
    <w:lvl w:ilvl="1" w:tplc="04090019">
      <w:start w:val="1"/>
      <w:numFmt w:val="lowerRoman"/>
      <w:lvlText w:val="%2."/>
      <w:lvlJc w:val="righ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ind w:left="4590" w:hanging="360"/>
      </w:pPr>
      <w:rPr>
        <w:rFonts w:cs="Times New Roman" w:hint="default"/>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9">
    <w:nsid w:val="634E7095"/>
    <w:multiLevelType w:val="hybridMultilevel"/>
    <w:tmpl w:val="923A45FC"/>
    <w:lvl w:ilvl="0" w:tplc="04090001">
      <w:start w:val="1"/>
      <w:numFmt w:val="decimal"/>
      <w:lvlText w:val="%1."/>
      <w:lvlJc w:val="left"/>
      <w:pPr>
        <w:tabs>
          <w:tab w:val="num" w:pos="1080"/>
        </w:tabs>
        <w:ind w:left="108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0">
    <w:nsid w:val="63C018FC"/>
    <w:multiLevelType w:val="hybridMultilevel"/>
    <w:tmpl w:val="EA4E5C22"/>
    <w:lvl w:ilvl="0" w:tplc="0C48A348">
      <w:start w:val="1"/>
      <w:numFmt w:val="lowerLetter"/>
      <w:lvlText w:val="%1)"/>
      <w:lvlJc w:val="left"/>
      <w:pPr>
        <w:tabs>
          <w:tab w:val="num" w:pos="1440"/>
        </w:tabs>
        <w:ind w:left="1440" w:hanging="720"/>
      </w:pPr>
      <w:rPr>
        <w:rFonts w:cs="Times New Roman" w:hint="default"/>
      </w:rPr>
    </w:lvl>
    <w:lvl w:ilvl="1" w:tplc="DA440C74">
      <w:start w:val="1"/>
      <w:numFmt w:val="lowerRoman"/>
      <w:lvlText w:val="%2."/>
      <w:lvlJc w:val="right"/>
      <w:pPr>
        <w:tabs>
          <w:tab w:val="num" w:pos="1800"/>
        </w:tabs>
        <w:ind w:left="1800" w:hanging="360"/>
      </w:pPr>
      <w:rPr>
        <w:rFonts w:cs="Times New Roman"/>
        <w:b w:val="0"/>
      </w:rPr>
    </w:lvl>
    <w:lvl w:ilvl="2" w:tplc="04090005">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lowerRoman"/>
      <w:lvlText w:val="(%5)"/>
      <w:lvlJc w:val="left"/>
      <w:pPr>
        <w:ind w:left="4320" w:hanging="720"/>
      </w:pPr>
      <w:rPr>
        <w:rFonts w:cs="Times New Roman" w:hint="default"/>
      </w:rPr>
    </w:lvl>
    <w:lvl w:ilvl="5" w:tplc="04090005">
      <w:start w:val="1"/>
      <w:numFmt w:val="decimal"/>
      <w:lvlText w:val="%6)"/>
      <w:lvlJc w:val="left"/>
      <w:pPr>
        <w:ind w:left="4860" w:hanging="360"/>
      </w:pPr>
      <w:rPr>
        <w:rFonts w:cs="Times New Roman" w:hint="default"/>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31">
    <w:nsid w:val="643C1A6C"/>
    <w:multiLevelType w:val="hybridMultilevel"/>
    <w:tmpl w:val="8FAE8B60"/>
    <w:lvl w:ilvl="0" w:tplc="514E7A7A">
      <w:start w:val="1"/>
      <w:numFmt w:val="bullet"/>
      <w:lvlText w:val=""/>
      <w:lvlJc w:val="left"/>
      <w:pPr>
        <w:tabs>
          <w:tab w:val="num" w:pos="1440"/>
        </w:tabs>
        <w:ind w:left="1440" w:hanging="360"/>
      </w:pPr>
      <w:rPr>
        <w:rFonts w:ascii="Symbol" w:hAnsi="Symbol" w:hint="default"/>
      </w:rPr>
    </w:lvl>
    <w:lvl w:ilvl="1" w:tplc="04090005">
      <w:start w:val="1"/>
      <w:numFmt w:val="bullet"/>
      <w:lvlText w:val="o"/>
      <w:lvlJc w:val="left"/>
      <w:pPr>
        <w:tabs>
          <w:tab w:val="num" w:pos="2160"/>
        </w:tabs>
        <w:ind w:left="2160" w:hanging="360"/>
      </w:pPr>
      <w:rPr>
        <w:rFonts w:ascii="Courier New" w:hAnsi="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2">
    <w:nsid w:val="645263A2"/>
    <w:multiLevelType w:val="hybridMultilevel"/>
    <w:tmpl w:val="F6FA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4DC184A"/>
    <w:multiLevelType w:val="hybridMultilevel"/>
    <w:tmpl w:val="0AC6CBE4"/>
    <w:lvl w:ilvl="0" w:tplc="F3BCF978">
      <w:start w:val="1"/>
      <w:numFmt w:val="lowerLetter"/>
      <w:lvlText w:val="%1)"/>
      <w:lvlJc w:val="left"/>
      <w:pPr>
        <w:tabs>
          <w:tab w:val="num" w:pos="1440"/>
        </w:tabs>
        <w:ind w:left="1440" w:hanging="720"/>
      </w:pPr>
      <w:rPr>
        <w:rFonts w:cs="Times New Roman" w:hint="default"/>
      </w:rPr>
    </w:lvl>
    <w:lvl w:ilvl="1" w:tplc="0409001B">
      <w:start w:val="1"/>
      <w:numFmt w:val="lowerRoman"/>
      <w:lvlText w:val="%2."/>
      <w:lvlJc w:val="righ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1FA20446">
      <w:start w:val="1"/>
      <w:numFmt w:val="decimal"/>
      <w:lvlText w:val="(%5)"/>
      <w:lvlJc w:val="left"/>
      <w:pPr>
        <w:ind w:left="4320" w:hanging="720"/>
      </w:pPr>
      <w:rPr>
        <w:rFonts w:cs="Times New Roman" w:hint="default"/>
      </w:rPr>
    </w:lvl>
    <w:lvl w:ilvl="5" w:tplc="D0DC2B6A">
      <w:start w:val="1"/>
      <w:numFmt w:val="decimal"/>
      <w:lvlText w:val="%6)"/>
      <w:lvlJc w:val="left"/>
      <w:pPr>
        <w:ind w:left="4860" w:hanging="360"/>
      </w:pPr>
      <w:rPr>
        <w:rFonts w:cs="Times New Roman"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nsid w:val="656936F7"/>
    <w:multiLevelType w:val="hybridMultilevel"/>
    <w:tmpl w:val="9D741184"/>
    <w:lvl w:ilvl="0" w:tplc="4F549F62">
      <w:start w:val="1"/>
      <w:numFmt w:val="bullet"/>
      <w:pStyle w:val="Bodynormal"/>
      <w:lvlText w:val=""/>
      <w:lvlJc w:val="left"/>
      <w:pPr>
        <w:ind w:left="1440" w:hanging="360"/>
      </w:pPr>
      <w:rPr>
        <w:rFonts w:ascii="Symbol" w:hAnsi="Symbol" w:hint="default"/>
      </w:rPr>
    </w:lvl>
    <w:lvl w:ilvl="1" w:tplc="04090019">
      <w:start w:val="1"/>
      <w:numFmt w:val="bullet"/>
      <w:lvlText w:val="o"/>
      <w:lvlJc w:val="left"/>
      <w:pPr>
        <w:ind w:left="2160" w:hanging="360"/>
      </w:pPr>
      <w:rPr>
        <w:rFonts w:ascii="Courier New" w:hAnsi="Courier New" w:hint="default"/>
      </w:rPr>
    </w:lvl>
    <w:lvl w:ilvl="2" w:tplc="49CEB55A">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start w:val="1"/>
      <w:numFmt w:val="bullet"/>
      <w:lvlText w:val=""/>
      <w:lvlJc w:val="left"/>
      <w:pPr>
        <w:ind w:left="7200" w:hanging="360"/>
      </w:pPr>
      <w:rPr>
        <w:rFonts w:ascii="Wingdings" w:hAnsi="Wingdings" w:hint="default"/>
      </w:rPr>
    </w:lvl>
  </w:abstractNum>
  <w:abstractNum w:abstractNumId="135">
    <w:nsid w:val="66010E44"/>
    <w:multiLevelType w:val="hybridMultilevel"/>
    <w:tmpl w:val="131EB392"/>
    <w:lvl w:ilvl="0" w:tplc="97D0AA02">
      <w:start w:val="1"/>
      <w:numFmt w:val="bullet"/>
      <w:lvlText w:val=""/>
      <w:lvlJc w:val="left"/>
      <w:pPr>
        <w:ind w:left="1440" w:hanging="360"/>
      </w:pPr>
      <w:rPr>
        <w:rFonts w:ascii="Symbol" w:hAnsi="Symbol" w:hint="default"/>
      </w:rPr>
    </w:lvl>
    <w:lvl w:ilvl="1" w:tplc="04090019">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36">
    <w:nsid w:val="695540F1"/>
    <w:multiLevelType w:val="hybridMultilevel"/>
    <w:tmpl w:val="0B423F96"/>
    <w:lvl w:ilvl="0" w:tplc="FFFFFFFF">
      <w:start w:val="1"/>
      <w:numFmt w:val="lowerLetter"/>
      <w:lvlText w:val="%1)"/>
      <w:lvlJc w:val="left"/>
      <w:pPr>
        <w:tabs>
          <w:tab w:val="num" w:pos="1440"/>
        </w:tabs>
        <w:ind w:left="1440" w:hanging="72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37">
    <w:nsid w:val="69B630CB"/>
    <w:multiLevelType w:val="hybridMultilevel"/>
    <w:tmpl w:val="0518C736"/>
    <w:lvl w:ilvl="0" w:tplc="3BDCD2A8">
      <w:start w:val="1"/>
      <w:numFmt w:val="low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nsid w:val="69C32C8C"/>
    <w:multiLevelType w:val="hybridMultilevel"/>
    <w:tmpl w:val="64BAC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A0A5C25"/>
    <w:multiLevelType w:val="hybridMultilevel"/>
    <w:tmpl w:val="A5D8D796"/>
    <w:lvl w:ilvl="0" w:tplc="04090001">
      <w:start w:val="1"/>
      <w:numFmt w:val="lowerRoman"/>
      <w:lvlText w:val="%1."/>
      <w:lvlJc w:val="right"/>
      <w:pPr>
        <w:ind w:left="2160" w:hanging="360"/>
      </w:pPr>
      <w:rPr>
        <w:rFonts w:cs="Times New Roman"/>
        <w:b/>
      </w:rPr>
    </w:lvl>
    <w:lvl w:ilvl="1" w:tplc="04090003" w:tentative="1">
      <w:start w:val="1"/>
      <w:numFmt w:val="lowerLetter"/>
      <w:lvlText w:val="%2."/>
      <w:lvlJc w:val="left"/>
      <w:pPr>
        <w:ind w:left="2880" w:hanging="360"/>
      </w:pPr>
      <w:rPr>
        <w:rFonts w:cs="Times New Roman"/>
      </w:rPr>
    </w:lvl>
    <w:lvl w:ilvl="2" w:tplc="04090005" w:tentative="1">
      <w:start w:val="1"/>
      <w:numFmt w:val="lowerRoman"/>
      <w:lvlText w:val="%3."/>
      <w:lvlJc w:val="right"/>
      <w:pPr>
        <w:ind w:left="3600" w:hanging="180"/>
      </w:pPr>
      <w:rPr>
        <w:rFonts w:cs="Times New Roman"/>
      </w:rPr>
    </w:lvl>
    <w:lvl w:ilvl="3" w:tplc="04090001" w:tentative="1">
      <w:start w:val="1"/>
      <w:numFmt w:val="decimal"/>
      <w:lvlText w:val="%4."/>
      <w:lvlJc w:val="left"/>
      <w:pPr>
        <w:ind w:left="4320" w:hanging="360"/>
      </w:pPr>
      <w:rPr>
        <w:rFonts w:cs="Times New Roman"/>
      </w:rPr>
    </w:lvl>
    <w:lvl w:ilvl="4" w:tplc="04090003" w:tentative="1">
      <w:start w:val="1"/>
      <w:numFmt w:val="lowerLetter"/>
      <w:lvlText w:val="%5."/>
      <w:lvlJc w:val="left"/>
      <w:pPr>
        <w:ind w:left="5040" w:hanging="360"/>
      </w:pPr>
      <w:rPr>
        <w:rFonts w:cs="Times New Roman"/>
      </w:rPr>
    </w:lvl>
    <w:lvl w:ilvl="5" w:tplc="04090005" w:tentative="1">
      <w:start w:val="1"/>
      <w:numFmt w:val="lowerRoman"/>
      <w:lvlText w:val="%6."/>
      <w:lvlJc w:val="right"/>
      <w:pPr>
        <w:ind w:left="5760" w:hanging="180"/>
      </w:pPr>
      <w:rPr>
        <w:rFonts w:cs="Times New Roman"/>
      </w:rPr>
    </w:lvl>
    <w:lvl w:ilvl="6" w:tplc="04090001" w:tentative="1">
      <w:start w:val="1"/>
      <w:numFmt w:val="decimal"/>
      <w:lvlText w:val="%7."/>
      <w:lvlJc w:val="left"/>
      <w:pPr>
        <w:ind w:left="6480" w:hanging="360"/>
      </w:pPr>
      <w:rPr>
        <w:rFonts w:cs="Times New Roman"/>
      </w:rPr>
    </w:lvl>
    <w:lvl w:ilvl="7" w:tplc="04090003" w:tentative="1">
      <w:start w:val="1"/>
      <w:numFmt w:val="lowerLetter"/>
      <w:lvlText w:val="%8."/>
      <w:lvlJc w:val="left"/>
      <w:pPr>
        <w:ind w:left="7200" w:hanging="360"/>
      </w:pPr>
      <w:rPr>
        <w:rFonts w:cs="Times New Roman"/>
      </w:rPr>
    </w:lvl>
    <w:lvl w:ilvl="8" w:tplc="04090005" w:tentative="1">
      <w:start w:val="1"/>
      <w:numFmt w:val="lowerRoman"/>
      <w:lvlText w:val="%9."/>
      <w:lvlJc w:val="right"/>
      <w:pPr>
        <w:ind w:left="7920" w:hanging="180"/>
      </w:pPr>
      <w:rPr>
        <w:rFonts w:cs="Times New Roman"/>
      </w:rPr>
    </w:lvl>
  </w:abstractNum>
  <w:abstractNum w:abstractNumId="140">
    <w:nsid w:val="6BFD0A40"/>
    <w:multiLevelType w:val="hybridMultilevel"/>
    <w:tmpl w:val="CD7ED9E4"/>
    <w:lvl w:ilvl="0" w:tplc="04090011">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nsid w:val="6CA2411D"/>
    <w:multiLevelType w:val="multilevel"/>
    <w:tmpl w:val="90C2D0A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980"/>
        </w:tabs>
        <w:ind w:left="1980" w:hanging="360"/>
      </w:pPr>
      <w:rPr>
        <w:rFonts w:cs="Times New Roman" w:hint="default"/>
      </w:rPr>
    </w:lvl>
    <w:lvl w:ilvl="2">
      <w:start w:val="1"/>
      <w:numFmt w:val="decimal"/>
      <w:lvlText w:val="%1.%2.%3"/>
      <w:lvlJc w:val="left"/>
      <w:pPr>
        <w:tabs>
          <w:tab w:val="num" w:pos="3960"/>
        </w:tabs>
        <w:ind w:left="3960" w:hanging="720"/>
      </w:pPr>
      <w:rPr>
        <w:rFonts w:cs="Times New Roman" w:hint="default"/>
      </w:rPr>
    </w:lvl>
    <w:lvl w:ilvl="3">
      <w:start w:val="1"/>
      <w:numFmt w:val="decimal"/>
      <w:lvlText w:val="%1.%2.%3.%4"/>
      <w:lvlJc w:val="left"/>
      <w:pPr>
        <w:tabs>
          <w:tab w:val="num" w:pos="5580"/>
        </w:tabs>
        <w:ind w:left="5580" w:hanging="720"/>
      </w:pPr>
      <w:rPr>
        <w:rFonts w:cs="Times New Roman" w:hint="default"/>
      </w:rPr>
    </w:lvl>
    <w:lvl w:ilvl="4">
      <w:start w:val="1"/>
      <w:numFmt w:val="decimal"/>
      <w:lvlText w:val="%1.%2.%3.%4.%5"/>
      <w:lvlJc w:val="left"/>
      <w:pPr>
        <w:tabs>
          <w:tab w:val="num" w:pos="7560"/>
        </w:tabs>
        <w:ind w:left="7560" w:hanging="1080"/>
      </w:pPr>
      <w:rPr>
        <w:rFonts w:cs="Times New Roman" w:hint="default"/>
      </w:rPr>
    </w:lvl>
    <w:lvl w:ilvl="5">
      <w:start w:val="1"/>
      <w:numFmt w:val="decimal"/>
      <w:lvlText w:val="%1.%2.%3.%4.%5.%6"/>
      <w:lvlJc w:val="left"/>
      <w:pPr>
        <w:tabs>
          <w:tab w:val="num" w:pos="9180"/>
        </w:tabs>
        <w:ind w:left="9180" w:hanging="1080"/>
      </w:pPr>
      <w:rPr>
        <w:rFonts w:cs="Times New Roman" w:hint="default"/>
      </w:rPr>
    </w:lvl>
    <w:lvl w:ilvl="6">
      <w:start w:val="1"/>
      <w:numFmt w:val="decimal"/>
      <w:lvlText w:val="%1.%2.%3.%4.%5.%6.%7"/>
      <w:lvlJc w:val="left"/>
      <w:pPr>
        <w:tabs>
          <w:tab w:val="num" w:pos="11160"/>
        </w:tabs>
        <w:ind w:left="11160" w:hanging="1440"/>
      </w:pPr>
      <w:rPr>
        <w:rFonts w:cs="Times New Roman" w:hint="default"/>
      </w:rPr>
    </w:lvl>
    <w:lvl w:ilvl="7">
      <w:start w:val="1"/>
      <w:numFmt w:val="decimal"/>
      <w:lvlText w:val="%1.%2.%3.%4.%5.%6.%7.%8"/>
      <w:lvlJc w:val="left"/>
      <w:pPr>
        <w:tabs>
          <w:tab w:val="num" w:pos="12780"/>
        </w:tabs>
        <w:ind w:left="12780" w:hanging="1440"/>
      </w:pPr>
      <w:rPr>
        <w:rFonts w:cs="Times New Roman" w:hint="default"/>
      </w:rPr>
    </w:lvl>
    <w:lvl w:ilvl="8">
      <w:start w:val="1"/>
      <w:numFmt w:val="decimal"/>
      <w:lvlText w:val="%1.%2.%3.%4.%5.%6.%7.%8.%9"/>
      <w:lvlJc w:val="left"/>
      <w:pPr>
        <w:tabs>
          <w:tab w:val="num" w:pos="14760"/>
        </w:tabs>
        <w:ind w:left="14760" w:hanging="1800"/>
      </w:pPr>
      <w:rPr>
        <w:rFonts w:cs="Times New Roman" w:hint="default"/>
      </w:rPr>
    </w:lvl>
  </w:abstractNum>
  <w:abstractNum w:abstractNumId="142">
    <w:nsid w:val="6CB225A5"/>
    <w:multiLevelType w:val="hybridMultilevel"/>
    <w:tmpl w:val="E8465EA0"/>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3">
    <w:nsid w:val="6D3D03DC"/>
    <w:multiLevelType w:val="hybridMultilevel"/>
    <w:tmpl w:val="A758544C"/>
    <w:lvl w:ilvl="0" w:tplc="04090001">
      <w:start w:val="1"/>
      <w:numFmt w:val="lowerLetter"/>
      <w:lvlText w:val="%1)"/>
      <w:lvlJc w:val="left"/>
      <w:pPr>
        <w:tabs>
          <w:tab w:val="num" w:pos="720"/>
        </w:tabs>
        <w:ind w:left="720" w:hanging="360"/>
      </w:pPr>
      <w:rPr>
        <w:rFonts w:cs="Times New Roman" w:hint="default"/>
        <w:u w:val="none"/>
      </w:rPr>
    </w:lvl>
    <w:lvl w:ilvl="1" w:tplc="04090003">
      <w:start w:val="1"/>
      <w:numFmt w:val="lowerLetter"/>
      <w:lvlText w:val="%2)"/>
      <w:lvlJc w:val="left"/>
      <w:pPr>
        <w:tabs>
          <w:tab w:val="num" w:pos="720"/>
        </w:tabs>
        <w:ind w:left="720" w:hanging="360"/>
      </w:pPr>
      <w:rPr>
        <w:rFonts w:cs="Times New Roman" w:hint="default"/>
        <w:u w:val="none"/>
      </w:rPr>
    </w:lvl>
    <w:lvl w:ilvl="2" w:tplc="04090005">
      <w:start w:val="1"/>
      <w:numFmt w:val="lowerRoman"/>
      <w:lvlText w:val="%3."/>
      <w:lvlJc w:val="right"/>
      <w:pPr>
        <w:tabs>
          <w:tab w:val="num" w:pos="1080"/>
        </w:tabs>
        <w:ind w:left="1080" w:hanging="360"/>
      </w:pPr>
      <w:rPr>
        <w:rFonts w:cs="Times New Roman" w:hint="default"/>
        <w:u w:val="none"/>
      </w:rPr>
    </w:lvl>
    <w:lvl w:ilvl="3" w:tplc="04090001">
      <w:start w:val="6"/>
      <w:numFmt w:val="decimal"/>
      <w:lvlText w:val="%4."/>
      <w:lvlJc w:val="left"/>
      <w:pPr>
        <w:tabs>
          <w:tab w:val="num" w:pos="2880"/>
        </w:tabs>
        <w:ind w:left="2880" w:hanging="360"/>
      </w:pPr>
      <w:rPr>
        <w:rFonts w:cs="Times New Roman"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4">
    <w:nsid w:val="6D9E0B8F"/>
    <w:multiLevelType w:val="hybridMultilevel"/>
    <w:tmpl w:val="311EB2FC"/>
    <w:lvl w:ilvl="0" w:tplc="04090011">
      <w:start w:val="1"/>
      <w:numFmt w:val="bullet"/>
      <w:lvlText w:val=""/>
      <w:lvlJc w:val="left"/>
      <w:pPr>
        <w:tabs>
          <w:tab w:val="num" w:pos="1080"/>
        </w:tabs>
        <w:ind w:left="1080" w:hanging="72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5">
    <w:nsid w:val="6E724E1E"/>
    <w:multiLevelType w:val="hybridMultilevel"/>
    <w:tmpl w:val="D39823D6"/>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6">
    <w:nsid w:val="6E976508"/>
    <w:multiLevelType w:val="multilevel"/>
    <w:tmpl w:val="5B065A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7">
    <w:nsid w:val="6F141F9B"/>
    <w:multiLevelType w:val="hybridMultilevel"/>
    <w:tmpl w:val="D59A0214"/>
    <w:lvl w:ilvl="0" w:tplc="3DE4CA0E">
      <w:start w:val="1"/>
      <w:numFmt w:val="bullet"/>
      <w:lvlText w:val=""/>
      <w:lvlJc w:val="left"/>
      <w:pPr>
        <w:tabs>
          <w:tab w:val="num" w:pos="6480"/>
        </w:tabs>
        <w:ind w:left="6480"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48">
    <w:nsid w:val="70F4070E"/>
    <w:multiLevelType w:val="hybridMultilevel"/>
    <w:tmpl w:val="A1362EB0"/>
    <w:lvl w:ilvl="0" w:tplc="949E08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71517360"/>
    <w:multiLevelType w:val="hybridMultilevel"/>
    <w:tmpl w:val="F7EA85B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71756DA3"/>
    <w:multiLevelType w:val="hybridMultilevel"/>
    <w:tmpl w:val="345CF3C8"/>
    <w:lvl w:ilvl="0" w:tplc="54C0BA64">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51">
    <w:nsid w:val="718B3750"/>
    <w:multiLevelType w:val="hybridMultilevel"/>
    <w:tmpl w:val="147C2D4A"/>
    <w:lvl w:ilvl="0" w:tplc="3D0C3E2C">
      <w:start w:val="4"/>
      <w:numFmt w:val="bullet"/>
      <w:lvlText w:val=""/>
      <w:lvlJc w:val="left"/>
      <w:pPr>
        <w:tabs>
          <w:tab w:val="num" w:pos="1440"/>
        </w:tabs>
        <w:ind w:left="1440" w:hanging="360"/>
      </w:pPr>
      <w:rPr>
        <w:rFonts w:ascii="Symbol" w:hAnsi="Symbol" w:hint="default"/>
        <w:b w:val="0"/>
        <w:i w:val="0"/>
        <w:color w:val="auto"/>
        <w:sz w:val="24"/>
      </w:rPr>
    </w:lvl>
    <w:lvl w:ilvl="1" w:tplc="04090019">
      <w:start w:val="1"/>
      <w:numFmt w:val="bullet"/>
      <w:lvlText w:val=""/>
      <w:lvlJc w:val="left"/>
      <w:pPr>
        <w:tabs>
          <w:tab w:val="num" w:pos="2520"/>
        </w:tabs>
        <w:ind w:left="2520" w:hanging="360"/>
      </w:pPr>
      <w:rPr>
        <w:rFonts w:ascii="Symbol" w:hAnsi="Symbol" w:hint="default"/>
        <w:b w:val="0"/>
        <w:i w:val="0"/>
        <w:color w:val="auto"/>
        <w:sz w:val="24"/>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2">
    <w:nsid w:val="73247A3C"/>
    <w:multiLevelType w:val="hybridMultilevel"/>
    <w:tmpl w:val="29C03922"/>
    <w:lvl w:ilvl="0" w:tplc="6A3C036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733C0305"/>
    <w:multiLevelType w:val="hybridMultilevel"/>
    <w:tmpl w:val="B3F41304"/>
    <w:lvl w:ilvl="0" w:tplc="924AB4EE">
      <w:start w:val="1"/>
      <w:numFmt w:val="lowerLetter"/>
      <w:lvlText w:val="%1)"/>
      <w:lvlJc w:val="left"/>
      <w:pPr>
        <w:tabs>
          <w:tab w:val="num" w:pos="1440"/>
        </w:tabs>
        <w:ind w:left="1440" w:hanging="720"/>
      </w:pPr>
      <w:rPr>
        <w:rFonts w:cs="Times New Roman" w:hint="default"/>
      </w:rPr>
    </w:lvl>
    <w:lvl w:ilvl="1" w:tplc="04090019">
      <w:start w:val="1"/>
      <w:numFmt w:val="lowerRoman"/>
      <w:lvlText w:val="%2."/>
      <w:lvlJc w:val="righ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6"/>
      <w:numFmt w:val="bullet"/>
      <w:lvlText w:val="•"/>
      <w:lvlJc w:val="left"/>
      <w:pPr>
        <w:ind w:left="3960" w:hanging="360"/>
      </w:pPr>
      <w:rPr>
        <w:rFonts w:ascii="Times New Roman" w:eastAsia="Times New Roman" w:hAnsi="Times New Roman" w:hint="default"/>
      </w:rPr>
    </w:lvl>
    <w:lvl w:ilvl="5" w:tplc="0409001B">
      <w:start w:val="7"/>
      <w:numFmt w:val="lowerLetter"/>
      <w:lvlText w:val="(%6)"/>
      <w:lvlJc w:val="left"/>
      <w:pPr>
        <w:ind w:left="4860" w:hanging="360"/>
      </w:pPr>
      <w:rPr>
        <w:rFonts w:cs="Times New Roman" w:hint="default"/>
      </w:rPr>
    </w:lvl>
    <w:lvl w:ilvl="6" w:tplc="0409000F">
      <w:start w:val="7"/>
      <w:numFmt w:val="lowerRoman"/>
      <w:lvlText w:val="(%7)"/>
      <w:lvlJc w:val="left"/>
      <w:pPr>
        <w:ind w:left="5760" w:hanging="720"/>
      </w:pPr>
      <w:rPr>
        <w:rFonts w:cs="Times New Roman" w:hint="default"/>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4">
    <w:nsid w:val="73A13FF1"/>
    <w:multiLevelType w:val="hybridMultilevel"/>
    <w:tmpl w:val="9710A9AA"/>
    <w:lvl w:ilvl="0" w:tplc="949E08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5B61452"/>
    <w:multiLevelType w:val="hybridMultilevel"/>
    <w:tmpl w:val="A91E510C"/>
    <w:lvl w:ilvl="0" w:tplc="9E3A91FE">
      <w:start w:val="1"/>
      <w:numFmt w:val="bullet"/>
      <w:lvlText w:val=""/>
      <w:lvlJc w:val="left"/>
      <w:pPr>
        <w:tabs>
          <w:tab w:val="num" w:pos="1530"/>
        </w:tabs>
        <w:ind w:left="153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6">
    <w:nsid w:val="77F416C9"/>
    <w:multiLevelType w:val="multilevel"/>
    <w:tmpl w:val="1608AB9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nsid w:val="7A6D737D"/>
    <w:multiLevelType w:val="hybridMultilevel"/>
    <w:tmpl w:val="C36A6FF8"/>
    <w:lvl w:ilvl="0" w:tplc="FFFFFFFF">
      <w:start w:val="1"/>
      <w:numFmt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8">
    <w:nsid w:val="7AA90703"/>
    <w:multiLevelType w:val="hybridMultilevel"/>
    <w:tmpl w:val="90626392"/>
    <w:lvl w:ilvl="0" w:tplc="0409001B">
      <w:start w:val="1"/>
      <w:numFmt w:val="lowerRoman"/>
      <w:lvlText w:val="%1."/>
      <w:lvlJc w:val="righ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9">
    <w:nsid w:val="7B622A8D"/>
    <w:multiLevelType w:val="singleLevel"/>
    <w:tmpl w:val="5F244A16"/>
    <w:lvl w:ilvl="0">
      <w:start w:val="1"/>
      <w:numFmt w:val="bullet"/>
      <w:pStyle w:val="BasicText"/>
      <w:lvlText w:val=""/>
      <w:lvlJc w:val="left"/>
      <w:pPr>
        <w:tabs>
          <w:tab w:val="num" w:pos="1440"/>
        </w:tabs>
        <w:ind w:left="1440" w:hanging="360"/>
      </w:pPr>
      <w:rPr>
        <w:rFonts w:ascii="Wingdings" w:hAnsi="Wingdings" w:hint="default"/>
      </w:rPr>
    </w:lvl>
  </w:abstractNum>
  <w:abstractNum w:abstractNumId="160">
    <w:nsid w:val="7BC178C3"/>
    <w:multiLevelType w:val="multilevel"/>
    <w:tmpl w:val="49084032"/>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C035C36"/>
    <w:multiLevelType w:val="hybridMultilevel"/>
    <w:tmpl w:val="9AC89356"/>
    <w:lvl w:ilvl="0" w:tplc="FFFFFFFF">
      <w:start w:val="1"/>
      <w:numFmt w:val="decimal"/>
      <w:pStyle w:val="Bulletedlist"/>
      <w:lvlText w:val="%1."/>
      <w:lvlJc w:val="left"/>
      <w:pPr>
        <w:ind w:left="720" w:hanging="360"/>
      </w:pPr>
      <w:rPr>
        <w:rFonts w:cs="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lowerLetter"/>
      <w:lvlText w:val="%3)"/>
      <w:lvlJc w:val="left"/>
      <w:pPr>
        <w:tabs>
          <w:tab w:val="num" w:pos="2160"/>
        </w:tabs>
        <w:ind w:left="2160" w:hanging="360"/>
      </w:pPr>
      <w:rPr>
        <w:rFonts w:cs="Times New Roman" w:hint="default"/>
        <w:u w:val="none"/>
      </w:rPr>
    </w:lvl>
    <w:lvl w:ilvl="3" w:tplc="FFFFFFFF">
      <w:start w:val="3"/>
      <w:numFmt w:val="decimal"/>
      <w:lvlText w:val="%4)"/>
      <w:lvlJc w:val="left"/>
      <w:pPr>
        <w:tabs>
          <w:tab w:val="num" w:pos="2880"/>
        </w:tabs>
        <w:ind w:left="2880" w:hanging="360"/>
      </w:pPr>
      <w:rPr>
        <w:rFonts w:cs="Times New Roman"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nsid w:val="7C6332FB"/>
    <w:multiLevelType w:val="hybridMultilevel"/>
    <w:tmpl w:val="BD5AD974"/>
    <w:lvl w:ilvl="0" w:tplc="D5FCD53A">
      <w:start w:val="1"/>
      <w:numFmt w:val="decimal"/>
      <w:lvlText w:val="%1)"/>
      <w:lvlJc w:val="left"/>
      <w:pPr>
        <w:ind w:left="630" w:hanging="360"/>
      </w:pPr>
      <w:rPr>
        <w:rFonts w:cs="Times New Roman" w:hint="default"/>
        <w:b/>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63">
    <w:nsid w:val="7D1F6F62"/>
    <w:multiLevelType w:val="hybridMultilevel"/>
    <w:tmpl w:val="A6DCB898"/>
    <w:lvl w:ilvl="0" w:tplc="04090019">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4">
    <w:nsid w:val="7D395499"/>
    <w:multiLevelType w:val="hybridMultilevel"/>
    <w:tmpl w:val="62908C40"/>
    <w:lvl w:ilvl="0" w:tplc="84CABD6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7DDF28EE"/>
    <w:multiLevelType w:val="hybridMultilevel"/>
    <w:tmpl w:val="C354F512"/>
    <w:lvl w:ilvl="0" w:tplc="9EB4EACC">
      <w:start w:val="1"/>
      <w:numFmt w:val="bullet"/>
      <w:pStyle w:val="Heading2Text"/>
      <w:lvlText w:val=""/>
      <w:lvlJc w:val="left"/>
      <w:pPr>
        <w:tabs>
          <w:tab w:val="num" w:pos="846"/>
        </w:tabs>
        <w:ind w:left="1152" w:hanging="216"/>
      </w:pPr>
      <w:rPr>
        <w:rFonts w:ascii="Wingdings" w:hAnsi="Wingdings" w:hint="default"/>
      </w:rPr>
    </w:lvl>
    <w:lvl w:ilvl="1" w:tplc="04090003" w:tentative="1">
      <w:start w:val="1"/>
      <w:numFmt w:val="bullet"/>
      <w:lvlText w:val="o"/>
      <w:lvlJc w:val="left"/>
      <w:pPr>
        <w:tabs>
          <w:tab w:val="num" w:pos="1926"/>
        </w:tabs>
        <w:ind w:left="1926" w:hanging="360"/>
      </w:pPr>
      <w:rPr>
        <w:rFonts w:ascii="Courier New" w:hAnsi="Courier New" w:hint="default"/>
      </w:rPr>
    </w:lvl>
    <w:lvl w:ilvl="2" w:tplc="04090005" w:tentative="1">
      <w:start w:val="1"/>
      <w:numFmt w:val="bullet"/>
      <w:lvlText w:val=""/>
      <w:lvlJc w:val="left"/>
      <w:pPr>
        <w:tabs>
          <w:tab w:val="num" w:pos="2646"/>
        </w:tabs>
        <w:ind w:left="2646" w:hanging="360"/>
      </w:pPr>
      <w:rPr>
        <w:rFonts w:ascii="Wingdings" w:hAnsi="Wingdings" w:hint="default"/>
      </w:rPr>
    </w:lvl>
    <w:lvl w:ilvl="3" w:tplc="04090001" w:tentative="1">
      <w:start w:val="1"/>
      <w:numFmt w:val="bullet"/>
      <w:lvlText w:val=""/>
      <w:lvlJc w:val="left"/>
      <w:pPr>
        <w:tabs>
          <w:tab w:val="num" w:pos="3366"/>
        </w:tabs>
        <w:ind w:left="3366" w:hanging="360"/>
      </w:pPr>
      <w:rPr>
        <w:rFonts w:ascii="Symbol" w:hAnsi="Symbol" w:hint="default"/>
      </w:rPr>
    </w:lvl>
    <w:lvl w:ilvl="4" w:tplc="04090003" w:tentative="1">
      <w:start w:val="1"/>
      <w:numFmt w:val="bullet"/>
      <w:lvlText w:val="o"/>
      <w:lvlJc w:val="left"/>
      <w:pPr>
        <w:tabs>
          <w:tab w:val="num" w:pos="4086"/>
        </w:tabs>
        <w:ind w:left="4086" w:hanging="360"/>
      </w:pPr>
      <w:rPr>
        <w:rFonts w:ascii="Courier New" w:hAnsi="Courier New" w:hint="default"/>
      </w:rPr>
    </w:lvl>
    <w:lvl w:ilvl="5" w:tplc="04090005" w:tentative="1">
      <w:start w:val="1"/>
      <w:numFmt w:val="bullet"/>
      <w:lvlText w:val=""/>
      <w:lvlJc w:val="left"/>
      <w:pPr>
        <w:tabs>
          <w:tab w:val="num" w:pos="4806"/>
        </w:tabs>
        <w:ind w:left="4806" w:hanging="360"/>
      </w:pPr>
      <w:rPr>
        <w:rFonts w:ascii="Wingdings" w:hAnsi="Wingdings" w:hint="default"/>
      </w:rPr>
    </w:lvl>
    <w:lvl w:ilvl="6" w:tplc="04090001" w:tentative="1">
      <w:start w:val="1"/>
      <w:numFmt w:val="bullet"/>
      <w:lvlText w:val=""/>
      <w:lvlJc w:val="left"/>
      <w:pPr>
        <w:tabs>
          <w:tab w:val="num" w:pos="5526"/>
        </w:tabs>
        <w:ind w:left="5526" w:hanging="360"/>
      </w:pPr>
      <w:rPr>
        <w:rFonts w:ascii="Symbol" w:hAnsi="Symbol" w:hint="default"/>
      </w:rPr>
    </w:lvl>
    <w:lvl w:ilvl="7" w:tplc="04090003" w:tentative="1">
      <w:start w:val="1"/>
      <w:numFmt w:val="bullet"/>
      <w:lvlText w:val="o"/>
      <w:lvlJc w:val="left"/>
      <w:pPr>
        <w:tabs>
          <w:tab w:val="num" w:pos="6246"/>
        </w:tabs>
        <w:ind w:left="6246" w:hanging="360"/>
      </w:pPr>
      <w:rPr>
        <w:rFonts w:ascii="Courier New" w:hAnsi="Courier New" w:hint="default"/>
      </w:rPr>
    </w:lvl>
    <w:lvl w:ilvl="8" w:tplc="04090005" w:tentative="1">
      <w:start w:val="1"/>
      <w:numFmt w:val="bullet"/>
      <w:lvlText w:val=""/>
      <w:lvlJc w:val="left"/>
      <w:pPr>
        <w:tabs>
          <w:tab w:val="num" w:pos="6966"/>
        </w:tabs>
        <w:ind w:left="6966" w:hanging="360"/>
      </w:pPr>
      <w:rPr>
        <w:rFonts w:ascii="Wingdings" w:hAnsi="Wingdings" w:hint="default"/>
      </w:rPr>
    </w:lvl>
  </w:abstractNum>
  <w:abstractNum w:abstractNumId="166">
    <w:nsid w:val="7E235561"/>
    <w:multiLevelType w:val="hybridMultilevel"/>
    <w:tmpl w:val="7138F592"/>
    <w:lvl w:ilvl="0" w:tplc="D62CECF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7">
    <w:nsid w:val="7FF81419"/>
    <w:multiLevelType w:val="hybridMultilevel"/>
    <w:tmpl w:val="0B423F96"/>
    <w:lvl w:ilvl="0" w:tplc="FFFFFFFF">
      <w:start w:val="1"/>
      <w:numFmt w:val="lowerLetter"/>
      <w:lvlText w:val="%1)"/>
      <w:lvlJc w:val="left"/>
      <w:pPr>
        <w:tabs>
          <w:tab w:val="num" w:pos="1440"/>
        </w:tabs>
        <w:ind w:left="1440" w:hanging="72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num w:numId="1">
    <w:abstractNumId w:val="85"/>
  </w:num>
  <w:num w:numId="2">
    <w:abstractNumId w:val="78"/>
  </w:num>
  <w:num w:numId="3">
    <w:abstractNumId w:val="26"/>
  </w:num>
  <w:num w:numId="4">
    <w:abstractNumId w:val="41"/>
  </w:num>
  <w:num w:numId="5">
    <w:abstractNumId w:val="147"/>
  </w:num>
  <w:num w:numId="6">
    <w:abstractNumId w:val="100"/>
  </w:num>
  <w:num w:numId="7">
    <w:abstractNumId w:val="87"/>
  </w:num>
  <w:num w:numId="8">
    <w:abstractNumId w:val="47"/>
  </w:num>
  <w:num w:numId="9">
    <w:abstractNumId w:val="114"/>
  </w:num>
  <w:num w:numId="10">
    <w:abstractNumId w:val="97"/>
  </w:num>
  <w:num w:numId="11">
    <w:abstractNumId w:val="54"/>
  </w:num>
  <w:num w:numId="12">
    <w:abstractNumId w:val="112"/>
  </w:num>
  <w:num w:numId="13">
    <w:abstractNumId w:val="27"/>
  </w:num>
  <w:num w:numId="14">
    <w:abstractNumId w:val="157"/>
  </w:num>
  <w:num w:numId="15">
    <w:abstractNumId w:val="141"/>
  </w:num>
  <w:num w:numId="16">
    <w:abstractNumId w:val="90"/>
  </w:num>
  <w:num w:numId="17">
    <w:abstractNumId w:val="40"/>
  </w:num>
  <w:num w:numId="18">
    <w:abstractNumId w:val="144"/>
  </w:num>
  <w:num w:numId="19">
    <w:abstractNumId w:val="62"/>
  </w:num>
  <w:num w:numId="20">
    <w:abstractNumId w:val="13"/>
  </w:num>
  <w:num w:numId="21">
    <w:abstractNumId w:val="107"/>
  </w:num>
  <w:num w:numId="22">
    <w:abstractNumId w:val="127"/>
  </w:num>
  <w:num w:numId="23">
    <w:abstractNumId w:val="32"/>
  </w:num>
  <w:num w:numId="24">
    <w:abstractNumId w:val="42"/>
  </w:num>
  <w:num w:numId="25">
    <w:abstractNumId w:val="9"/>
  </w:num>
  <w:num w:numId="26">
    <w:abstractNumId w:val="2"/>
  </w:num>
  <w:num w:numId="27">
    <w:abstractNumId w:val="55"/>
  </w:num>
  <w:num w:numId="28">
    <w:abstractNumId w:val="152"/>
  </w:num>
  <w:num w:numId="29">
    <w:abstractNumId w:val="10"/>
  </w:num>
  <w:num w:numId="30">
    <w:abstractNumId w:val="167"/>
  </w:num>
  <w:num w:numId="31">
    <w:abstractNumId w:val="140"/>
  </w:num>
  <w:num w:numId="32">
    <w:abstractNumId w:val="57"/>
  </w:num>
  <w:num w:numId="33">
    <w:abstractNumId w:val="104"/>
  </w:num>
  <w:num w:numId="34">
    <w:abstractNumId w:val="94"/>
  </w:num>
  <w:num w:numId="35">
    <w:abstractNumId w:val="108"/>
  </w:num>
  <w:num w:numId="36">
    <w:abstractNumId w:val="91"/>
  </w:num>
  <w:num w:numId="37">
    <w:abstractNumId w:val="49"/>
  </w:num>
  <w:num w:numId="38">
    <w:abstractNumId w:val="126"/>
  </w:num>
  <w:num w:numId="39">
    <w:abstractNumId w:val="122"/>
  </w:num>
  <w:num w:numId="40">
    <w:abstractNumId w:val="88"/>
  </w:num>
  <w:num w:numId="41">
    <w:abstractNumId w:val="68"/>
  </w:num>
  <w:num w:numId="42">
    <w:abstractNumId w:val="21"/>
  </w:num>
  <w:num w:numId="43">
    <w:abstractNumId w:val="155"/>
  </w:num>
  <w:num w:numId="44">
    <w:abstractNumId w:val="11"/>
  </w:num>
  <w:num w:numId="45">
    <w:abstractNumId w:val="25"/>
  </w:num>
  <w:num w:numId="46">
    <w:abstractNumId w:val="18"/>
  </w:num>
  <w:num w:numId="47">
    <w:abstractNumId w:val="60"/>
  </w:num>
  <w:num w:numId="48">
    <w:abstractNumId w:val="23"/>
  </w:num>
  <w:num w:numId="49">
    <w:abstractNumId w:val="58"/>
  </w:num>
  <w:num w:numId="50">
    <w:abstractNumId w:val="66"/>
  </w:num>
  <w:num w:numId="51">
    <w:abstractNumId w:val="12"/>
  </w:num>
  <w:num w:numId="52">
    <w:abstractNumId w:val="145"/>
  </w:num>
  <w:num w:numId="53">
    <w:abstractNumId w:val="73"/>
  </w:num>
  <w:num w:numId="54">
    <w:abstractNumId w:val="46"/>
  </w:num>
  <w:num w:numId="55">
    <w:abstractNumId w:val="134"/>
  </w:num>
  <w:num w:numId="56">
    <w:abstractNumId w:val="0"/>
  </w:num>
  <w:num w:numId="57">
    <w:abstractNumId w:val="38"/>
  </w:num>
  <w:num w:numId="58">
    <w:abstractNumId w:val="28"/>
  </w:num>
  <w:num w:numId="59">
    <w:abstractNumId w:val="7"/>
  </w:num>
  <w:num w:numId="60">
    <w:abstractNumId w:val="16"/>
  </w:num>
  <w:num w:numId="61">
    <w:abstractNumId w:val="92"/>
  </w:num>
  <w:num w:numId="62">
    <w:abstractNumId w:val="4"/>
  </w:num>
  <w:num w:numId="63">
    <w:abstractNumId w:val="33"/>
  </w:num>
  <w:num w:numId="64">
    <w:abstractNumId w:val="161"/>
  </w:num>
  <w:num w:numId="65">
    <w:abstractNumId w:val="72"/>
  </w:num>
  <w:num w:numId="66">
    <w:abstractNumId w:val="3"/>
  </w:num>
  <w:num w:numId="67">
    <w:abstractNumId w:val="109"/>
  </w:num>
  <w:num w:numId="68">
    <w:abstractNumId w:val="89"/>
  </w:num>
  <w:num w:numId="69">
    <w:abstractNumId w:val="105"/>
  </w:num>
  <w:num w:numId="70">
    <w:abstractNumId w:val="159"/>
  </w:num>
  <w:num w:numId="71">
    <w:abstractNumId w:val="165"/>
  </w:num>
  <w:num w:numId="72">
    <w:abstractNumId w:val="81"/>
  </w:num>
  <w:num w:numId="73">
    <w:abstractNumId w:val="142"/>
  </w:num>
  <w:num w:numId="74">
    <w:abstractNumId w:val="24"/>
  </w:num>
  <w:num w:numId="75">
    <w:abstractNumId w:val="131"/>
  </w:num>
  <w:num w:numId="76">
    <w:abstractNumId w:val="151"/>
  </w:num>
  <w:num w:numId="77">
    <w:abstractNumId w:val="36"/>
  </w:num>
  <w:num w:numId="78">
    <w:abstractNumId w:val="67"/>
  </w:num>
  <w:num w:numId="79">
    <w:abstractNumId w:val="166"/>
  </w:num>
  <w:num w:numId="80">
    <w:abstractNumId w:val="143"/>
  </w:num>
  <w:num w:numId="81">
    <w:abstractNumId w:val="5"/>
  </w:num>
  <w:num w:numId="82">
    <w:abstractNumId w:val="56"/>
  </w:num>
  <w:num w:numId="83">
    <w:abstractNumId w:val="102"/>
  </w:num>
  <w:num w:numId="84">
    <w:abstractNumId w:val="31"/>
  </w:num>
  <w:num w:numId="85">
    <w:abstractNumId w:val="124"/>
  </w:num>
  <w:num w:numId="86">
    <w:abstractNumId w:val="163"/>
  </w:num>
  <w:num w:numId="87">
    <w:abstractNumId w:val="101"/>
  </w:num>
  <w:num w:numId="88">
    <w:abstractNumId w:val="22"/>
  </w:num>
  <w:num w:numId="89">
    <w:abstractNumId w:val="59"/>
  </w:num>
  <w:num w:numId="90">
    <w:abstractNumId w:val="93"/>
  </w:num>
  <w:num w:numId="91">
    <w:abstractNumId w:val="148"/>
  </w:num>
  <w:num w:numId="92">
    <w:abstractNumId w:val="135"/>
  </w:num>
  <w:num w:numId="93">
    <w:abstractNumId w:val="8"/>
  </w:num>
  <w:num w:numId="94">
    <w:abstractNumId w:val="111"/>
  </w:num>
  <w:num w:numId="95">
    <w:abstractNumId w:val="52"/>
  </w:num>
  <w:num w:numId="96">
    <w:abstractNumId w:val="50"/>
  </w:num>
  <w:num w:numId="97">
    <w:abstractNumId w:val="15"/>
  </w:num>
  <w:num w:numId="98">
    <w:abstractNumId w:val="51"/>
  </w:num>
  <w:num w:numId="99">
    <w:abstractNumId w:val="116"/>
  </w:num>
  <w:num w:numId="100">
    <w:abstractNumId w:val="98"/>
  </w:num>
  <w:num w:numId="101">
    <w:abstractNumId w:val="63"/>
  </w:num>
  <w:num w:numId="102">
    <w:abstractNumId w:val="39"/>
  </w:num>
  <w:num w:numId="103">
    <w:abstractNumId w:val="154"/>
  </w:num>
  <w:num w:numId="104">
    <w:abstractNumId w:val="117"/>
  </w:num>
  <w:num w:numId="105">
    <w:abstractNumId w:val="128"/>
  </w:num>
  <w:num w:numId="106">
    <w:abstractNumId w:val="65"/>
  </w:num>
  <w:num w:numId="107">
    <w:abstractNumId w:val="139"/>
  </w:num>
  <w:num w:numId="108">
    <w:abstractNumId w:val="113"/>
  </w:num>
  <w:num w:numId="109">
    <w:abstractNumId w:val="123"/>
  </w:num>
  <w:num w:numId="110">
    <w:abstractNumId w:val="130"/>
  </w:num>
  <w:num w:numId="111">
    <w:abstractNumId w:val="153"/>
  </w:num>
  <w:num w:numId="112">
    <w:abstractNumId w:val="83"/>
  </w:num>
  <w:num w:numId="113">
    <w:abstractNumId w:val="71"/>
  </w:num>
  <w:num w:numId="114">
    <w:abstractNumId w:val="110"/>
  </w:num>
  <w:num w:numId="115">
    <w:abstractNumId w:val="115"/>
  </w:num>
  <w:num w:numId="116">
    <w:abstractNumId w:val="86"/>
  </w:num>
  <w:num w:numId="117">
    <w:abstractNumId w:val="53"/>
  </w:num>
  <w:num w:numId="118">
    <w:abstractNumId w:val="6"/>
  </w:num>
  <w:num w:numId="119">
    <w:abstractNumId w:val="133"/>
  </w:num>
  <w:num w:numId="120">
    <w:abstractNumId w:val="77"/>
  </w:num>
  <w:num w:numId="121">
    <w:abstractNumId w:val="149"/>
  </w:num>
  <w:num w:numId="122">
    <w:abstractNumId w:val="69"/>
  </w:num>
  <w:num w:numId="123">
    <w:abstractNumId w:val="138"/>
  </w:num>
  <w:num w:numId="124">
    <w:abstractNumId w:val="34"/>
  </w:num>
  <w:num w:numId="125">
    <w:abstractNumId w:val="146"/>
  </w:num>
  <w:num w:numId="126">
    <w:abstractNumId w:val="76"/>
  </w:num>
  <w:num w:numId="127">
    <w:abstractNumId w:val="118"/>
  </w:num>
  <w:num w:numId="128">
    <w:abstractNumId w:val="19"/>
  </w:num>
  <w:num w:numId="129">
    <w:abstractNumId w:val="160"/>
  </w:num>
  <w:num w:numId="130">
    <w:abstractNumId w:val="64"/>
  </w:num>
  <w:num w:numId="131">
    <w:abstractNumId w:val="119"/>
  </w:num>
  <w:num w:numId="132">
    <w:abstractNumId w:val="17"/>
  </w:num>
  <w:num w:numId="133">
    <w:abstractNumId w:val="43"/>
  </w:num>
  <w:num w:numId="134">
    <w:abstractNumId w:val="137"/>
  </w:num>
  <w:num w:numId="135">
    <w:abstractNumId w:val="74"/>
  </w:num>
  <w:num w:numId="136">
    <w:abstractNumId w:val="45"/>
  </w:num>
  <w:num w:numId="137">
    <w:abstractNumId w:val="14"/>
  </w:num>
  <w:num w:numId="138">
    <w:abstractNumId w:val="44"/>
  </w:num>
  <w:num w:numId="139">
    <w:abstractNumId w:val="121"/>
  </w:num>
  <w:num w:numId="140">
    <w:abstractNumId w:val="70"/>
  </w:num>
  <w:num w:numId="141">
    <w:abstractNumId w:val="103"/>
  </w:num>
  <w:num w:numId="142">
    <w:abstractNumId w:val="164"/>
  </w:num>
  <w:num w:numId="143">
    <w:abstractNumId w:val="30"/>
  </w:num>
  <w:num w:numId="144">
    <w:abstractNumId w:val="156"/>
  </w:num>
  <w:num w:numId="145">
    <w:abstractNumId w:val="162"/>
  </w:num>
  <w:num w:numId="146">
    <w:abstractNumId w:val="95"/>
  </w:num>
  <w:num w:numId="147">
    <w:abstractNumId w:val="136"/>
  </w:num>
  <w:num w:numId="148">
    <w:abstractNumId w:val="29"/>
  </w:num>
  <w:num w:numId="149">
    <w:abstractNumId w:val="150"/>
  </w:num>
  <w:num w:numId="150">
    <w:abstractNumId w:val="80"/>
  </w:num>
  <w:num w:numId="151">
    <w:abstractNumId w:val="1"/>
  </w:num>
  <w:num w:numId="152">
    <w:abstractNumId w:val="158"/>
  </w:num>
  <w:num w:numId="153">
    <w:abstractNumId w:val="96"/>
  </w:num>
  <w:num w:numId="154">
    <w:abstractNumId w:val="84"/>
  </w:num>
  <w:num w:numId="155">
    <w:abstractNumId w:val="61"/>
  </w:num>
  <w:num w:numId="156">
    <w:abstractNumId w:val="99"/>
  </w:num>
  <w:num w:numId="157">
    <w:abstractNumId w:val="129"/>
  </w:num>
  <w:num w:numId="158">
    <w:abstractNumId w:val="79"/>
  </w:num>
  <w:num w:numId="159">
    <w:abstractNumId w:val="48"/>
  </w:num>
  <w:num w:numId="160">
    <w:abstractNumId w:val="106"/>
  </w:num>
  <w:num w:numId="161">
    <w:abstractNumId w:val="75"/>
  </w:num>
  <w:num w:numId="162">
    <w:abstractNumId w:val="82"/>
  </w:num>
  <w:num w:numId="163">
    <w:abstractNumId w:val="20"/>
  </w:num>
  <w:num w:numId="164">
    <w:abstractNumId w:val="132"/>
  </w:num>
  <w:num w:numId="165">
    <w:abstractNumId w:val="125"/>
  </w:num>
  <w:num w:numId="166">
    <w:abstractNumId w:val="120"/>
  </w:num>
  <w:num w:numId="167">
    <w:abstractNumId w:val="35"/>
  </w:num>
  <w:num w:numId="168">
    <w:abstractNumId w:val="37"/>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27F"/>
    <w:rsid w:val="00001892"/>
    <w:rsid w:val="00003D7A"/>
    <w:rsid w:val="00010375"/>
    <w:rsid w:val="0001414E"/>
    <w:rsid w:val="000202C7"/>
    <w:rsid w:val="0003223F"/>
    <w:rsid w:val="00051715"/>
    <w:rsid w:val="0005282A"/>
    <w:rsid w:val="00054AA9"/>
    <w:rsid w:val="00064D75"/>
    <w:rsid w:val="000812E0"/>
    <w:rsid w:val="000936E7"/>
    <w:rsid w:val="00097BC6"/>
    <w:rsid w:val="000A3C69"/>
    <w:rsid w:val="000D20F3"/>
    <w:rsid w:val="000E5B05"/>
    <w:rsid w:val="000F0DF0"/>
    <w:rsid w:val="00100F9D"/>
    <w:rsid w:val="0010769D"/>
    <w:rsid w:val="00120CD2"/>
    <w:rsid w:val="00134B3C"/>
    <w:rsid w:val="00136F08"/>
    <w:rsid w:val="00151BA6"/>
    <w:rsid w:val="0015581B"/>
    <w:rsid w:val="00174FA6"/>
    <w:rsid w:val="00184F94"/>
    <w:rsid w:val="00187B2D"/>
    <w:rsid w:val="001C1394"/>
    <w:rsid w:val="001C47F2"/>
    <w:rsid w:val="001C488F"/>
    <w:rsid w:val="001C4C2F"/>
    <w:rsid w:val="001C4DFE"/>
    <w:rsid w:val="001D7C24"/>
    <w:rsid w:val="001E02A3"/>
    <w:rsid w:val="001E30FF"/>
    <w:rsid w:val="001E3C71"/>
    <w:rsid w:val="001E6D67"/>
    <w:rsid w:val="001F0112"/>
    <w:rsid w:val="00221036"/>
    <w:rsid w:val="00223142"/>
    <w:rsid w:val="00231B39"/>
    <w:rsid w:val="00234BFD"/>
    <w:rsid w:val="00247F81"/>
    <w:rsid w:val="00257629"/>
    <w:rsid w:val="00265753"/>
    <w:rsid w:val="00265F11"/>
    <w:rsid w:val="00283543"/>
    <w:rsid w:val="002B04B7"/>
    <w:rsid w:val="002B295D"/>
    <w:rsid w:val="002B7F59"/>
    <w:rsid w:val="002C039C"/>
    <w:rsid w:val="002C335D"/>
    <w:rsid w:val="002F645C"/>
    <w:rsid w:val="00316E98"/>
    <w:rsid w:val="00327812"/>
    <w:rsid w:val="003408F4"/>
    <w:rsid w:val="003418DB"/>
    <w:rsid w:val="003425E2"/>
    <w:rsid w:val="00362E17"/>
    <w:rsid w:val="00364EC4"/>
    <w:rsid w:val="003675C5"/>
    <w:rsid w:val="00372B99"/>
    <w:rsid w:val="003931C8"/>
    <w:rsid w:val="003A485F"/>
    <w:rsid w:val="003B4C64"/>
    <w:rsid w:val="003D367E"/>
    <w:rsid w:val="003E138E"/>
    <w:rsid w:val="003E2D7B"/>
    <w:rsid w:val="003E36BC"/>
    <w:rsid w:val="003E3A7A"/>
    <w:rsid w:val="003E7341"/>
    <w:rsid w:val="00402552"/>
    <w:rsid w:val="00421BBD"/>
    <w:rsid w:val="00430C28"/>
    <w:rsid w:val="00432F88"/>
    <w:rsid w:val="00433378"/>
    <w:rsid w:val="004476F2"/>
    <w:rsid w:val="0046424B"/>
    <w:rsid w:val="00467821"/>
    <w:rsid w:val="00472036"/>
    <w:rsid w:val="004876FC"/>
    <w:rsid w:val="004A5CA9"/>
    <w:rsid w:val="004C3AF1"/>
    <w:rsid w:val="004C65DC"/>
    <w:rsid w:val="004E3842"/>
    <w:rsid w:val="004E5A95"/>
    <w:rsid w:val="005019CD"/>
    <w:rsid w:val="00501CC8"/>
    <w:rsid w:val="005102AC"/>
    <w:rsid w:val="00513B47"/>
    <w:rsid w:val="00513B65"/>
    <w:rsid w:val="00524B1D"/>
    <w:rsid w:val="00535FD6"/>
    <w:rsid w:val="00553CA4"/>
    <w:rsid w:val="00561D1D"/>
    <w:rsid w:val="00564D8C"/>
    <w:rsid w:val="0056613C"/>
    <w:rsid w:val="00591C66"/>
    <w:rsid w:val="005A20E6"/>
    <w:rsid w:val="005A4A4E"/>
    <w:rsid w:val="005E054E"/>
    <w:rsid w:val="005F3F9F"/>
    <w:rsid w:val="00600E6F"/>
    <w:rsid w:val="00627F09"/>
    <w:rsid w:val="00636F30"/>
    <w:rsid w:val="00637C21"/>
    <w:rsid w:val="00643C88"/>
    <w:rsid w:val="00646845"/>
    <w:rsid w:val="00657138"/>
    <w:rsid w:val="00662D3A"/>
    <w:rsid w:val="00666FF7"/>
    <w:rsid w:val="00686A63"/>
    <w:rsid w:val="0069479D"/>
    <w:rsid w:val="006A7E7B"/>
    <w:rsid w:val="006F2BD1"/>
    <w:rsid w:val="00700732"/>
    <w:rsid w:val="0071506F"/>
    <w:rsid w:val="00770A65"/>
    <w:rsid w:val="00772AAC"/>
    <w:rsid w:val="00781322"/>
    <w:rsid w:val="00786C83"/>
    <w:rsid w:val="00792D93"/>
    <w:rsid w:val="007941DA"/>
    <w:rsid w:val="007A02CD"/>
    <w:rsid w:val="007A19D0"/>
    <w:rsid w:val="007A41C0"/>
    <w:rsid w:val="007B0B08"/>
    <w:rsid w:val="007B780C"/>
    <w:rsid w:val="007C74E5"/>
    <w:rsid w:val="007D076F"/>
    <w:rsid w:val="007E4BEC"/>
    <w:rsid w:val="007E7051"/>
    <w:rsid w:val="00803A92"/>
    <w:rsid w:val="0080458A"/>
    <w:rsid w:val="008201FD"/>
    <w:rsid w:val="00825B00"/>
    <w:rsid w:val="00825D10"/>
    <w:rsid w:val="008423AE"/>
    <w:rsid w:val="00851596"/>
    <w:rsid w:val="00853C98"/>
    <w:rsid w:val="008542CE"/>
    <w:rsid w:val="00881457"/>
    <w:rsid w:val="00883131"/>
    <w:rsid w:val="00884599"/>
    <w:rsid w:val="008919E8"/>
    <w:rsid w:val="008A0A65"/>
    <w:rsid w:val="008B0592"/>
    <w:rsid w:val="008D3569"/>
    <w:rsid w:val="008D705C"/>
    <w:rsid w:val="008E66A1"/>
    <w:rsid w:val="00920995"/>
    <w:rsid w:val="00920C98"/>
    <w:rsid w:val="00922329"/>
    <w:rsid w:val="009250BD"/>
    <w:rsid w:val="0093736E"/>
    <w:rsid w:val="00954817"/>
    <w:rsid w:val="009573D7"/>
    <w:rsid w:val="00961768"/>
    <w:rsid w:val="00966894"/>
    <w:rsid w:val="0097725F"/>
    <w:rsid w:val="009876B7"/>
    <w:rsid w:val="009971DD"/>
    <w:rsid w:val="009A127F"/>
    <w:rsid w:val="009A46BC"/>
    <w:rsid w:val="009B5C6F"/>
    <w:rsid w:val="009C0EB4"/>
    <w:rsid w:val="009C5687"/>
    <w:rsid w:val="009D20C1"/>
    <w:rsid w:val="009D3E65"/>
    <w:rsid w:val="009D76FC"/>
    <w:rsid w:val="00A0063B"/>
    <w:rsid w:val="00A03864"/>
    <w:rsid w:val="00A05269"/>
    <w:rsid w:val="00A11110"/>
    <w:rsid w:val="00A17779"/>
    <w:rsid w:val="00A2447F"/>
    <w:rsid w:val="00A25CF5"/>
    <w:rsid w:val="00A300FC"/>
    <w:rsid w:val="00A36581"/>
    <w:rsid w:val="00A45F57"/>
    <w:rsid w:val="00A50A40"/>
    <w:rsid w:val="00A5282F"/>
    <w:rsid w:val="00A55AB4"/>
    <w:rsid w:val="00A576A0"/>
    <w:rsid w:val="00A8434B"/>
    <w:rsid w:val="00AA25E9"/>
    <w:rsid w:val="00AA76B4"/>
    <w:rsid w:val="00AA7C43"/>
    <w:rsid w:val="00AB0C91"/>
    <w:rsid w:val="00AB3CC6"/>
    <w:rsid w:val="00AB605D"/>
    <w:rsid w:val="00AB6727"/>
    <w:rsid w:val="00AE0EA1"/>
    <w:rsid w:val="00AF173F"/>
    <w:rsid w:val="00AF7743"/>
    <w:rsid w:val="00B1039C"/>
    <w:rsid w:val="00B331ED"/>
    <w:rsid w:val="00B34334"/>
    <w:rsid w:val="00B369B3"/>
    <w:rsid w:val="00B60366"/>
    <w:rsid w:val="00B6037D"/>
    <w:rsid w:val="00B63215"/>
    <w:rsid w:val="00B642A3"/>
    <w:rsid w:val="00B73EFE"/>
    <w:rsid w:val="00B82B53"/>
    <w:rsid w:val="00B91F60"/>
    <w:rsid w:val="00B94056"/>
    <w:rsid w:val="00BA4634"/>
    <w:rsid w:val="00BE2561"/>
    <w:rsid w:val="00BE4DCD"/>
    <w:rsid w:val="00BF226C"/>
    <w:rsid w:val="00BF3CE4"/>
    <w:rsid w:val="00C205E1"/>
    <w:rsid w:val="00C225E3"/>
    <w:rsid w:val="00C31CC0"/>
    <w:rsid w:val="00C32735"/>
    <w:rsid w:val="00C34CAC"/>
    <w:rsid w:val="00C353B8"/>
    <w:rsid w:val="00C36FA1"/>
    <w:rsid w:val="00C4542D"/>
    <w:rsid w:val="00C57083"/>
    <w:rsid w:val="00C67FEC"/>
    <w:rsid w:val="00C75D99"/>
    <w:rsid w:val="00C90053"/>
    <w:rsid w:val="00CB23F8"/>
    <w:rsid w:val="00CC7DFB"/>
    <w:rsid w:val="00CD0816"/>
    <w:rsid w:val="00CE1E62"/>
    <w:rsid w:val="00CF036E"/>
    <w:rsid w:val="00CF710C"/>
    <w:rsid w:val="00D045E6"/>
    <w:rsid w:val="00D14297"/>
    <w:rsid w:val="00D222A7"/>
    <w:rsid w:val="00D40A4E"/>
    <w:rsid w:val="00D5653A"/>
    <w:rsid w:val="00D737C2"/>
    <w:rsid w:val="00D85B2C"/>
    <w:rsid w:val="00DB4B8F"/>
    <w:rsid w:val="00DB7278"/>
    <w:rsid w:val="00DC6F1B"/>
    <w:rsid w:val="00DE11B8"/>
    <w:rsid w:val="00E118F8"/>
    <w:rsid w:val="00E1743F"/>
    <w:rsid w:val="00E37911"/>
    <w:rsid w:val="00E5206C"/>
    <w:rsid w:val="00E7041A"/>
    <w:rsid w:val="00E83D34"/>
    <w:rsid w:val="00E923A3"/>
    <w:rsid w:val="00E97680"/>
    <w:rsid w:val="00EC0B75"/>
    <w:rsid w:val="00ED1DF2"/>
    <w:rsid w:val="00ED67E8"/>
    <w:rsid w:val="00EE6FC1"/>
    <w:rsid w:val="00EF32C2"/>
    <w:rsid w:val="00F14962"/>
    <w:rsid w:val="00F15359"/>
    <w:rsid w:val="00F25179"/>
    <w:rsid w:val="00F27150"/>
    <w:rsid w:val="00F404C2"/>
    <w:rsid w:val="00F4715E"/>
    <w:rsid w:val="00F50F8B"/>
    <w:rsid w:val="00F71814"/>
    <w:rsid w:val="00F73773"/>
    <w:rsid w:val="00F8161D"/>
    <w:rsid w:val="00F847FA"/>
    <w:rsid w:val="00F87403"/>
    <w:rsid w:val="00F94DB4"/>
    <w:rsid w:val="00FA79EF"/>
    <w:rsid w:val="00FC0FA7"/>
    <w:rsid w:val="00FC12C6"/>
    <w:rsid w:val="00FC5138"/>
    <w:rsid w:val="00FD4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locked="1"/>
    <w:lsdException w:name="endnote text" w:lock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27F"/>
    <w:pPr>
      <w:spacing w:after="200" w:line="276" w:lineRule="auto"/>
    </w:pPr>
    <w:rPr>
      <w:sz w:val="22"/>
      <w:szCs w:val="22"/>
    </w:rPr>
  </w:style>
  <w:style w:type="paragraph" w:styleId="Heading1">
    <w:name w:val="heading 1"/>
    <w:aliases w:val="1 Char,1,Heading 1B"/>
    <w:basedOn w:val="Normal"/>
    <w:next w:val="Normal"/>
    <w:link w:val="Heading1Char3"/>
    <w:uiPriority w:val="99"/>
    <w:qFormat/>
    <w:rsid w:val="009A127F"/>
    <w:pPr>
      <w:keepNext/>
      <w:overflowPunct w:val="0"/>
      <w:autoSpaceDE w:val="0"/>
      <w:autoSpaceDN w:val="0"/>
      <w:adjustRightInd w:val="0"/>
      <w:spacing w:after="0" w:line="240" w:lineRule="auto"/>
      <w:jc w:val="center"/>
      <w:textAlignment w:val="baseline"/>
      <w:outlineLvl w:val="0"/>
    </w:pPr>
    <w:rPr>
      <w:rFonts w:ascii="Times New Roman" w:hAnsi="Times New Roman"/>
      <w:sz w:val="20"/>
      <w:szCs w:val="20"/>
    </w:rPr>
  </w:style>
  <w:style w:type="paragraph" w:styleId="Heading2">
    <w:name w:val="heading 2"/>
    <w:basedOn w:val="Normal"/>
    <w:next w:val="Normal"/>
    <w:link w:val="Heading2Char"/>
    <w:uiPriority w:val="99"/>
    <w:qFormat/>
    <w:rsid w:val="009A127F"/>
    <w:pPr>
      <w:keepNext/>
      <w:spacing w:before="240" w:after="60" w:line="240" w:lineRule="auto"/>
      <w:outlineLvl w:val="1"/>
    </w:pPr>
    <w:rPr>
      <w:rFonts w:ascii="Arial" w:hAnsi="Arial"/>
      <w:b/>
      <w:bCs/>
      <w:i/>
      <w:iCs/>
      <w:sz w:val="28"/>
      <w:szCs w:val="28"/>
    </w:rPr>
  </w:style>
  <w:style w:type="paragraph" w:styleId="Heading3">
    <w:name w:val="heading 3"/>
    <w:basedOn w:val="Normal"/>
    <w:next w:val="Normal"/>
    <w:link w:val="Heading3Char"/>
    <w:uiPriority w:val="99"/>
    <w:qFormat/>
    <w:rsid w:val="009A127F"/>
    <w:pPr>
      <w:keepNext/>
      <w:overflowPunct w:val="0"/>
      <w:autoSpaceDE w:val="0"/>
      <w:autoSpaceDN w:val="0"/>
      <w:adjustRightInd w:val="0"/>
      <w:spacing w:before="240" w:after="60" w:line="240" w:lineRule="auto"/>
      <w:textAlignment w:val="baseline"/>
      <w:outlineLvl w:val="2"/>
    </w:pPr>
    <w:rPr>
      <w:rFonts w:ascii="Arial" w:hAnsi="Arial"/>
      <w:b/>
      <w:sz w:val="20"/>
      <w:szCs w:val="20"/>
    </w:rPr>
  </w:style>
  <w:style w:type="paragraph" w:styleId="Heading4">
    <w:name w:val="heading 4"/>
    <w:basedOn w:val="Normal"/>
    <w:next w:val="Normal"/>
    <w:link w:val="Heading4Char"/>
    <w:uiPriority w:val="99"/>
    <w:qFormat/>
    <w:rsid w:val="009A127F"/>
    <w:pPr>
      <w:keepNext/>
      <w:keepLines/>
      <w:spacing w:after="0" w:line="240" w:lineRule="auto"/>
      <w:ind w:left="720"/>
      <w:outlineLvl w:val="3"/>
    </w:pPr>
    <w:rPr>
      <w:rFonts w:ascii="Times New Roman" w:hAnsi="Times New Roman"/>
      <w:b/>
      <w:bCs/>
      <w:sz w:val="20"/>
      <w:szCs w:val="20"/>
    </w:rPr>
  </w:style>
  <w:style w:type="paragraph" w:styleId="Heading6">
    <w:name w:val="heading 6"/>
    <w:basedOn w:val="Normal"/>
    <w:next w:val="Normal"/>
    <w:link w:val="Heading6Char"/>
    <w:uiPriority w:val="99"/>
    <w:qFormat/>
    <w:rsid w:val="009A127F"/>
    <w:pPr>
      <w:spacing w:before="240" w:after="60" w:line="240" w:lineRule="auto"/>
      <w:outlineLvl w:val="5"/>
    </w:pPr>
    <w:rPr>
      <w:rFonts w:ascii="Times New Roman" w:hAnsi="Times New Roman"/>
      <w:b/>
      <w:bCs/>
      <w:sz w:val="20"/>
      <w:szCs w:val="20"/>
    </w:rPr>
  </w:style>
  <w:style w:type="paragraph" w:styleId="Heading7">
    <w:name w:val="heading 7"/>
    <w:basedOn w:val="Normal"/>
    <w:next w:val="Normal"/>
    <w:link w:val="Heading7Char"/>
    <w:uiPriority w:val="99"/>
    <w:qFormat/>
    <w:rsid w:val="009A127F"/>
    <w:pPr>
      <w:spacing w:before="240" w:after="60" w:line="240" w:lineRule="auto"/>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Char,1 Char1,Heading 1B Char"/>
    <w:uiPriority w:val="99"/>
    <w:locked/>
    <w:rsid w:val="009A127F"/>
    <w:rPr>
      <w:rFonts w:ascii="Cambria" w:hAnsi="Cambria" w:cs="Times New Roman"/>
      <w:b/>
      <w:bCs/>
      <w:color w:val="365F91"/>
      <w:sz w:val="28"/>
      <w:szCs w:val="28"/>
    </w:rPr>
  </w:style>
  <w:style w:type="character" w:customStyle="1" w:styleId="Heading2Char">
    <w:name w:val="Heading 2 Char"/>
    <w:link w:val="Heading2"/>
    <w:uiPriority w:val="99"/>
    <w:locked/>
    <w:rsid w:val="009A127F"/>
    <w:rPr>
      <w:rFonts w:ascii="Arial" w:hAnsi="Arial" w:cs="Arial"/>
      <w:b/>
      <w:bCs/>
      <w:i/>
      <w:iCs/>
      <w:sz w:val="28"/>
      <w:szCs w:val="28"/>
    </w:rPr>
  </w:style>
  <w:style w:type="character" w:customStyle="1" w:styleId="Heading3Char">
    <w:name w:val="Heading 3 Char"/>
    <w:link w:val="Heading3"/>
    <w:uiPriority w:val="99"/>
    <w:locked/>
    <w:rsid w:val="009A127F"/>
    <w:rPr>
      <w:rFonts w:ascii="Arial" w:hAnsi="Arial" w:cs="Times New Roman"/>
      <w:b/>
      <w:sz w:val="20"/>
      <w:szCs w:val="20"/>
    </w:rPr>
  </w:style>
  <w:style w:type="character" w:customStyle="1" w:styleId="Heading4Char">
    <w:name w:val="Heading 4 Char"/>
    <w:link w:val="Heading4"/>
    <w:uiPriority w:val="99"/>
    <w:locked/>
    <w:rsid w:val="009A127F"/>
    <w:rPr>
      <w:rFonts w:ascii="Times New Roman" w:hAnsi="Times New Roman" w:cs="Times New Roman"/>
      <w:b/>
      <w:bCs/>
    </w:rPr>
  </w:style>
  <w:style w:type="character" w:customStyle="1" w:styleId="Heading6Char">
    <w:name w:val="Heading 6 Char"/>
    <w:link w:val="Heading6"/>
    <w:uiPriority w:val="99"/>
    <w:locked/>
    <w:rsid w:val="009A127F"/>
    <w:rPr>
      <w:rFonts w:ascii="Times New Roman" w:hAnsi="Times New Roman" w:cs="Times New Roman"/>
      <w:b/>
      <w:bCs/>
    </w:rPr>
  </w:style>
  <w:style w:type="character" w:customStyle="1" w:styleId="Heading7Char">
    <w:name w:val="Heading 7 Char"/>
    <w:link w:val="Heading7"/>
    <w:uiPriority w:val="99"/>
    <w:locked/>
    <w:rsid w:val="009A127F"/>
    <w:rPr>
      <w:rFonts w:ascii="Times New Roman" w:hAnsi="Times New Roman" w:cs="Times New Roman"/>
      <w:sz w:val="24"/>
      <w:szCs w:val="24"/>
    </w:rPr>
  </w:style>
  <w:style w:type="paragraph" w:styleId="BalloonText">
    <w:name w:val="Balloon Text"/>
    <w:basedOn w:val="Normal"/>
    <w:link w:val="BalloonTextChar"/>
    <w:uiPriority w:val="99"/>
    <w:semiHidden/>
    <w:rsid w:val="009A127F"/>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9A127F"/>
    <w:rPr>
      <w:rFonts w:ascii="Tahoma" w:hAnsi="Tahoma" w:cs="Tahoma"/>
      <w:sz w:val="16"/>
      <w:szCs w:val="16"/>
    </w:rPr>
  </w:style>
  <w:style w:type="character" w:customStyle="1" w:styleId="Heading1Char3">
    <w:name w:val="Heading 1 Char3"/>
    <w:aliases w:val="1 Char Char3,1 Char3,Heading 1B Char1"/>
    <w:link w:val="Heading1"/>
    <w:uiPriority w:val="99"/>
    <w:locked/>
    <w:rsid w:val="009A127F"/>
    <w:rPr>
      <w:rFonts w:ascii="Times New Roman" w:hAnsi="Times New Roman"/>
      <w:sz w:val="20"/>
    </w:rPr>
  </w:style>
  <w:style w:type="paragraph" w:customStyle="1" w:styleId="TextFrame">
    <w:name w:val="TextFrame"/>
    <w:basedOn w:val="Normal"/>
    <w:link w:val="TextFrameChar"/>
    <w:uiPriority w:val="99"/>
    <w:rsid w:val="009A127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pPr>
    <w:rPr>
      <w:rFonts w:ascii="Times New Roman" w:hAnsi="Times New Roman"/>
      <w:sz w:val="20"/>
      <w:szCs w:val="20"/>
    </w:rPr>
  </w:style>
  <w:style w:type="character" w:customStyle="1" w:styleId="TextFrameChar">
    <w:name w:val="TextFrame Char"/>
    <w:link w:val="TextFrame"/>
    <w:uiPriority w:val="99"/>
    <w:locked/>
    <w:rsid w:val="009A127F"/>
    <w:rPr>
      <w:rFonts w:ascii="Times New Roman" w:hAnsi="Times New Roman"/>
      <w:sz w:val="20"/>
    </w:rPr>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
    <w:basedOn w:val="Normal"/>
    <w:link w:val="FootnoteTextChar"/>
    <w:semiHidden/>
    <w:rsid w:val="009A127F"/>
    <w:pPr>
      <w:spacing w:after="0" w:line="240" w:lineRule="auto"/>
    </w:pPr>
    <w:rPr>
      <w:rFonts w:ascii="Times New Roman" w:hAnsi="Times New Roman"/>
      <w:sz w:val="20"/>
      <w:szCs w:val="20"/>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
    <w:link w:val="FootnoteText"/>
    <w:semiHidden/>
    <w:locked/>
    <w:rsid w:val="009A127F"/>
    <w:rPr>
      <w:rFonts w:ascii="Times New Roman" w:hAnsi="Times New Roman" w:cs="Times New Roman"/>
      <w:sz w:val="20"/>
      <w:szCs w:val="20"/>
    </w:rPr>
  </w:style>
  <w:style w:type="character" w:styleId="FootnoteReference">
    <w:name w:val="footnote reference"/>
    <w:aliases w:val="o"/>
    <w:semiHidden/>
    <w:rsid w:val="009A127F"/>
    <w:rPr>
      <w:rFonts w:cs="Times New Roman"/>
      <w:sz w:val="18"/>
      <w:vertAlign w:val="superscript"/>
    </w:rPr>
  </w:style>
  <w:style w:type="paragraph" w:styleId="Header">
    <w:name w:val="header"/>
    <w:basedOn w:val="Normal"/>
    <w:link w:val="HeaderChar"/>
    <w:uiPriority w:val="99"/>
    <w:rsid w:val="009A127F"/>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uiPriority w:val="99"/>
    <w:locked/>
    <w:rsid w:val="009A127F"/>
    <w:rPr>
      <w:rFonts w:ascii="Times New Roman" w:hAnsi="Times New Roman" w:cs="Times New Roman"/>
      <w:sz w:val="24"/>
      <w:szCs w:val="24"/>
    </w:rPr>
  </w:style>
  <w:style w:type="paragraph" w:styleId="Footer">
    <w:name w:val="footer"/>
    <w:basedOn w:val="Normal"/>
    <w:link w:val="FooterChar"/>
    <w:uiPriority w:val="99"/>
    <w:rsid w:val="009A127F"/>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link w:val="Footer"/>
    <w:uiPriority w:val="99"/>
    <w:locked/>
    <w:rsid w:val="009A127F"/>
    <w:rPr>
      <w:rFonts w:ascii="Times New Roman" w:hAnsi="Times New Roman" w:cs="Times New Roman"/>
      <w:sz w:val="24"/>
      <w:szCs w:val="24"/>
    </w:rPr>
  </w:style>
  <w:style w:type="character" w:styleId="CommentReference">
    <w:name w:val="annotation reference"/>
    <w:uiPriority w:val="99"/>
    <w:semiHidden/>
    <w:rsid w:val="009A127F"/>
    <w:rPr>
      <w:rFonts w:cs="Times New Roman"/>
      <w:sz w:val="16"/>
    </w:rPr>
  </w:style>
  <w:style w:type="character" w:customStyle="1" w:styleId="CommentTextChar">
    <w:name w:val="Comment Text Char"/>
    <w:link w:val="CommentText"/>
    <w:uiPriority w:val="99"/>
    <w:semiHidden/>
    <w:locked/>
    <w:rsid w:val="009A127F"/>
    <w:rPr>
      <w:rFonts w:ascii="Times New Roman" w:hAnsi="Times New Roman" w:cs="Times New Roman"/>
      <w:sz w:val="20"/>
      <w:szCs w:val="20"/>
    </w:rPr>
  </w:style>
  <w:style w:type="paragraph" w:styleId="CommentText">
    <w:name w:val="annotation text"/>
    <w:basedOn w:val="Normal"/>
    <w:link w:val="CommentTextChar"/>
    <w:uiPriority w:val="99"/>
    <w:semiHidden/>
    <w:rsid w:val="009A127F"/>
    <w:pPr>
      <w:spacing w:after="0" w:line="240" w:lineRule="auto"/>
    </w:pPr>
    <w:rPr>
      <w:rFonts w:ascii="Times New Roman" w:hAnsi="Times New Roman"/>
      <w:sz w:val="20"/>
      <w:szCs w:val="20"/>
    </w:rPr>
  </w:style>
  <w:style w:type="character" w:customStyle="1" w:styleId="CommentTextChar1">
    <w:name w:val="Comment Text Char1"/>
    <w:uiPriority w:val="99"/>
    <w:semiHidden/>
    <w:rsid w:val="00876E91"/>
    <w:rPr>
      <w:sz w:val="20"/>
      <w:szCs w:val="20"/>
    </w:rPr>
  </w:style>
  <w:style w:type="character" w:customStyle="1" w:styleId="CommentSubjectChar">
    <w:name w:val="Comment Subject Char"/>
    <w:link w:val="CommentSubject"/>
    <w:uiPriority w:val="99"/>
    <w:semiHidden/>
    <w:locked/>
    <w:rsid w:val="009A127F"/>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9A127F"/>
    <w:rPr>
      <w:b/>
      <w:bCs/>
    </w:rPr>
  </w:style>
  <w:style w:type="character" w:customStyle="1" w:styleId="CommentSubjectChar1">
    <w:name w:val="Comment Subject Char1"/>
    <w:uiPriority w:val="99"/>
    <w:semiHidden/>
    <w:rsid w:val="00876E91"/>
    <w:rPr>
      <w:rFonts w:ascii="Times New Roman" w:hAnsi="Times New Roman" w:cs="Times New Roman"/>
      <w:b/>
      <w:bCs/>
      <w:sz w:val="20"/>
      <w:szCs w:val="20"/>
    </w:rPr>
  </w:style>
  <w:style w:type="paragraph" w:styleId="Caption">
    <w:name w:val="caption"/>
    <w:basedOn w:val="Normal"/>
    <w:next w:val="Normal"/>
    <w:uiPriority w:val="35"/>
    <w:qFormat/>
    <w:rsid w:val="009A127F"/>
    <w:pPr>
      <w:spacing w:after="0" w:line="240" w:lineRule="auto"/>
    </w:pPr>
    <w:rPr>
      <w:rFonts w:ascii="Times New Roman" w:eastAsia="Times New Roman" w:hAnsi="Times New Roman"/>
      <w:b/>
      <w:bCs/>
      <w:sz w:val="20"/>
      <w:szCs w:val="20"/>
    </w:rPr>
  </w:style>
  <w:style w:type="character" w:styleId="PageNumber">
    <w:name w:val="page number"/>
    <w:uiPriority w:val="99"/>
    <w:rsid w:val="009A127F"/>
    <w:rPr>
      <w:rFonts w:cs="Times New Roman"/>
    </w:rPr>
  </w:style>
  <w:style w:type="paragraph" w:customStyle="1" w:styleId="font5">
    <w:name w:val="font5"/>
    <w:basedOn w:val="Normal"/>
    <w:uiPriority w:val="99"/>
    <w:rsid w:val="009A127F"/>
    <w:pPr>
      <w:spacing w:before="100" w:beforeAutospacing="1" w:after="100" w:afterAutospacing="1" w:line="240" w:lineRule="auto"/>
    </w:pPr>
    <w:rPr>
      <w:rFonts w:ascii="Arial" w:eastAsia="Times New Roman" w:hAnsi="Arial" w:cs="Arial"/>
      <w:b/>
      <w:bCs/>
      <w:color w:val="3366FF"/>
      <w:sz w:val="20"/>
      <w:szCs w:val="20"/>
    </w:rPr>
  </w:style>
  <w:style w:type="paragraph" w:customStyle="1" w:styleId="xl68">
    <w:name w:val="xl68"/>
    <w:basedOn w:val="Normal"/>
    <w:uiPriority w:val="99"/>
    <w:rsid w:val="009A127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rPr>
  </w:style>
  <w:style w:type="paragraph" w:customStyle="1" w:styleId="xl69">
    <w:name w:val="xl69"/>
    <w:basedOn w:val="Normal"/>
    <w:uiPriority w:val="99"/>
    <w:rsid w:val="009A127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rPr>
  </w:style>
  <w:style w:type="paragraph" w:customStyle="1" w:styleId="xl70">
    <w:name w:val="xl70"/>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16"/>
      <w:szCs w:val="16"/>
    </w:rPr>
  </w:style>
  <w:style w:type="paragraph" w:customStyle="1" w:styleId="xl71">
    <w:name w:val="xl71"/>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16"/>
      <w:szCs w:val="16"/>
    </w:rPr>
  </w:style>
  <w:style w:type="paragraph" w:customStyle="1" w:styleId="xl72">
    <w:name w:val="xl72"/>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73">
    <w:name w:val="xl73"/>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75">
    <w:name w:val="xl75"/>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6">
    <w:name w:val="xl76"/>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7">
    <w:name w:val="xl77"/>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8">
    <w:name w:val="xl78"/>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9">
    <w:name w:val="xl79"/>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0">
    <w:name w:val="xl80"/>
    <w:basedOn w:val="Normal"/>
    <w:uiPriority w:val="99"/>
    <w:rsid w:val="009A127F"/>
    <w:pPr>
      <w:pBdr>
        <w:top w:val="single" w:sz="4"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uiPriority w:val="99"/>
    <w:rsid w:val="009A127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82">
    <w:name w:val="xl82"/>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uiPriority w:val="99"/>
    <w:rsid w:val="009A127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color w:val="FF0000"/>
      <w:sz w:val="24"/>
      <w:szCs w:val="24"/>
    </w:rPr>
  </w:style>
  <w:style w:type="paragraph" w:customStyle="1" w:styleId="xl84">
    <w:name w:val="xl84"/>
    <w:basedOn w:val="Normal"/>
    <w:uiPriority w:val="99"/>
    <w:rsid w:val="009A127F"/>
    <w:pPr>
      <w:pBdr>
        <w:top w:val="single" w:sz="4" w:space="0" w:color="auto"/>
        <w:left w:val="single" w:sz="4" w:space="0" w:color="auto"/>
        <w:bottom w:val="single" w:sz="8" w:space="0" w:color="auto"/>
        <w:right w:val="single" w:sz="4" w:space="0" w:color="auto"/>
      </w:pBdr>
      <w:shd w:val="clear" w:color="auto" w:fill="99CCFF"/>
      <w:spacing w:before="100" w:beforeAutospacing="1" w:after="100" w:afterAutospacing="1" w:line="240" w:lineRule="auto"/>
      <w:jc w:val="center"/>
    </w:pPr>
    <w:rPr>
      <w:rFonts w:ascii="Arial" w:eastAsia="Times New Roman" w:hAnsi="Arial" w:cs="Arial"/>
      <w:b/>
      <w:bCs/>
      <w:color w:val="FF0000"/>
      <w:sz w:val="24"/>
      <w:szCs w:val="24"/>
    </w:rPr>
  </w:style>
  <w:style w:type="paragraph" w:customStyle="1" w:styleId="xl85">
    <w:name w:val="xl85"/>
    <w:basedOn w:val="Normal"/>
    <w:uiPriority w:val="99"/>
    <w:rsid w:val="009A127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pPr>
    <w:rPr>
      <w:rFonts w:ascii="Arial" w:eastAsia="Times New Roman" w:hAnsi="Arial" w:cs="Arial"/>
      <w:b/>
      <w:bCs/>
      <w:color w:val="FF0000"/>
      <w:sz w:val="24"/>
      <w:szCs w:val="24"/>
    </w:rPr>
  </w:style>
  <w:style w:type="paragraph" w:customStyle="1" w:styleId="xl86">
    <w:name w:val="xl86"/>
    <w:basedOn w:val="Normal"/>
    <w:uiPriority w:val="99"/>
    <w:rsid w:val="009A127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pPr>
    <w:rPr>
      <w:rFonts w:ascii="Arial" w:eastAsia="Times New Roman" w:hAnsi="Arial" w:cs="Arial"/>
      <w:b/>
      <w:bCs/>
      <w:color w:val="FF0000"/>
      <w:sz w:val="24"/>
      <w:szCs w:val="24"/>
    </w:rPr>
  </w:style>
  <w:style w:type="paragraph" w:customStyle="1" w:styleId="xl87">
    <w:name w:val="xl87"/>
    <w:basedOn w:val="Normal"/>
    <w:uiPriority w:val="99"/>
    <w:rsid w:val="009A127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3366FF"/>
      <w:sz w:val="24"/>
      <w:szCs w:val="24"/>
    </w:rPr>
  </w:style>
  <w:style w:type="paragraph" w:customStyle="1" w:styleId="xl88">
    <w:name w:val="xl88"/>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89">
    <w:name w:val="xl89"/>
    <w:basedOn w:val="Normal"/>
    <w:uiPriority w:val="99"/>
    <w:rsid w:val="009A127F"/>
    <w:pPr>
      <w:pBdr>
        <w:top w:val="single" w:sz="4" w:space="0" w:color="auto"/>
        <w:left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90">
    <w:name w:val="xl90"/>
    <w:basedOn w:val="Normal"/>
    <w:uiPriority w:val="99"/>
    <w:rsid w:val="009A127F"/>
    <w:pPr>
      <w:pBdr>
        <w:top w:val="single" w:sz="4" w:space="0" w:color="auto"/>
        <w:left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91">
    <w:name w:val="xl91"/>
    <w:basedOn w:val="Normal"/>
    <w:uiPriority w:val="99"/>
    <w:rsid w:val="009A127F"/>
    <w:pPr>
      <w:pBdr>
        <w:top w:val="single" w:sz="4" w:space="0" w:color="auto"/>
        <w:bottom w:val="single" w:sz="4" w:space="0" w:color="auto"/>
      </w:pBdr>
      <w:shd w:val="reverseDiagStripe"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92">
    <w:name w:val="xl92"/>
    <w:basedOn w:val="Normal"/>
    <w:uiPriority w:val="99"/>
    <w:rsid w:val="009A127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Times New Roman" w:hAnsi="Arial" w:cs="Arial"/>
      <w:b/>
      <w:bCs/>
      <w:color w:val="FF0000"/>
      <w:sz w:val="24"/>
      <w:szCs w:val="24"/>
    </w:rPr>
  </w:style>
  <w:style w:type="paragraph" w:customStyle="1" w:styleId="xl93">
    <w:name w:val="xl93"/>
    <w:basedOn w:val="Normal"/>
    <w:uiPriority w:val="99"/>
    <w:rsid w:val="009A127F"/>
    <w:pPr>
      <w:pBdr>
        <w:top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uiPriority w:val="99"/>
    <w:rsid w:val="009A127F"/>
    <w:pPr>
      <w:pBdr>
        <w:top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uiPriority w:val="99"/>
    <w:rsid w:val="009A127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uiPriority w:val="99"/>
    <w:rsid w:val="009A127F"/>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pPr>
    <w:rPr>
      <w:rFonts w:ascii="Arial" w:eastAsia="Times New Roman" w:hAnsi="Arial" w:cs="Arial"/>
      <w:b/>
      <w:bCs/>
      <w:color w:val="FF0000"/>
      <w:sz w:val="24"/>
      <w:szCs w:val="24"/>
    </w:rPr>
  </w:style>
  <w:style w:type="paragraph" w:customStyle="1" w:styleId="xl97">
    <w:name w:val="xl97"/>
    <w:basedOn w:val="Normal"/>
    <w:uiPriority w:val="99"/>
    <w:rsid w:val="009A127F"/>
    <w:pPr>
      <w:pBdr>
        <w:top w:val="single" w:sz="4"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98">
    <w:name w:val="xl98"/>
    <w:basedOn w:val="Normal"/>
    <w:uiPriority w:val="99"/>
    <w:rsid w:val="009A127F"/>
    <w:pPr>
      <w:pBdr>
        <w:top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rPr>
  </w:style>
  <w:style w:type="paragraph" w:customStyle="1" w:styleId="CharChar1CharCharCharChar">
    <w:name w:val="Char Char1 Char Char Char Char"/>
    <w:basedOn w:val="Normal"/>
    <w:uiPriority w:val="99"/>
    <w:rsid w:val="009A127F"/>
    <w:pPr>
      <w:spacing w:after="160" w:line="240" w:lineRule="exact"/>
    </w:pPr>
    <w:rPr>
      <w:rFonts w:ascii="Verdana" w:eastAsia="Times New Roman" w:hAnsi="Verdana"/>
      <w:sz w:val="20"/>
      <w:szCs w:val="20"/>
    </w:rPr>
  </w:style>
  <w:style w:type="paragraph" w:customStyle="1" w:styleId="CharChar1CharCharCharCharCharCharChar">
    <w:name w:val="Char Char1 Char Char Char Char Char Char Char"/>
    <w:basedOn w:val="Normal"/>
    <w:uiPriority w:val="99"/>
    <w:rsid w:val="009A127F"/>
    <w:pPr>
      <w:spacing w:after="160" w:line="240" w:lineRule="exact"/>
    </w:pPr>
    <w:rPr>
      <w:rFonts w:ascii="Verdana" w:eastAsia="Times New Roman" w:hAnsi="Verdana"/>
      <w:sz w:val="20"/>
      <w:szCs w:val="20"/>
    </w:rPr>
  </w:style>
  <w:style w:type="paragraph" w:styleId="BodyTextIndent">
    <w:name w:val="Body Text Indent"/>
    <w:basedOn w:val="Normal"/>
    <w:link w:val="BodyTextIndentChar"/>
    <w:uiPriority w:val="99"/>
    <w:rsid w:val="009A127F"/>
    <w:pPr>
      <w:spacing w:after="0" w:line="240" w:lineRule="auto"/>
      <w:ind w:left="720"/>
    </w:pPr>
    <w:rPr>
      <w:rFonts w:ascii="Times New Roman" w:hAnsi="Times New Roman"/>
      <w:sz w:val="24"/>
      <w:szCs w:val="24"/>
    </w:rPr>
  </w:style>
  <w:style w:type="character" w:customStyle="1" w:styleId="BodyTextIndentChar">
    <w:name w:val="Body Text Indent Char"/>
    <w:link w:val="BodyTextIndent"/>
    <w:uiPriority w:val="99"/>
    <w:locked/>
    <w:rsid w:val="009A127F"/>
    <w:rPr>
      <w:rFonts w:ascii="Times New Roman" w:hAnsi="Times New Roman" w:cs="Times New Roman"/>
      <w:sz w:val="24"/>
      <w:szCs w:val="24"/>
    </w:rPr>
  </w:style>
  <w:style w:type="paragraph" w:customStyle="1" w:styleId="Default">
    <w:name w:val="Default"/>
    <w:uiPriority w:val="99"/>
    <w:rsid w:val="009A127F"/>
    <w:pPr>
      <w:widowControl w:val="0"/>
      <w:autoSpaceDE w:val="0"/>
      <w:autoSpaceDN w:val="0"/>
      <w:adjustRightInd w:val="0"/>
    </w:pPr>
    <w:rPr>
      <w:rFonts w:ascii="Book Antiqua" w:eastAsia="Times New Roman" w:hAnsi="Book Antiqua" w:cs="Book Antiqua"/>
      <w:color w:val="000000"/>
      <w:sz w:val="24"/>
      <w:szCs w:val="24"/>
    </w:rPr>
  </w:style>
  <w:style w:type="paragraph" w:styleId="ListNumber">
    <w:name w:val="List Number"/>
    <w:basedOn w:val="Normal"/>
    <w:uiPriority w:val="99"/>
    <w:rsid w:val="009A127F"/>
    <w:pPr>
      <w:numPr>
        <w:numId w:val="6"/>
      </w:numPr>
      <w:spacing w:before="120" w:after="0" w:line="240" w:lineRule="auto"/>
    </w:pPr>
    <w:rPr>
      <w:rFonts w:ascii="Times New Roman" w:eastAsia="Times New Roman" w:hAnsi="Times New Roman"/>
      <w:sz w:val="24"/>
      <w:szCs w:val="20"/>
    </w:rPr>
  </w:style>
  <w:style w:type="paragraph" w:styleId="ListNumber2">
    <w:name w:val="List Number 2"/>
    <w:basedOn w:val="Normal"/>
    <w:uiPriority w:val="99"/>
    <w:rsid w:val="009A127F"/>
    <w:pPr>
      <w:numPr>
        <w:ilvl w:val="1"/>
        <w:numId w:val="6"/>
      </w:numPr>
      <w:spacing w:before="120" w:after="0" w:line="240" w:lineRule="auto"/>
    </w:pPr>
    <w:rPr>
      <w:rFonts w:ascii="Times New Roman" w:eastAsia="Times New Roman" w:hAnsi="Times New Roman"/>
      <w:sz w:val="24"/>
      <w:szCs w:val="20"/>
    </w:rPr>
  </w:style>
  <w:style w:type="paragraph" w:styleId="ListNumber3">
    <w:name w:val="List Number 3"/>
    <w:basedOn w:val="Normal"/>
    <w:uiPriority w:val="99"/>
    <w:rsid w:val="009A127F"/>
    <w:pPr>
      <w:numPr>
        <w:ilvl w:val="2"/>
        <w:numId w:val="6"/>
      </w:numPr>
      <w:spacing w:before="120" w:after="0" w:line="240" w:lineRule="auto"/>
    </w:pPr>
    <w:rPr>
      <w:rFonts w:ascii="Times New Roman" w:eastAsia="Times New Roman" w:hAnsi="Times New Roman"/>
      <w:sz w:val="24"/>
      <w:szCs w:val="20"/>
    </w:rPr>
  </w:style>
  <w:style w:type="paragraph" w:styleId="ListNumber4">
    <w:name w:val="List Number 4"/>
    <w:basedOn w:val="Normal"/>
    <w:uiPriority w:val="99"/>
    <w:rsid w:val="009A127F"/>
    <w:pPr>
      <w:numPr>
        <w:ilvl w:val="3"/>
        <w:numId w:val="6"/>
      </w:numPr>
      <w:spacing w:before="120" w:after="0" w:line="240" w:lineRule="auto"/>
    </w:pPr>
    <w:rPr>
      <w:rFonts w:ascii="Times New Roman" w:eastAsia="Times New Roman" w:hAnsi="Times New Roman"/>
      <w:sz w:val="24"/>
      <w:szCs w:val="20"/>
    </w:rPr>
  </w:style>
  <w:style w:type="paragraph" w:styleId="ListParagraph">
    <w:name w:val="List Paragraph"/>
    <w:basedOn w:val="Normal"/>
    <w:uiPriority w:val="99"/>
    <w:qFormat/>
    <w:rsid w:val="009A127F"/>
    <w:pPr>
      <w:ind w:left="720"/>
      <w:contextualSpacing/>
    </w:pPr>
  </w:style>
  <w:style w:type="paragraph" w:styleId="BodyTextIndent2">
    <w:name w:val="Body Text Indent 2"/>
    <w:basedOn w:val="Normal"/>
    <w:link w:val="BodyTextIndent2Char"/>
    <w:uiPriority w:val="99"/>
    <w:rsid w:val="009A127F"/>
    <w:pPr>
      <w:spacing w:after="0" w:line="240" w:lineRule="auto"/>
      <w:ind w:left="360"/>
    </w:pPr>
    <w:rPr>
      <w:rFonts w:ascii="Times New Roman" w:hAnsi="Times New Roman"/>
      <w:sz w:val="24"/>
      <w:szCs w:val="24"/>
    </w:rPr>
  </w:style>
  <w:style w:type="character" w:customStyle="1" w:styleId="BodyTextIndent2Char">
    <w:name w:val="Body Text Indent 2 Char"/>
    <w:link w:val="BodyTextIndent2"/>
    <w:uiPriority w:val="99"/>
    <w:locked/>
    <w:rsid w:val="009A127F"/>
    <w:rPr>
      <w:rFonts w:ascii="Times New Roman" w:hAnsi="Times New Roman" w:cs="Times New Roman"/>
      <w:sz w:val="24"/>
      <w:szCs w:val="24"/>
    </w:rPr>
  </w:style>
  <w:style w:type="paragraph" w:styleId="PlainText">
    <w:name w:val="Plain Text"/>
    <w:basedOn w:val="Normal"/>
    <w:link w:val="PlainTextChar"/>
    <w:uiPriority w:val="99"/>
    <w:rsid w:val="009A127F"/>
    <w:pPr>
      <w:spacing w:after="0" w:line="240" w:lineRule="auto"/>
    </w:pPr>
    <w:rPr>
      <w:rFonts w:ascii="Consolas" w:eastAsia="Times New Roman" w:hAnsi="Consolas"/>
      <w:sz w:val="21"/>
      <w:szCs w:val="21"/>
    </w:rPr>
  </w:style>
  <w:style w:type="character" w:customStyle="1" w:styleId="PlainTextChar">
    <w:name w:val="Plain Text Char"/>
    <w:link w:val="PlainText"/>
    <w:uiPriority w:val="99"/>
    <w:locked/>
    <w:rsid w:val="009A127F"/>
    <w:rPr>
      <w:rFonts w:ascii="Consolas" w:eastAsia="Times New Roman" w:hAnsi="Consolas" w:cs="Times New Roman"/>
      <w:sz w:val="21"/>
      <w:szCs w:val="21"/>
    </w:rPr>
  </w:style>
  <w:style w:type="character" w:customStyle="1" w:styleId="DocumentMapChar">
    <w:name w:val="Document Map Char"/>
    <w:link w:val="DocumentMap"/>
    <w:uiPriority w:val="99"/>
    <w:semiHidden/>
    <w:locked/>
    <w:rsid w:val="009A127F"/>
    <w:rPr>
      <w:rFonts w:ascii="Tahoma" w:hAnsi="Tahoma" w:cs="Tahoma"/>
      <w:sz w:val="20"/>
      <w:szCs w:val="20"/>
      <w:shd w:val="clear" w:color="auto" w:fill="000080"/>
    </w:rPr>
  </w:style>
  <w:style w:type="paragraph" w:styleId="DocumentMap">
    <w:name w:val="Document Map"/>
    <w:basedOn w:val="Normal"/>
    <w:link w:val="DocumentMapChar"/>
    <w:uiPriority w:val="99"/>
    <w:semiHidden/>
    <w:rsid w:val="009A127F"/>
    <w:pPr>
      <w:shd w:val="clear" w:color="auto" w:fill="000080"/>
      <w:spacing w:after="0" w:line="240" w:lineRule="auto"/>
    </w:pPr>
    <w:rPr>
      <w:rFonts w:ascii="Tahoma" w:hAnsi="Tahoma"/>
      <w:sz w:val="20"/>
      <w:szCs w:val="20"/>
    </w:rPr>
  </w:style>
  <w:style w:type="character" w:customStyle="1" w:styleId="DocumentMapChar1">
    <w:name w:val="Document Map Char1"/>
    <w:uiPriority w:val="99"/>
    <w:semiHidden/>
    <w:rsid w:val="00876E91"/>
    <w:rPr>
      <w:rFonts w:ascii="Times New Roman" w:hAnsi="Times New Roman"/>
      <w:sz w:val="0"/>
      <w:szCs w:val="0"/>
    </w:rPr>
  </w:style>
  <w:style w:type="character" w:styleId="Hyperlink">
    <w:name w:val="Hyperlink"/>
    <w:uiPriority w:val="99"/>
    <w:rsid w:val="009A127F"/>
    <w:rPr>
      <w:rFonts w:cs="Times New Roman"/>
      <w:color w:val="0000FF"/>
      <w:u w:val="single"/>
    </w:rPr>
  </w:style>
  <w:style w:type="paragraph" w:customStyle="1" w:styleId="CharCharCharCharChar">
    <w:name w:val="Char Char Char Char Char"/>
    <w:basedOn w:val="Normal"/>
    <w:uiPriority w:val="99"/>
    <w:rsid w:val="009A127F"/>
    <w:pPr>
      <w:spacing w:after="160" w:line="240" w:lineRule="exact"/>
    </w:pPr>
    <w:rPr>
      <w:rFonts w:ascii="Verdana" w:eastAsia="Times New Roman" w:hAnsi="Verdana"/>
      <w:sz w:val="20"/>
      <w:szCs w:val="20"/>
    </w:rPr>
  </w:style>
  <w:style w:type="paragraph" w:customStyle="1" w:styleId="CharChar4">
    <w:name w:val="Char Char4"/>
    <w:basedOn w:val="Normal"/>
    <w:uiPriority w:val="99"/>
    <w:rsid w:val="009A127F"/>
    <w:pPr>
      <w:spacing w:after="160" w:line="240" w:lineRule="exact"/>
    </w:pPr>
    <w:rPr>
      <w:rFonts w:ascii="Verdana" w:eastAsia="Times New Roman" w:hAnsi="Verdana"/>
      <w:sz w:val="20"/>
      <w:szCs w:val="20"/>
    </w:rPr>
  </w:style>
  <w:style w:type="paragraph" w:customStyle="1" w:styleId="ParaText">
    <w:name w:val="ParaText"/>
    <w:basedOn w:val="Normal"/>
    <w:uiPriority w:val="99"/>
    <w:rsid w:val="009A127F"/>
    <w:pPr>
      <w:spacing w:after="240" w:line="260" w:lineRule="atLeast"/>
    </w:pPr>
    <w:rPr>
      <w:rFonts w:ascii="Times New Roman" w:eastAsia="Times New Roman" w:hAnsi="Times New Roman"/>
      <w:szCs w:val="24"/>
    </w:rPr>
  </w:style>
  <w:style w:type="character" w:customStyle="1" w:styleId="ParaTextChar">
    <w:name w:val="ParaText Char"/>
    <w:uiPriority w:val="99"/>
    <w:rsid w:val="009A127F"/>
    <w:rPr>
      <w:sz w:val="24"/>
      <w:lang w:val="en-US" w:eastAsia="en-US"/>
    </w:rPr>
  </w:style>
  <w:style w:type="paragraph" w:customStyle="1" w:styleId="CharChar1CharCharChar">
    <w:name w:val="Char Char1 Char Char Char"/>
    <w:basedOn w:val="Normal"/>
    <w:uiPriority w:val="99"/>
    <w:rsid w:val="009A127F"/>
    <w:pPr>
      <w:spacing w:after="160" w:line="240" w:lineRule="exact"/>
    </w:pPr>
    <w:rPr>
      <w:rFonts w:ascii="Verdana" w:eastAsia="Times New Roman" w:hAnsi="Verdana"/>
      <w:sz w:val="20"/>
      <w:szCs w:val="20"/>
    </w:rPr>
  </w:style>
  <w:style w:type="paragraph" w:customStyle="1" w:styleId="CharChar1">
    <w:name w:val="Char Char1"/>
    <w:basedOn w:val="Normal"/>
    <w:uiPriority w:val="99"/>
    <w:rsid w:val="009A127F"/>
    <w:pPr>
      <w:spacing w:after="160" w:line="240" w:lineRule="exact"/>
    </w:pPr>
    <w:rPr>
      <w:rFonts w:ascii="Verdana" w:eastAsia="Times New Roman" w:hAnsi="Verdana"/>
      <w:sz w:val="20"/>
      <w:szCs w:val="20"/>
    </w:rPr>
  </w:style>
  <w:style w:type="paragraph" w:customStyle="1" w:styleId="heading4Text">
    <w:name w:val="heading 4 Text"/>
    <w:basedOn w:val="Normal"/>
    <w:uiPriority w:val="99"/>
    <w:rsid w:val="009A127F"/>
    <w:pPr>
      <w:spacing w:after="0" w:line="480" w:lineRule="atLeast"/>
      <w:ind w:firstLine="2160"/>
    </w:pPr>
    <w:rPr>
      <w:rFonts w:ascii="Times New Roman" w:eastAsia="Times New Roman" w:hAnsi="Times New Roman"/>
      <w:sz w:val="24"/>
      <w:szCs w:val="24"/>
    </w:rPr>
  </w:style>
  <w:style w:type="character" w:customStyle="1" w:styleId="heading4TextChar">
    <w:name w:val="heading 4 Text Char"/>
    <w:uiPriority w:val="99"/>
    <w:rsid w:val="009A127F"/>
    <w:rPr>
      <w:sz w:val="24"/>
      <w:lang w:val="en-US" w:eastAsia="en-US"/>
    </w:rPr>
  </w:style>
  <w:style w:type="character" w:styleId="HTMLCite">
    <w:name w:val="HTML Cite"/>
    <w:uiPriority w:val="99"/>
    <w:rsid w:val="009A127F"/>
    <w:rPr>
      <w:rFonts w:cs="Times New Roman"/>
      <w:i/>
    </w:rPr>
  </w:style>
  <w:style w:type="paragraph" w:customStyle="1" w:styleId="CharChar4CharCharChar">
    <w:name w:val="Char Char4 Char Char Char"/>
    <w:basedOn w:val="Normal"/>
    <w:uiPriority w:val="99"/>
    <w:rsid w:val="009A127F"/>
    <w:pPr>
      <w:spacing w:after="160" w:line="240" w:lineRule="exact"/>
    </w:pPr>
    <w:rPr>
      <w:rFonts w:ascii="Verdana" w:eastAsia="Times New Roman" w:hAnsi="Verdana"/>
      <w:sz w:val="20"/>
      <w:szCs w:val="20"/>
    </w:rPr>
  </w:style>
  <w:style w:type="paragraph" w:styleId="EndnoteText">
    <w:name w:val="endnote text"/>
    <w:basedOn w:val="Normal"/>
    <w:link w:val="EndnoteTextChar"/>
    <w:uiPriority w:val="99"/>
    <w:rsid w:val="009A127F"/>
    <w:pPr>
      <w:spacing w:after="0" w:line="240" w:lineRule="auto"/>
    </w:pPr>
    <w:rPr>
      <w:rFonts w:ascii="Times New Roman" w:hAnsi="Times New Roman"/>
      <w:sz w:val="20"/>
      <w:szCs w:val="20"/>
    </w:rPr>
  </w:style>
  <w:style w:type="character" w:customStyle="1" w:styleId="EndnoteTextChar">
    <w:name w:val="Endnote Text Char"/>
    <w:link w:val="EndnoteText"/>
    <w:uiPriority w:val="99"/>
    <w:locked/>
    <w:rsid w:val="009A127F"/>
    <w:rPr>
      <w:rFonts w:ascii="Times New Roman" w:hAnsi="Times New Roman" w:cs="Times New Roman"/>
      <w:sz w:val="20"/>
      <w:szCs w:val="20"/>
    </w:rPr>
  </w:style>
  <w:style w:type="character" w:styleId="EndnoteReference">
    <w:name w:val="endnote reference"/>
    <w:uiPriority w:val="99"/>
    <w:rsid w:val="009A127F"/>
    <w:rPr>
      <w:rFonts w:cs="Times New Roman"/>
      <w:vertAlign w:val="superscript"/>
    </w:rPr>
  </w:style>
  <w:style w:type="paragraph" w:customStyle="1" w:styleId="ColorfulList-Accent11">
    <w:name w:val="Colorful List - Accent 11"/>
    <w:basedOn w:val="Normal"/>
    <w:uiPriority w:val="99"/>
    <w:rsid w:val="009A127F"/>
    <w:pPr>
      <w:spacing w:after="0" w:line="240" w:lineRule="auto"/>
      <w:ind w:left="720"/>
    </w:pPr>
    <w:rPr>
      <w:rFonts w:ascii="Times New Roman" w:eastAsia="Times New Roman" w:hAnsi="Times New Roman"/>
      <w:sz w:val="24"/>
      <w:szCs w:val="24"/>
    </w:rPr>
  </w:style>
  <w:style w:type="paragraph" w:styleId="Title">
    <w:name w:val="Title"/>
    <w:basedOn w:val="Normal"/>
    <w:next w:val="Normal"/>
    <w:link w:val="TitleChar"/>
    <w:uiPriority w:val="99"/>
    <w:qFormat/>
    <w:rsid w:val="009A127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99"/>
    <w:locked/>
    <w:rsid w:val="009A127F"/>
    <w:rPr>
      <w:rFonts w:ascii="Cambria" w:hAnsi="Cambria" w:cs="Times New Roman"/>
      <w:color w:val="17365D"/>
      <w:spacing w:val="5"/>
      <w:kern w:val="28"/>
      <w:sz w:val="52"/>
      <w:szCs w:val="52"/>
    </w:rPr>
  </w:style>
  <w:style w:type="character" w:customStyle="1" w:styleId="Heading1Char1">
    <w:name w:val="Heading 1 Char1"/>
    <w:aliases w:val="1 Char Char2,1 Char11,Heading 1 Char Char,1 Char Char21,1 Char111"/>
    <w:uiPriority w:val="99"/>
    <w:locked/>
    <w:rsid w:val="009A127F"/>
    <w:rPr>
      <w:rFonts w:ascii="Cambria" w:hAnsi="Cambria"/>
      <w:b/>
      <w:color w:val="345A8A"/>
      <w:sz w:val="32"/>
    </w:rPr>
  </w:style>
  <w:style w:type="character" w:customStyle="1" w:styleId="Heading1Char2">
    <w:name w:val="Heading 1 Char2"/>
    <w:aliases w:val="1 Char Char1,1 Char2"/>
    <w:uiPriority w:val="99"/>
    <w:locked/>
    <w:rsid w:val="009A127F"/>
    <w:rPr>
      <w:rFonts w:ascii="Cambria" w:hAnsi="Cambria"/>
      <w:b/>
      <w:color w:val="345A8A"/>
      <w:sz w:val="32"/>
    </w:rPr>
  </w:style>
  <w:style w:type="paragraph" w:styleId="NormalWeb">
    <w:name w:val="Normal (Web)"/>
    <w:basedOn w:val="Normal"/>
    <w:uiPriority w:val="99"/>
    <w:rsid w:val="009A127F"/>
    <w:pPr>
      <w:spacing w:before="100" w:beforeAutospacing="1" w:after="100" w:afterAutospacing="1" w:line="240" w:lineRule="auto"/>
    </w:pPr>
    <w:rPr>
      <w:rFonts w:ascii="Times New Roman" w:eastAsia="Times New Roman" w:hAnsi="Times New Roman"/>
      <w:sz w:val="24"/>
      <w:szCs w:val="24"/>
    </w:rPr>
  </w:style>
  <w:style w:type="paragraph" w:customStyle="1" w:styleId="BodyTexta">
    <w:name w:val="Body_Text_a)"/>
    <w:basedOn w:val="Normal"/>
    <w:uiPriority w:val="99"/>
    <w:rsid w:val="009A127F"/>
    <w:pPr>
      <w:tabs>
        <w:tab w:val="left" w:pos="1080"/>
      </w:tabs>
      <w:spacing w:after="120" w:line="240" w:lineRule="auto"/>
      <w:ind w:left="720"/>
    </w:pPr>
    <w:rPr>
      <w:rFonts w:ascii="Times New Roman" w:eastAsia="Times New Roman" w:hAnsi="Times New Roman"/>
      <w:sz w:val="24"/>
      <w:szCs w:val="24"/>
    </w:rPr>
  </w:style>
  <w:style w:type="paragraph" w:customStyle="1" w:styleId="Bodynormal">
    <w:name w:val="Body normal"/>
    <w:basedOn w:val="Normal"/>
    <w:uiPriority w:val="99"/>
    <w:rsid w:val="009A127F"/>
    <w:pPr>
      <w:numPr>
        <w:numId w:val="55"/>
      </w:numPr>
      <w:spacing w:after="120" w:line="264" w:lineRule="auto"/>
      <w:ind w:left="0" w:firstLine="0"/>
    </w:pPr>
    <w:rPr>
      <w:rFonts w:ascii="Times New Roman" w:eastAsia="Times New Roman" w:hAnsi="Times New Roman"/>
      <w:sz w:val="24"/>
      <w:szCs w:val="20"/>
    </w:rPr>
  </w:style>
  <w:style w:type="paragraph" w:customStyle="1" w:styleId="heading3Text">
    <w:name w:val="heading 3 Text"/>
    <w:basedOn w:val="Normal"/>
    <w:uiPriority w:val="99"/>
    <w:rsid w:val="009A127F"/>
    <w:pPr>
      <w:spacing w:after="0" w:line="480" w:lineRule="atLeast"/>
      <w:ind w:firstLine="1440"/>
    </w:pPr>
    <w:rPr>
      <w:rFonts w:ascii="Times New Roman" w:eastAsia="Times New Roman" w:hAnsi="Times New Roman"/>
      <w:sz w:val="24"/>
      <w:szCs w:val="20"/>
    </w:rPr>
  </w:style>
  <w:style w:type="paragraph" w:customStyle="1" w:styleId="2">
    <w:name w:val="2"/>
    <w:basedOn w:val="Normal"/>
    <w:uiPriority w:val="99"/>
    <w:rsid w:val="009A127F"/>
    <w:pPr>
      <w:spacing w:after="160" w:line="240" w:lineRule="exact"/>
    </w:pPr>
    <w:rPr>
      <w:rFonts w:ascii="Verdana" w:eastAsia="Times New Roman" w:hAnsi="Verdana"/>
      <w:sz w:val="20"/>
      <w:szCs w:val="20"/>
    </w:rPr>
  </w:style>
  <w:style w:type="paragraph" w:customStyle="1" w:styleId="TableHeading">
    <w:name w:val="Table Heading"/>
    <w:basedOn w:val="Normal"/>
    <w:uiPriority w:val="99"/>
    <w:rsid w:val="009A127F"/>
    <w:pPr>
      <w:keepNext/>
      <w:numPr>
        <w:ilvl w:val="12"/>
      </w:numPr>
      <w:spacing w:before="120" w:after="60" w:line="240" w:lineRule="auto"/>
      <w:jc w:val="center"/>
    </w:pPr>
    <w:rPr>
      <w:rFonts w:ascii="Arial" w:eastAsia="Times New Roman" w:hAnsi="Arial" w:cs="Arial"/>
      <w:b/>
      <w:caps/>
      <w:sz w:val="18"/>
      <w:szCs w:val="18"/>
    </w:rPr>
  </w:style>
  <w:style w:type="paragraph" w:customStyle="1" w:styleId="TableNote">
    <w:name w:val="Table Note"/>
    <w:basedOn w:val="Normal"/>
    <w:uiPriority w:val="99"/>
    <w:rsid w:val="009A127F"/>
    <w:pPr>
      <w:numPr>
        <w:ilvl w:val="12"/>
      </w:numPr>
      <w:spacing w:before="120" w:after="180" w:line="240" w:lineRule="auto"/>
      <w:ind w:left="360" w:right="187" w:hanging="187"/>
    </w:pPr>
    <w:rPr>
      <w:rFonts w:ascii="Arial" w:eastAsia="Times New Roman" w:hAnsi="Arial" w:cs="Arial"/>
      <w:sz w:val="16"/>
      <w:szCs w:val="20"/>
    </w:rPr>
  </w:style>
  <w:style w:type="paragraph" w:customStyle="1" w:styleId="TableBodyHeading">
    <w:name w:val="Table Body Heading"/>
    <w:basedOn w:val="Normal"/>
    <w:link w:val="TableBodyHeadingChar"/>
    <w:uiPriority w:val="99"/>
    <w:rsid w:val="009A127F"/>
    <w:pPr>
      <w:numPr>
        <w:ilvl w:val="12"/>
      </w:numPr>
      <w:spacing w:before="80" w:after="40" w:line="240" w:lineRule="auto"/>
      <w:ind w:left="144" w:hanging="144"/>
    </w:pPr>
    <w:rPr>
      <w:rFonts w:ascii="Arial" w:hAnsi="Arial"/>
      <w:b/>
      <w:sz w:val="20"/>
      <w:szCs w:val="20"/>
    </w:rPr>
  </w:style>
  <w:style w:type="character" w:customStyle="1" w:styleId="TableBodyHeadingChar">
    <w:name w:val="Table Body Heading Char"/>
    <w:link w:val="TableBodyHeading"/>
    <w:uiPriority w:val="99"/>
    <w:locked/>
    <w:rsid w:val="009A127F"/>
    <w:rPr>
      <w:rFonts w:ascii="Arial" w:hAnsi="Arial"/>
      <w:b/>
      <w:sz w:val="20"/>
    </w:rPr>
  </w:style>
  <w:style w:type="paragraph" w:customStyle="1" w:styleId="NormalWeb3">
    <w:name w:val="Normal (Web)3"/>
    <w:basedOn w:val="Normal"/>
    <w:uiPriority w:val="99"/>
    <w:rsid w:val="009A127F"/>
    <w:pPr>
      <w:spacing w:after="264" w:line="240" w:lineRule="auto"/>
    </w:pPr>
    <w:rPr>
      <w:rFonts w:ascii="Arial" w:eastAsia="Times New Roman" w:hAnsi="Arial" w:cs="Arial"/>
      <w:color w:val="000000"/>
      <w:sz w:val="23"/>
      <w:szCs w:val="23"/>
    </w:rPr>
  </w:style>
  <w:style w:type="paragraph" w:customStyle="1" w:styleId="Char1CharChar">
    <w:name w:val="Char1 Char Char"/>
    <w:basedOn w:val="Normal"/>
    <w:uiPriority w:val="99"/>
    <w:rsid w:val="009A127F"/>
    <w:pPr>
      <w:spacing w:after="160" w:line="240" w:lineRule="exact"/>
    </w:pPr>
    <w:rPr>
      <w:rFonts w:ascii="Verdana" w:eastAsia="Times New Roman" w:hAnsi="Verdana"/>
      <w:sz w:val="20"/>
      <w:szCs w:val="20"/>
    </w:rPr>
  </w:style>
  <w:style w:type="paragraph" w:customStyle="1" w:styleId="CharChar">
    <w:name w:val="Char Char"/>
    <w:basedOn w:val="Normal"/>
    <w:uiPriority w:val="99"/>
    <w:rsid w:val="009A127F"/>
    <w:pPr>
      <w:spacing w:after="160" w:line="240" w:lineRule="exact"/>
    </w:pPr>
    <w:rPr>
      <w:rFonts w:ascii="Verdana" w:eastAsia="Times New Roman" w:hAnsi="Verdana"/>
      <w:sz w:val="20"/>
      <w:szCs w:val="20"/>
    </w:rPr>
  </w:style>
  <w:style w:type="paragraph" w:customStyle="1" w:styleId="ESListNumbered">
    <w:name w:val="ES List Numbered"/>
    <w:basedOn w:val="Normal"/>
    <w:uiPriority w:val="99"/>
    <w:rsid w:val="009A127F"/>
    <w:pPr>
      <w:tabs>
        <w:tab w:val="num" w:pos="360"/>
      </w:tabs>
      <w:suppressAutoHyphens/>
      <w:spacing w:after="120" w:line="240" w:lineRule="auto"/>
      <w:ind w:left="720"/>
    </w:pPr>
    <w:rPr>
      <w:rFonts w:ascii="Garamond" w:eastAsia="Times New Roman" w:hAnsi="Garamond" w:cs="Garamond"/>
      <w:kern w:val="20"/>
    </w:rPr>
  </w:style>
  <w:style w:type="paragraph" w:customStyle="1" w:styleId="Bullet">
    <w:name w:val="Bullet"/>
    <w:basedOn w:val="Normal"/>
    <w:uiPriority w:val="99"/>
    <w:rsid w:val="009A127F"/>
    <w:pPr>
      <w:tabs>
        <w:tab w:val="num" w:pos="1080"/>
      </w:tabs>
      <w:spacing w:after="120" w:line="240" w:lineRule="auto"/>
      <w:ind w:left="1080" w:hanging="360"/>
    </w:pPr>
    <w:rPr>
      <w:rFonts w:ascii="Times New Roman" w:eastAsia="Times New Roman" w:hAnsi="Times New Roman"/>
      <w:sz w:val="24"/>
      <w:szCs w:val="24"/>
    </w:rPr>
  </w:style>
  <w:style w:type="paragraph" w:customStyle="1" w:styleId="basictext0">
    <w:name w:val="basic text"/>
    <w:basedOn w:val="Normal"/>
    <w:uiPriority w:val="99"/>
    <w:rsid w:val="009A127F"/>
    <w:pPr>
      <w:spacing w:after="120" w:line="240" w:lineRule="auto"/>
      <w:ind w:left="1080"/>
    </w:pPr>
    <w:rPr>
      <w:rFonts w:ascii="Times New Roman" w:eastAsia="Times New Roman" w:hAnsi="Times New Roman"/>
      <w:sz w:val="24"/>
      <w:szCs w:val="24"/>
    </w:rPr>
  </w:style>
  <w:style w:type="character" w:customStyle="1" w:styleId="a1">
    <w:name w:val="a1"/>
    <w:uiPriority w:val="99"/>
    <w:rsid w:val="009A127F"/>
    <w:rPr>
      <w:color w:val="008000"/>
      <w:sz w:val="20"/>
    </w:rPr>
  </w:style>
  <w:style w:type="paragraph" w:customStyle="1" w:styleId="EPRIBulletedList">
    <w:name w:val="EPRI Bulleted List"/>
    <w:basedOn w:val="Normal"/>
    <w:uiPriority w:val="99"/>
    <w:rsid w:val="009A127F"/>
    <w:pPr>
      <w:tabs>
        <w:tab w:val="num" w:pos="360"/>
      </w:tabs>
      <w:spacing w:after="120" w:line="264" w:lineRule="auto"/>
      <w:ind w:left="360" w:hanging="360"/>
    </w:pPr>
    <w:rPr>
      <w:rFonts w:ascii="Times New Roman" w:eastAsia="Times New Roman" w:hAnsi="Times New Roman"/>
      <w:sz w:val="24"/>
      <w:szCs w:val="20"/>
    </w:rPr>
  </w:style>
  <w:style w:type="paragraph" w:styleId="BodyText">
    <w:name w:val="Body Text"/>
    <w:basedOn w:val="Normal"/>
    <w:link w:val="BodyTextChar"/>
    <w:uiPriority w:val="99"/>
    <w:rsid w:val="009A127F"/>
    <w:pPr>
      <w:spacing w:after="120" w:line="240" w:lineRule="auto"/>
    </w:pPr>
    <w:rPr>
      <w:rFonts w:ascii="Times New Roman" w:hAnsi="Times New Roman"/>
      <w:sz w:val="24"/>
      <w:szCs w:val="24"/>
    </w:rPr>
  </w:style>
  <w:style w:type="character" w:customStyle="1" w:styleId="BodyTextChar">
    <w:name w:val="Body Text Char"/>
    <w:link w:val="BodyText"/>
    <w:uiPriority w:val="99"/>
    <w:locked/>
    <w:rsid w:val="009A127F"/>
    <w:rPr>
      <w:rFonts w:ascii="Times New Roman" w:hAnsi="Times New Roman" w:cs="Arial Unicode MS"/>
      <w:sz w:val="24"/>
      <w:szCs w:val="24"/>
    </w:rPr>
  </w:style>
  <w:style w:type="paragraph" w:customStyle="1" w:styleId="n">
    <w:name w:val="n"/>
    <w:basedOn w:val="Normal"/>
    <w:uiPriority w:val="99"/>
    <w:rsid w:val="009A127F"/>
    <w:pPr>
      <w:tabs>
        <w:tab w:val="left" w:pos="288"/>
        <w:tab w:val="left" w:pos="720"/>
        <w:tab w:val="left" w:pos="1008"/>
      </w:tabs>
      <w:spacing w:before="60" w:after="80" w:line="320" w:lineRule="exact"/>
      <w:ind w:firstLine="360"/>
      <w:jc w:val="both"/>
    </w:pPr>
    <w:rPr>
      <w:rFonts w:ascii="Times New Roman" w:eastAsia="Times New Roman" w:hAnsi="Times New Roman"/>
      <w:sz w:val="24"/>
      <w:szCs w:val="20"/>
    </w:rPr>
  </w:style>
  <w:style w:type="paragraph" w:customStyle="1" w:styleId="bi">
    <w:name w:val="bi"/>
    <w:basedOn w:val="Normal"/>
    <w:uiPriority w:val="99"/>
    <w:rsid w:val="009A127F"/>
    <w:pPr>
      <w:numPr>
        <w:numId w:val="57"/>
      </w:numPr>
      <w:spacing w:before="60" w:after="0" w:line="280" w:lineRule="exact"/>
      <w:jc w:val="both"/>
    </w:pPr>
    <w:rPr>
      <w:rFonts w:ascii="Times New Roman" w:eastAsia="Times New Roman" w:hAnsi="Times New Roman"/>
      <w:sz w:val="24"/>
      <w:szCs w:val="20"/>
    </w:rPr>
  </w:style>
  <w:style w:type="paragraph" w:customStyle="1" w:styleId="Char1CharCharCharCharCharCharChar">
    <w:name w:val="Char1 Char Char Char Char Char Char Char"/>
    <w:basedOn w:val="Normal"/>
    <w:uiPriority w:val="99"/>
    <w:rsid w:val="009A127F"/>
    <w:pPr>
      <w:spacing w:after="160" w:line="240" w:lineRule="exact"/>
    </w:pPr>
    <w:rPr>
      <w:rFonts w:ascii="Verdana" w:eastAsia="Times New Roman" w:hAnsi="Verdana"/>
      <w:sz w:val="20"/>
      <w:szCs w:val="20"/>
    </w:rPr>
  </w:style>
  <w:style w:type="paragraph" w:customStyle="1" w:styleId="HTMLBody">
    <w:name w:val="HTML Body"/>
    <w:uiPriority w:val="99"/>
    <w:rsid w:val="009A127F"/>
    <w:pPr>
      <w:autoSpaceDE w:val="0"/>
      <w:autoSpaceDN w:val="0"/>
      <w:adjustRightInd w:val="0"/>
    </w:pPr>
    <w:rPr>
      <w:rFonts w:ascii="Arial" w:eastAsia="Times New Roman" w:hAnsi="Arial"/>
    </w:rPr>
  </w:style>
  <w:style w:type="paragraph" w:customStyle="1" w:styleId="StylePicturebulleted10pt">
    <w:name w:val="Style Picture bulleted 10 pt"/>
    <w:basedOn w:val="Normal"/>
    <w:link w:val="StylePicturebulleted10ptChar"/>
    <w:uiPriority w:val="99"/>
    <w:rsid w:val="009A127F"/>
    <w:pPr>
      <w:numPr>
        <w:numId w:val="59"/>
      </w:numPr>
      <w:spacing w:after="120" w:line="240" w:lineRule="auto"/>
      <w:jc w:val="both"/>
    </w:pPr>
    <w:rPr>
      <w:rFonts w:ascii="Garamond" w:eastAsia="Times New Roman" w:hAnsi="Garamond"/>
      <w:sz w:val="24"/>
      <w:szCs w:val="24"/>
    </w:rPr>
  </w:style>
  <w:style w:type="character" w:customStyle="1" w:styleId="StylePicturebulleted10ptChar">
    <w:name w:val="Style Picture bulleted 10 pt Char"/>
    <w:link w:val="StylePicturebulleted10pt"/>
    <w:uiPriority w:val="99"/>
    <w:locked/>
    <w:rsid w:val="009A127F"/>
    <w:rPr>
      <w:rFonts w:ascii="Garamond" w:eastAsia="Times New Roman" w:hAnsi="Garamond"/>
      <w:sz w:val="24"/>
      <w:szCs w:val="24"/>
    </w:rPr>
  </w:style>
  <w:style w:type="paragraph" w:customStyle="1" w:styleId="StyleNumbered">
    <w:name w:val="Style Numbered"/>
    <w:basedOn w:val="Normal"/>
    <w:uiPriority w:val="99"/>
    <w:rsid w:val="009A127F"/>
    <w:pPr>
      <w:numPr>
        <w:numId w:val="58"/>
      </w:numPr>
      <w:spacing w:after="240" w:line="240" w:lineRule="auto"/>
      <w:jc w:val="both"/>
    </w:pPr>
    <w:rPr>
      <w:rFonts w:ascii="Garamond" w:eastAsia="Times New Roman" w:hAnsi="Garamond"/>
      <w:sz w:val="24"/>
      <w:szCs w:val="24"/>
    </w:rPr>
  </w:style>
  <w:style w:type="paragraph" w:customStyle="1" w:styleId="sub1">
    <w:name w:val="sub 1"/>
    <w:basedOn w:val="Normal"/>
    <w:uiPriority w:val="99"/>
    <w:rsid w:val="009A127F"/>
    <w:pPr>
      <w:spacing w:before="160" w:after="160" w:line="280" w:lineRule="atLeast"/>
      <w:ind w:right="360"/>
      <w:jc w:val="both"/>
    </w:pPr>
    <w:rPr>
      <w:rFonts w:ascii="Garamond" w:eastAsia="Times New Roman" w:hAnsi="Garamond"/>
      <w:sz w:val="24"/>
      <w:szCs w:val="20"/>
    </w:rPr>
  </w:style>
  <w:style w:type="paragraph" w:customStyle="1" w:styleId="Body">
    <w:name w:val="Body"/>
    <w:basedOn w:val="Normal"/>
    <w:uiPriority w:val="99"/>
    <w:rsid w:val="009A127F"/>
    <w:pPr>
      <w:tabs>
        <w:tab w:val="left" w:pos="360"/>
      </w:tabs>
      <w:spacing w:after="0" w:line="240" w:lineRule="auto"/>
    </w:pPr>
    <w:rPr>
      <w:rFonts w:ascii="Times New Roman" w:eastAsia="Times New Roman" w:hAnsi="Times New Roman"/>
      <w:sz w:val="24"/>
      <w:szCs w:val="24"/>
      <w:lang w:eastAsia="ja-JP"/>
    </w:rPr>
  </w:style>
  <w:style w:type="paragraph" w:customStyle="1" w:styleId="CharChar2">
    <w:name w:val="Char Char2"/>
    <w:basedOn w:val="Normal"/>
    <w:uiPriority w:val="99"/>
    <w:rsid w:val="009A127F"/>
    <w:pPr>
      <w:numPr>
        <w:numId w:val="65"/>
      </w:numPr>
      <w:tabs>
        <w:tab w:val="clear" w:pos="360"/>
      </w:tabs>
      <w:spacing w:after="160" w:line="240" w:lineRule="exact"/>
      <w:ind w:left="0" w:firstLine="0"/>
    </w:pPr>
    <w:rPr>
      <w:rFonts w:ascii="Verdana" w:eastAsia="Times New Roman" w:hAnsi="Verdana"/>
      <w:sz w:val="20"/>
      <w:szCs w:val="20"/>
    </w:rPr>
  </w:style>
  <w:style w:type="paragraph" w:customStyle="1" w:styleId="ProposalNormalText">
    <w:name w:val="Proposal Normal Text"/>
    <w:basedOn w:val="Normal"/>
    <w:link w:val="ProposalNormalTextChar"/>
    <w:uiPriority w:val="99"/>
    <w:rsid w:val="009A127F"/>
    <w:pPr>
      <w:spacing w:before="120" w:after="60" w:line="240" w:lineRule="auto"/>
    </w:pPr>
    <w:rPr>
      <w:sz w:val="20"/>
      <w:szCs w:val="20"/>
      <w:lang w:eastAsia="ja-JP"/>
    </w:rPr>
  </w:style>
  <w:style w:type="character" w:customStyle="1" w:styleId="ProposalNormalTextChar">
    <w:name w:val="Proposal Normal Text Char"/>
    <w:link w:val="ProposalNormalText"/>
    <w:uiPriority w:val="99"/>
    <w:locked/>
    <w:rsid w:val="009A127F"/>
    <w:rPr>
      <w:rFonts w:ascii="Calibri" w:hAnsi="Calibri"/>
      <w:sz w:val="20"/>
      <w:lang w:eastAsia="ja-JP"/>
    </w:rPr>
  </w:style>
  <w:style w:type="paragraph" w:customStyle="1" w:styleId="Proposalnumbereditems">
    <w:name w:val="Proposal numbered items"/>
    <w:basedOn w:val="Normal"/>
    <w:link w:val="ProposalnumbereditemsChar"/>
    <w:uiPriority w:val="99"/>
    <w:rsid w:val="009A127F"/>
    <w:pPr>
      <w:numPr>
        <w:numId w:val="60"/>
      </w:numPr>
      <w:spacing w:before="60" w:after="60" w:line="240" w:lineRule="auto"/>
    </w:pPr>
    <w:rPr>
      <w:rFonts w:eastAsia="Times New Roman"/>
      <w:sz w:val="20"/>
      <w:szCs w:val="24"/>
      <w:lang w:eastAsia="ja-JP"/>
    </w:rPr>
  </w:style>
  <w:style w:type="character" w:customStyle="1" w:styleId="ProposalnumbereditemsChar">
    <w:name w:val="Proposal numbered items Char"/>
    <w:link w:val="Proposalnumbereditems"/>
    <w:uiPriority w:val="99"/>
    <w:locked/>
    <w:rsid w:val="009A127F"/>
    <w:rPr>
      <w:rFonts w:eastAsia="Times New Roman"/>
      <w:szCs w:val="24"/>
      <w:lang w:eastAsia="ja-JP"/>
    </w:rPr>
  </w:style>
  <w:style w:type="paragraph" w:styleId="BodyText2">
    <w:name w:val="Body Text 2"/>
    <w:basedOn w:val="Normal"/>
    <w:link w:val="BodyText2Char"/>
    <w:uiPriority w:val="99"/>
    <w:rsid w:val="009A127F"/>
    <w:pPr>
      <w:spacing w:after="120" w:line="480" w:lineRule="auto"/>
    </w:pPr>
    <w:rPr>
      <w:rFonts w:ascii="Times New Roman" w:hAnsi="Times New Roman"/>
      <w:sz w:val="24"/>
      <w:szCs w:val="24"/>
    </w:rPr>
  </w:style>
  <w:style w:type="character" w:customStyle="1" w:styleId="BodyText2Char">
    <w:name w:val="Body Text 2 Char"/>
    <w:link w:val="BodyText2"/>
    <w:uiPriority w:val="99"/>
    <w:locked/>
    <w:rsid w:val="009A127F"/>
    <w:rPr>
      <w:rFonts w:ascii="Times New Roman" w:hAnsi="Times New Roman" w:cs="Times New Roman"/>
      <w:sz w:val="24"/>
      <w:szCs w:val="24"/>
    </w:rPr>
  </w:style>
  <w:style w:type="paragraph" w:customStyle="1" w:styleId="CEESPSectionHeader">
    <w:name w:val="CEESP Section Header #"/>
    <w:basedOn w:val="Title"/>
    <w:uiPriority w:val="99"/>
    <w:rsid w:val="009A127F"/>
    <w:pPr>
      <w:numPr>
        <w:numId w:val="61"/>
      </w:numPr>
      <w:pBdr>
        <w:bottom w:val="none" w:sz="0" w:space="0" w:color="auto"/>
      </w:pBdr>
      <w:snapToGrid w:val="0"/>
      <w:spacing w:before="360" w:after="120"/>
      <w:contextualSpacing w:val="0"/>
      <w:outlineLvl w:val="0"/>
    </w:pPr>
    <w:rPr>
      <w:rFonts w:ascii="Times New Roman" w:eastAsia="MS Mincho" w:hAnsi="Times New Roman"/>
      <w:color w:val="000000"/>
      <w:sz w:val="36"/>
      <w:szCs w:val="24"/>
    </w:rPr>
  </w:style>
  <w:style w:type="paragraph" w:customStyle="1" w:styleId="CEESPsubhead1">
    <w:name w:val="CEESP subhead 1 #"/>
    <w:basedOn w:val="Normal"/>
    <w:uiPriority w:val="99"/>
    <w:rsid w:val="009A127F"/>
    <w:pPr>
      <w:numPr>
        <w:numId w:val="66"/>
      </w:numPr>
      <w:tabs>
        <w:tab w:val="num" w:pos="720"/>
      </w:tabs>
      <w:autoSpaceDE w:val="0"/>
      <w:autoSpaceDN w:val="0"/>
      <w:adjustRightInd w:val="0"/>
      <w:spacing w:before="360" w:after="0" w:line="240" w:lineRule="auto"/>
      <w:ind w:hanging="720"/>
    </w:pPr>
    <w:rPr>
      <w:rFonts w:ascii="Times New Roman" w:hAnsi="Times New Roman"/>
      <w:b/>
      <w:color w:val="000000"/>
      <w:sz w:val="28"/>
      <w:szCs w:val="24"/>
    </w:rPr>
  </w:style>
  <w:style w:type="paragraph" w:customStyle="1" w:styleId="CEESPsubhead2">
    <w:name w:val="CEESP subhead 2 #"/>
    <w:basedOn w:val="Normal"/>
    <w:uiPriority w:val="99"/>
    <w:rsid w:val="009A127F"/>
    <w:pPr>
      <w:numPr>
        <w:ilvl w:val="2"/>
        <w:numId w:val="61"/>
      </w:numPr>
      <w:autoSpaceDE w:val="0"/>
      <w:autoSpaceDN w:val="0"/>
      <w:adjustRightInd w:val="0"/>
      <w:spacing w:before="360" w:after="0" w:line="240" w:lineRule="auto"/>
    </w:pPr>
    <w:rPr>
      <w:rFonts w:ascii="Times New Roman" w:hAnsi="Times New Roman"/>
      <w:i/>
      <w:color w:val="000000"/>
      <w:sz w:val="24"/>
      <w:szCs w:val="24"/>
    </w:rPr>
  </w:style>
  <w:style w:type="paragraph" w:customStyle="1" w:styleId="QuickFormat3">
    <w:name w:val="QuickFormat3"/>
    <w:uiPriority w:val="99"/>
    <w:rsid w:val="009A127F"/>
    <w:pPr>
      <w:widowControl w:val="0"/>
      <w:numPr>
        <w:numId w:val="67"/>
      </w:numPr>
      <w:tabs>
        <w:tab w:val="clear" w:pos="720"/>
      </w:tabs>
      <w:autoSpaceDE w:val="0"/>
      <w:autoSpaceDN w:val="0"/>
      <w:adjustRightInd w:val="0"/>
      <w:ind w:left="0" w:firstLine="0"/>
    </w:pPr>
    <w:rPr>
      <w:rFonts w:ascii="Arial" w:eastAsia="Times New Roman" w:hAnsi="Arial" w:cs="Arial"/>
      <w:sz w:val="22"/>
      <w:szCs w:val="22"/>
    </w:rPr>
  </w:style>
  <w:style w:type="paragraph" w:customStyle="1" w:styleId="Paragraph">
    <w:name w:val="Paragraph"/>
    <w:basedOn w:val="Normal"/>
    <w:uiPriority w:val="99"/>
    <w:rsid w:val="009A127F"/>
    <w:pPr>
      <w:spacing w:before="180" w:after="0" w:line="360" w:lineRule="auto"/>
    </w:pPr>
    <w:rPr>
      <w:rFonts w:ascii="Times" w:eastAsia="Times New Roman" w:hAnsi="Times"/>
      <w:sz w:val="24"/>
      <w:szCs w:val="20"/>
    </w:rPr>
  </w:style>
  <w:style w:type="paragraph" w:customStyle="1" w:styleId="Indent">
    <w:name w:val="Indent"/>
    <w:basedOn w:val="Normal"/>
    <w:uiPriority w:val="99"/>
    <w:rsid w:val="009A127F"/>
    <w:pPr>
      <w:spacing w:before="180" w:after="0" w:line="360" w:lineRule="auto"/>
      <w:ind w:left="720" w:right="720"/>
    </w:pPr>
    <w:rPr>
      <w:rFonts w:ascii="Times" w:eastAsia="Times New Roman" w:hAnsi="Times"/>
      <w:sz w:val="24"/>
      <w:szCs w:val="20"/>
    </w:rPr>
  </w:style>
  <w:style w:type="character" w:customStyle="1" w:styleId="qoutes1">
    <w:name w:val="qoutes1"/>
    <w:uiPriority w:val="99"/>
    <w:rsid w:val="009A127F"/>
    <w:rPr>
      <w:rFonts w:ascii="Verdana" w:hAnsi="Verdana"/>
      <w:color w:val="333366"/>
      <w:w w:val="225"/>
      <w:sz w:val="20"/>
    </w:rPr>
  </w:style>
  <w:style w:type="paragraph" w:styleId="BodyTextIndent3">
    <w:name w:val="Body Text Indent 3"/>
    <w:basedOn w:val="Normal"/>
    <w:link w:val="BodyTextIndent3Char"/>
    <w:uiPriority w:val="99"/>
    <w:rsid w:val="009A127F"/>
    <w:pPr>
      <w:spacing w:after="120" w:line="240" w:lineRule="auto"/>
      <w:ind w:left="360"/>
    </w:pPr>
    <w:rPr>
      <w:rFonts w:ascii="Times New Roman" w:hAnsi="Times New Roman"/>
      <w:sz w:val="16"/>
      <w:szCs w:val="16"/>
    </w:rPr>
  </w:style>
  <w:style w:type="character" w:customStyle="1" w:styleId="BodyTextIndent3Char">
    <w:name w:val="Body Text Indent 3 Char"/>
    <w:link w:val="BodyTextIndent3"/>
    <w:uiPriority w:val="99"/>
    <w:locked/>
    <w:rsid w:val="009A127F"/>
    <w:rPr>
      <w:rFonts w:ascii="Times New Roman" w:hAnsi="Times New Roman" w:cs="Times New Roman"/>
      <w:sz w:val="16"/>
      <w:szCs w:val="16"/>
    </w:rPr>
  </w:style>
  <w:style w:type="paragraph" w:customStyle="1" w:styleId="Formal1">
    <w:name w:val="Formal1"/>
    <w:basedOn w:val="Normal"/>
    <w:uiPriority w:val="99"/>
    <w:rsid w:val="009A127F"/>
    <w:pPr>
      <w:spacing w:before="60" w:after="60" w:line="240" w:lineRule="auto"/>
    </w:pPr>
    <w:rPr>
      <w:rFonts w:ascii="Times New Roman" w:eastAsia="Times New Roman" w:hAnsi="Times New Roman"/>
      <w:sz w:val="24"/>
      <w:szCs w:val="20"/>
    </w:rPr>
  </w:style>
  <w:style w:type="paragraph" w:customStyle="1" w:styleId="CEESPsubhead1no">
    <w:name w:val="CEESP subhead 1 no #"/>
    <w:basedOn w:val="Normal"/>
    <w:next w:val="Normal"/>
    <w:uiPriority w:val="99"/>
    <w:rsid w:val="009A127F"/>
    <w:pPr>
      <w:autoSpaceDE w:val="0"/>
      <w:autoSpaceDN w:val="0"/>
      <w:adjustRightInd w:val="0"/>
      <w:spacing w:before="360" w:after="0" w:line="240" w:lineRule="auto"/>
    </w:pPr>
    <w:rPr>
      <w:rFonts w:ascii="Times New Roman" w:hAnsi="Times New Roman"/>
      <w:b/>
      <w:color w:val="000000"/>
      <w:sz w:val="28"/>
    </w:rPr>
  </w:style>
  <w:style w:type="paragraph" w:customStyle="1" w:styleId="CEESPbodylistwbulletChar">
    <w:name w:val="CEESP body list w/ bullet Char"/>
    <w:basedOn w:val="Normal"/>
    <w:link w:val="CEESPbodylistwbulletCharChar"/>
    <w:uiPriority w:val="99"/>
    <w:rsid w:val="009A127F"/>
    <w:pPr>
      <w:numPr>
        <w:numId w:val="62"/>
      </w:numPr>
      <w:spacing w:before="120" w:after="0" w:line="240" w:lineRule="auto"/>
    </w:pPr>
    <w:rPr>
      <w:rFonts w:ascii="Times New Roman" w:hAnsi="Times New Roman"/>
      <w:color w:val="000000"/>
      <w:sz w:val="24"/>
      <w:szCs w:val="20"/>
    </w:rPr>
  </w:style>
  <w:style w:type="character" w:customStyle="1" w:styleId="CEESPbodylistwbulletCharChar">
    <w:name w:val="CEESP body list w/ bullet Char Char"/>
    <w:link w:val="CEESPbodylistwbulletChar"/>
    <w:uiPriority w:val="99"/>
    <w:locked/>
    <w:rsid w:val="009A127F"/>
    <w:rPr>
      <w:rFonts w:ascii="Times New Roman" w:hAnsi="Times New Roman"/>
      <w:color w:val="000000"/>
      <w:sz w:val="24"/>
    </w:rPr>
  </w:style>
  <w:style w:type="paragraph" w:styleId="ListContinue">
    <w:name w:val="List Continue"/>
    <w:basedOn w:val="Normal"/>
    <w:uiPriority w:val="99"/>
    <w:rsid w:val="009A127F"/>
    <w:pPr>
      <w:spacing w:after="120" w:line="240" w:lineRule="auto"/>
      <w:ind w:left="360"/>
    </w:pPr>
    <w:rPr>
      <w:rFonts w:ascii="Times New Roman" w:eastAsia="Times New Roman" w:hAnsi="Times New Roman"/>
      <w:sz w:val="24"/>
      <w:szCs w:val="24"/>
    </w:rPr>
  </w:style>
  <w:style w:type="paragraph" w:styleId="ListBullet2">
    <w:name w:val="List Bullet 2"/>
    <w:basedOn w:val="Normal"/>
    <w:autoRedefine/>
    <w:uiPriority w:val="99"/>
    <w:rsid w:val="009A127F"/>
    <w:pPr>
      <w:spacing w:after="0" w:line="240" w:lineRule="auto"/>
      <w:ind w:left="-360"/>
    </w:pPr>
    <w:rPr>
      <w:rFonts w:ascii="Times New Roman" w:eastAsia="Times New Roman" w:hAnsi="Times New Roman"/>
      <w:sz w:val="24"/>
      <w:szCs w:val="24"/>
    </w:rPr>
  </w:style>
  <w:style w:type="paragraph" w:styleId="BlockText">
    <w:name w:val="Block Text"/>
    <w:basedOn w:val="Normal"/>
    <w:uiPriority w:val="99"/>
    <w:rsid w:val="009A127F"/>
    <w:pPr>
      <w:overflowPunct w:val="0"/>
      <w:autoSpaceDE w:val="0"/>
      <w:autoSpaceDN w:val="0"/>
      <w:adjustRightInd w:val="0"/>
      <w:spacing w:after="0" w:line="240" w:lineRule="auto"/>
      <w:ind w:left="1080" w:right="617"/>
      <w:textAlignment w:val="baseline"/>
    </w:pPr>
    <w:rPr>
      <w:rFonts w:ascii="Times New Roman" w:eastAsia="Times New Roman" w:hAnsi="Times New Roman"/>
      <w:sz w:val="24"/>
      <w:szCs w:val="20"/>
    </w:rPr>
  </w:style>
  <w:style w:type="paragraph" w:styleId="ListBullet3">
    <w:name w:val="List Bullet 3"/>
    <w:basedOn w:val="Normal"/>
    <w:autoRedefine/>
    <w:uiPriority w:val="99"/>
    <w:rsid w:val="009A127F"/>
    <w:pPr>
      <w:numPr>
        <w:numId w:val="68"/>
      </w:numPr>
      <w:tabs>
        <w:tab w:val="clear" w:pos="360"/>
        <w:tab w:val="num" w:pos="1080"/>
      </w:tabs>
      <w:spacing w:after="0" w:line="240" w:lineRule="auto"/>
      <w:ind w:left="1080"/>
    </w:pPr>
    <w:rPr>
      <w:rFonts w:ascii="Times New Roman" w:eastAsia="Times New Roman" w:hAnsi="Times New Roman"/>
      <w:sz w:val="24"/>
      <w:szCs w:val="24"/>
    </w:rPr>
  </w:style>
  <w:style w:type="paragraph" w:customStyle="1" w:styleId="CEESPBody">
    <w:name w:val="CEESP Body"/>
    <w:basedOn w:val="Normal"/>
    <w:uiPriority w:val="99"/>
    <w:rsid w:val="009A127F"/>
    <w:pPr>
      <w:autoSpaceDE w:val="0"/>
      <w:autoSpaceDN w:val="0"/>
      <w:adjustRightInd w:val="0"/>
      <w:spacing w:before="240" w:after="0" w:line="240" w:lineRule="auto"/>
      <w:ind w:firstLine="720"/>
    </w:pPr>
    <w:rPr>
      <w:rFonts w:ascii="Times New Roman" w:eastAsia="Times New Roman" w:hAnsi="Times New Roman"/>
      <w:color w:val="000000"/>
      <w:sz w:val="24"/>
      <w:szCs w:val="24"/>
    </w:rPr>
  </w:style>
  <w:style w:type="paragraph" w:customStyle="1" w:styleId="CEESPbodylistw">
    <w:name w:val="CEESP body list w/ #"/>
    <w:basedOn w:val="Normal"/>
    <w:uiPriority w:val="99"/>
    <w:rsid w:val="009A127F"/>
    <w:pPr>
      <w:tabs>
        <w:tab w:val="num" w:pos="720"/>
      </w:tabs>
      <w:spacing w:before="120" w:after="0" w:line="240" w:lineRule="auto"/>
      <w:ind w:left="720" w:hanging="360"/>
    </w:pPr>
    <w:rPr>
      <w:rFonts w:ascii="Times New Roman" w:eastAsia="Times New Roman" w:hAnsi="Times New Roman"/>
      <w:bCs/>
      <w:iCs/>
      <w:color w:val="000000"/>
      <w:sz w:val="24"/>
      <w:szCs w:val="24"/>
    </w:rPr>
  </w:style>
  <w:style w:type="paragraph" w:customStyle="1" w:styleId="Tablehead">
    <w:name w:val="Table head"/>
    <w:basedOn w:val="Normal"/>
    <w:uiPriority w:val="99"/>
    <w:rsid w:val="009A127F"/>
    <w:pPr>
      <w:spacing w:before="60" w:after="40" w:line="240" w:lineRule="auto"/>
    </w:pPr>
    <w:rPr>
      <w:rFonts w:ascii="Verdana" w:eastAsia="Times New Roman" w:hAnsi="Verdana"/>
      <w:b/>
      <w:bCs/>
      <w:sz w:val="21"/>
      <w:szCs w:val="20"/>
    </w:rPr>
  </w:style>
  <w:style w:type="paragraph" w:styleId="ListContinue2">
    <w:name w:val="List Continue 2"/>
    <w:basedOn w:val="Normal"/>
    <w:uiPriority w:val="99"/>
    <w:rsid w:val="009A127F"/>
    <w:pPr>
      <w:spacing w:after="120" w:line="240" w:lineRule="auto"/>
      <w:ind w:left="720"/>
    </w:pPr>
    <w:rPr>
      <w:rFonts w:ascii="Times New Roman" w:eastAsia="Times New Roman" w:hAnsi="Times New Roman"/>
      <w:sz w:val="24"/>
      <w:szCs w:val="24"/>
    </w:rPr>
  </w:style>
  <w:style w:type="paragraph" w:customStyle="1" w:styleId="x">
    <w:name w:val="x"/>
    <w:basedOn w:val="Normal"/>
    <w:uiPriority w:val="99"/>
    <w:rsid w:val="009A127F"/>
    <w:pPr>
      <w:tabs>
        <w:tab w:val="num" w:pos="360"/>
      </w:tabs>
      <w:spacing w:before="180" w:after="0" w:line="240" w:lineRule="auto"/>
      <w:ind w:left="360" w:hanging="360"/>
    </w:pPr>
    <w:rPr>
      <w:rFonts w:ascii="Times New Roman" w:eastAsia="Times New Roman" w:hAnsi="Times New Roman"/>
      <w:sz w:val="24"/>
      <w:szCs w:val="20"/>
    </w:rPr>
  </w:style>
  <w:style w:type="paragraph" w:customStyle="1" w:styleId="TableText">
    <w:name w:val="Table Text"/>
    <w:basedOn w:val="Normal"/>
    <w:uiPriority w:val="99"/>
    <w:rsid w:val="009A127F"/>
    <w:pPr>
      <w:spacing w:after="0" w:line="240" w:lineRule="auto"/>
      <w:ind w:left="14"/>
    </w:pPr>
    <w:rPr>
      <w:rFonts w:ascii="Arial" w:eastAsia="Times New Roman" w:hAnsi="Arial"/>
      <w:spacing w:val="-5"/>
      <w:sz w:val="16"/>
      <w:szCs w:val="20"/>
    </w:rPr>
  </w:style>
  <w:style w:type="character" w:customStyle="1" w:styleId="Hyperlink1">
    <w:name w:val="Hyperlink1"/>
    <w:uiPriority w:val="99"/>
    <w:rsid w:val="009A127F"/>
    <w:rPr>
      <w:color w:val="003399"/>
      <w:u w:val="none"/>
      <w:effect w:val="none"/>
    </w:rPr>
  </w:style>
  <w:style w:type="paragraph" w:customStyle="1" w:styleId="Bullet1">
    <w:name w:val="Bullet1"/>
    <w:basedOn w:val="Normal"/>
    <w:uiPriority w:val="99"/>
    <w:rsid w:val="009A127F"/>
    <w:pPr>
      <w:numPr>
        <w:numId w:val="63"/>
      </w:numPr>
      <w:spacing w:before="60" w:after="60" w:line="260" w:lineRule="atLeast"/>
    </w:pPr>
    <w:rPr>
      <w:rFonts w:ascii="Times New Roman" w:eastAsia="Times New Roman" w:hAnsi="Times New Roman"/>
      <w:szCs w:val="20"/>
    </w:rPr>
  </w:style>
  <w:style w:type="paragraph" w:customStyle="1" w:styleId="Body1">
    <w:name w:val="Body 1"/>
    <w:basedOn w:val="Normal"/>
    <w:autoRedefine/>
    <w:uiPriority w:val="99"/>
    <w:rsid w:val="009A127F"/>
    <w:pPr>
      <w:spacing w:before="240" w:after="0" w:line="240" w:lineRule="auto"/>
    </w:pPr>
    <w:rPr>
      <w:rFonts w:ascii="Times New Roman" w:eastAsia="Times New Roman" w:hAnsi="Times New Roman"/>
      <w:sz w:val="24"/>
      <w:szCs w:val="24"/>
    </w:rPr>
  </w:style>
  <w:style w:type="paragraph" w:customStyle="1" w:styleId="Bulletedlist">
    <w:name w:val="Bulleted list"/>
    <w:basedOn w:val="Normal"/>
    <w:uiPriority w:val="99"/>
    <w:rsid w:val="009A127F"/>
    <w:pPr>
      <w:numPr>
        <w:numId w:val="64"/>
      </w:numPr>
      <w:spacing w:after="0" w:line="400" w:lineRule="exact"/>
    </w:pPr>
    <w:rPr>
      <w:rFonts w:ascii="Arial" w:eastAsia="Times New Roman" w:hAnsi="Arial"/>
      <w:color w:val="000000"/>
      <w:sz w:val="24"/>
      <w:szCs w:val="20"/>
    </w:rPr>
  </w:style>
  <w:style w:type="paragraph" w:customStyle="1" w:styleId="Bullet10">
    <w:name w:val="Bullet 1"/>
    <w:basedOn w:val="Normal"/>
    <w:autoRedefine/>
    <w:uiPriority w:val="99"/>
    <w:rsid w:val="009A127F"/>
    <w:pPr>
      <w:numPr>
        <w:numId w:val="69"/>
      </w:numPr>
      <w:tabs>
        <w:tab w:val="clear" w:pos="360"/>
        <w:tab w:val="num" w:pos="720"/>
      </w:tabs>
      <w:spacing w:after="100" w:afterAutospacing="1" w:line="240" w:lineRule="auto"/>
      <w:ind w:left="720"/>
    </w:pPr>
    <w:rPr>
      <w:rFonts w:ascii="Arial" w:eastAsia="Times New Roman" w:hAnsi="Arial" w:cs="Arial"/>
      <w:color w:val="000000"/>
      <w:sz w:val="24"/>
      <w:szCs w:val="24"/>
    </w:rPr>
  </w:style>
  <w:style w:type="paragraph" w:customStyle="1" w:styleId="body0">
    <w:name w:val="body"/>
    <w:uiPriority w:val="99"/>
    <w:rsid w:val="009A127F"/>
    <w:pPr>
      <w:snapToGrid w:val="0"/>
      <w:spacing w:before="60" w:after="60" w:line="260" w:lineRule="atLeast"/>
    </w:pPr>
    <w:rPr>
      <w:rFonts w:ascii="Arial Narrow" w:eastAsia="Times New Roman" w:hAnsi="Arial Narrow"/>
      <w:color w:val="000000"/>
      <w:sz w:val="22"/>
    </w:rPr>
  </w:style>
  <w:style w:type="paragraph" w:styleId="HTMLPreformatted">
    <w:name w:val="HTML Preformatted"/>
    <w:basedOn w:val="Normal"/>
    <w:link w:val="HTMLPreformattedChar"/>
    <w:uiPriority w:val="99"/>
    <w:rsid w:val="009A1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locked/>
    <w:rsid w:val="009A127F"/>
    <w:rPr>
      <w:rFonts w:ascii="Courier New" w:hAnsi="Courier New" w:cs="Courier New"/>
      <w:sz w:val="20"/>
      <w:szCs w:val="20"/>
    </w:rPr>
  </w:style>
  <w:style w:type="paragraph" w:customStyle="1" w:styleId="BasicText">
    <w:name w:val="Basic Text"/>
    <w:basedOn w:val="Normal"/>
    <w:uiPriority w:val="99"/>
    <w:rsid w:val="009A127F"/>
    <w:pPr>
      <w:numPr>
        <w:numId w:val="70"/>
      </w:numPr>
      <w:tabs>
        <w:tab w:val="clear" w:pos="1440"/>
        <w:tab w:val="right" w:leader="dot" w:pos="8280"/>
      </w:tabs>
      <w:overflowPunct w:val="0"/>
      <w:autoSpaceDE w:val="0"/>
      <w:autoSpaceDN w:val="0"/>
      <w:adjustRightInd w:val="0"/>
      <w:spacing w:before="40" w:after="40" w:line="240" w:lineRule="auto"/>
      <w:ind w:left="720" w:firstLine="0"/>
      <w:textAlignment w:val="baseline"/>
    </w:pPr>
    <w:rPr>
      <w:rFonts w:ascii="Times New Roman" w:eastAsia="Times New Roman" w:hAnsi="Times New Roman"/>
      <w:color w:val="000000"/>
      <w:sz w:val="24"/>
      <w:szCs w:val="20"/>
    </w:rPr>
  </w:style>
  <w:style w:type="paragraph" w:customStyle="1" w:styleId="pF">
    <w:name w:val="pF"/>
    <w:next w:val="Normal"/>
    <w:uiPriority w:val="99"/>
    <w:rsid w:val="009A127F"/>
    <w:pPr>
      <w:spacing w:line="320" w:lineRule="atLeast"/>
    </w:pPr>
    <w:rPr>
      <w:rFonts w:ascii="Times New Roman" w:eastAsia="Times New Roman" w:hAnsi="Times New Roman"/>
      <w:sz w:val="24"/>
      <w:szCs w:val="24"/>
    </w:rPr>
  </w:style>
  <w:style w:type="paragraph" w:customStyle="1" w:styleId="Heading2Text">
    <w:name w:val="Heading 2 Text"/>
    <w:basedOn w:val="Normal"/>
    <w:next w:val="Normal"/>
    <w:uiPriority w:val="99"/>
    <w:rsid w:val="009A127F"/>
    <w:pPr>
      <w:numPr>
        <w:numId w:val="71"/>
      </w:numPr>
      <w:tabs>
        <w:tab w:val="clear" w:pos="846"/>
      </w:tabs>
      <w:autoSpaceDE w:val="0"/>
      <w:autoSpaceDN w:val="0"/>
      <w:adjustRightInd w:val="0"/>
      <w:spacing w:after="0" w:line="240" w:lineRule="auto"/>
      <w:ind w:left="0" w:firstLine="0"/>
    </w:pPr>
    <w:rPr>
      <w:rFonts w:ascii="NNLCIK+TimesNewRoman" w:eastAsia="Times New Roman" w:hAnsi="NNLCIK+TimesNewRoman"/>
      <w:sz w:val="24"/>
      <w:szCs w:val="24"/>
    </w:rPr>
  </w:style>
  <w:style w:type="character" w:customStyle="1" w:styleId="green1">
    <w:name w:val="green1"/>
    <w:uiPriority w:val="99"/>
    <w:rsid w:val="009A127F"/>
    <w:rPr>
      <w:color w:val="194F49"/>
    </w:rPr>
  </w:style>
  <w:style w:type="paragraph" w:customStyle="1" w:styleId="CharCharChar">
    <w:name w:val="Char Char Char"/>
    <w:basedOn w:val="Normal"/>
    <w:uiPriority w:val="99"/>
    <w:rsid w:val="009A127F"/>
    <w:pPr>
      <w:spacing w:after="160" w:line="240" w:lineRule="exact"/>
    </w:pPr>
    <w:rPr>
      <w:rFonts w:ascii="Verdana" w:eastAsia="Times New Roman" w:hAnsi="Verdana"/>
      <w:sz w:val="20"/>
      <w:szCs w:val="20"/>
    </w:rPr>
  </w:style>
  <w:style w:type="character" w:styleId="Strong">
    <w:name w:val="Strong"/>
    <w:uiPriority w:val="99"/>
    <w:qFormat/>
    <w:rsid w:val="009A127F"/>
    <w:rPr>
      <w:rFonts w:cs="Times New Roman"/>
      <w:b/>
    </w:rPr>
  </w:style>
  <w:style w:type="paragraph" w:customStyle="1" w:styleId="CharChar3">
    <w:name w:val="Char Char3"/>
    <w:basedOn w:val="Normal"/>
    <w:uiPriority w:val="99"/>
    <w:rsid w:val="009A127F"/>
    <w:pPr>
      <w:spacing w:after="160" w:line="240" w:lineRule="exact"/>
    </w:pPr>
    <w:rPr>
      <w:rFonts w:ascii="Verdana" w:eastAsia="Times New Roman" w:hAnsi="Verdana"/>
      <w:sz w:val="20"/>
      <w:szCs w:val="20"/>
    </w:rPr>
  </w:style>
  <w:style w:type="paragraph" w:customStyle="1" w:styleId="CharChar5">
    <w:name w:val="Char Char5"/>
    <w:basedOn w:val="Normal"/>
    <w:uiPriority w:val="99"/>
    <w:rsid w:val="009A127F"/>
    <w:pPr>
      <w:spacing w:after="160" w:line="240" w:lineRule="exact"/>
    </w:pPr>
    <w:rPr>
      <w:rFonts w:ascii="Verdana" w:eastAsia="Times New Roman" w:hAnsi="Verdana"/>
      <w:sz w:val="20"/>
      <w:szCs w:val="20"/>
    </w:rPr>
  </w:style>
  <w:style w:type="paragraph" w:customStyle="1" w:styleId="standard">
    <w:name w:val="standard"/>
    <w:basedOn w:val="Normal"/>
    <w:link w:val="standardChar"/>
    <w:uiPriority w:val="99"/>
    <w:rsid w:val="009A127F"/>
    <w:pPr>
      <w:spacing w:after="0" w:line="360" w:lineRule="auto"/>
      <w:ind w:firstLine="720"/>
    </w:pPr>
    <w:rPr>
      <w:rFonts w:ascii="Palatino" w:hAnsi="Palatino"/>
      <w:sz w:val="20"/>
      <w:szCs w:val="20"/>
    </w:rPr>
  </w:style>
  <w:style w:type="character" w:customStyle="1" w:styleId="standardChar">
    <w:name w:val="standard Char"/>
    <w:link w:val="standard"/>
    <w:uiPriority w:val="99"/>
    <w:locked/>
    <w:rsid w:val="009A127F"/>
    <w:rPr>
      <w:rFonts w:ascii="Palatino" w:hAnsi="Palatino"/>
      <w:sz w:val="20"/>
    </w:rPr>
  </w:style>
  <w:style w:type="paragraph" w:customStyle="1" w:styleId="CoverTitle">
    <w:name w:val="Cover Title"/>
    <w:uiPriority w:val="99"/>
    <w:rsid w:val="009A127F"/>
    <w:pPr>
      <w:spacing w:before="3000" w:line="560" w:lineRule="exact"/>
      <w:jc w:val="center"/>
    </w:pPr>
    <w:rPr>
      <w:rFonts w:ascii="Arial" w:eastAsia="Times New Roman" w:hAnsi="Arial"/>
      <w:b/>
      <w:caps/>
      <w:color w:val="000000"/>
      <w:spacing w:val="10"/>
      <w:sz w:val="28"/>
    </w:rPr>
  </w:style>
  <w:style w:type="character" w:styleId="Emphasis">
    <w:name w:val="Emphasis"/>
    <w:uiPriority w:val="99"/>
    <w:qFormat/>
    <w:rsid w:val="009A127F"/>
    <w:rPr>
      <w:rFonts w:cs="Times New Roman"/>
      <w:i/>
    </w:rPr>
  </w:style>
  <w:style w:type="character" w:styleId="FollowedHyperlink">
    <w:name w:val="FollowedHyperlink"/>
    <w:uiPriority w:val="99"/>
    <w:rsid w:val="009A127F"/>
    <w:rPr>
      <w:rFonts w:cs="Times New Roman"/>
      <w:color w:val="606420"/>
      <w:u w:val="single"/>
    </w:rPr>
  </w:style>
  <w:style w:type="paragraph" w:customStyle="1" w:styleId="Heading20">
    <w:name w:val="Heading2"/>
    <w:basedOn w:val="Normal"/>
    <w:uiPriority w:val="99"/>
    <w:rsid w:val="009A127F"/>
    <w:pPr>
      <w:tabs>
        <w:tab w:val="num" w:pos="720"/>
      </w:tabs>
      <w:spacing w:after="0" w:line="240" w:lineRule="auto"/>
      <w:ind w:left="720" w:hanging="360"/>
    </w:pPr>
    <w:rPr>
      <w:rFonts w:ascii="Times New Roman" w:eastAsia="Times New Roman" w:hAnsi="Times New Roman"/>
      <w:color w:val="000000"/>
      <w:sz w:val="24"/>
      <w:szCs w:val="24"/>
    </w:rPr>
  </w:style>
  <w:style w:type="paragraph" w:customStyle="1" w:styleId="Heading10">
    <w:name w:val="Heading1"/>
    <w:basedOn w:val="Normal"/>
    <w:autoRedefine/>
    <w:uiPriority w:val="99"/>
    <w:rsid w:val="00C32735"/>
    <w:pPr>
      <w:tabs>
        <w:tab w:val="left" w:pos="720"/>
      </w:tabs>
      <w:spacing w:after="0" w:line="240" w:lineRule="auto"/>
      <w:ind w:left="720" w:hanging="720"/>
      <w:outlineLvl w:val="0"/>
    </w:pPr>
    <w:rPr>
      <w:rFonts w:ascii="Times New Roman" w:eastAsia="Times New Roman" w:hAnsi="Times New Roman"/>
      <w:b/>
      <w:color w:val="000000"/>
      <w:sz w:val="24"/>
      <w:szCs w:val="24"/>
    </w:rPr>
  </w:style>
  <w:style w:type="paragraph" w:customStyle="1" w:styleId="CharChar4CharCharCharChar1">
    <w:name w:val="Char Char4 Char Char Char Char1"/>
    <w:basedOn w:val="Normal"/>
    <w:uiPriority w:val="99"/>
    <w:rsid w:val="009A127F"/>
    <w:pPr>
      <w:spacing w:after="160" w:line="240" w:lineRule="exact"/>
    </w:pPr>
    <w:rPr>
      <w:rFonts w:ascii="Verdana" w:hAnsi="Verdana"/>
      <w:sz w:val="20"/>
      <w:szCs w:val="20"/>
    </w:rPr>
  </w:style>
  <w:style w:type="paragraph" w:styleId="NoSpacing">
    <w:name w:val="No Spacing"/>
    <w:uiPriority w:val="99"/>
    <w:qFormat/>
    <w:rsid w:val="009A127F"/>
    <w:rPr>
      <w:rFonts w:ascii="Times New Roman" w:eastAsia="Times New Roman" w:hAnsi="Times New Roman"/>
      <w:sz w:val="24"/>
      <w:szCs w:val="24"/>
    </w:rPr>
  </w:style>
  <w:style w:type="paragraph" w:customStyle="1" w:styleId="Lista1">
    <w:name w:val="List a1"/>
    <w:basedOn w:val="Normal"/>
    <w:autoRedefine/>
    <w:uiPriority w:val="99"/>
    <w:rsid w:val="009A127F"/>
    <w:pPr>
      <w:numPr>
        <w:ilvl w:val="3"/>
      </w:numPr>
      <w:spacing w:after="0"/>
      <w:ind w:left="3240" w:hanging="360"/>
    </w:pPr>
    <w:rPr>
      <w:rFonts w:ascii="Arial Narrow" w:hAnsi="Arial Narrow" w:cs="Arial"/>
      <w:sz w:val="24"/>
    </w:rPr>
  </w:style>
  <w:style w:type="paragraph" w:styleId="Revision">
    <w:name w:val="Revision"/>
    <w:hidden/>
    <w:uiPriority w:val="99"/>
    <w:semiHidden/>
    <w:rsid w:val="00B369B3"/>
    <w:rPr>
      <w:sz w:val="22"/>
      <w:szCs w:val="22"/>
    </w:rPr>
  </w:style>
  <w:style w:type="character" w:styleId="SubtleEmphasis">
    <w:name w:val="Subtle Emphasis"/>
    <w:uiPriority w:val="19"/>
    <w:qFormat/>
    <w:rsid w:val="0001414E"/>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locked="1"/>
    <w:lsdException w:name="endnote text" w:lock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27F"/>
    <w:pPr>
      <w:spacing w:after="200" w:line="276" w:lineRule="auto"/>
    </w:pPr>
    <w:rPr>
      <w:sz w:val="22"/>
      <w:szCs w:val="22"/>
    </w:rPr>
  </w:style>
  <w:style w:type="paragraph" w:styleId="Heading1">
    <w:name w:val="heading 1"/>
    <w:aliases w:val="1 Char,1,Heading 1B"/>
    <w:basedOn w:val="Normal"/>
    <w:next w:val="Normal"/>
    <w:link w:val="Heading1Char3"/>
    <w:uiPriority w:val="99"/>
    <w:qFormat/>
    <w:rsid w:val="009A127F"/>
    <w:pPr>
      <w:keepNext/>
      <w:overflowPunct w:val="0"/>
      <w:autoSpaceDE w:val="0"/>
      <w:autoSpaceDN w:val="0"/>
      <w:adjustRightInd w:val="0"/>
      <w:spacing w:after="0" w:line="240" w:lineRule="auto"/>
      <w:jc w:val="center"/>
      <w:textAlignment w:val="baseline"/>
      <w:outlineLvl w:val="0"/>
    </w:pPr>
    <w:rPr>
      <w:rFonts w:ascii="Times New Roman" w:hAnsi="Times New Roman"/>
      <w:sz w:val="20"/>
      <w:szCs w:val="20"/>
    </w:rPr>
  </w:style>
  <w:style w:type="paragraph" w:styleId="Heading2">
    <w:name w:val="heading 2"/>
    <w:basedOn w:val="Normal"/>
    <w:next w:val="Normal"/>
    <w:link w:val="Heading2Char"/>
    <w:uiPriority w:val="99"/>
    <w:qFormat/>
    <w:rsid w:val="009A127F"/>
    <w:pPr>
      <w:keepNext/>
      <w:spacing w:before="240" w:after="60" w:line="240" w:lineRule="auto"/>
      <w:outlineLvl w:val="1"/>
    </w:pPr>
    <w:rPr>
      <w:rFonts w:ascii="Arial" w:hAnsi="Arial"/>
      <w:b/>
      <w:bCs/>
      <w:i/>
      <w:iCs/>
      <w:sz w:val="28"/>
      <w:szCs w:val="28"/>
    </w:rPr>
  </w:style>
  <w:style w:type="paragraph" w:styleId="Heading3">
    <w:name w:val="heading 3"/>
    <w:basedOn w:val="Normal"/>
    <w:next w:val="Normal"/>
    <w:link w:val="Heading3Char"/>
    <w:uiPriority w:val="99"/>
    <w:qFormat/>
    <w:rsid w:val="009A127F"/>
    <w:pPr>
      <w:keepNext/>
      <w:overflowPunct w:val="0"/>
      <w:autoSpaceDE w:val="0"/>
      <w:autoSpaceDN w:val="0"/>
      <w:adjustRightInd w:val="0"/>
      <w:spacing w:before="240" w:after="60" w:line="240" w:lineRule="auto"/>
      <w:textAlignment w:val="baseline"/>
      <w:outlineLvl w:val="2"/>
    </w:pPr>
    <w:rPr>
      <w:rFonts w:ascii="Arial" w:hAnsi="Arial"/>
      <w:b/>
      <w:sz w:val="20"/>
      <w:szCs w:val="20"/>
    </w:rPr>
  </w:style>
  <w:style w:type="paragraph" w:styleId="Heading4">
    <w:name w:val="heading 4"/>
    <w:basedOn w:val="Normal"/>
    <w:next w:val="Normal"/>
    <w:link w:val="Heading4Char"/>
    <w:uiPriority w:val="99"/>
    <w:qFormat/>
    <w:rsid w:val="009A127F"/>
    <w:pPr>
      <w:keepNext/>
      <w:keepLines/>
      <w:spacing w:after="0" w:line="240" w:lineRule="auto"/>
      <w:ind w:left="720"/>
      <w:outlineLvl w:val="3"/>
    </w:pPr>
    <w:rPr>
      <w:rFonts w:ascii="Times New Roman" w:hAnsi="Times New Roman"/>
      <w:b/>
      <w:bCs/>
      <w:sz w:val="20"/>
      <w:szCs w:val="20"/>
    </w:rPr>
  </w:style>
  <w:style w:type="paragraph" w:styleId="Heading6">
    <w:name w:val="heading 6"/>
    <w:basedOn w:val="Normal"/>
    <w:next w:val="Normal"/>
    <w:link w:val="Heading6Char"/>
    <w:uiPriority w:val="99"/>
    <w:qFormat/>
    <w:rsid w:val="009A127F"/>
    <w:pPr>
      <w:spacing w:before="240" w:after="60" w:line="240" w:lineRule="auto"/>
      <w:outlineLvl w:val="5"/>
    </w:pPr>
    <w:rPr>
      <w:rFonts w:ascii="Times New Roman" w:hAnsi="Times New Roman"/>
      <w:b/>
      <w:bCs/>
      <w:sz w:val="20"/>
      <w:szCs w:val="20"/>
    </w:rPr>
  </w:style>
  <w:style w:type="paragraph" w:styleId="Heading7">
    <w:name w:val="heading 7"/>
    <w:basedOn w:val="Normal"/>
    <w:next w:val="Normal"/>
    <w:link w:val="Heading7Char"/>
    <w:uiPriority w:val="99"/>
    <w:qFormat/>
    <w:rsid w:val="009A127F"/>
    <w:pPr>
      <w:spacing w:before="240" w:after="60" w:line="240" w:lineRule="auto"/>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Char,1 Char1,Heading 1B Char"/>
    <w:uiPriority w:val="99"/>
    <w:locked/>
    <w:rsid w:val="009A127F"/>
    <w:rPr>
      <w:rFonts w:ascii="Cambria" w:hAnsi="Cambria" w:cs="Times New Roman"/>
      <w:b/>
      <w:bCs/>
      <w:color w:val="365F91"/>
      <w:sz w:val="28"/>
      <w:szCs w:val="28"/>
    </w:rPr>
  </w:style>
  <w:style w:type="character" w:customStyle="1" w:styleId="Heading2Char">
    <w:name w:val="Heading 2 Char"/>
    <w:link w:val="Heading2"/>
    <w:uiPriority w:val="99"/>
    <w:locked/>
    <w:rsid w:val="009A127F"/>
    <w:rPr>
      <w:rFonts w:ascii="Arial" w:hAnsi="Arial" w:cs="Arial"/>
      <w:b/>
      <w:bCs/>
      <w:i/>
      <w:iCs/>
      <w:sz w:val="28"/>
      <w:szCs w:val="28"/>
    </w:rPr>
  </w:style>
  <w:style w:type="character" w:customStyle="1" w:styleId="Heading3Char">
    <w:name w:val="Heading 3 Char"/>
    <w:link w:val="Heading3"/>
    <w:uiPriority w:val="99"/>
    <w:locked/>
    <w:rsid w:val="009A127F"/>
    <w:rPr>
      <w:rFonts w:ascii="Arial" w:hAnsi="Arial" w:cs="Times New Roman"/>
      <w:b/>
      <w:sz w:val="20"/>
      <w:szCs w:val="20"/>
    </w:rPr>
  </w:style>
  <w:style w:type="character" w:customStyle="1" w:styleId="Heading4Char">
    <w:name w:val="Heading 4 Char"/>
    <w:link w:val="Heading4"/>
    <w:uiPriority w:val="99"/>
    <w:locked/>
    <w:rsid w:val="009A127F"/>
    <w:rPr>
      <w:rFonts w:ascii="Times New Roman" w:hAnsi="Times New Roman" w:cs="Times New Roman"/>
      <w:b/>
      <w:bCs/>
    </w:rPr>
  </w:style>
  <w:style w:type="character" w:customStyle="1" w:styleId="Heading6Char">
    <w:name w:val="Heading 6 Char"/>
    <w:link w:val="Heading6"/>
    <w:uiPriority w:val="99"/>
    <w:locked/>
    <w:rsid w:val="009A127F"/>
    <w:rPr>
      <w:rFonts w:ascii="Times New Roman" w:hAnsi="Times New Roman" w:cs="Times New Roman"/>
      <w:b/>
      <w:bCs/>
    </w:rPr>
  </w:style>
  <w:style w:type="character" w:customStyle="1" w:styleId="Heading7Char">
    <w:name w:val="Heading 7 Char"/>
    <w:link w:val="Heading7"/>
    <w:uiPriority w:val="99"/>
    <w:locked/>
    <w:rsid w:val="009A127F"/>
    <w:rPr>
      <w:rFonts w:ascii="Times New Roman" w:hAnsi="Times New Roman" w:cs="Times New Roman"/>
      <w:sz w:val="24"/>
      <w:szCs w:val="24"/>
    </w:rPr>
  </w:style>
  <w:style w:type="paragraph" w:styleId="BalloonText">
    <w:name w:val="Balloon Text"/>
    <w:basedOn w:val="Normal"/>
    <w:link w:val="BalloonTextChar"/>
    <w:uiPriority w:val="99"/>
    <w:semiHidden/>
    <w:rsid w:val="009A127F"/>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9A127F"/>
    <w:rPr>
      <w:rFonts w:ascii="Tahoma" w:hAnsi="Tahoma" w:cs="Tahoma"/>
      <w:sz w:val="16"/>
      <w:szCs w:val="16"/>
    </w:rPr>
  </w:style>
  <w:style w:type="character" w:customStyle="1" w:styleId="Heading1Char3">
    <w:name w:val="Heading 1 Char3"/>
    <w:aliases w:val="1 Char Char3,1 Char3,Heading 1B Char1"/>
    <w:link w:val="Heading1"/>
    <w:uiPriority w:val="99"/>
    <w:locked/>
    <w:rsid w:val="009A127F"/>
    <w:rPr>
      <w:rFonts w:ascii="Times New Roman" w:hAnsi="Times New Roman"/>
      <w:sz w:val="20"/>
    </w:rPr>
  </w:style>
  <w:style w:type="paragraph" w:customStyle="1" w:styleId="TextFrame">
    <w:name w:val="TextFrame"/>
    <w:basedOn w:val="Normal"/>
    <w:link w:val="TextFrameChar"/>
    <w:uiPriority w:val="99"/>
    <w:rsid w:val="009A127F"/>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pPr>
    <w:rPr>
      <w:rFonts w:ascii="Times New Roman" w:hAnsi="Times New Roman"/>
      <w:sz w:val="20"/>
      <w:szCs w:val="20"/>
    </w:rPr>
  </w:style>
  <w:style w:type="character" w:customStyle="1" w:styleId="TextFrameChar">
    <w:name w:val="TextFrame Char"/>
    <w:link w:val="TextFrame"/>
    <w:uiPriority w:val="99"/>
    <w:locked/>
    <w:rsid w:val="009A127F"/>
    <w:rPr>
      <w:rFonts w:ascii="Times New Roman" w:hAnsi="Times New Roman"/>
      <w:sz w:val="20"/>
    </w:rPr>
  </w:style>
  <w:style w:type="paragraph" w:styleId="FootnoteText">
    <w:name w:val="footnote text"/>
    <w:aliases w:val="Footnote Text Char1,Footnote Text Char Char,Footnote Text Char1 Char,Footnote Text Char Char Char,Footnote Text Char1 Char Char Char,Footnote Text Char Char1 Char Char Char,Footnote Text Char Char Char Char Char Char Char Char"/>
    <w:basedOn w:val="Normal"/>
    <w:link w:val="FootnoteTextChar"/>
    <w:semiHidden/>
    <w:rsid w:val="009A127F"/>
    <w:pPr>
      <w:spacing w:after="0" w:line="240" w:lineRule="auto"/>
    </w:pPr>
    <w:rPr>
      <w:rFonts w:ascii="Times New Roman" w:hAnsi="Times New Roman"/>
      <w:sz w:val="20"/>
      <w:szCs w:val="20"/>
    </w:rPr>
  </w:style>
  <w:style w:type="character" w:customStyle="1" w:styleId="FootnoteTextChar">
    <w:name w:val="Footnote Text Char"/>
    <w:aliases w:val="Footnote Text Char1 Char1,Footnote Text Char Char Char1,Footnote Text Char1 Char Char,Footnote Text Char Char Char Char,Footnote Text Char1 Char Char Char Char,Footnote Text Char Char1 Char Char Char Char"/>
    <w:link w:val="FootnoteText"/>
    <w:semiHidden/>
    <w:locked/>
    <w:rsid w:val="009A127F"/>
    <w:rPr>
      <w:rFonts w:ascii="Times New Roman" w:hAnsi="Times New Roman" w:cs="Times New Roman"/>
      <w:sz w:val="20"/>
      <w:szCs w:val="20"/>
    </w:rPr>
  </w:style>
  <w:style w:type="character" w:styleId="FootnoteReference">
    <w:name w:val="footnote reference"/>
    <w:aliases w:val="o"/>
    <w:semiHidden/>
    <w:rsid w:val="009A127F"/>
    <w:rPr>
      <w:rFonts w:cs="Times New Roman"/>
      <w:sz w:val="18"/>
      <w:vertAlign w:val="superscript"/>
    </w:rPr>
  </w:style>
  <w:style w:type="paragraph" w:styleId="Header">
    <w:name w:val="header"/>
    <w:basedOn w:val="Normal"/>
    <w:link w:val="HeaderChar"/>
    <w:uiPriority w:val="99"/>
    <w:rsid w:val="009A127F"/>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uiPriority w:val="99"/>
    <w:locked/>
    <w:rsid w:val="009A127F"/>
    <w:rPr>
      <w:rFonts w:ascii="Times New Roman" w:hAnsi="Times New Roman" w:cs="Times New Roman"/>
      <w:sz w:val="24"/>
      <w:szCs w:val="24"/>
    </w:rPr>
  </w:style>
  <w:style w:type="paragraph" w:styleId="Footer">
    <w:name w:val="footer"/>
    <w:basedOn w:val="Normal"/>
    <w:link w:val="FooterChar"/>
    <w:uiPriority w:val="99"/>
    <w:rsid w:val="009A127F"/>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link w:val="Footer"/>
    <w:uiPriority w:val="99"/>
    <w:locked/>
    <w:rsid w:val="009A127F"/>
    <w:rPr>
      <w:rFonts w:ascii="Times New Roman" w:hAnsi="Times New Roman" w:cs="Times New Roman"/>
      <w:sz w:val="24"/>
      <w:szCs w:val="24"/>
    </w:rPr>
  </w:style>
  <w:style w:type="character" w:styleId="CommentReference">
    <w:name w:val="annotation reference"/>
    <w:uiPriority w:val="99"/>
    <w:semiHidden/>
    <w:rsid w:val="009A127F"/>
    <w:rPr>
      <w:rFonts w:cs="Times New Roman"/>
      <w:sz w:val="16"/>
    </w:rPr>
  </w:style>
  <w:style w:type="character" w:customStyle="1" w:styleId="CommentTextChar">
    <w:name w:val="Comment Text Char"/>
    <w:link w:val="CommentText"/>
    <w:uiPriority w:val="99"/>
    <w:semiHidden/>
    <w:locked/>
    <w:rsid w:val="009A127F"/>
    <w:rPr>
      <w:rFonts w:ascii="Times New Roman" w:hAnsi="Times New Roman" w:cs="Times New Roman"/>
      <w:sz w:val="20"/>
      <w:szCs w:val="20"/>
    </w:rPr>
  </w:style>
  <w:style w:type="paragraph" w:styleId="CommentText">
    <w:name w:val="annotation text"/>
    <w:basedOn w:val="Normal"/>
    <w:link w:val="CommentTextChar"/>
    <w:uiPriority w:val="99"/>
    <w:semiHidden/>
    <w:rsid w:val="009A127F"/>
    <w:pPr>
      <w:spacing w:after="0" w:line="240" w:lineRule="auto"/>
    </w:pPr>
    <w:rPr>
      <w:rFonts w:ascii="Times New Roman" w:hAnsi="Times New Roman"/>
      <w:sz w:val="20"/>
      <w:szCs w:val="20"/>
    </w:rPr>
  </w:style>
  <w:style w:type="character" w:customStyle="1" w:styleId="CommentTextChar1">
    <w:name w:val="Comment Text Char1"/>
    <w:uiPriority w:val="99"/>
    <w:semiHidden/>
    <w:rsid w:val="00876E91"/>
    <w:rPr>
      <w:sz w:val="20"/>
      <w:szCs w:val="20"/>
    </w:rPr>
  </w:style>
  <w:style w:type="character" w:customStyle="1" w:styleId="CommentSubjectChar">
    <w:name w:val="Comment Subject Char"/>
    <w:link w:val="CommentSubject"/>
    <w:uiPriority w:val="99"/>
    <w:semiHidden/>
    <w:locked/>
    <w:rsid w:val="009A127F"/>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9A127F"/>
    <w:rPr>
      <w:b/>
      <w:bCs/>
    </w:rPr>
  </w:style>
  <w:style w:type="character" w:customStyle="1" w:styleId="CommentSubjectChar1">
    <w:name w:val="Comment Subject Char1"/>
    <w:uiPriority w:val="99"/>
    <w:semiHidden/>
    <w:rsid w:val="00876E91"/>
    <w:rPr>
      <w:rFonts w:ascii="Times New Roman" w:hAnsi="Times New Roman" w:cs="Times New Roman"/>
      <w:b/>
      <w:bCs/>
      <w:sz w:val="20"/>
      <w:szCs w:val="20"/>
    </w:rPr>
  </w:style>
  <w:style w:type="paragraph" w:styleId="Caption">
    <w:name w:val="caption"/>
    <w:basedOn w:val="Normal"/>
    <w:next w:val="Normal"/>
    <w:uiPriority w:val="35"/>
    <w:qFormat/>
    <w:rsid w:val="009A127F"/>
    <w:pPr>
      <w:spacing w:after="0" w:line="240" w:lineRule="auto"/>
    </w:pPr>
    <w:rPr>
      <w:rFonts w:ascii="Times New Roman" w:eastAsia="Times New Roman" w:hAnsi="Times New Roman"/>
      <w:b/>
      <w:bCs/>
      <w:sz w:val="20"/>
      <w:szCs w:val="20"/>
    </w:rPr>
  </w:style>
  <w:style w:type="character" w:styleId="PageNumber">
    <w:name w:val="page number"/>
    <w:uiPriority w:val="99"/>
    <w:rsid w:val="009A127F"/>
    <w:rPr>
      <w:rFonts w:cs="Times New Roman"/>
    </w:rPr>
  </w:style>
  <w:style w:type="paragraph" w:customStyle="1" w:styleId="font5">
    <w:name w:val="font5"/>
    <w:basedOn w:val="Normal"/>
    <w:uiPriority w:val="99"/>
    <w:rsid w:val="009A127F"/>
    <w:pPr>
      <w:spacing w:before="100" w:beforeAutospacing="1" w:after="100" w:afterAutospacing="1" w:line="240" w:lineRule="auto"/>
    </w:pPr>
    <w:rPr>
      <w:rFonts w:ascii="Arial" w:eastAsia="Times New Roman" w:hAnsi="Arial" w:cs="Arial"/>
      <w:b/>
      <w:bCs/>
      <w:color w:val="3366FF"/>
      <w:sz w:val="20"/>
      <w:szCs w:val="20"/>
    </w:rPr>
  </w:style>
  <w:style w:type="paragraph" w:customStyle="1" w:styleId="xl68">
    <w:name w:val="xl68"/>
    <w:basedOn w:val="Normal"/>
    <w:uiPriority w:val="99"/>
    <w:rsid w:val="009A127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rPr>
  </w:style>
  <w:style w:type="paragraph" w:customStyle="1" w:styleId="xl69">
    <w:name w:val="xl69"/>
    <w:basedOn w:val="Normal"/>
    <w:uiPriority w:val="99"/>
    <w:rsid w:val="009A127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rPr>
  </w:style>
  <w:style w:type="paragraph" w:customStyle="1" w:styleId="xl70">
    <w:name w:val="xl70"/>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16"/>
      <w:szCs w:val="16"/>
    </w:rPr>
  </w:style>
  <w:style w:type="paragraph" w:customStyle="1" w:styleId="xl71">
    <w:name w:val="xl71"/>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16"/>
      <w:szCs w:val="16"/>
    </w:rPr>
  </w:style>
  <w:style w:type="paragraph" w:customStyle="1" w:styleId="xl72">
    <w:name w:val="xl72"/>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73">
    <w:name w:val="xl73"/>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75">
    <w:name w:val="xl75"/>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6">
    <w:name w:val="xl76"/>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77">
    <w:name w:val="xl77"/>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8">
    <w:name w:val="xl78"/>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9">
    <w:name w:val="xl79"/>
    <w:basedOn w:val="Normal"/>
    <w:uiPriority w:val="99"/>
    <w:rsid w:val="009A12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80">
    <w:name w:val="xl80"/>
    <w:basedOn w:val="Normal"/>
    <w:uiPriority w:val="99"/>
    <w:rsid w:val="009A127F"/>
    <w:pPr>
      <w:pBdr>
        <w:top w:val="single" w:sz="4"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Normal"/>
    <w:uiPriority w:val="99"/>
    <w:rsid w:val="009A127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82">
    <w:name w:val="xl82"/>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uiPriority w:val="99"/>
    <w:rsid w:val="009A127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b/>
      <w:bCs/>
      <w:color w:val="FF0000"/>
      <w:sz w:val="24"/>
      <w:szCs w:val="24"/>
    </w:rPr>
  </w:style>
  <w:style w:type="paragraph" w:customStyle="1" w:styleId="xl84">
    <w:name w:val="xl84"/>
    <w:basedOn w:val="Normal"/>
    <w:uiPriority w:val="99"/>
    <w:rsid w:val="009A127F"/>
    <w:pPr>
      <w:pBdr>
        <w:top w:val="single" w:sz="4" w:space="0" w:color="auto"/>
        <w:left w:val="single" w:sz="4" w:space="0" w:color="auto"/>
        <w:bottom w:val="single" w:sz="8" w:space="0" w:color="auto"/>
        <w:right w:val="single" w:sz="4" w:space="0" w:color="auto"/>
      </w:pBdr>
      <w:shd w:val="clear" w:color="auto" w:fill="99CCFF"/>
      <w:spacing w:before="100" w:beforeAutospacing="1" w:after="100" w:afterAutospacing="1" w:line="240" w:lineRule="auto"/>
      <w:jc w:val="center"/>
    </w:pPr>
    <w:rPr>
      <w:rFonts w:ascii="Arial" w:eastAsia="Times New Roman" w:hAnsi="Arial" w:cs="Arial"/>
      <w:b/>
      <w:bCs/>
      <w:color w:val="FF0000"/>
      <w:sz w:val="24"/>
      <w:szCs w:val="24"/>
    </w:rPr>
  </w:style>
  <w:style w:type="paragraph" w:customStyle="1" w:styleId="xl85">
    <w:name w:val="xl85"/>
    <w:basedOn w:val="Normal"/>
    <w:uiPriority w:val="99"/>
    <w:rsid w:val="009A127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pPr>
    <w:rPr>
      <w:rFonts w:ascii="Arial" w:eastAsia="Times New Roman" w:hAnsi="Arial" w:cs="Arial"/>
      <w:b/>
      <w:bCs/>
      <w:color w:val="FF0000"/>
      <w:sz w:val="24"/>
      <w:szCs w:val="24"/>
    </w:rPr>
  </w:style>
  <w:style w:type="paragraph" w:customStyle="1" w:styleId="xl86">
    <w:name w:val="xl86"/>
    <w:basedOn w:val="Normal"/>
    <w:uiPriority w:val="99"/>
    <w:rsid w:val="009A127F"/>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pPr>
    <w:rPr>
      <w:rFonts w:ascii="Arial" w:eastAsia="Times New Roman" w:hAnsi="Arial" w:cs="Arial"/>
      <w:b/>
      <w:bCs/>
      <w:color w:val="FF0000"/>
      <w:sz w:val="24"/>
      <w:szCs w:val="24"/>
    </w:rPr>
  </w:style>
  <w:style w:type="paragraph" w:customStyle="1" w:styleId="xl87">
    <w:name w:val="xl87"/>
    <w:basedOn w:val="Normal"/>
    <w:uiPriority w:val="99"/>
    <w:rsid w:val="009A127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3366FF"/>
      <w:sz w:val="24"/>
      <w:szCs w:val="24"/>
    </w:rPr>
  </w:style>
  <w:style w:type="paragraph" w:customStyle="1" w:styleId="xl88">
    <w:name w:val="xl88"/>
    <w:basedOn w:val="Normal"/>
    <w:uiPriority w:val="99"/>
    <w:rsid w:val="009A127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89">
    <w:name w:val="xl89"/>
    <w:basedOn w:val="Normal"/>
    <w:uiPriority w:val="99"/>
    <w:rsid w:val="009A127F"/>
    <w:pPr>
      <w:pBdr>
        <w:top w:val="single" w:sz="4" w:space="0" w:color="auto"/>
        <w:left w:val="single" w:sz="4" w:space="0" w:color="auto"/>
        <w:right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90">
    <w:name w:val="xl90"/>
    <w:basedOn w:val="Normal"/>
    <w:uiPriority w:val="99"/>
    <w:rsid w:val="009A127F"/>
    <w:pPr>
      <w:pBdr>
        <w:top w:val="single" w:sz="4" w:space="0" w:color="auto"/>
        <w:left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91">
    <w:name w:val="xl91"/>
    <w:basedOn w:val="Normal"/>
    <w:uiPriority w:val="99"/>
    <w:rsid w:val="009A127F"/>
    <w:pPr>
      <w:pBdr>
        <w:top w:val="single" w:sz="4" w:space="0" w:color="auto"/>
        <w:bottom w:val="single" w:sz="4" w:space="0" w:color="auto"/>
      </w:pBdr>
      <w:shd w:val="reverseDiagStripe" w:color="auto" w:fill="CCFFFF"/>
      <w:spacing w:before="100" w:beforeAutospacing="1" w:after="100" w:afterAutospacing="1" w:line="240" w:lineRule="auto"/>
    </w:pPr>
    <w:rPr>
      <w:rFonts w:ascii="Times New Roman" w:eastAsia="Times New Roman" w:hAnsi="Times New Roman"/>
      <w:sz w:val="16"/>
      <w:szCs w:val="16"/>
    </w:rPr>
  </w:style>
  <w:style w:type="paragraph" w:customStyle="1" w:styleId="xl92">
    <w:name w:val="xl92"/>
    <w:basedOn w:val="Normal"/>
    <w:uiPriority w:val="99"/>
    <w:rsid w:val="009A127F"/>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Times New Roman" w:hAnsi="Arial" w:cs="Arial"/>
      <w:b/>
      <w:bCs/>
      <w:color w:val="FF0000"/>
      <w:sz w:val="24"/>
      <w:szCs w:val="24"/>
    </w:rPr>
  </w:style>
  <w:style w:type="paragraph" w:customStyle="1" w:styleId="xl93">
    <w:name w:val="xl93"/>
    <w:basedOn w:val="Normal"/>
    <w:uiPriority w:val="99"/>
    <w:rsid w:val="009A127F"/>
    <w:pPr>
      <w:pBdr>
        <w:top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24"/>
      <w:szCs w:val="24"/>
    </w:rPr>
  </w:style>
  <w:style w:type="paragraph" w:customStyle="1" w:styleId="xl94">
    <w:name w:val="xl94"/>
    <w:basedOn w:val="Normal"/>
    <w:uiPriority w:val="99"/>
    <w:rsid w:val="009A127F"/>
    <w:pPr>
      <w:pBdr>
        <w:top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sz w:val="24"/>
      <w:szCs w:val="24"/>
    </w:rPr>
  </w:style>
  <w:style w:type="paragraph" w:customStyle="1" w:styleId="xl95">
    <w:name w:val="xl95"/>
    <w:basedOn w:val="Normal"/>
    <w:uiPriority w:val="99"/>
    <w:rsid w:val="009A127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96">
    <w:name w:val="xl96"/>
    <w:basedOn w:val="Normal"/>
    <w:uiPriority w:val="99"/>
    <w:rsid w:val="009A127F"/>
    <w:pPr>
      <w:pBdr>
        <w:top w:val="single" w:sz="4" w:space="0" w:color="auto"/>
        <w:left w:val="single" w:sz="4" w:space="0" w:color="auto"/>
        <w:bottom w:val="single" w:sz="8" w:space="0" w:color="auto"/>
        <w:right w:val="single" w:sz="4" w:space="0" w:color="auto"/>
      </w:pBdr>
      <w:shd w:val="clear" w:color="auto" w:fill="FF99CC"/>
      <w:spacing w:before="100" w:beforeAutospacing="1" w:after="100" w:afterAutospacing="1" w:line="240" w:lineRule="auto"/>
    </w:pPr>
    <w:rPr>
      <w:rFonts w:ascii="Arial" w:eastAsia="Times New Roman" w:hAnsi="Arial" w:cs="Arial"/>
      <w:b/>
      <w:bCs/>
      <w:color w:val="FF0000"/>
      <w:sz w:val="24"/>
      <w:szCs w:val="24"/>
    </w:rPr>
  </w:style>
  <w:style w:type="paragraph" w:customStyle="1" w:styleId="xl97">
    <w:name w:val="xl97"/>
    <w:basedOn w:val="Normal"/>
    <w:uiPriority w:val="99"/>
    <w:rsid w:val="009A127F"/>
    <w:pPr>
      <w:pBdr>
        <w:top w:val="single" w:sz="4"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rPr>
  </w:style>
  <w:style w:type="paragraph" w:customStyle="1" w:styleId="xl98">
    <w:name w:val="xl98"/>
    <w:basedOn w:val="Normal"/>
    <w:uiPriority w:val="99"/>
    <w:rsid w:val="009A127F"/>
    <w:pPr>
      <w:pBdr>
        <w:top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4"/>
      <w:szCs w:val="24"/>
    </w:rPr>
  </w:style>
  <w:style w:type="paragraph" w:customStyle="1" w:styleId="CharChar1CharCharCharChar">
    <w:name w:val="Char Char1 Char Char Char Char"/>
    <w:basedOn w:val="Normal"/>
    <w:uiPriority w:val="99"/>
    <w:rsid w:val="009A127F"/>
    <w:pPr>
      <w:spacing w:after="160" w:line="240" w:lineRule="exact"/>
    </w:pPr>
    <w:rPr>
      <w:rFonts w:ascii="Verdana" w:eastAsia="Times New Roman" w:hAnsi="Verdana"/>
      <w:sz w:val="20"/>
      <w:szCs w:val="20"/>
    </w:rPr>
  </w:style>
  <w:style w:type="paragraph" w:customStyle="1" w:styleId="CharChar1CharCharCharCharCharCharChar">
    <w:name w:val="Char Char1 Char Char Char Char Char Char Char"/>
    <w:basedOn w:val="Normal"/>
    <w:uiPriority w:val="99"/>
    <w:rsid w:val="009A127F"/>
    <w:pPr>
      <w:spacing w:after="160" w:line="240" w:lineRule="exact"/>
    </w:pPr>
    <w:rPr>
      <w:rFonts w:ascii="Verdana" w:eastAsia="Times New Roman" w:hAnsi="Verdana"/>
      <w:sz w:val="20"/>
      <w:szCs w:val="20"/>
    </w:rPr>
  </w:style>
  <w:style w:type="paragraph" w:styleId="BodyTextIndent">
    <w:name w:val="Body Text Indent"/>
    <w:basedOn w:val="Normal"/>
    <w:link w:val="BodyTextIndentChar"/>
    <w:uiPriority w:val="99"/>
    <w:rsid w:val="009A127F"/>
    <w:pPr>
      <w:spacing w:after="0" w:line="240" w:lineRule="auto"/>
      <w:ind w:left="720"/>
    </w:pPr>
    <w:rPr>
      <w:rFonts w:ascii="Times New Roman" w:hAnsi="Times New Roman"/>
      <w:sz w:val="24"/>
      <w:szCs w:val="24"/>
    </w:rPr>
  </w:style>
  <w:style w:type="character" w:customStyle="1" w:styleId="BodyTextIndentChar">
    <w:name w:val="Body Text Indent Char"/>
    <w:link w:val="BodyTextIndent"/>
    <w:uiPriority w:val="99"/>
    <w:locked/>
    <w:rsid w:val="009A127F"/>
    <w:rPr>
      <w:rFonts w:ascii="Times New Roman" w:hAnsi="Times New Roman" w:cs="Times New Roman"/>
      <w:sz w:val="24"/>
      <w:szCs w:val="24"/>
    </w:rPr>
  </w:style>
  <w:style w:type="paragraph" w:customStyle="1" w:styleId="Default">
    <w:name w:val="Default"/>
    <w:uiPriority w:val="99"/>
    <w:rsid w:val="009A127F"/>
    <w:pPr>
      <w:widowControl w:val="0"/>
      <w:autoSpaceDE w:val="0"/>
      <w:autoSpaceDN w:val="0"/>
      <w:adjustRightInd w:val="0"/>
    </w:pPr>
    <w:rPr>
      <w:rFonts w:ascii="Book Antiqua" w:eastAsia="Times New Roman" w:hAnsi="Book Antiqua" w:cs="Book Antiqua"/>
      <w:color w:val="000000"/>
      <w:sz w:val="24"/>
      <w:szCs w:val="24"/>
    </w:rPr>
  </w:style>
  <w:style w:type="paragraph" w:styleId="ListNumber">
    <w:name w:val="List Number"/>
    <w:basedOn w:val="Normal"/>
    <w:uiPriority w:val="99"/>
    <w:rsid w:val="009A127F"/>
    <w:pPr>
      <w:numPr>
        <w:numId w:val="6"/>
      </w:numPr>
      <w:spacing w:before="120" w:after="0" w:line="240" w:lineRule="auto"/>
    </w:pPr>
    <w:rPr>
      <w:rFonts w:ascii="Times New Roman" w:eastAsia="Times New Roman" w:hAnsi="Times New Roman"/>
      <w:sz w:val="24"/>
      <w:szCs w:val="20"/>
    </w:rPr>
  </w:style>
  <w:style w:type="paragraph" w:styleId="ListNumber2">
    <w:name w:val="List Number 2"/>
    <w:basedOn w:val="Normal"/>
    <w:uiPriority w:val="99"/>
    <w:rsid w:val="009A127F"/>
    <w:pPr>
      <w:numPr>
        <w:ilvl w:val="1"/>
        <w:numId w:val="6"/>
      </w:numPr>
      <w:spacing w:before="120" w:after="0" w:line="240" w:lineRule="auto"/>
    </w:pPr>
    <w:rPr>
      <w:rFonts w:ascii="Times New Roman" w:eastAsia="Times New Roman" w:hAnsi="Times New Roman"/>
      <w:sz w:val="24"/>
      <w:szCs w:val="20"/>
    </w:rPr>
  </w:style>
  <w:style w:type="paragraph" w:styleId="ListNumber3">
    <w:name w:val="List Number 3"/>
    <w:basedOn w:val="Normal"/>
    <w:uiPriority w:val="99"/>
    <w:rsid w:val="009A127F"/>
    <w:pPr>
      <w:numPr>
        <w:ilvl w:val="2"/>
        <w:numId w:val="6"/>
      </w:numPr>
      <w:spacing w:before="120" w:after="0" w:line="240" w:lineRule="auto"/>
    </w:pPr>
    <w:rPr>
      <w:rFonts w:ascii="Times New Roman" w:eastAsia="Times New Roman" w:hAnsi="Times New Roman"/>
      <w:sz w:val="24"/>
      <w:szCs w:val="20"/>
    </w:rPr>
  </w:style>
  <w:style w:type="paragraph" w:styleId="ListNumber4">
    <w:name w:val="List Number 4"/>
    <w:basedOn w:val="Normal"/>
    <w:uiPriority w:val="99"/>
    <w:rsid w:val="009A127F"/>
    <w:pPr>
      <w:numPr>
        <w:ilvl w:val="3"/>
        <w:numId w:val="6"/>
      </w:numPr>
      <w:spacing w:before="120" w:after="0" w:line="240" w:lineRule="auto"/>
    </w:pPr>
    <w:rPr>
      <w:rFonts w:ascii="Times New Roman" w:eastAsia="Times New Roman" w:hAnsi="Times New Roman"/>
      <w:sz w:val="24"/>
      <w:szCs w:val="20"/>
    </w:rPr>
  </w:style>
  <w:style w:type="paragraph" w:styleId="ListParagraph">
    <w:name w:val="List Paragraph"/>
    <w:basedOn w:val="Normal"/>
    <w:uiPriority w:val="99"/>
    <w:qFormat/>
    <w:rsid w:val="009A127F"/>
    <w:pPr>
      <w:ind w:left="720"/>
      <w:contextualSpacing/>
    </w:pPr>
  </w:style>
  <w:style w:type="paragraph" w:styleId="BodyTextIndent2">
    <w:name w:val="Body Text Indent 2"/>
    <w:basedOn w:val="Normal"/>
    <w:link w:val="BodyTextIndent2Char"/>
    <w:uiPriority w:val="99"/>
    <w:rsid w:val="009A127F"/>
    <w:pPr>
      <w:spacing w:after="0" w:line="240" w:lineRule="auto"/>
      <w:ind w:left="360"/>
    </w:pPr>
    <w:rPr>
      <w:rFonts w:ascii="Times New Roman" w:hAnsi="Times New Roman"/>
      <w:sz w:val="24"/>
      <w:szCs w:val="24"/>
    </w:rPr>
  </w:style>
  <w:style w:type="character" w:customStyle="1" w:styleId="BodyTextIndent2Char">
    <w:name w:val="Body Text Indent 2 Char"/>
    <w:link w:val="BodyTextIndent2"/>
    <w:uiPriority w:val="99"/>
    <w:locked/>
    <w:rsid w:val="009A127F"/>
    <w:rPr>
      <w:rFonts w:ascii="Times New Roman" w:hAnsi="Times New Roman" w:cs="Times New Roman"/>
      <w:sz w:val="24"/>
      <w:szCs w:val="24"/>
    </w:rPr>
  </w:style>
  <w:style w:type="paragraph" w:styleId="PlainText">
    <w:name w:val="Plain Text"/>
    <w:basedOn w:val="Normal"/>
    <w:link w:val="PlainTextChar"/>
    <w:uiPriority w:val="99"/>
    <w:rsid w:val="009A127F"/>
    <w:pPr>
      <w:spacing w:after="0" w:line="240" w:lineRule="auto"/>
    </w:pPr>
    <w:rPr>
      <w:rFonts w:ascii="Consolas" w:eastAsia="Times New Roman" w:hAnsi="Consolas"/>
      <w:sz w:val="21"/>
      <w:szCs w:val="21"/>
    </w:rPr>
  </w:style>
  <w:style w:type="character" w:customStyle="1" w:styleId="PlainTextChar">
    <w:name w:val="Plain Text Char"/>
    <w:link w:val="PlainText"/>
    <w:uiPriority w:val="99"/>
    <w:locked/>
    <w:rsid w:val="009A127F"/>
    <w:rPr>
      <w:rFonts w:ascii="Consolas" w:eastAsia="Times New Roman" w:hAnsi="Consolas" w:cs="Times New Roman"/>
      <w:sz w:val="21"/>
      <w:szCs w:val="21"/>
    </w:rPr>
  </w:style>
  <w:style w:type="character" w:customStyle="1" w:styleId="DocumentMapChar">
    <w:name w:val="Document Map Char"/>
    <w:link w:val="DocumentMap"/>
    <w:uiPriority w:val="99"/>
    <w:semiHidden/>
    <w:locked/>
    <w:rsid w:val="009A127F"/>
    <w:rPr>
      <w:rFonts w:ascii="Tahoma" w:hAnsi="Tahoma" w:cs="Tahoma"/>
      <w:sz w:val="20"/>
      <w:szCs w:val="20"/>
      <w:shd w:val="clear" w:color="auto" w:fill="000080"/>
    </w:rPr>
  </w:style>
  <w:style w:type="paragraph" w:styleId="DocumentMap">
    <w:name w:val="Document Map"/>
    <w:basedOn w:val="Normal"/>
    <w:link w:val="DocumentMapChar"/>
    <w:uiPriority w:val="99"/>
    <w:semiHidden/>
    <w:rsid w:val="009A127F"/>
    <w:pPr>
      <w:shd w:val="clear" w:color="auto" w:fill="000080"/>
      <w:spacing w:after="0" w:line="240" w:lineRule="auto"/>
    </w:pPr>
    <w:rPr>
      <w:rFonts w:ascii="Tahoma" w:hAnsi="Tahoma"/>
      <w:sz w:val="20"/>
      <w:szCs w:val="20"/>
    </w:rPr>
  </w:style>
  <w:style w:type="character" w:customStyle="1" w:styleId="DocumentMapChar1">
    <w:name w:val="Document Map Char1"/>
    <w:uiPriority w:val="99"/>
    <w:semiHidden/>
    <w:rsid w:val="00876E91"/>
    <w:rPr>
      <w:rFonts w:ascii="Times New Roman" w:hAnsi="Times New Roman"/>
      <w:sz w:val="0"/>
      <w:szCs w:val="0"/>
    </w:rPr>
  </w:style>
  <w:style w:type="character" w:styleId="Hyperlink">
    <w:name w:val="Hyperlink"/>
    <w:uiPriority w:val="99"/>
    <w:rsid w:val="009A127F"/>
    <w:rPr>
      <w:rFonts w:cs="Times New Roman"/>
      <w:color w:val="0000FF"/>
      <w:u w:val="single"/>
    </w:rPr>
  </w:style>
  <w:style w:type="paragraph" w:customStyle="1" w:styleId="CharCharCharCharChar">
    <w:name w:val="Char Char Char Char Char"/>
    <w:basedOn w:val="Normal"/>
    <w:uiPriority w:val="99"/>
    <w:rsid w:val="009A127F"/>
    <w:pPr>
      <w:spacing w:after="160" w:line="240" w:lineRule="exact"/>
    </w:pPr>
    <w:rPr>
      <w:rFonts w:ascii="Verdana" w:eastAsia="Times New Roman" w:hAnsi="Verdana"/>
      <w:sz w:val="20"/>
      <w:szCs w:val="20"/>
    </w:rPr>
  </w:style>
  <w:style w:type="paragraph" w:customStyle="1" w:styleId="CharChar4">
    <w:name w:val="Char Char4"/>
    <w:basedOn w:val="Normal"/>
    <w:uiPriority w:val="99"/>
    <w:rsid w:val="009A127F"/>
    <w:pPr>
      <w:spacing w:after="160" w:line="240" w:lineRule="exact"/>
    </w:pPr>
    <w:rPr>
      <w:rFonts w:ascii="Verdana" w:eastAsia="Times New Roman" w:hAnsi="Verdana"/>
      <w:sz w:val="20"/>
      <w:szCs w:val="20"/>
    </w:rPr>
  </w:style>
  <w:style w:type="paragraph" w:customStyle="1" w:styleId="ParaText">
    <w:name w:val="ParaText"/>
    <w:basedOn w:val="Normal"/>
    <w:uiPriority w:val="99"/>
    <w:rsid w:val="009A127F"/>
    <w:pPr>
      <w:spacing w:after="240" w:line="260" w:lineRule="atLeast"/>
    </w:pPr>
    <w:rPr>
      <w:rFonts w:ascii="Times New Roman" w:eastAsia="Times New Roman" w:hAnsi="Times New Roman"/>
      <w:szCs w:val="24"/>
    </w:rPr>
  </w:style>
  <w:style w:type="character" w:customStyle="1" w:styleId="ParaTextChar">
    <w:name w:val="ParaText Char"/>
    <w:uiPriority w:val="99"/>
    <w:rsid w:val="009A127F"/>
    <w:rPr>
      <w:sz w:val="24"/>
      <w:lang w:val="en-US" w:eastAsia="en-US"/>
    </w:rPr>
  </w:style>
  <w:style w:type="paragraph" w:customStyle="1" w:styleId="CharChar1CharCharChar">
    <w:name w:val="Char Char1 Char Char Char"/>
    <w:basedOn w:val="Normal"/>
    <w:uiPriority w:val="99"/>
    <w:rsid w:val="009A127F"/>
    <w:pPr>
      <w:spacing w:after="160" w:line="240" w:lineRule="exact"/>
    </w:pPr>
    <w:rPr>
      <w:rFonts w:ascii="Verdana" w:eastAsia="Times New Roman" w:hAnsi="Verdana"/>
      <w:sz w:val="20"/>
      <w:szCs w:val="20"/>
    </w:rPr>
  </w:style>
  <w:style w:type="paragraph" w:customStyle="1" w:styleId="CharChar1">
    <w:name w:val="Char Char1"/>
    <w:basedOn w:val="Normal"/>
    <w:uiPriority w:val="99"/>
    <w:rsid w:val="009A127F"/>
    <w:pPr>
      <w:spacing w:after="160" w:line="240" w:lineRule="exact"/>
    </w:pPr>
    <w:rPr>
      <w:rFonts w:ascii="Verdana" w:eastAsia="Times New Roman" w:hAnsi="Verdana"/>
      <w:sz w:val="20"/>
      <w:szCs w:val="20"/>
    </w:rPr>
  </w:style>
  <w:style w:type="paragraph" w:customStyle="1" w:styleId="heading4Text">
    <w:name w:val="heading 4 Text"/>
    <w:basedOn w:val="Normal"/>
    <w:uiPriority w:val="99"/>
    <w:rsid w:val="009A127F"/>
    <w:pPr>
      <w:spacing w:after="0" w:line="480" w:lineRule="atLeast"/>
      <w:ind w:firstLine="2160"/>
    </w:pPr>
    <w:rPr>
      <w:rFonts w:ascii="Times New Roman" w:eastAsia="Times New Roman" w:hAnsi="Times New Roman"/>
      <w:sz w:val="24"/>
      <w:szCs w:val="24"/>
    </w:rPr>
  </w:style>
  <w:style w:type="character" w:customStyle="1" w:styleId="heading4TextChar">
    <w:name w:val="heading 4 Text Char"/>
    <w:uiPriority w:val="99"/>
    <w:rsid w:val="009A127F"/>
    <w:rPr>
      <w:sz w:val="24"/>
      <w:lang w:val="en-US" w:eastAsia="en-US"/>
    </w:rPr>
  </w:style>
  <w:style w:type="character" w:styleId="HTMLCite">
    <w:name w:val="HTML Cite"/>
    <w:uiPriority w:val="99"/>
    <w:rsid w:val="009A127F"/>
    <w:rPr>
      <w:rFonts w:cs="Times New Roman"/>
      <w:i/>
    </w:rPr>
  </w:style>
  <w:style w:type="paragraph" w:customStyle="1" w:styleId="CharChar4CharCharChar">
    <w:name w:val="Char Char4 Char Char Char"/>
    <w:basedOn w:val="Normal"/>
    <w:uiPriority w:val="99"/>
    <w:rsid w:val="009A127F"/>
    <w:pPr>
      <w:spacing w:after="160" w:line="240" w:lineRule="exact"/>
    </w:pPr>
    <w:rPr>
      <w:rFonts w:ascii="Verdana" w:eastAsia="Times New Roman" w:hAnsi="Verdana"/>
      <w:sz w:val="20"/>
      <w:szCs w:val="20"/>
    </w:rPr>
  </w:style>
  <w:style w:type="paragraph" w:styleId="EndnoteText">
    <w:name w:val="endnote text"/>
    <w:basedOn w:val="Normal"/>
    <w:link w:val="EndnoteTextChar"/>
    <w:uiPriority w:val="99"/>
    <w:rsid w:val="009A127F"/>
    <w:pPr>
      <w:spacing w:after="0" w:line="240" w:lineRule="auto"/>
    </w:pPr>
    <w:rPr>
      <w:rFonts w:ascii="Times New Roman" w:hAnsi="Times New Roman"/>
      <w:sz w:val="20"/>
      <w:szCs w:val="20"/>
    </w:rPr>
  </w:style>
  <w:style w:type="character" w:customStyle="1" w:styleId="EndnoteTextChar">
    <w:name w:val="Endnote Text Char"/>
    <w:link w:val="EndnoteText"/>
    <w:uiPriority w:val="99"/>
    <w:locked/>
    <w:rsid w:val="009A127F"/>
    <w:rPr>
      <w:rFonts w:ascii="Times New Roman" w:hAnsi="Times New Roman" w:cs="Times New Roman"/>
      <w:sz w:val="20"/>
      <w:szCs w:val="20"/>
    </w:rPr>
  </w:style>
  <w:style w:type="character" w:styleId="EndnoteReference">
    <w:name w:val="endnote reference"/>
    <w:uiPriority w:val="99"/>
    <w:rsid w:val="009A127F"/>
    <w:rPr>
      <w:rFonts w:cs="Times New Roman"/>
      <w:vertAlign w:val="superscript"/>
    </w:rPr>
  </w:style>
  <w:style w:type="paragraph" w:customStyle="1" w:styleId="ColorfulList-Accent11">
    <w:name w:val="Colorful List - Accent 11"/>
    <w:basedOn w:val="Normal"/>
    <w:uiPriority w:val="99"/>
    <w:rsid w:val="009A127F"/>
    <w:pPr>
      <w:spacing w:after="0" w:line="240" w:lineRule="auto"/>
      <w:ind w:left="720"/>
    </w:pPr>
    <w:rPr>
      <w:rFonts w:ascii="Times New Roman" w:eastAsia="Times New Roman" w:hAnsi="Times New Roman"/>
      <w:sz w:val="24"/>
      <w:szCs w:val="24"/>
    </w:rPr>
  </w:style>
  <w:style w:type="paragraph" w:styleId="Title">
    <w:name w:val="Title"/>
    <w:basedOn w:val="Normal"/>
    <w:next w:val="Normal"/>
    <w:link w:val="TitleChar"/>
    <w:uiPriority w:val="99"/>
    <w:qFormat/>
    <w:rsid w:val="009A127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99"/>
    <w:locked/>
    <w:rsid w:val="009A127F"/>
    <w:rPr>
      <w:rFonts w:ascii="Cambria" w:hAnsi="Cambria" w:cs="Times New Roman"/>
      <w:color w:val="17365D"/>
      <w:spacing w:val="5"/>
      <w:kern w:val="28"/>
      <w:sz w:val="52"/>
      <w:szCs w:val="52"/>
    </w:rPr>
  </w:style>
  <w:style w:type="character" w:customStyle="1" w:styleId="Heading1Char1">
    <w:name w:val="Heading 1 Char1"/>
    <w:aliases w:val="1 Char Char2,1 Char11,Heading 1 Char Char,1 Char Char21,1 Char111"/>
    <w:uiPriority w:val="99"/>
    <w:locked/>
    <w:rsid w:val="009A127F"/>
    <w:rPr>
      <w:rFonts w:ascii="Cambria" w:hAnsi="Cambria"/>
      <w:b/>
      <w:color w:val="345A8A"/>
      <w:sz w:val="32"/>
    </w:rPr>
  </w:style>
  <w:style w:type="character" w:customStyle="1" w:styleId="Heading1Char2">
    <w:name w:val="Heading 1 Char2"/>
    <w:aliases w:val="1 Char Char1,1 Char2"/>
    <w:uiPriority w:val="99"/>
    <w:locked/>
    <w:rsid w:val="009A127F"/>
    <w:rPr>
      <w:rFonts w:ascii="Cambria" w:hAnsi="Cambria"/>
      <w:b/>
      <w:color w:val="345A8A"/>
      <w:sz w:val="32"/>
    </w:rPr>
  </w:style>
  <w:style w:type="paragraph" w:styleId="NormalWeb">
    <w:name w:val="Normal (Web)"/>
    <w:basedOn w:val="Normal"/>
    <w:uiPriority w:val="99"/>
    <w:rsid w:val="009A127F"/>
    <w:pPr>
      <w:spacing w:before="100" w:beforeAutospacing="1" w:after="100" w:afterAutospacing="1" w:line="240" w:lineRule="auto"/>
    </w:pPr>
    <w:rPr>
      <w:rFonts w:ascii="Times New Roman" w:eastAsia="Times New Roman" w:hAnsi="Times New Roman"/>
      <w:sz w:val="24"/>
      <w:szCs w:val="24"/>
    </w:rPr>
  </w:style>
  <w:style w:type="paragraph" w:customStyle="1" w:styleId="BodyTexta">
    <w:name w:val="Body_Text_a)"/>
    <w:basedOn w:val="Normal"/>
    <w:uiPriority w:val="99"/>
    <w:rsid w:val="009A127F"/>
    <w:pPr>
      <w:tabs>
        <w:tab w:val="left" w:pos="1080"/>
      </w:tabs>
      <w:spacing w:after="120" w:line="240" w:lineRule="auto"/>
      <w:ind w:left="720"/>
    </w:pPr>
    <w:rPr>
      <w:rFonts w:ascii="Times New Roman" w:eastAsia="Times New Roman" w:hAnsi="Times New Roman"/>
      <w:sz w:val="24"/>
      <w:szCs w:val="24"/>
    </w:rPr>
  </w:style>
  <w:style w:type="paragraph" w:customStyle="1" w:styleId="Bodynormal">
    <w:name w:val="Body normal"/>
    <w:basedOn w:val="Normal"/>
    <w:uiPriority w:val="99"/>
    <w:rsid w:val="009A127F"/>
    <w:pPr>
      <w:numPr>
        <w:numId w:val="55"/>
      </w:numPr>
      <w:spacing w:after="120" w:line="264" w:lineRule="auto"/>
      <w:ind w:left="0" w:firstLine="0"/>
    </w:pPr>
    <w:rPr>
      <w:rFonts w:ascii="Times New Roman" w:eastAsia="Times New Roman" w:hAnsi="Times New Roman"/>
      <w:sz w:val="24"/>
      <w:szCs w:val="20"/>
    </w:rPr>
  </w:style>
  <w:style w:type="paragraph" w:customStyle="1" w:styleId="heading3Text">
    <w:name w:val="heading 3 Text"/>
    <w:basedOn w:val="Normal"/>
    <w:uiPriority w:val="99"/>
    <w:rsid w:val="009A127F"/>
    <w:pPr>
      <w:spacing w:after="0" w:line="480" w:lineRule="atLeast"/>
      <w:ind w:firstLine="1440"/>
    </w:pPr>
    <w:rPr>
      <w:rFonts w:ascii="Times New Roman" w:eastAsia="Times New Roman" w:hAnsi="Times New Roman"/>
      <w:sz w:val="24"/>
      <w:szCs w:val="20"/>
    </w:rPr>
  </w:style>
  <w:style w:type="paragraph" w:customStyle="1" w:styleId="2">
    <w:name w:val="2"/>
    <w:basedOn w:val="Normal"/>
    <w:uiPriority w:val="99"/>
    <w:rsid w:val="009A127F"/>
    <w:pPr>
      <w:spacing w:after="160" w:line="240" w:lineRule="exact"/>
    </w:pPr>
    <w:rPr>
      <w:rFonts w:ascii="Verdana" w:eastAsia="Times New Roman" w:hAnsi="Verdana"/>
      <w:sz w:val="20"/>
      <w:szCs w:val="20"/>
    </w:rPr>
  </w:style>
  <w:style w:type="paragraph" w:customStyle="1" w:styleId="TableHeading">
    <w:name w:val="Table Heading"/>
    <w:basedOn w:val="Normal"/>
    <w:uiPriority w:val="99"/>
    <w:rsid w:val="009A127F"/>
    <w:pPr>
      <w:keepNext/>
      <w:numPr>
        <w:ilvl w:val="12"/>
      </w:numPr>
      <w:spacing w:before="120" w:after="60" w:line="240" w:lineRule="auto"/>
      <w:jc w:val="center"/>
    </w:pPr>
    <w:rPr>
      <w:rFonts w:ascii="Arial" w:eastAsia="Times New Roman" w:hAnsi="Arial" w:cs="Arial"/>
      <w:b/>
      <w:caps/>
      <w:sz w:val="18"/>
      <w:szCs w:val="18"/>
    </w:rPr>
  </w:style>
  <w:style w:type="paragraph" w:customStyle="1" w:styleId="TableNote">
    <w:name w:val="Table Note"/>
    <w:basedOn w:val="Normal"/>
    <w:uiPriority w:val="99"/>
    <w:rsid w:val="009A127F"/>
    <w:pPr>
      <w:numPr>
        <w:ilvl w:val="12"/>
      </w:numPr>
      <w:spacing w:before="120" w:after="180" w:line="240" w:lineRule="auto"/>
      <w:ind w:left="360" w:right="187" w:hanging="187"/>
    </w:pPr>
    <w:rPr>
      <w:rFonts w:ascii="Arial" w:eastAsia="Times New Roman" w:hAnsi="Arial" w:cs="Arial"/>
      <w:sz w:val="16"/>
      <w:szCs w:val="20"/>
    </w:rPr>
  </w:style>
  <w:style w:type="paragraph" w:customStyle="1" w:styleId="TableBodyHeading">
    <w:name w:val="Table Body Heading"/>
    <w:basedOn w:val="Normal"/>
    <w:link w:val="TableBodyHeadingChar"/>
    <w:uiPriority w:val="99"/>
    <w:rsid w:val="009A127F"/>
    <w:pPr>
      <w:numPr>
        <w:ilvl w:val="12"/>
      </w:numPr>
      <w:spacing w:before="80" w:after="40" w:line="240" w:lineRule="auto"/>
      <w:ind w:left="144" w:hanging="144"/>
    </w:pPr>
    <w:rPr>
      <w:rFonts w:ascii="Arial" w:hAnsi="Arial"/>
      <w:b/>
      <w:sz w:val="20"/>
      <w:szCs w:val="20"/>
    </w:rPr>
  </w:style>
  <w:style w:type="character" w:customStyle="1" w:styleId="TableBodyHeadingChar">
    <w:name w:val="Table Body Heading Char"/>
    <w:link w:val="TableBodyHeading"/>
    <w:uiPriority w:val="99"/>
    <w:locked/>
    <w:rsid w:val="009A127F"/>
    <w:rPr>
      <w:rFonts w:ascii="Arial" w:hAnsi="Arial"/>
      <w:b/>
      <w:sz w:val="20"/>
    </w:rPr>
  </w:style>
  <w:style w:type="paragraph" w:customStyle="1" w:styleId="NormalWeb3">
    <w:name w:val="Normal (Web)3"/>
    <w:basedOn w:val="Normal"/>
    <w:uiPriority w:val="99"/>
    <w:rsid w:val="009A127F"/>
    <w:pPr>
      <w:spacing w:after="264" w:line="240" w:lineRule="auto"/>
    </w:pPr>
    <w:rPr>
      <w:rFonts w:ascii="Arial" w:eastAsia="Times New Roman" w:hAnsi="Arial" w:cs="Arial"/>
      <w:color w:val="000000"/>
      <w:sz w:val="23"/>
      <w:szCs w:val="23"/>
    </w:rPr>
  </w:style>
  <w:style w:type="paragraph" w:customStyle="1" w:styleId="Char1CharChar">
    <w:name w:val="Char1 Char Char"/>
    <w:basedOn w:val="Normal"/>
    <w:uiPriority w:val="99"/>
    <w:rsid w:val="009A127F"/>
    <w:pPr>
      <w:spacing w:after="160" w:line="240" w:lineRule="exact"/>
    </w:pPr>
    <w:rPr>
      <w:rFonts w:ascii="Verdana" w:eastAsia="Times New Roman" w:hAnsi="Verdana"/>
      <w:sz w:val="20"/>
      <w:szCs w:val="20"/>
    </w:rPr>
  </w:style>
  <w:style w:type="paragraph" w:customStyle="1" w:styleId="CharChar">
    <w:name w:val="Char Char"/>
    <w:basedOn w:val="Normal"/>
    <w:uiPriority w:val="99"/>
    <w:rsid w:val="009A127F"/>
    <w:pPr>
      <w:spacing w:after="160" w:line="240" w:lineRule="exact"/>
    </w:pPr>
    <w:rPr>
      <w:rFonts w:ascii="Verdana" w:eastAsia="Times New Roman" w:hAnsi="Verdana"/>
      <w:sz w:val="20"/>
      <w:szCs w:val="20"/>
    </w:rPr>
  </w:style>
  <w:style w:type="paragraph" w:customStyle="1" w:styleId="ESListNumbered">
    <w:name w:val="ES List Numbered"/>
    <w:basedOn w:val="Normal"/>
    <w:uiPriority w:val="99"/>
    <w:rsid w:val="009A127F"/>
    <w:pPr>
      <w:tabs>
        <w:tab w:val="num" w:pos="360"/>
      </w:tabs>
      <w:suppressAutoHyphens/>
      <w:spacing w:after="120" w:line="240" w:lineRule="auto"/>
      <w:ind w:left="720"/>
    </w:pPr>
    <w:rPr>
      <w:rFonts w:ascii="Garamond" w:eastAsia="Times New Roman" w:hAnsi="Garamond" w:cs="Garamond"/>
      <w:kern w:val="20"/>
    </w:rPr>
  </w:style>
  <w:style w:type="paragraph" w:customStyle="1" w:styleId="Bullet">
    <w:name w:val="Bullet"/>
    <w:basedOn w:val="Normal"/>
    <w:uiPriority w:val="99"/>
    <w:rsid w:val="009A127F"/>
    <w:pPr>
      <w:tabs>
        <w:tab w:val="num" w:pos="1080"/>
      </w:tabs>
      <w:spacing w:after="120" w:line="240" w:lineRule="auto"/>
      <w:ind w:left="1080" w:hanging="360"/>
    </w:pPr>
    <w:rPr>
      <w:rFonts w:ascii="Times New Roman" w:eastAsia="Times New Roman" w:hAnsi="Times New Roman"/>
      <w:sz w:val="24"/>
      <w:szCs w:val="24"/>
    </w:rPr>
  </w:style>
  <w:style w:type="paragraph" w:customStyle="1" w:styleId="basictext0">
    <w:name w:val="basic text"/>
    <w:basedOn w:val="Normal"/>
    <w:uiPriority w:val="99"/>
    <w:rsid w:val="009A127F"/>
    <w:pPr>
      <w:spacing w:after="120" w:line="240" w:lineRule="auto"/>
      <w:ind w:left="1080"/>
    </w:pPr>
    <w:rPr>
      <w:rFonts w:ascii="Times New Roman" w:eastAsia="Times New Roman" w:hAnsi="Times New Roman"/>
      <w:sz w:val="24"/>
      <w:szCs w:val="24"/>
    </w:rPr>
  </w:style>
  <w:style w:type="character" w:customStyle="1" w:styleId="a1">
    <w:name w:val="a1"/>
    <w:uiPriority w:val="99"/>
    <w:rsid w:val="009A127F"/>
    <w:rPr>
      <w:color w:val="008000"/>
      <w:sz w:val="20"/>
    </w:rPr>
  </w:style>
  <w:style w:type="paragraph" w:customStyle="1" w:styleId="EPRIBulletedList">
    <w:name w:val="EPRI Bulleted List"/>
    <w:basedOn w:val="Normal"/>
    <w:uiPriority w:val="99"/>
    <w:rsid w:val="009A127F"/>
    <w:pPr>
      <w:tabs>
        <w:tab w:val="num" w:pos="360"/>
      </w:tabs>
      <w:spacing w:after="120" w:line="264" w:lineRule="auto"/>
      <w:ind w:left="360" w:hanging="360"/>
    </w:pPr>
    <w:rPr>
      <w:rFonts w:ascii="Times New Roman" w:eastAsia="Times New Roman" w:hAnsi="Times New Roman"/>
      <w:sz w:val="24"/>
      <w:szCs w:val="20"/>
    </w:rPr>
  </w:style>
  <w:style w:type="paragraph" w:styleId="BodyText">
    <w:name w:val="Body Text"/>
    <w:basedOn w:val="Normal"/>
    <w:link w:val="BodyTextChar"/>
    <w:uiPriority w:val="99"/>
    <w:rsid w:val="009A127F"/>
    <w:pPr>
      <w:spacing w:after="120" w:line="240" w:lineRule="auto"/>
    </w:pPr>
    <w:rPr>
      <w:rFonts w:ascii="Times New Roman" w:hAnsi="Times New Roman"/>
      <w:sz w:val="24"/>
      <w:szCs w:val="24"/>
    </w:rPr>
  </w:style>
  <w:style w:type="character" w:customStyle="1" w:styleId="BodyTextChar">
    <w:name w:val="Body Text Char"/>
    <w:link w:val="BodyText"/>
    <w:uiPriority w:val="99"/>
    <w:locked/>
    <w:rsid w:val="009A127F"/>
    <w:rPr>
      <w:rFonts w:ascii="Times New Roman" w:hAnsi="Times New Roman" w:cs="Arial Unicode MS"/>
      <w:sz w:val="24"/>
      <w:szCs w:val="24"/>
    </w:rPr>
  </w:style>
  <w:style w:type="paragraph" w:customStyle="1" w:styleId="n">
    <w:name w:val="n"/>
    <w:basedOn w:val="Normal"/>
    <w:uiPriority w:val="99"/>
    <w:rsid w:val="009A127F"/>
    <w:pPr>
      <w:tabs>
        <w:tab w:val="left" w:pos="288"/>
        <w:tab w:val="left" w:pos="720"/>
        <w:tab w:val="left" w:pos="1008"/>
      </w:tabs>
      <w:spacing w:before="60" w:after="80" w:line="320" w:lineRule="exact"/>
      <w:ind w:firstLine="360"/>
      <w:jc w:val="both"/>
    </w:pPr>
    <w:rPr>
      <w:rFonts w:ascii="Times New Roman" w:eastAsia="Times New Roman" w:hAnsi="Times New Roman"/>
      <w:sz w:val="24"/>
      <w:szCs w:val="20"/>
    </w:rPr>
  </w:style>
  <w:style w:type="paragraph" w:customStyle="1" w:styleId="bi">
    <w:name w:val="bi"/>
    <w:basedOn w:val="Normal"/>
    <w:uiPriority w:val="99"/>
    <w:rsid w:val="009A127F"/>
    <w:pPr>
      <w:numPr>
        <w:numId w:val="57"/>
      </w:numPr>
      <w:spacing w:before="60" w:after="0" w:line="280" w:lineRule="exact"/>
      <w:jc w:val="both"/>
    </w:pPr>
    <w:rPr>
      <w:rFonts w:ascii="Times New Roman" w:eastAsia="Times New Roman" w:hAnsi="Times New Roman"/>
      <w:sz w:val="24"/>
      <w:szCs w:val="20"/>
    </w:rPr>
  </w:style>
  <w:style w:type="paragraph" w:customStyle="1" w:styleId="Char1CharCharCharCharCharCharChar">
    <w:name w:val="Char1 Char Char Char Char Char Char Char"/>
    <w:basedOn w:val="Normal"/>
    <w:uiPriority w:val="99"/>
    <w:rsid w:val="009A127F"/>
    <w:pPr>
      <w:spacing w:after="160" w:line="240" w:lineRule="exact"/>
    </w:pPr>
    <w:rPr>
      <w:rFonts w:ascii="Verdana" w:eastAsia="Times New Roman" w:hAnsi="Verdana"/>
      <w:sz w:val="20"/>
      <w:szCs w:val="20"/>
    </w:rPr>
  </w:style>
  <w:style w:type="paragraph" w:customStyle="1" w:styleId="HTMLBody">
    <w:name w:val="HTML Body"/>
    <w:uiPriority w:val="99"/>
    <w:rsid w:val="009A127F"/>
    <w:pPr>
      <w:autoSpaceDE w:val="0"/>
      <w:autoSpaceDN w:val="0"/>
      <w:adjustRightInd w:val="0"/>
    </w:pPr>
    <w:rPr>
      <w:rFonts w:ascii="Arial" w:eastAsia="Times New Roman" w:hAnsi="Arial"/>
    </w:rPr>
  </w:style>
  <w:style w:type="paragraph" w:customStyle="1" w:styleId="StylePicturebulleted10pt">
    <w:name w:val="Style Picture bulleted 10 pt"/>
    <w:basedOn w:val="Normal"/>
    <w:link w:val="StylePicturebulleted10ptChar"/>
    <w:uiPriority w:val="99"/>
    <w:rsid w:val="009A127F"/>
    <w:pPr>
      <w:numPr>
        <w:numId w:val="59"/>
      </w:numPr>
      <w:spacing w:after="120" w:line="240" w:lineRule="auto"/>
      <w:jc w:val="both"/>
    </w:pPr>
    <w:rPr>
      <w:rFonts w:ascii="Garamond" w:eastAsia="Times New Roman" w:hAnsi="Garamond"/>
      <w:sz w:val="24"/>
      <w:szCs w:val="24"/>
    </w:rPr>
  </w:style>
  <w:style w:type="character" w:customStyle="1" w:styleId="StylePicturebulleted10ptChar">
    <w:name w:val="Style Picture bulleted 10 pt Char"/>
    <w:link w:val="StylePicturebulleted10pt"/>
    <w:uiPriority w:val="99"/>
    <w:locked/>
    <w:rsid w:val="009A127F"/>
    <w:rPr>
      <w:rFonts w:ascii="Garamond" w:eastAsia="Times New Roman" w:hAnsi="Garamond"/>
      <w:sz w:val="24"/>
      <w:szCs w:val="24"/>
    </w:rPr>
  </w:style>
  <w:style w:type="paragraph" w:customStyle="1" w:styleId="StyleNumbered">
    <w:name w:val="Style Numbered"/>
    <w:basedOn w:val="Normal"/>
    <w:uiPriority w:val="99"/>
    <w:rsid w:val="009A127F"/>
    <w:pPr>
      <w:numPr>
        <w:numId w:val="58"/>
      </w:numPr>
      <w:spacing w:after="240" w:line="240" w:lineRule="auto"/>
      <w:jc w:val="both"/>
    </w:pPr>
    <w:rPr>
      <w:rFonts w:ascii="Garamond" w:eastAsia="Times New Roman" w:hAnsi="Garamond"/>
      <w:sz w:val="24"/>
      <w:szCs w:val="24"/>
    </w:rPr>
  </w:style>
  <w:style w:type="paragraph" w:customStyle="1" w:styleId="sub1">
    <w:name w:val="sub 1"/>
    <w:basedOn w:val="Normal"/>
    <w:uiPriority w:val="99"/>
    <w:rsid w:val="009A127F"/>
    <w:pPr>
      <w:spacing w:before="160" w:after="160" w:line="280" w:lineRule="atLeast"/>
      <w:ind w:right="360"/>
      <w:jc w:val="both"/>
    </w:pPr>
    <w:rPr>
      <w:rFonts w:ascii="Garamond" w:eastAsia="Times New Roman" w:hAnsi="Garamond"/>
      <w:sz w:val="24"/>
      <w:szCs w:val="20"/>
    </w:rPr>
  </w:style>
  <w:style w:type="paragraph" w:customStyle="1" w:styleId="Body">
    <w:name w:val="Body"/>
    <w:basedOn w:val="Normal"/>
    <w:uiPriority w:val="99"/>
    <w:rsid w:val="009A127F"/>
    <w:pPr>
      <w:tabs>
        <w:tab w:val="left" w:pos="360"/>
      </w:tabs>
      <w:spacing w:after="0" w:line="240" w:lineRule="auto"/>
    </w:pPr>
    <w:rPr>
      <w:rFonts w:ascii="Times New Roman" w:eastAsia="Times New Roman" w:hAnsi="Times New Roman"/>
      <w:sz w:val="24"/>
      <w:szCs w:val="24"/>
      <w:lang w:eastAsia="ja-JP"/>
    </w:rPr>
  </w:style>
  <w:style w:type="paragraph" w:customStyle="1" w:styleId="CharChar2">
    <w:name w:val="Char Char2"/>
    <w:basedOn w:val="Normal"/>
    <w:uiPriority w:val="99"/>
    <w:rsid w:val="009A127F"/>
    <w:pPr>
      <w:numPr>
        <w:numId w:val="65"/>
      </w:numPr>
      <w:tabs>
        <w:tab w:val="clear" w:pos="360"/>
      </w:tabs>
      <w:spacing w:after="160" w:line="240" w:lineRule="exact"/>
      <w:ind w:left="0" w:firstLine="0"/>
    </w:pPr>
    <w:rPr>
      <w:rFonts w:ascii="Verdana" w:eastAsia="Times New Roman" w:hAnsi="Verdana"/>
      <w:sz w:val="20"/>
      <w:szCs w:val="20"/>
    </w:rPr>
  </w:style>
  <w:style w:type="paragraph" w:customStyle="1" w:styleId="ProposalNormalText">
    <w:name w:val="Proposal Normal Text"/>
    <w:basedOn w:val="Normal"/>
    <w:link w:val="ProposalNormalTextChar"/>
    <w:uiPriority w:val="99"/>
    <w:rsid w:val="009A127F"/>
    <w:pPr>
      <w:spacing w:before="120" w:after="60" w:line="240" w:lineRule="auto"/>
    </w:pPr>
    <w:rPr>
      <w:sz w:val="20"/>
      <w:szCs w:val="20"/>
      <w:lang w:eastAsia="ja-JP"/>
    </w:rPr>
  </w:style>
  <w:style w:type="character" w:customStyle="1" w:styleId="ProposalNormalTextChar">
    <w:name w:val="Proposal Normal Text Char"/>
    <w:link w:val="ProposalNormalText"/>
    <w:uiPriority w:val="99"/>
    <w:locked/>
    <w:rsid w:val="009A127F"/>
    <w:rPr>
      <w:rFonts w:ascii="Calibri" w:hAnsi="Calibri"/>
      <w:sz w:val="20"/>
      <w:lang w:eastAsia="ja-JP"/>
    </w:rPr>
  </w:style>
  <w:style w:type="paragraph" w:customStyle="1" w:styleId="Proposalnumbereditems">
    <w:name w:val="Proposal numbered items"/>
    <w:basedOn w:val="Normal"/>
    <w:link w:val="ProposalnumbereditemsChar"/>
    <w:uiPriority w:val="99"/>
    <w:rsid w:val="009A127F"/>
    <w:pPr>
      <w:numPr>
        <w:numId w:val="60"/>
      </w:numPr>
      <w:spacing w:before="60" w:after="60" w:line="240" w:lineRule="auto"/>
    </w:pPr>
    <w:rPr>
      <w:rFonts w:eastAsia="Times New Roman"/>
      <w:sz w:val="20"/>
      <w:szCs w:val="24"/>
      <w:lang w:eastAsia="ja-JP"/>
    </w:rPr>
  </w:style>
  <w:style w:type="character" w:customStyle="1" w:styleId="ProposalnumbereditemsChar">
    <w:name w:val="Proposal numbered items Char"/>
    <w:link w:val="Proposalnumbereditems"/>
    <w:uiPriority w:val="99"/>
    <w:locked/>
    <w:rsid w:val="009A127F"/>
    <w:rPr>
      <w:rFonts w:eastAsia="Times New Roman"/>
      <w:szCs w:val="24"/>
      <w:lang w:eastAsia="ja-JP"/>
    </w:rPr>
  </w:style>
  <w:style w:type="paragraph" w:styleId="BodyText2">
    <w:name w:val="Body Text 2"/>
    <w:basedOn w:val="Normal"/>
    <w:link w:val="BodyText2Char"/>
    <w:uiPriority w:val="99"/>
    <w:rsid w:val="009A127F"/>
    <w:pPr>
      <w:spacing w:after="120" w:line="480" w:lineRule="auto"/>
    </w:pPr>
    <w:rPr>
      <w:rFonts w:ascii="Times New Roman" w:hAnsi="Times New Roman"/>
      <w:sz w:val="24"/>
      <w:szCs w:val="24"/>
    </w:rPr>
  </w:style>
  <w:style w:type="character" w:customStyle="1" w:styleId="BodyText2Char">
    <w:name w:val="Body Text 2 Char"/>
    <w:link w:val="BodyText2"/>
    <w:uiPriority w:val="99"/>
    <w:locked/>
    <w:rsid w:val="009A127F"/>
    <w:rPr>
      <w:rFonts w:ascii="Times New Roman" w:hAnsi="Times New Roman" w:cs="Times New Roman"/>
      <w:sz w:val="24"/>
      <w:szCs w:val="24"/>
    </w:rPr>
  </w:style>
  <w:style w:type="paragraph" w:customStyle="1" w:styleId="CEESPSectionHeader">
    <w:name w:val="CEESP Section Header #"/>
    <w:basedOn w:val="Title"/>
    <w:uiPriority w:val="99"/>
    <w:rsid w:val="009A127F"/>
    <w:pPr>
      <w:numPr>
        <w:numId w:val="61"/>
      </w:numPr>
      <w:pBdr>
        <w:bottom w:val="none" w:sz="0" w:space="0" w:color="auto"/>
      </w:pBdr>
      <w:snapToGrid w:val="0"/>
      <w:spacing w:before="360" w:after="120"/>
      <w:contextualSpacing w:val="0"/>
      <w:outlineLvl w:val="0"/>
    </w:pPr>
    <w:rPr>
      <w:rFonts w:ascii="Times New Roman" w:eastAsia="MS Mincho" w:hAnsi="Times New Roman"/>
      <w:color w:val="000000"/>
      <w:sz w:val="36"/>
      <w:szCs w:val="24"/>
    </w:rPr>
  </w:style>
  <w:style w:type="paragraph" w:customStyle="1" w:styleId="CEESPsubhead1">
    <w:name w:val="CEESP subhead 1 #"/>
    <w:basedOn w:val="Normal"/>
    <w:uiPriority w:val="99"/>
    <w:rsid w:val="009A127F"/>
    <w:pPr>
      <w:numPr>
        <w:numId w:val="66"/>
      </w:numPr>
      <w:tabs>
        <w:tab w:val="num" w:pos="720"/>
      </w:tabs>
      <w:autoSpaceDE w:val="0"/>
      <w:autoSpaceDN w:val="0"/>
      <w:adjustRightInd w:val="0"/>
      <w:spacing w:before="360" w:after="0" w:line="240" w:lineRule="auto"/>
      <w:ind w:hanging="720"/>
    </w:pPr>
    <w:rPr>
      <w:rFonts w:ascii="Times New Roman" w:hAnsi="Times New Roman"/>
      <w:b/>
      <w:color w:val="000000"/>
      <w:sz w:val="28"/>
      <w:szCs w:val="24"/>
    </w:rPr>
  </w:style>
  <w:style w:type="paragraph" w:customStyle="1" w:styleId="CEESPsubhead2">
    <w:name w:val="CEESP subhead 2 #"/>
    <w:basedOn w:val="Normal"/>
    <w:uiPriority w:val="99"/>
    <w:rsid w:val="009A127F"/>
    <w:pPr>
      <w:numPr>
        <w:ilvl w:val="2"/>
        <w:numId w:val="61"/>
      </w:numPr>
      <w:autoSpaceDE w:val="0"/>
      <w:autoSpaceDN w:val="0"/>
      <w:adjustRightInd w:val="0"/>
      <w:spacing w:before="360" w:after="0" w:line="240" w:lineRule="auto"/>
    </w:pPr>
    <w:rPr>
      <w:rFonts w:ascii="Times New Roman" w:hAnsi="Times New Roman"/>
      <w:i/>
      <w:color w:val="000000"/>
      <w:sz w:val="24"/>
      <w:szCs w:val="24"/>
    </w:rPr>
  </w:style>
  <w:style w:type="paragraph" w:customStyle="1" w:styleId="QuickFormat3">
    <w:name w:val="QuickFormat3"/>
    <w:uiPriority w:val="99"/>
    <w:rsid w:val="009A127F"/>
    <w:pPr>
      <w:widowControl w:val="0"/>
      <w:numPr>
        <w:numId w:val="67"/>
      </w:numPr>
      <w:tabs>
        <w:tab w:val="clear" w:pos="720"/>
      </w:tabs>
      <w:autoSpaceDE w:val="0"/>
      <w:autoSpaceDN w:val="0"/>
      <w:adjustRightInd w:val="0"/>
      <w:ind w:left="0" w:firstLine="0"/>
    </w:pPr>
    <w:rPr>
      <w:rFonts w:ascii="Arial" w:eastAsia="Times New Roman" w:hAnsi="Arial" w:cs="Arial"/>
      <w:sz w:val="22"/>
      <w:szCs w:val="22"/>
    </w:rPr>
  </w:style>
  <w:style w:type="paragraph" w:customStyle="1" w:styleId="Paragraph">
    <w:name w:val="Paragraph"/>
    <w:basedOn w:val="Normal"/>
    <w:uiPriority w:val="99"/>
    <w:rsid w:val="009A127F"/>
    <w:pPr>
      <w:spacing w:before="180" w:after="0" w:line="360" w:lineRule="auto"/>
    </w:pPr>
    <w:rPr>
      <w:rFonts w:ascii="Times" w:eastAsia="Times New Roman" w:hAnsi="Times"/>
      <w:sz w:val="24"/>
      <w:szCs w:val="20"/>
    </w:rPr>
  </w:style>
  <w:style w:type="paragraph" w:customStyle="1" w:styleId="Indent">
    <w:name w:val="Indent"/>
    <w:basedOn w:val="Normal"/>
    <w:uiPriority w:val="99"/>
    <w:rsid w:val="009A127F"/>
    <w:pPr>
      <w:spacing w:before="180" w:after="0" w:line="360" w:lineRule="auto"/>
      <w:ind w:left="720" w:right="720"/>
    </w:pPr>
    <w:rPr>
      <w:rFonts w:ascii="Times" w:eastAsia="Times New Roman" w:hAnsi="Times"/>
      <w:sz w:val="24"/>
      <w:szCs w:val="20"/>
    </w:rPr>
  </w:style>
  <w:style w:type="character" w:customStyle="1" w:styleId="qoutes1">
    <w:name w:val="qoutes1"/>
    <w:uiPriority w:val="99"/>
    <w:rsid w:val="009A127F"/>
    <w:rPr>
      <w:rFonts w:ascii="Verdana" w:hAnsi="Verdana"/>
      <w:color w:val="333366"/>
      <w:w w:val="225"/>
      <w:sz w:val="20"/>
    </w:rPr>
  </w:style>
  <w:style w:type="paragraph" w:styleId="BodyTextIndent3">
    <w:name w:val="Body Text Indent 3"/>
    <w:basedOn w:val="Normal"/>
    <w:link w:val="BodyTextIndent3Char"/>
    <w:uiPriority w:val="99"/>
    <w:rsid w:val="009A127F"/>
    <w:pPr>
      <w:spacing w:after="120" w:line="240" w:lineRule="auto"/>
      <w:ind w:left="360"/>
    </w:pPr>
    <w:rPr>
      <w:rFonts w:ascii="Times New Roman" w:hAnsi="Times New Roman"/>
      <w:sz w:val="16"/>
      <w:szCs w:val="16"/>
    </w:rPr>
  </w:style>
  <w:style w:type="character" w:customStyle="1" w:styleId="BodyTextIndent3Char">
    <w:name w:val="Body Text Indent 3 Char"/>
    <w:link w:val="BodyTextIndent3"/>
    <w:uiPriority w:val="99"/>
    <w:locked/>
    <w:rsid w:val="009A127F"/>
    <w:rPr>
      <w:rFonts w:ascii="Times New Roman" w:hAnsi="Times New Roman" w:cs="Times New Roman"/>
      <w:sz w:val="16"/>
      <w:szCs w:val="16"/>
    </w:rPr>
  </w:style>
  <w:style w:type="paragraph" w:customStyle="1" w:styleId="Formal1">
    <w:name w:val="Formal1"/>
    <w:basedOn w:val="Normal"/>
    <w:uiPriority w:val="99"/>
    <w:rsid w:val="009A127F"/>
    <w:pPr>
      <w:spacing w:before="60" w:after="60" w:line="240" w:lineRule="auto"/>
    </w:pPr>
    <w:rPr>
      <w:rFonts w:ascii="Times New Roman" w:eastAsia="Times New Roman" w:hAnsi="Times New Roman"/>
      <w:sz w:val="24"/>
      <w:szCs w:val="20"/>
    </w:rPr>
  </w:style>
  <w:style w:type="paragraph" w:customStyle="1" w:styleId="CEESPsubhead1no">
    <w:name w:val="CEESP subhead 1 no #"/>
    <w:basedOn w:val="Normal"/>
    <w:next w:val="Normal"/>
    <w:uiPriority w:val="99"/>
    <w:rsid w:val="009A127F"/>
    <w:pPr>
      <w:autoSpaceDE w:val="0"/>
      <w:autoSpaceDN w:val="0"/>
      <w:adjustRightInd w:val="0"/>
      <w:spacing w:before="360" w:after="0" w:line="240" w:lineRule="auto"/>
    </w:pPr>
    <w:rPr>
      <w:rFonts w:ascii="Times New Roman" w:hAnsi="Times New Roman"/>
      <w:b/>
      <w:color w:val="000000"/>
      <w:sz w:val="28"/>
    </w:rPr>
  </w:style>
  <w:style w:type="paragraph" w:customStyle="1" w:styleId="CEESPbodylistwbulletChar">
    <w:name w:val="CEESP body list w/ bullet Char"/>
    <w:basedOn w:val="Normal"/>
    <w:link w:val="CEESPbodylistwbulletCharChar"/>
    <w:uiPriority w:val="99"/>
    <w:rsid w:val="009A127F"/>
    <w:pPr>
      <w:numPr>
        <w:numId w:val="62"/>
      </w:numPr>
      <w:spacing w:before="120" w:after="0" w:line="240" w:lineRule="auto"/>
    </w:pPr>
    <w:rPr>
      <w:rFonts w:ascii="Times New Roman" w:hAnsi="Times New Roman"/>
      <w:color w:val="000000"/>
      <w:sz w:val="24"/>
      <w:szCs w:val="20"/>
    </w:rPr>
  </w:style>
  <w:style w:type="character" w:customStyle="1" w:styleId="CEESPbodylistwbulletCharChar">
    <w:name w:val="CEESP body list w/ bullet Char Char"/>
    <w:link w:val="CEESPbodylistwbulletChar"/>
    <w:uiPriority w:val="99"/>
    <w:locked/>
    <w:rsid w:val="009A127F"/>
    <w:rPr>
      <w:rFonts w:ascii="Times New Roman" w:hAnsi="Times New Roman"/>
      <w:color w:val="000000"/>
      <w:sz w:val="24"/>
    </w:rPr>
  </w:style>
  <w:style w:type="paragraph" w:styleId="ListContinue">
    <w:name w:val="List Continue"/>
    <w:basedOn w:val="Normal"/>
    <w:uiPriority w:val="99"/>
    <w:rsid w:val="009A127F"/>
    <w:pPr>
      <w:spacing w:after="120" w:line="240" w:lineRule="auto"/>
      <w:ind w:left="360"/>
    </w:pPr>
    <w:rPr>
      <w:rFonts w:ascii="Times New Roman" w:eastAsia="Times New Roman" w:hAnsi="Times New Roman"/>
      <w:sz w:val="24"/>
      <w:szCs w:val="24"/>
    </w:rPr>
  </w:style>
  <w:style w:type="paragraph" w:styleId="ListBullet2">
    <w:name w:val="List Bullet 2"/>
    <w:basedOn w:val="Normal"/>
    <w:autoRedefine/>
    <w:uiPriority w:val="99"/>
    <w:rsid w:val="009A127F"/>
    <w:pPr>
      <w:spacing w:after="0" w:line="240" w:lineRule="auto"/>
      <w:ind w:left="-360"/>
    </w:pPr>
    <w:rPr>
      <w:rFonts w:ascii="Times New Roman" w:eastAsia="Times New Roman" w:hAnsi="Times New Roman"/>
      <w:sz w:val="24"/>
      <w:szCs w:val="24"/>
    </w:rPr>
  </w:style>
  <w:style w:type="paragraph" w:styleId="BlockText">
    <w:name w:val="Block Text"/>
    <w:basedOn w:val="Normal"/>
    <w:uiPriority w:val="99"/>
    <w:rsid w:val="009A127F"/>
    <w:pPr>
      <w:overflowPunct w:val="0"/>
      <w:autoSpaceDE w:val="0"/>
      <w:autoSpaceDN w:val="0"/>
      <w:adjustRightInd w:val="0"/>
      <w:spacing w:after="0" w:line="240" w:lineRule="auto"/>
      <w:ind w:left="1080" w:right="617"/>
      <w:textAlignment w:val="baseline"/>
    </w:pPr>
    <w:rPr>
      <w:rFonts w:ascii="Times New Roman" w:eastAsia="Times New Roman" w:hAnsi="Times New Roman"/>
      <w:sz w:val="24"/>
      <w:szCs w:val="20"/>
    </w:rPr>
  </w:style>
  <w:style w:type="paragraph" w:styleId="ListBullet3">
    <w:name w:val="List Bullet 3"/>
    <w:basedOn w:val="Normal"/>
    <w:autoRedefine/>
    <w:uiPriority w:val="99"/>
    <w:rsid w:val="009A127F"/>
    <w:pPr>
      <w:numPr>
        <w:numId w:val="68"/>
      </w:numPr>
      <w:tabs>
        <w:tab w:val="clear" w:pos="360"/>
        <w:tab w:val="num" w:pos="1080"/>
      </w:tabs>
      <w:spacing w:after="0" w:line="240" w:lineRule="auto"/>
      <w:ind w:left="1080"/>
    </w:pPr>
    <w:rPr>
      <w:rFonts w:ascii="Times New Roman" w:eastAsia="Times New Roman" w:hAnsi="Times New Roman"/>
      <w:sz w:val="24"/>
      <w:szCs w:val="24"/>
    </w:rPr>
  </w:style>
  <w:style w:type="paragraph" w:customStyle="1" w:styleId="CEESPBody">
    <w:name w:val="CEESP Body"/>
    <w:basedOn w:val="Normal"/>
    <w:uiPriority w:val="99"/>
    <w:rsid w:val="009A127F"/>
    <w:pPr>
      <w:autoSpaceDE w:val="0"/>
      <w:autoSpaceDN w:val="0"/>
      <w:adjustRightInd w:val="0"/>
      <w:spacing w:before="240" w:after="0" w:line="240" w:lineRule="auto"/>
      <w:ind w:firstLine="720"/>
    </w:pPr>
    <w:rPr>
      <w:rFonts w:ascii="Times New Roman" w:eastAsia="Times New Roman" w:hAnsi="Times New Roman"/>
      <w:color w:val="000000"/>
      <w:sz w:val="24"/>
      <w:szCs w:val="24"/>
    </w:rPr>
  </w:style>
  <w:style w:type="paragraph" w:customStyle="1" w:styleId="CEESPbodylistw">
    <w:name w:val="CEESP body list w/ #"/>
    <w:basedOn w:val="Normal"/>
    <w:uiPriority w:val="99"/>
    <w:rsid w:val="009A127F"/>
    <w:pPr>
      <w:tabs>
        <w:tab w:val="num" w:pos="720"/>
      </w:tabs>
      <w:spacing w:before="120" w:after="0" w:line="240" w:lineRule="auto"/>
      <w:ind w:left="720" w:hanging="360"/>
    </w:pPr>
    <w:rPr>
      <w:rFonts w:ascii="Times New Roman" w:eastAsia="Times New Roman" w:hAnsi="Times New Roman"/>
      <w:bCs/>
      <w:iCs/>
      <w:color w:val="000000"/>
      <w:sz w:val="24"/>
      <w:szCs w:val="24"/>
    </w:rPr>
  </w:style>
  <w:style w:type="paragraph" w:customStyle="1" w:styleId="Tablehead">
    <w:name w:val="Table head"/>
    <w:basedOn w:val="Normal"/>
    <w:uiPriority w:val="99"/>
    <w:rsid w:val="009A127F"/>
    <w:pPr>
      <w:spacing w:before="60" w:after="40" w:line="240" w:lineRule="auto"/>
    </w:pPr>
    <w:rPr>
      <w:rFonts w:ascii="Verdana" w:eastAsia="Times New Roman" w:hAnsi="Verdana"/>
      <w:b/>
      <w:bCs/>
      <w:sz w:val="21"/>
      <w:szCs w:val="20"/>
    </w:rPr>
  </w:style>
  <w:style w:type="paragraph" w:styleId="ListContinue2">
    <w:name w:val="List Continue 2"/>
    <w:basedOn w:val="Normal"/>
    <w:uiPriority w:val="99"/>
    <w:rsid w:val="009A127F"/>
    <w:pPr>
      <w:spacing w:after="120" w:line="240" w:lineRule="auto"/>
      <w:ind w:left="720"/>
    </w:pPr>
    <w:rPr>
      <w:rFonts w:ascii="Times New Roman" w:eastAsia="Times New Roman" w:hAnsi="Times New Roman"/>
      <w:sz w:val="24"/>
      <w:szCs w:val="24"/>
    </w:rPr>
  </w:style>
  <w:style w:type="paragraph" w:customStyle="1" w:styleId="x">
    <w:name w:val="x"/>
    <w:basedOn w:val="Normal"/>
    <w:uiPriority w:val="99"/>
    <w:rsid w:val="009A127F"/>
    <w:pPr>
      <w:tabs>
        <w:tab w:val="num" w:pos="360"/>
      </w:tabs>
      <w:spacing w:before="180" w:after="0" w:line="240" w:lineRule="auto"/>
      <w:ind w:left="360" w:hanging="360"/>
    </w:pPr>
    <w:rPr>
      <w:rFonts w:ascii="Times New Roman" w:eastAsia="Times New Roman" w:hAnsi="Times New Roman"/>
      <w:sz w:val="24"/>
      <w:szCs w:val="20"/>
    </w:rPr>
  </w:style>
  <w:style w:type="paragraph" w:customStyle="1" w:styleId="TableText">
    <w:name w:val="Table Text"/>
    <w:basedOn w:val="Normal"/>
    <w:uiPriority w:val="99"/>
    <w:rsid w:val="009A127F"/>
    <w:pPr>
      <w:spacing w:after="0" w:line="240" w:lineRule="auto"/>
      <w:ind w:left="14"/>
    </w:pPr>
    <w:rPr>
      <w:rFonts w:ascii="Arial" w:eastAsia="Times New Roman" w:hAnsi="Arial"/>
      <w:spacing w:val="-5"/>
      <w:sz w:val="16"/>
      <w:szCs w:val="20"/>
    </w:rPr>
  </w:style>
  <w:style w:type="character" w:customStyle="1" w:styleId="Hyperlink1">
    <w:name w:val="Hyperlink1"/>
    <w:uiPriority w:val="99"/>
    <w:rsid w:val="009A127F"/>
    <w:rPr>
      <w:color w:val="003399"/>
      <w:u w:val="none"/>
      <w:effect w:val="none"/>
    </w:rPr>
  </w:style>
  <w:style w:type="paragraph" w:customStyle="1" w:styleId="Bullet1">
    <w:name w:val="Bullet1"/>
    <w:basedOn w:val="Normal"/>
    <w:uiPriority w:val="99"/>
    <w:rsid w:val="009A127F"/>
    <w:pPr>
      <w:numPr>
        <w:numId w:val="63"/>
      </w:numPr>
      <w:spacing w:before="60" w:after="60" w:line="260" w:lineRule="atLeast"/>
    </w:pPr>
    <w:rPr>
      <w:rFonts w:ascii="Times New Roman" w:eastAsia="Times New Roman" w:hAnsi="Times New Roman"/>
      <w:szCs w:val="20"/>
    </w:rPr>
  </w:style>
  <w:style w:type="paragraph" w:customStyle="1" w:styleId="Body1">
    <w:name w:val="Body 1"/>
    <w:basedOn w:val="Normal"/>
    <w:autoRedefine/>
    <w:uiPriority w:val="99"/>
    <w:rsid w:val="009A127F"/>
    <w:pPr>
      <w:spacing w:before="240" w:after="0" w:line="240" w:lineRule="auto"/>
    </w:pPr>
    <w:rPr>
      <w:rFonts w:ascii="Times New Roman" w:eastAsia="Times New Roman" w:hAnsi="Times New Roman"/>
      <w:sz w:val="24"/>
      <w:szCs w:val="24"/>
    </w:rPr>
  </w:style>
  <w:style w:type="paragraph" w:customStyle="1" w:styleId="Bulletedlist">
    <w:name w:val="Bulleted list"/>
    <w:basedOn w:val="Normal"/>
    <w:uiPriority w:val="99"/>
    <w:rsid w:val="009A127F"/>
    <w:pPr>
      <w:numPr>
        <w:numId w:val="64"/>
      </w:numPr>
      <w:spacing w:after="0" w:line="400" w:lineRule="exact"/>
    </w:pPr>
    <w:rPr>
      <w:rFonts w:ascii="Arial" w:eastAsia="Times New Roman" w:hAnsi="Arial"/>
      <w:color w:val="000000"/>
      <w:sz w:val="24"/>
      <w:szCs w:val="20"/>
    </w:rPr>
  </w:style>
  <w:style w:type="paragraph" w:customStyle="1" w:styleId="Bullet10">
    <w:name w:val="Bullet 1"/>
    <w:basedOn w:val="Normal"/>
    <w:autoRedefine/>
    <w:uiPriority w:val="99"/>
    <w:rsid w:val="009A127F"/>
    <w:pPr>
      <w:numPr>
        <w:numId w:val="69"/>
      </w:numPr>
      <w:tabs>
        <w:tab w:val="clear" w:pos="360"/>
        <w:tab w:val="num" w:pos="720"/>
      </w:tabs>
      <w:spacing w:after="100" w:afterAutospacing="1" w:line="240" w:lineRule="auto"/>
      <w:ind w:left="720"/>
    </w:pPr>
    <w:rPr>
      <w:rFonts w:ascii="Arial" w:eastAsia="Times New Roman" w:hAnsi="Arial" w:cs="Arial"/>
      <w:color w:val="000000"/>
      <w:sz w:val="24"/>
      <w:szCs w:val="24"/>
    </w:rPr>
  </w:style>
  <w:style w:type="paragraph" w:customStyle="1" w:styleId="body0">
    <w:name w:val="body"/>
    <w:uiPriority w:val="99"/>
    <w:rsid w:val="009A127F"/>
    <w:pPr>
      <w:snapToGrid w:val="0"/>
      <w:spacing w:before="60" w:after="60" w:line="260" w:lineRule="atLeast"/>
    </w:pPr>
    <w:rPr>
      <w:rFonts w:ascii="Arial Narrow" w:eastAsia="Times New Roman" w:hAnsi="Arial Narrow"/>
      <w:color w:val="000000"/>
      <w:sz w:val="22"/>
    </w:rPr>
  </w:style>
  <w:style w:type="paragraph" w:styleId="HTMLPreformatted">
    <w:name w:val="HTML Preformatted"/>
    <w:basedOn w:val="Normal"/>
    <w:link w:val="HTMLPreformattedChar"/>
    <w:uiPriority w:val="99"/>
    <w:rsid w:val="009A1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link w:val="HTMLPreformatted"/>
    <w:uiPriority w:val="99"/>
    <w:locked/>
    <w:rsid w:val="009A127F"/>
    <w:rPr>
      <w:rFonts w:ascii="Courier New" w:hAnsi="Courier New" w:cs="Courier New"/>
      <w:sz w:val="20"/>
      <w:szCs w:val="20"/>
    </w:rPr>
  </w:style>
  <w:style w:type="paragraph" w:customStyle="1" w:styleId="BasicText">
    <w:name w:val="Basic Text"/>
    <w:basedOn w:val="Normal"/>
    <w:uiPriority w:val="99"/>
    <w:rsid w:val="009A127F"/>
    <w:pPr>
      <w:numPr>
        <w:numId w:val="70"/>
      </w:numPr>
      <w:tabs>
        <w:tab w:val="clear" w:pos="1440"/>
        <w:tab w:val="right" w:leader="dot" w:pos="8280"/>
      </w:tabs>
      <w:overflowPunct w:val="0"/>
      <w:autoSpaceDE w:val="0"/>
      <w:autoSpaceDN w:val="0"/>
      <w:adjustRightInd w:val="0"/>
      <w:spacing w:before="40" w:after="40" w:line="240" w:lineRule="auto"/>
      <w:ind w:left="720" w:firstLine="0"/>
      <w:textAlignment w:val="baseline"/>
    </w:pPr>
    <w:rPr>
      <w:rFonts w:ascii="Times New Roman" w:eastAsia="Times New Roman" w:hAnsi="Times New Roman"/>
      <w:color w:val="000000"/>
      <w:sz w:val="24"/>
      <w:szCs w:val="20"/>
    </w:rPr>
  </w:style>
  <w:style w:type="paragraph" w:customStyle="1" w:styleId="pF">
    <w:name w:val="pF"/>
    <w:next w:val="Normal"/>
    <w:uiPriority w:val="99"/>
    <w:rsid w:val="009A127F"/>
    <w:pPr>
      <w:spacing w:line="320" w:lineRule="atLeast"/>
    </w:pPr>
    <w:rPr>
      <w:rFonts w:ascii="Times New Roman" w:eastAsia="Times New Roman" w:hAnsi="Times New Roman"/>
      <w:sz w:val="24"/>
      <w:szCs w:val="24"/>
    </w:rPr>
  </w:style>
  <w:style w:type="paragraph" w:customStyle="1" w:styleId="Heading2Text">
    <w:name w:val="Heading 2 Text"/>
    <w:basedOn w:val="Normal"/>
    <w:next w:val="Normal"/>
    <w:uiPriority w:val="99"/>
    <w:rsid w:val="009A127F"/>
    <w:pPr>
      <w:numPr>
        <w:numId w:val="71"/>
      </w:numPr>
      <w:tabs>
        <w:tab w:val="clear" w:pos="846"/>
      </w:tabs>
      <w:autoSpaceDE w:val="0"/>
      <w:autoSpaceDN w:val="0"/>
      <w:adjustRightInd w:val="0"/>
      <w:spacing w:after="0" w:line="240" w:lineRule="auto"/>
      <w:ind w:left="0" w:firstLine="0"/>
    </w:pPr>
    <w:rPr>
      <w:rFonts w:ascii="NNLCIK+TimesNewRoman" w:eastAsia="Times New Roman" w:hAnsi="NNLCIK+TimesNewRoman"/>
      <w:sz w:val="24"/>
      <w:szCs w:val="24"/>
    </w:rPr>
  </w:style>
  <w:style w:type="character" w:customStyle="1" w:styleId="green1">
    <w:name w:val="green1"/>
    <w:uiPriority w:val="99"/>
    <w:rsid w:val="009A127F"/>
    <w:rPr>
      <w:color w:val="194F49"/>
    </w:rPr>
  </w:style>
  <w:style w:type="paragraph" w:customStyle="1" w:styleId="CharCharChar">
    <w:name w:val="Char Char Char"/>
    <w:basedOn w:val="Normal"/>
    <w:uiPriority w:val="99"/>
    <w:rsid w:val="009A127F"/>
    <w:pPr>
      <w:spacing w:after="160" w:line="240" w:lineRule="exact"/>
    </w:pPr>
    <w:rPr>
      <w:rFonts w:ascii="Verdana" w:eastAsia="Times New Roman" w:hAnsi="Verdana"/>
      <w:sz w:val="20"/>
      <w:szCs w:val="20"/>
    </w:rPr>
  </w:style>
  <w:style w:type="character" w:styleId="Strong">
    <w:name w:val="Strong"/>
    <w:uiPriority w:val="99"/>
    <w:qFormat/>
    <w:rsid w:val="009A127F"/>
    <w:rPr>
      <w:rFonts w:cs="Times New Roman"/>
      <w:b/>
    </w:rPr>
  </w:style>
  <w:style w:type="paragraph" w:customStyle="1" w:styleId="CharChar3">
    <w:name w:val="Char Char3"/>
    <w:basedOn w:val="Normal"/>
    <w:uiPriority w:val="99"/>
    <w:rsid w:val="009A127F"/>
    <w:pPr>
      <w:spacing w:after="160" w:line="240" w:lineRule="exact"/>
    </w:pPr>
    <w:rPr>
      <w:rFonts w:ascii="Verdana" w:eastAsia="Times New Roman" w:hAnsi="Verdana"/>
      <w:sz w:val="20"/>
      <w:szCs w:val="20"/>
    </w:rPr>
  </w:style>
  <w:style w:type="paragraph" w:customStyle="1" w:styleId="CharChar5">
    <w:name w:val="Char Char5"/>
    <w:basedOn w:val="Normal"/>
    <w:uiPriority w:val="99"/>
    <w:rsid w:val="009A127F"/>
    <w:pPr>
      <w:spacing w:after="160" w:line="240" w:lineRule="exact"/>
    </w:pPr>
    <w:rPr>
      <w:rFonts w:ascii="Verdana" w:eastAsia="Times New Roman" w:hAnsi="Verdana"/>
      <w:sz w:val="20"/>
      <w:szCs w:val="20"/>
    </w:rPr>
  </w:style>
  <w:style w:type="paragraph" w:customStyle="1" w:styleId="standard">
    <w:name w:val="standard"/>
    <w:basedOn w:val="Normal"/>
    <w:link w:val="standardChar"/>
    <w:uiPriority w:val="99"/>
    <w:rsid w:val="009A127F"/>
    <w:pPr>
      <w:spacing w:after="0" w:line="360" w:lineRule="auto"/>
      <w:ind w:firstLine="720"/>
    </w:pPr>
    <w:rPr>
      <w:rFonts w:ascii="Palatino" w:hAnsi="Palatino"/>
      <w:sz w:val="20"/>
      <w:szCs w:val="20"/>
    </w:rPr>
  </w:style>
  <w:style w:type="character" w:customStyle="1" w:styleId="standardChar">
    <w:name w:val="standard Char"/>
    <w:link w:val="standard"/>
    <w:uiPriority w:val="99"/>
    <w:locked/>
    <w:rsid w:val="009A127F"/>
    <w:rPr>
      <w:rFonts w:ascii="Palatino" w:hAnsi="Palatino"/>
      <w:sz w:val="20"/>
    </w:rPr>
  </w:style>
  <w:style w:type="paragraph" w:customStyle="1" w:styleId="CoverTitle">
    <w:name w:val="Cover Title"/>
    <w:uiPriority w:val="99"/>
    <w:rsid w:val="009A127F"/>
    <w:pPr>
      <w:spacing w:before="3000" w:line="560" w:lineRule="exact"/>
      <w:jc w:val="center"/>
    </w:pPr>
    <w:rPr>
      <w:rFonts w:ascii="Arial" w:eastAsia="Times New Roman" w:hAnsi="Arial"/>
      <w:b/>
      <w:caps/>
      <w:color w:val="000000"/>
      <w:spacing w:val="10"/>
      <w:sz w:val="28"/>
    </w:rPr>
  </w:style>
  <w:style w:type="character" w:styleId="Emphasis">
    <w:name w:val="Emphasis"/>
    <w:uiPriority w:val="99"/>
    <w:qFormat/>
    <w:rsid w:val="009A127F"/>
    <w:rPr>
      <w:rFonts w:cs="Times New Roman"/>
      <w:i/>
    </w:rPr>
  </w:style>
  <w:style w:type="character" w:styleId="FollowedHyperlink">
    <w:name w:val="FollowedHyperlink"/>
    <w:uiPriority w:val="99"/>
    <w:rsid w:val="009A127F"/>
    <w:rPr>
      <w:rFonts w:cs="Times New Roman"/>
      <w:color w:val="606420"/>
      <w:u w:val="single"/>
    </w:rPr>
  </w:style>
  <w:style w:type="paragraph" w:customStyle="1" w:styleId="Heading20">
    <w:name w:val="Heading2"/>
    <w:basedOn w:val="Normal"/>
    <w:uiPriority w:val="99"/>
    <w:rsid w:val="009A127F"/>
    <w:pPr>
      <w:tabs>
        <w:tab w:val="num" w:pos="720"/>
      </w:tabs>
      <w:spacing w:after="0" w:line="240" w:lineRule="auto"/>
      <w:ind w:left="720" w:hanging="360"/>
    </w:pPr>
    <w:rPr>
      <w:rFonts w:ascii="Times New Roman" w:eastAsia="Times New Roman" w:hAnsi="Times New Roman"/>
      <w:color w:val="000000"/>
      <w:sz w:val="24"/>
      <w:szCs w:val="24"/>
    </w:rPr>
  </w:style>
  <w:style w:type="paragraph" w:customStyle="1" w:styleId="Heading10">
    <w:name w:val="Heading1"/>
    <w:basedOn w:val="Normal"/>
    <w:autoRedefine/>
    <w:uiPriority w:val="99"/>
    <w:rsid w:val="00C32735"/>
    <w:pPr>
      <w:tabs>
        <w:tab w:val="left" w:pos="720"/>
      </w:tabs>
      <w:spacing w:after="0" w:line="240" w:lineRule="auto"/>
      <w:ind w:left="720" w:hanging="720"/>
      <w:outlineLvl w:val="0"/>
    </w:pPr>
    <w:rPr>
      <w:rFonts w:ascii="Times New Roman" w:eastAsia="Times New Roman" w:hAnsi="Times New Roman"/>
      <w:b/>
      <w:color w:val="000000"/>
      <w:sz w:val="24"/>
      <w:szCs w:val="24"/>
    </w:rPr>
  </w:style>
  <w:style w:type="paragraph" w:customStyle="1" w:styleId="CharChar4CharCharCharChar1">
    <w:name w:val="Char Char4 Char Char Char Char1"/>
    <w:basedOn w:val="Normal"/>
    <w:uiPriority w:val="99"/>
    <w:rsid w:val="009A127F"/>
    <w:pPr>
      <w:spacing w:after="160" w:line="240" w:lineRule="exact"/>
    </w:pPr>
    <w:rPr>
      <w:rFonts w:ascii="Verdana" w:hAnsi="Verdana"/>
      <w:sz w:val="20"/>
      <w:szCs w:val="20"/>
    </w:rPr>
  </w:style>
  <w:style w:type="paragraph" w:styleId="NoSpacing">
    <w:name w:val="No Spacing"/>
    <w:uiPriority w:val="99"/>
    <w:qFormat/>
    <w:rsid w:val="009A127F"/>
    <w:rPr>
      <w:rFonts w:ascii="Times New Roman" w:eastAsia="Times New Roman" w:hAnsi="Times New Roman"/>
      <w:sz w:val="24"/>
      <w:szCs w:val="24"/>
    </w:rPr>
  </w:style>
  <w:style w:type="paragraph" w:customStyle="1" w:styleId="Lista1">
    <w:name w:val="List a1"/>
    <w:basedOn w:val="Normal"/>
    <w:autoRedefine/>
    <w:uiPriority w:val="99"/>
    <w:rsid w:val="009A127F"/>
    <w:pPr>
      <w:numPr>
        <w:ilvl w:val="3"/>
      </w:numPr>
      <w:spacing w:after="0"/>
      <w:ind w:left="3240" w:hanging="360"/>
    </w:pPr>
    <w:rPr>
      <w:rFonts w:ascii="Arial Narrow" w:hAnsi="Arial Narrow" w:cs="Arial"/>
      <w:sz w:val="24"/>
    </w:rPr>
  </w:style>
  <w:style w:type="paragraph" w:styleId="Revision">
    <w:name w:val="Revision"/>
    <w:hidden/>
    <w:uiPriority w:val="99"/>
    <w:semiHidden/>
    <w:rsid w:val="00B369B3"/>
    <w:rPr>
      <w:sz w:val="22"/>
      <w:szCs w:val="22"/>
    </w:rPr>
  </w:style>
  <w:style w:type="character" w:styleId="SubtleEmphasis">
    <w:name w:val="Subtle Emphasis"/>
    <w:uiPriority w:val="19"/>
    <w:qFormat/>
    <w:rsid w:val="0001414E"/>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3096">
      <w:bodyDiv w:val="1"/>
      <w:marLeft w:val="0"/>
      <w:marRight w:val="0"/>
      <w:marTop w:val="0"/>
      <w:marBottom w:val="0"/>
      <w:divBdr>
        <w:top w:val="none" w:sz="0" w:space="0" w:color="auto"/>
        <w:left w:val="none" w:sz="0" w:space="0" w:color="auto"/>
        <w:bottom w:val="none" w:sz="0" w:space="0" w:color="auto"/>
        <w:right w:val="none" w:sz="0" w:space="0" w:color="auto"/>
      </w:divBdr>
    </w:div>
    <w:div w:id="167695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footer" Target="footer3.xml"/><Relationship Id="rId21" Type="http://schemas.openxmlformats.org/officeDocument/2006/relationships/image" Target="media/image13.emf"/><Relationship Id="rId34" Type="http://schemas.openxmlformats.org/officeDocument/2006/relationships/footer" Target="footer1.xml"/><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hyperlink" Target="mailto:EUCA_Processing@icfi.com" TargetMode="External"/><Relationship Id="rId55" Type="http://schemas.openxmlformats.org/officeDocument/2006/relationships/image" Target="media/image32.wmf"/><Relationship Id="rId63" Type="http://schemas.openxmlformats.org/officeDocument/2006/relationships/image" Target="media/image39.w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oleObject" Target="embeddings/oleObject3.bin"/><Relationship Id="rId32" Type="http://schemas.openxmlformats.org/officeDocument/2006/relationships/image" Target="media/image22.emf"/><Relationship Id="rId37" Type="http://schemas.openxmlformats.org/officeDocument/2006/relationships/header" Target="header1.xml"/><Relationship Id="rId40" Type="http://schemas.openxmlformats.org/officeDocument/2006/relationships/image" Target="media/image26.emf"/><Relationship Id="rId45" Type="http://schemas.openxmlformats.org/officeDocument/2006/relationships/image" Target="media/image29.emf"/><Relationship Id="rId53" Type="http://schemas.openxmlformats.org/officeDocument/2006/relationships/footer" Target="footer5.xml"/><Relationship Id="rId58" Type="http://schemas.openxmlformats.org/officeDocument/2006/relationships/hyperlink" Target="http://uc-ciee.org/downloads/mrkt_effts_wp.pdf" TargetMode="External"/><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mailto:EUCA_Processing@icfi.com" TargetMode="External"/><Relationship Id="rId57" Type="http://schemas.openxmlformats.org/officeDocument/2006/relationships/image" Target="media/image34.jpeg"/><Relationship Id="rId61" Type="http://schemas.openxmlformats.org/officeDocument/2006/relationships/image" Target="media/image37.w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oleObject" Target="embeddings/oleObject4.bin"/><Relationship Id="rId52" Type="http://schemas.openxmlformats.org/officeDocument/2006/relationships/header" Target="header2.xml"/><Relationship Id="rId60" Type="http://schemas.openxmlformats.org/officeDocument/2006/relationships/image" Target="media/image36.wmf"/><Relationship Id="rId65" Type="http://schemas.openxmlformats.org/officeDocument/2006/relationships/image" Target="media/image40.w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image" Target="media/image31.emf"/><Relationship Id="rId56" Type="http://schemas.openxmlformats.org/officeDocument/2006/relationships/image" Target="media/image33.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mailto:EUCA_Processing@icfi.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w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2.xml"/><Relationship Id="rId46" Type="http://schemas.openxmlformats.org/officeDocument/2006/relationships/oleObject" Target="embeddings/oleObject5.bin"/><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footer" Target="footer4.xml"/><Relationship Id="rId54" Type="http://schemas.openxmlformats.org/officeDocument/2006/relationships/footer" Target="footer6.xml"/><Relationship Id="rId62" Type="http://schemas.openxmlformats.org/officeDocument/2006/relationships/image" Target="media/image38.wmf"/></Relationships>
</file>

<file path=word/_rels/footnotes.xml.rels><?xml version="1.0" encoding="UTF-8" standalone="yes"?>
<Relationships xmlns="http://schemas.openxmlformats.org/package/2006/relationships"><Relationship Id="rId3" Type="http://schemas.openxmlformats.org/officeDocument/2006/relationships/hyperlink" Target="http://www.builderonline.com/business/surveys-reveal-home-buyer-wishes-for-energy-efficiency-and-beyond.aspx" TargetMode="External"/><Relationship Id="rId2" Type="http://schemas.openxmlformats.org/officeDocument/2006/relationships/hyperlink" Target="http://www.hcd.ca.gov/hpd/hrc/plan/he/" TargetMode="External"/><Relationship Id="rId1" Type="http://schemas.openxmlformats.org/officeDocument/2006/relationships/hyperlink" Target="http://www.jchs.harvard.edu/research/state_nations_hous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A1611-2578-4A21-B6B7-FCE4FD576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63736</Words>
  <Characters>363301</Characters>
  <Application>Microsoft Office Word</Application>
  <DocSecurity>0</DocSecurity>
  <Lines>3027</Lines>
  <Paragraphs>852</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426185</CharactersWithSpaces>
  <SharedDoc>false</SharedDoc>
  <HLinks>
    <vt:vector size="48" baseType="variant">
      <vt:variant>
        <vt:i4>6815857</vt:i4>
      </vt:variant>
      <vt:variant>
        <vt:i4>45</vt:i4>
      </vt:variant>
      <vt:variant>
        <vt:i4>0</vt:i4>
      </vt:variant>
      <vt:variant>
        <vt:i4>5</vt:i4>
      </vt:variant>
      <vt:variant>
        <vt:lpwstr>http://uc-ciee.org/downloads/mrkt_effts_wp.pdf</vt:lpwstr>
      </vt:variant>
      <vt:variant>
        <vt:lpwstr/>
      </vt:variant>
      <vt:variant>
        <vt:i4>1638416</vt:i4>
      </vt:variant>
      <vt:variant>
        <vt:i4>39</vt:i4>
      </vt:variant>
      <vt:variant>
        <vt:i4>0</vt:i4>
      </vt:variant>
      <vt:variant>
        <vt:i4>5</vt:i4>
      </vt:variant>
      <vt:variant>
        <vt:lpwstr>mailto:EUCA_Processing@icfi.com</vt:lpwstr>
      </vt:variant>
      <vt:variant>
        <vt:lpwstr/>
      </vt:variant>
      <vt:variant>
        <vt:i4>1638416</vt:i4>
      </vt:variant>
      <vt:variant>
        <vt:i4>36</vt:i4>
      </vt:variant>
      <vt:variant>
        <vt:i4>0</vt:i4>
      </vt:variant>
      <vt:variant>
        <vt:i4>5</vt:i4>
      </vt:variant>
      <vt:variant>
        <vt:lpwstr>mailto:EUCA_Processing@icfi.com</vt:lpwstr>
      </vt:variant>
      <vt:variant>
        <vt:lpwstr/>
      </vt:variant>
      <vt:variant>
        <vt:i4>1638416</vt:i4>
      </vt:variant>
      <vt:variant>
        <vt:i4>33</vt:i4>
      </vt:variant>
      <vt:variant>
        <vt:i4>0</vt:i4>
      </vt:variant>
      <vt:variant>
        <vt:i4>5</vt:i4>
      </vt:variant>
      <vt:variant>
        <vt:lpwstr>mailto:EUCA_Processing@icfi.com</vt:lpwstr>
      </vt:variant>
      <vt:variant>
        <vt:lpwstr/>
      </vt:variant>
      <vt:variant>
        <vt:i4>1638416</vt:i4>
      </vt:variant>
      <vt:variant>
        <vt:i4>30</vt:i4>
      </vt:variant>
      <vt:variant>
        <vt:i4>0</vt:i4>
      </vt:variant>
      <vt:variant>
        <vt:i4>5</vt:i4>
      </vt:variant>
      <vt:variant>
        <vt:lpwstr>mailto:EUCA_Processing@icfi.com</vt:lpwstr>
      </vt:variant>
      <vt:variant>
        <vt:lpwstr/>
      </vt:variant>
      <vt:variant>
        <vt:i4>6225925</vt:i4>
      </vt:variant>
      <vt:variant>
        <vt:i4>6</vt:i4>
      </vt:variant>
      <vt:variant>
        <vt:i4>0</vt:i4>
      </vt:variant>
      <vt:variant>
        <vt:i4>5</vt:i4>
      </vt:variant>
      <vt:variant>
        <vt:lpwstr>http://www.builderonline.com/business/surveys-reveal-home-buyer-wishes-for-energy-efficiency-and-beyond.aspx</vt:lpwstr>
      </vt:variant>
      <vt:variant>
        <vt:lpwstr/>
      </vt:variant>
      <vt:variant>
        <vt:i4>7143473</vt:i4>
      </vt:variant>
      <vt:variant>
        <vt:i4>3</vt:i4>
      </vt:variant>
      <vt:variant>
        <vt:i4>0</vt:i4>
      </vt:variant>
      <vt:variant>
        <vt:i4>5</vt:i4>
      </vt:variant>
      <vt:variant>
        <vt:lpwstr>http://www.hcd.ca.gov/hpd/hrc/plan/he/</vt:lpwstr>
      </vt:variant>
      <vt:variant>
        <vt:lpwstr/>
      </vt:variant>
      <vt:variant>
        <vt:i4>8323191</vt:i4>
      </vt:variant>
      <vt:variant>
        <vt:i4>0</vt:i4>
      </vt:variant>
      <vt:variant>
        <vt:i4>0</vt:i4>
      </vt:variant>
      <vt:variant>
        <vt:i4>5</vt:i4>
      </vt:variant>
      <vt:variant>
        <vt:lpwstr>http://www.jchs.harvard.edu/research/state_nations_housing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manguyen</dc:creator>
  <cp:lastModifiedBy>cerobins</cp:lastModifiedBy>
  <cp:revision>2</cp:revision>
  <cp:lastPrinted>2012-08-31T18:44:00Z</cp:lastPrinted>
  <dcterms:created xsi:type="dcterms:W3CDTF">2012-09-04T20:35:00Z</dcterms:created>
  <dcterms:modified xsi:type="dcterms:W3CDTF">2012-09-04T20:35:00Z</dcterms:modified>
</cp:coreProperties>
</file>